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4E345" w14:textId="63070BA9" w:rsidR="00C868AA" w:rsidRDefault="004E079D" w:rsidP="002C48F9">
      <w:pPr>
        <w:pStyle w:val="IntroductionQuote"/>
        <w:jc w:val="center"/>
      </w:pPr>
      <w:bookmarkStart w:id="0" w:name="_Toc395536189"/>
      <w:r>
        <w:rPr>
          <w:noProof/>
        </w:rPr>
        <w:drawing>
          <wp:inline distT="0" distB="0" distL="0" distR="0" wp14:anchorId="2057476F" wp14:editId="433F08BA">
            <wp:extent cx="6479540" cy="9164955"/>
            <wp:effectExtent l="0" t="0" r="0" b="0"/>
            <wp:docPr id="275265915" name="Picture 1" descr="Emissions reduction plan. Images include: Facade of Enid Lyons Building featuring signage, Atrium of Enid Lyons Building, Electric Vehicle with charger, Facade of Enid Lyons Building featuring windows and t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65915" name="Picture 1" descr="Emissions reduction plan. Images include: Facade of Enid Lyons Building featuring signage, Atrium of Enid Lyons Building, Electric Vehicle with charger, Facade of Enid Lyons Building featuring windows and tree. "/>
                    <pic:cNvPicPr/>
                  </pic:nvPicPr>
                  <pic:blipFill>
                    <a:blip r:embed="rId11">
                      <a:extLst>
                        <a:ext uri="{28A0092B-C50C-407E-A947-70E740481C1C}">
                          <a14:useLocalDpi xmlns:a14="http://schemas.microsoft.com/office/drawing/2010/main" val="0"/>
                        </a:ext>
                      </a:extLst>
                    </a:blip>
                    <a:stretch>
                      <a:fillRect/>
                    </a:stretch>
                  </pic:blipFill>
                  <pic:spPr>
                    <a:xfrm>
                      <a:off x="0" y="0"/>
                      <a:ext cx="6479540" cy="9164955"/>
                    </a:xfrm>
                    <a:prstGeom prst="rect">
                      <a:avLst/>
                    </a:prstGeom>
                  </pic:spPr>
                </pic:pic>
              </a:graphicData>
            </a:graphic>
          </wp:inline>
        </w:drawing>
      </w:r>
    </w:p>
    <w:tbl>
      <w:tblPr>
        <w:tblStyle w:val="ListTable4-Accent5"/>
        <w:tblW w:w="10206" w:type="dxa"/>
        <w:tblLook w:val="04A0" w:firstRow="1" w:lastRow="0" w:firstColumn="1" w:lastColumn="0" w:noHBand="0" w:noVBand="1"/>
        <w:tblCaption w:val="Information"/>
        <w:tblDescription w:val="Table has 2 columns: Policy information and Details. The policy information column lists the Policy number, the policy's purpose, category, who it applies to, related documents, Policy Statement, approver, review date, policy owner, date of first issue, and document change control. The Details column provides the corresponding information."/>
      </w:tblPr>
      <w:tblGrid>
        <w:gridCol w:w="2593"/>
        <w:gridCol w:w="7613"/>
      </w:tblGrid>
      <w:tr w:rsidR="004B2271" w:rsidRPr="007048FC" w14:paraId="4EDFE502" w14:textId="77777777" w:rsidTr="00FE363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4A736479" w14:textId="38A02E88" w:rsidR="004B2271" w:rsidRPr="007048FC" w:rsidRDefault="00141768" w:rsidP="00FE3637">
            <w:pPr>
              <w:pStyle w:val="Tabletext-detailed"/>
            </w:pPr>
            <w:r>
              <w:lastRenderedPageBreak/>
              <w:t>I</w:t>
            </w:r>
            <w:r w:rsidR="004B2271" w:rsidRPr="007048FC">
              <w:t>nformation</w:t>
            </w:r>
          </w:p>
        </w:tc>
        <w:tc>
          <w:tcPr>
            <w:tcW w:w="7613" w:type="dxa"/>
          </w:tcPr>
          <w:p w14:paraId="47E2478E" w14:textId="77777777" w:rsidR="004B2271" w:rsidRPr="007048FC" w:rsidRDefault="004B2271" w:rsidP="00FE3637">
            <w:pPr>
              <w:pStyle w:val="Tabletext-detailed"/>
              <w:cnfStyle w:val="100000000000" w:firstRow="1" w:lastRow="0" w:firstColumn="0" w:lastColumn="0" w:oddVBand="0" w:evenVBand="0" w:oddHBand="0" w:evenHBand="0" w:firstRowFirstColumn="0" w:firstRowLastColumn="0" w:lastRowFirstColumn="0" w:lastRowLastColumn="0"/>
            </w:pPr>
            <w:r w:rsidRPr="007048FC">
              <w:t>Details</w:t>
            </w:r>
          </w:p>
        </w:tc>
      </w:tr>
      <w:tr w:rsidR="004B2271" w:rsidRPr="007048FC" w14:paraId="5C4369E5" w14:textId="77777777" w:rsidTr="00FE36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0936A4FA" w14:textId="77777777" w:rsidR="004B2271" w:rsidRPr="007048FC" w:rsidRDefault="004B2271" w:rsidP="00FE3637">
            <w:pPr>
              <w:pStyle w:val="Tabletext-detailed"/>
            </w:pPr>
            <w:r w:rsidRPr="007048FC">
              <w:t>Purpose:</w:t>
            </w:r>
          </w:p>
        </w:tc>
        <w:tc>
          <w:tcPr>
            <w:tcW w:w="7613" w:type="dxa"/>
          </w:tcPr>
          <w:p w14:paraId="1063B5D5" w14:textId="699D14E6" w:rsidR="004B2271" w:rsidRPr="007048FC" w:rsidRDefault="00971396" w:rsidP="00FE3637">
            <w:pPr>
              <w:pStyle w:val="Tabletext-detailed"/>
              <w:cnfStyle w:val="000000100000" w:firstRow="0" w:lastRow="0" w:firstColumn="0" w:lastColumn="0" w:oddVBand="0" w:evenVBand="0" w:oddHBand="1" w:evenHBand="0" w:firstRowFirstColumn="0" w:firstRowLastColumn="0" w:lastRowFirstColumn="0" w:lastRowLastColumn="0"/>
            </w:pPr>
            <w:r w:rsidRPr="00971396">
              <w:t>The goal of this Emissions Reduction Plan (the plan) is to provide a pathway for the department to meet Net Zero emission targets through reduction activities.</w:t>
            </w:r>
          </w:p>
        </w:tc>
      </w:tr>
      <w:tr w:rsidR="004B2271" w:rsidRPr="007048FC" w14:paraId="45D42E0C" w14:textId="77777777" w:rsidTr="00FE363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214254E7" w14:textId="77777777" w:rsidR="004B2271" w:rsidRPr="007048FC" w:rsidRDefault="004B2271" w:rsidP="00FE3637">
            <w:pPr>
              <w:pStyle w:val="Tabletext-detailed"/>
            </w:pPr>
            <w:r w:rsidRPr="007048FC">
              <w:t>Category:</w:t>
            </w:r>
          </w:p>
        </w:tc>
        <w:tc>
          <w:tcPr>
            <w:tcW w:w="7613" w:type="dxa"/>
          </w:tcPr>
          <w:p w14:paraId="08BFEC2D" w14:textId="77777777" w:rsidR="004B2271" w:rsidRPr="007048FC" w:rsidRDefault="004B2271" w:rsidP="00FE3637">
            <w:pPr>
              <w:pStyle w:val="Tabletext-detailed"/>
              <w:cnfStyle w:val="000000010000" w:firstRow="0" w:lastRow="0" w:firstColumn="0" w:lastColumn="0" w:oddVBand="0" w:evenVBand="0" w:oddHBand="0" w:evenHBand="1" w:firstRowFirstColumn="0" w:firstRowLastColumn="0" w:lastRowFirstColumn="0" w:lastRowLastColumn="0"/>
            </w:pPr>
            <w:r w:rsidRPr="007048FC">
              <w:t>Corporate</w:t>
            </w:r>
          </w:p>
        </w:tc>
      </w:tr>
      <w:tr w:rsidR="004B2271" w:rsidRPr="007048FC" w14:paraId="29ECE955" w14:textId="77777777" w:rsidTr="00FE36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77F768EF" w14:textId="77777777" w:rsidR="004B2271" w:rsidRPr="007048FC" w:rsidRDefault="004B2271" w:rsidP="00FE3637">
            <w:pPr>
              <w:pStyle w:val="Tabletext-detailed"/>
            </w:pPr>
            <w:r w:rsidRPr="007048FC">
              <w:t>Applicable to:</w:t>
            </w:r>
          </w:p>
        </w:tc>
        <w:tc>
          <w:tcPr>
            <w:tcW w:w="7613" w:type="dxa"/>
          </w:tcPr>
          <w:p w14:paraId="69818C36" w14:textId="3A9EE5B4" w:rsidR="004B2271" w:rsidRPr="007048FC" w:rsidRDefault="004B2271" w:rsidP="00FE3637">
            <w:pPr>
              <w:pStyle w:val="Tabletext-detailed"/>
              <w:cnfStyle w:val="000000100000" w:firstRow="0" w:lastRow="0" w:firstColumn="0" w:lastColumn="0" w:oddVBand="0" w:evenVBand="0" w:oddHBand="1" w:evenHBand="0" w:firstRowFirstColumn="0" w:firstRowLastColumn="0" w:lastRowFirstColumn="0" w:lastRowLastColumn="0"/>
            </w:pPr>
            <w:r w:rsidRPr="004B2271">
              <w:t>All staff, including contractors, consultants and visitors.</w:t>
            </w:r>
          </w:p>
        </w:tc>
      </w:tr>
      <w:tr w:rsidR="004B2271" w:rsidRPr="007048FC" w14:paraId="46A43251" w14:textId="77777777" w:rsidTr="00FE363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00C02312" w14:textId="77777777" w:rsidR="004B2271" w:rsidRPr="007048FC" w:rsidRDefault="004B2271" w:rsidP="00FE3637">
            <w:pPr>
              <w:pStyle w:val="Tabletext-detailed"/>
            </w:pPr>
            <w:r w:rsidRPr="007048FC">
              <w:t>Relevant Authority:</w:t>
            </w:r>
          </w:p>
        </w:tc>
        <w:tc>
          <w:tcPr>
            <w:tcW w:w="7613" w:type="dxa"/>
          </w:tcPr>
          <w:p w14:paraId="061C5E51" w14:textId="55A4DACE" w:rsidR="004B2271" w:rsidRPr="004B2271" w:rsidRDefault="002E1820" w:rsidP="004B2271">
            <w:pPr>
              <w:spacing w:after="0"/>
              <w:cnfStyle w:val="000000010000" w:firstRow="0" w:lastRow="0" w:firstColumn="0" w:lastColumn="0" w:oddVBand="0" w:evenVBand="0" w:oddHBand="0" w:evenHBand="1" w:firstRowFirstColumn="0" w:firstRowLastColumn="0" w:lastRowFirstColumn="0" w:lastRowLastColumn="0"/>
              <w:rPr>
                <w:i/>
                <w:iCs/>
                <w:spacing w:val="0"/>
              </w:rPr>
            </w:pPr>
            <w:hyperlink r:id="rId12" w:history="1">
              <w:r w:rsidR="004B2271" w:rsidRPr="004B2271">
                <w:rPr>
                  <w:rStyle w:val="Hyperlink"/>
                  <w:i/>
                  <w:iCs/>
                </w:rPr>
                <w:t>Section 516A of the Environment Protection and Biodiversity Conservation (EPBC) Act 1999</w:t>
              </w:r>
            </w:hyperlink>
          </w:p>
          <w:p w14:paraId="095B0E37" w14:textId="349404F3" w:rsidR="004B2271" w:rsidRPr="004B2271" w:rsidRDefault="002E1820" w:rsidP="004B2271">
            <w:pPr>
              <w:spacing w:after="0"/>
              <w:cnfStyle w:val="000000010000" w:firstRow="0" w:lastRow="0" w:firstColumn="0" w:lastColumn="0" w:oddVBand="0" w:evenVBand="0" w:oddHBand="0" w:evenHBand="1" w:firstRowFirstColumn="0" w:firstRowLastColumn="0" w:lastRowFirstColumn="0" w:lastRowLastColumn="0"/>
            </w:pPr>
            <w:hyperlink r:id="rId13" w:history="1">
              <w:r w:rsidR="004B2271" w:rsidRPr="004B2271">
                <w:rPr>
                  <w:rStyle w:val="Hyperlink"/>
                </w:rPr>
                <w:t>Annual reports for non-corporate Commonwealth entities (RMG 135)</w:t>
              </w:r>
            </w:hyperlink>
          </w:p>
          <w:p w14:paraId="053CFDB8" w14:textId="306AEFD9" w:rsidR="004B2271" w:rsidRPr="004B2271" w:rsidRDefault="002E1820" w:rsidP="004B2271">
            <w:pPr>
              <w:spacing w:after="0"/>
              <w:cnfStyle w:val="000000010000" w:firstRow="0" w:lastRow="0" w:firstColumn="0" w:lastColumn="0" w:oddVBand="0" w:evenVBand="0" w:oddHBand="0" w:evenHBand="1" w:firstRowFirstColumn="0" w:firstRowLastColumn="0" w:lastRowFirstColumn="0" w:lastRowLastColumn="0"/>
            </w:pPr>
            <w:hyperlink r:id="rId14" w:history="1">
              <w:r w:rsidR="004B2271" w:rsidRPr="004B2271">
                <w:rPr>
                  <w:rStyle w:val="Hyperlink"/>
                </w:rPr>
                <w:t>Net Zero in Government Operations Strategy and Roadmap</w:t>
              </w:r>
            </w:hyperlink>
            <w:r w:rsidR="004B2271" w:rsidRPr="004B2271">
              <w:t xml:space="preserve"> </w:t>
            </w:r>
          </w:p>
          <w:p w14:paraId="660E1E10" w14:textId="17910173" w:rsidR="004B2271" w:rsidRPr="007048FC" w:rsidRDefault="002E1820" w:rsidP="004B2271">
            <w:pPr>
              <w:pStyle w:val="Tabletext-detailed"/>
              <w:cnfStyle w:val="000000010000" w:firstRow="0" w:lastRow="0" w:firstColumn="0" w:lastColumn="0" w:oddVBand="0" w:evenVBand="0" w:oddHBand="0" w:evenHBand="1" w:firstRowFirstColumn="0" w:firstRowLastColumn="0" w:lastRowFirstColumn="0" w:lastRowLastColumn="0"/>
            </w:pPr>
            <w:hyperlink r:id="rId15" w:history="1">
              <w:r w:rsidR="004B2271">
                <w:rPr>
                  <w:rStyle w:val="Hyperlink"/>
                </w:rPr>
                <w:t>Commonwealth Climate Disclosure</w:t>
              </w:r>
            </w:hyperlink>
          </w:p>
        </w:tc>
      </w:tr>
      <w:tr w:rsidR="004B2271" w:rsidRPr="007048FC" w14:paraId="66E7AB66" w14:textId="77777777" w:rsidTr="00FE36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242B1EF3" w14:textId="77777777" w:rsidR="004B2271" w:rsidRPr="007048FC" w:rsidRDefault="004B2271" w:rsidP="00FE3637">
            <w:pPr>
              <w:pStyle w:val="Tabletext-detailed"/>
            </w:pPr>
            <w:r w:rsidRPr="007048FC">
              <w:t>Related Documents:</w:t>
            </w:r>
          </w:p>
        </w:tc>
        <w:tc>
          <w:tcPr>
            <w:tcW w:w="7613" w:type="dxa"/>
          </w:tcPr>
          <w:p w14:paraId="5D0B59D2" w14:textId="77777777" w:rsidR="004B2271" w:rsidRPr="004B2271" w:rsidRDefault="002E1820" w:rsidP="004B2271">
            <w:pPr>
              <w:spacing w:after="0"/>
              <w:cnfStyle w:val="000000100000" w:firstRow="0" w:lastRow="0" w:firstColumn="0" w:lastColumn="0" w:oddVBand="0" w:evenVBand="0" w:oddHBand="1" w:evenHBand="0" w:firstRowFirstColumn="0" w:firstRowLastColumn="0" w:lastRowFirstColumn="0" w:lastRowLastColumn="0"/>
              <w:rPr>
                <w:spacing w:val="0"/>
              </w:rPr>
            </w:pPr>
            <w:hyperlink r:id="rId16" w:history="1">
              <w:r w:rsidR="004B2271" w:rsidRPr="004B2271">
                <w:rPr>
                  <w:rStyle w:val="Hyperlink"/>
                </w:rPr>
                <w:t>Australian Government Emissions Reporting</w:t>
              </w:r>
            </w:hyperlink>
            <w:r w:rsidR="004B2271" w:rsidRPr="004B2271">
              <w:t xml:space="preserve"> </w:t>
            </w:r>
          </w:p>
          <w:p w14:paraId="254F1BBB" w14:textId="1781AF86" w:rsidR="004B2271" w:rsidRPr="007048FC" w:rsidRDefault="002E1820" w:rsidP="004B2271">
            <w:pPr>
              <w:pStyle w:val="Tabletext-detailed"/>
              <w:cnfStyle w:val="000000100000" w:firstRow="0" w:lastRow="0" w:firstColumn="0" w:lastColumn="0" w:oddVBand="0" w:evenVBand="0" w:oddHBand="1" w:evenHBand="0" w:firstRowFirstColumn="0" w:firstRowLastColumn="0" w:lastRowFirstColumn="0" w:lastRowLastColumn="0"/>
            </w:pPr>
            <w:hyperlink r:id="rId17" w:history="1">
              <w:r w:rsidR="004B2271">
                <w:rPr>
                  <w:rStyle w:val="Hyperlink"/>
                </w:rPr>
                <w:t>Department of Social Services Annual Report</w:t>
              </w:r>
            </w:hyperlink>
          </w:p>
        </w:tc>
      </w:tr>
      <w:tr w:rsidR="004B2271" w:rsidRPr="007048FC" w14:paraId="312217FB" w14:textId="77777777" w:rsidTr="004B227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7C45CCBD" w14:textId="77777777" w:rsidR="004B2271" w:rsidRPr="007048FC" w:rsidRDefault="004B2271" w:rsidP="00FE3637">
            <w:pPr>
              <w:pStyle w:val="Tabletext-detailed"/>
            </w:pPr>
            <w:r w:rsidRPr="007048FC">
              <w:t>Approved by:</w:t>
            </w:r>
          </w:p>
        </w:tc>
        <w:tc>
          <w:tcPr>
            <w:tcW w:w="7613" w:type="dxa"/>
          </w:tcPr>
          <w:p w14:paraId="019706F7" w14:textId="77777777" w:rsidR="004B2271" w:rsidRPr="004948A4" w:rsidRDefault="004B2271" w:rsidP="004B2271">
            <w:pPr>
              <w:pStyle w:val="Tabletext-detailed"/>
              <w:cnfStyle w:val="000000010000" w:firstRow="0" w:lastRow="0" w:firstColumn="0" w:lastColumn="0" w:oddVBand="0" w:evenVBand="0" w:oddHBand="0" w:evenHBand="1" w:firstRowFirstColumn="0" w:firstRowLastColumn="0" w:lastRowFirstColumn="0" w:lastRowLastColumn="0"/>
            </w:pPr>
            <w:r w:rsidRPr="004948A4">
              <w:t>Ray Griggs</w:t>
            </w:r>
          </w:p>
          <w:p w14:paraId="19F2E4D6" w14:textId="77777777" w:rsidR="004B2271" w:rsidRPr="004948A4" w:rsidRDefault="004B2271" w:rsidP="004B2271">
            <w:pPr>
              <w:pStyle w:val="Tabletext-detailed"/>
              <w:cnfStyle w:val="000000010000" w:firstRow="0" w:lastRow="0" w:firstColumn="0" w:lastColumn="0" w:oddVBand="0" w:evenVBand="0" w:oddHBand="0" w:evenHBand="1" w:firstRowFirstColumn="0" w:firstRowLastColumn="0" w:lastRowFirstColumn="0" w:lastRowLastColumn="0"/>
            </w:pPr>
            <w:r w:rsidRPr="004948A4">
              <w:t>Secretary</w:t>
            </w:r>
          </w:p>
          <w:p w14:paraId="68AC32B4" w14:textId="16419494" w:rsidR="004B2271" w:rsidRPr="007048FC" w:rsidRDefault="004B2271" w:rsidP="004B2271">
            <w:pPr>
              <w:pStyle w:val="Tabletext-detailed"/>
              <w:cnfStyle w:val="000000010000" w:firstRow="0" w:lastRow="0" w:firstColumn="0" w:lastColumn="0" w:oddVBand="0" w:evenVBand="0" w:oddHBand="0" w:evenHBand="1" w:firstRowFirstColumn="0" w:firstRowLastColumn="0" w:lastRowFirstColumn="0" w:lastRowLastColumn="0"/>
            </w:pPr>
            <w:r w:rsidRPr="004948A4">
              <w:t>Department of Social Services</w:t>
            </w:r>
          </w:p>
        </w:tc>
      </w:tr>
      <w:tr w:rsidR="004B2271" w:rsidRPr="007048FC" w14:paraId="6EBA1E23" w14:textId="77777777" w:rsidTr="00FE36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03FEC3F1" w14:textId="77777777" w:rsidR="004B2271" w:rsidRPr="007048FC" w:rsidRDefault="004B2271" w:rsidP="00FE3637">
            <w:pPr>
              <w:pStyle w:val="Tabletext-detailed"/>
            </w:pPr>
            <w:r w:rsidRPr="007048FC">
              <w:t>Review Date:</w:t>
            </w:r>
          </w:p>
        </w:tc>
        <w:tc>
          <w:tcPr>
            <w:tcW w:w="7613" w:type="dxa"/>
          </w:tcPr>
          <w:p w14:paraId="5FAF9A2A" w14:textId="535CAE9C" w:rsidR="004B2271" w:rsidRPr="007048FC" w:rsidRDefault="00886EDD" w:rsidP="00FE3637">
            <w:pPr>
              <w:pStyle w:val="Tabletext-detailed"/>
              <w:cnfStyle w:val="000000100000" w:firstRow="0" w:lastRow="0" w:firstColumn="0" w:lastColumn="0" w:oddVBand="0" w:evenVBand="0" w:oddHBand="1" w:evenHBand="0" w:firstRowFirstColumn="0" w:firstRowLastColumn="0" w:lastRowFirstColumn="0" w:lastRowLastColumn="0"/>
            </w:pPr>
            <w:r>
              <w:t xml:space="preserve">August </w:t>
            </w:r>
            <w:r w:rsidR="00971396">
              <w:t>2025</w:t>
            </w:r>
          </w:p>
        </w:tc>
      </w:tr>
      <w:tr w:rsidR="004B2271" w:rsidRPr="007048FC" w14:paraId="4D7BAA39" w14:textId="77777777" w:rsidTr="00FE363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75231F98" w14:textId="7425D991" w:rsidR="004B2271" w:rsidRPr="007048FC" w:rsidRDefault="004B2271" w:rsidP="00FE3637">
            <w:pPr>
              <w:pStyle w:val="Tabletext-detailed"/>
            </w:pPr>
            <w:r w:rsidRPr="007048FC">
              <w:t>Owner:</w:t>
            </w:r>
          </w:p>
        </w:tc>
        <w:tc>
          <w:tcPr>
            <w:tcW w:w="7613" w:type="dxa"/>
          </w:tcPr>
          <w:p w14:paraId="5F800639" w14:textId="51DE4271" w:rsidR="004B2271" w:rsidRPr="007048FC" w:rsidRDefault="004B2271" w:rsidP="00971396">
            <w:pPr>
              <w:pStyle w:val="Tabletext-detailed"/>
              <w:cnfStyle w:val="000000010000" w:firstRow="0" w:lastRow="0" w:firstColumn="0" w:lastColumn="0" w:oddVBand="0" w:evenVBand="0" w:oddHBand="0" w:evenHBand="1" w:firstRowFirstColumn="0" w:firstRowLastColumn="0" w:lastRowFirstColumn="0" w:lastRowLastColumn="0"/>
            </w:pPr>
            <w:r>
              <w:t>Property Services</w:t>
            </w:r>
            <w:r w:rsidR="00971396">
              <w:t xml:space="preserve"> Section; </w:t>
            </w:r>
            <w:r>
              <w:t>Property and Security Branch</w:t>
            </w:r>
          </w:p>
        </w:tc>
      </w:tr>
      <w:tr w:rsidR="004B2271" w:rsidRPr="007048FC" w14:paraId="4FAB7868" w14:textId="77777777" w:rsidTr="00FE36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1C3E2DAB" w14:textId="77777777" w:rsidR="004B2271" w:rsidRPr="007048FC" w:rsidRDefault="004B2271" w:rsidP="00FE3637">
            <w:pPr>
              <w:pStyle w:val="Tabletext-detailed"/>
            </w:pPr>
            <w:r w:rsidRPr="007048FC">
              <w:t>First Issued:</w:t>
            </w:r>
          </w:p>
        </w:tc>
        <w:tc>
          <w:tcPr>
            <w:tcW w:w="7613" w:type="dxa"/>
          </w:tcPr>
          <w:p w14:paraId="186AAE3F" w14:textId="25A37216" w:rsidR="004B2271" w:rsidRPr="004948A4" w:rsidRDefault="00886EDD" w:rsidP="00FE3637">
            <w:pPr>
              <w:pStyle w:val="Tabletext-detailed"/>
              <w:cnfStyle w:val="000000100000" w:firstRow="0" w:lastRow="0" w:firstColumn="0" w:lastColumn="0" w:oddVBand="0" w:evenVBand="0" w:oddHBand="1" w:evenHBand="0" w:firstRowFirstColumn="0" w:firstRowLastColumn="0" w:lastRowFirstColumn="0" w:lastRowLastColumn="0"/>
            </w:pPr>
            <w:r>
              <w:t>August</w:t>
            </w:r>
            <w:r w:rsidRPr="004948A4">
              <w:t xml:space="preserve"> </w:t>
            </w:r>
            <w:r w:rsidR="00971396" w:rsidRPr="004948A4">
              <w:t>2024</w:t>
            </w:r>
          </w:p>
        </w:tc>
      </w:tr>
      <w:tr w:rsidR="004B2271" w:rsidRPr="007048FC" w14:paraId="30A5E8FA" w14:textId="77777777" w:rsidTr="00FE363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00371F9A" w14:textId="77777777" w:rsidR="004B2271" w:rsidRPr="007048FC" w:rsidRDefault="004B2271" w:rsidP="00FE3637">
            <w:pPr>
              <w:pStyle w:val="Tabletext-detailed"/>
            </w:pPr>
            <w:r w:rsidRPr="007048FC">
              <w:t>Document Change Control:</w:t>
            </w:r>
          </w:p>
        </w:tc>
        <w:tc>
          <w:tcPr>
            <w:tcW w:w="7613" w:type="dxa"/>
          </w:tcPr>
          <w:p w14:paraId="444F48BA" w14:textId="5C1EA4C9" w:rsidR="004B2271" w:rsidRPr="004948A4" w:rsidRDefault="00886EDD" w:rsidP="00FE3637">
            <w:pPr>
              <w:pStyle w:val="Tabletext-detailed"/>
              <w:cnfStyle w:val="000000010000" w:firstRow="0" w:lastRow="0" w:firstColumn="0" w:lastColumn="0" w:oddVBand="0" w:evenVBand="0" w:oddHBand="0" w:evenHBand="1" w:firstRowFirstColumn="0" w:firstRowLastColumn="0" w:lastRowFirstColumn="0" w:lastRowLastColumn="0"/>
            </w:pPr>
            <w:r>
              <w:t>August</w:t>
            </w:r>
            <w:r w:rsidRPr="004948A4">
              <w:t xml:space="preserve"> </w:t>
            </w:r>
            <w:r w:rsidR="00971396" w:rsidRPr="004948A4">
              <w:t>2024 – Property Services Section</w:t>
            </w:r>
            <w:r w:rsidR="0037542B">
              <w:t xml:space="preserve"> (baseline emissions amended)</w:t>
            </w:r>
          </w:p>
        </w:tc>
      </w:tr>
    </w:tbl>
    <w:p w14:paraId="52132F09" w14:textId="77777777" w:rsidR="00A4442C" w:rsidRPr="00C868AA" w:rsidRDefault="00A4442C" w:rsidP="004B2271">
      <w:pPr>
        <w:pStyle w:val="Normalmorespace"/>
      </w:pPr>
    </w:p>
    <w:p w14:paraId="74F77678" w14:textId="487B2BEF" w:rsidR="0009703B" w:rsidRDefault="0009703B">
      <w:pPr>
        <w:spacing w:after="240"/>
      </w:pPr>
      <w:r>
        <w:br w:type="page"/>
      </w:r>
    </w:p>
    <w:p w14:paraId="50A1DDC6" w14:textId="77777777" w:rsidR="00EE3393" w:rsidRPr="0007750F" w:rsidRDefault="00EE3393" w:rsidP="00EE3393">
      <w:pPr>
        <w:pStyle w:val="Heading2"/>
        <w:numPr>
          <w:ilvl w:val="0"/>
          <w:numId w:val="0"/>
        </w:numPr>
      </w:pPr>
      <w:bookmarkStart w:id="1" w:name="_Toc165372315"/>
      <w:bookmarkStart w:id="2" w:name="_Toc173487269"/>
      <w:bookmarkStart w:id="3" w:name="_Toc144912242"/>
      <w:r>
        <w:rPr>
          <w:noProof/>
        </w:rPr>
        <w:lastRenderedPageBreak/>
        <w:drawing>
          <wp:anchor distT="0" distB="0" distL="114300" distR="114300" simplePos="0" relativeHeight="251668480" behindDoc="0" locked="0" layoutInCell="1" allowOverlap="1" wp14:anchorId="7DDED31C" wp14:editId="6855E476">
            <wp:simplePos x="0" y="0"/>
            <wp:positionH relativeFrom="margin">
              <wp:align>left</wp:align>
            </wp:positionH>
            <wp:positionV relativeFrom="paragraph">
              <wp:posOffset>12065</wp:posOffset>
            </wp:positionV>
            <wp:extent cx="1400175" cy="1433830"/>
            <wp:effectExtent l="0" t="0" r="9525"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0175" cy="1433830"/>
                    </a:xfrm>
                    <a:prstGeom prst="rect">
                      <a:avLst/>
                    </a:prstGeom>
                  </pic:spPr>
                </pic:pic>
              </a:graphicData>
            </a:graphic>
          </wp:anchor>
        </w:drawing>
      </w:r>
      <w:r w:rsidRPr="0007750F">
        <w:t xml:space="preserve">Acknowledgement </w:t>
      </w:r>
      <w:r>
        <w:t>of</w:t>
      </w:r>
      <w:r w:rsidRPr="0007750F">
        <w:t xml:space="preserve"> </w:t>
      </w:r>
      <w:r>
        <w:t>C</w:t>
      </w:r>
      <w:r w:rsidRPr="0007750F">
        <w:t>ountry</w:t>
      </w:r>
      <w:bookmarkEnd w:id="1"/>
      <w:bookmarkEnd w:id="2"/>
    </w:p>
    <w:p w14:paraId="6CC5DDE7" w14:textId="77777777" w:rsidR="00EE3393" w:rsidRPr="00ED2BE6" w:rsidRDefault="00EE3393" w:rsidP="00EE3393">
      <w:pPr>
        <w:pStyle w:val="Normalmorespace"/>
        <w:rPr>
          <w:rFonts w:asciiTheme="minorHAnsi" w:hAnsiTheme="minorHAnsi" w:cstheme="minorHAnsi"/>
          <w:sz w:val="22"/>
          <w:szCs w:val="22"/>
        </w:rPr>
      </w:pPr>
      <w:r w:rsidRPr="00ED2BE6">
        <w:rPr>
          <w:rFonts w:asciiTheme="minorHAnsi" w:hAnsiTheme="minorHAnsi" w:cstheme="minorHAnsi"/>
          <w:sz w:val="22"/>
          <w:szCs w:val="22"/>
        </w:rPr>
        <w:t>The department acknowledges the Traditional Owners and Custodians of Country throughout Australia and acknowledges their continuing connection to land, waters, and community. We pay our respects to the people, the cultures, and the Elders past and present.</w:t>
      </w:r>
    </w:p>
    <w:p w14:paraId="72DAD81E" w14:textId="77777777" w:rsidR="00EE3393" w:rsidRDefault="00EE3393">
      <w:pPr>
        <w:spacing w:after="240"/>
        <w:rPr>
          <w:rFonts w:asciiTheme="majorHAnsi" w:eastAsiaTheme="majorEastAsia" w:hAnsiTheme="majorHAnsi" w:cstheme="majorBidi"/>
          <w:bCs/>
          <w:color w:val="005A70" w:themeColor="accent1"/>
          <w:sz w:val="40"/>
          <w:szCs w:val="26"/>
        </w:rPr>
      </w:pPr>
      <w:r>
        <w:br w:type="page"/>
      </w:r>
    </w:p>
    <w:p w14:paraId="5488CF61" w14:textId="3E585E37" w:rsidR="0009703B" w:rsidRPr="001204E5" w:rsidRDefault="00675ED0" w:rsidP="00F17243">
      <w:pPr>
        <w:pStyle w:val="TOCHeading"/>
      </w:pPr>
      <w:r>
        <w:lastRenderedPageBreak/>
        <w:t>Table of c</w:t>
      </w:r>
      <w:r w:rsidR="0009703B" w:rsidRPr="001204E5">
        <w:t>ontents</w:t>
      </w:r>
      <w:bookmarkEnd w:id="3"/>
    </w:p>
    <w:p w14:paraId="4E2148D0" w14:textId="2AABB780" w:rsidR="001B6736" w:rsidRDefault="00F17243">
      <w:pPr>
        <w:pStyle w:val="TOC1"/>
        <w:rPr>
          <w:rFonts w:eastAsiaTheme="minorEastAsia"/>
          <w:spacing w:val="0"/>
          <w:kern w:val="2"/>
          <w:sz w:val="24"/>
          <w:lang w:eastAsia="en-AU"/>
          <w14:ligatures w14:val="standardContextual"/>
        </w:rPr>
      </w:pPr>
      <w:r>
        <w:rPr>
          <w:b/>
        </w:rPr>
        <w:fldChar w:fldCharType="begin"/>
      </w:r>
      <w:r>
        <w:instrText xml:space="preserve"> TOC \h \z \t "Heading 2,1,Heading 3,2,Heading 4,3,H2 - numbered,1,H3 - numbered,2,H4 - numbered,3" </w:instrText>
      </w:r>
      <w:r>
        <w:rPr>
          <w:b/>
        </w:rPr>
        <w:fldChar w:fldCharType="separate"/>
      </w:r>
      <w:hyperlink w:anchor="_Toc173487269" w:history="1">
        <w:r w:rsidR="001B6736" w:rsidRPr="00EB5342">
          <w:rPr>
            <w:rStyle w:val="Hyperlink"/>
          </w:rPr>
          <w:t>Acknowledgement of Country</w:t>
        </w:r>
        <w:r w:rsidR="001B6736">
          <w:rPr>
            <w:webHidden/>
          </w:rPr>
          <w:tab/>
        </w:r>
        <w:r w:rsidR="001B6736">
          <w:rPr>
            <w:webHidden/>
          </w:rPr>
          <w:fldChar w:fldCharType="begin"/>
        </w:r>
        <w:r w:rsidR="001B6736">
          <w:rPr>
            <w:webHidden/>
          </w:rPr>
          <w:instrText xml:space="preserve"> PAGEREF _Toc173487269 \h </w:instrText>
        </w:r>
        <w:r w:rsidR="001B6736">
          <w:rPr>
            <w:webHidden/>
          </w:rPr>
        </w:r>
        <w:r w:rsidR="001B6736">
          <w:rPr>
            <w:webHidden/>
          </w:rPr>
          <w:fldChar w:fldCharType="separate"/>
        </w:r>
        <w:r w:rsidR="001B6736">
          <w:rPr>
            <w:webHidden/>
          </w:rPr>
          <w:t>3</w:t>
        </w:r>
        <w:r w:rsidR="001B6736">
          <w:rPr>
            <w:webHidden/>
          </w:rPr>
          <w:fldChar w:fldCharType="end"/>
        </w:r>
      </w:hyperlink>
    </w:p>
    <w:p w14:paraId="6DF327DB" w14:textId="6A41F9DC" w:rsidR="001B6736" w:rsidRDefault="002E1820">
      <w:pPr>
        <w:pStyle w:val="TOC1"/>
        <w:rPr>
          <w:rFonts w:eastAsiaTheme="minorEastAsia"/>
          <w:spacing w:val="0"/>
          <w:kern w:val="2"/>
          <w:sz w:val="24"/>
          <w:lang w:eastAsia="en-AU"/>
          <w14:ligatures w14:val="standardContextual"/>
        </w:rPr>
      </w:pPr>
      <w:hyperlink w:anchor="_Toc173487270" w:history="1">
        <w:r w:rsidR="001B6736" w:rsidRPr="00EB5342">
          <w:rPr>
            <w:rStyle w:val="Hyperlink"/>
          </w:rPr>
          <w:t>Accountable Authority Sign Off</w:t>
        </w:r>
        <w:r w:rsidR="001B6736">
          <w:rPr>
            <w:webHidden/>
          </w:rPr>
          <w:tab/>
        </w:r>
        <w:r w:rsidR="001B6736">
          <w:rPr>
            <w:webHidden/>
          </w:rPr>
          <w:fldChar w:fldCharType="begin"/>
        </w:r>
        <w:r w:rsidR="001B6736">
          <w:rPr>
            <w:webHidden/>
          </w:rPr>
          <w:instrText xml:space="preserve"> PAGEREF _Toc173487270 \h </w:instrText>
        </w:r>
        <w:r w:rsidR="001B6736">
          <w:rPr>
            <w:webHidden/>
          </w:rPr>
        </w:r>
        <w:r w:rsidR="001B6736">
          <w:rPr>
            <w:webHidden/>
          </w:rPr>
          <w:fldChar w:fldCharType="separate"/>
        </w:r>
        <w:r w:rsidR="001B6736">
          <w:rPr>
            <w:webHidden/>
          </w:rPr>
          <w:t>5</w:t>
        </w:r>
        <w:r w:rsidR="001B6736">
          <w:rPr>
            <w:webHidden/>
          </w:rPr>
          <w:fldChar w:fldCharType="end"/>
        </w:r>
      </w:hyperlink>
    </w:p>
    <w:p w14:paraId="244CE3A9" w14:textId="0342AB62" w:rsidR="001B6736" w:rsidRDefault="002E1820">
      <w:pPr>
        <w:pStyle w:val="TOC1"/>
        <w:rPr>
          <w:rFonts w:eastAsiaTheme="minorEastAsia"/>
          <w:spacing w:val="0"/>
          <w:kern w:val="2"/>
          <w:sz w:val="24"/>
          <w:lang w:eastAsia="en-AU"/>
          <w14:ligatures w14:val="standardContextual"/>
        </w:rPr>
      </w:pPr>
      <w:hyperlink w:anchor="_Toc173487271" w:history="1">
        <w:r w:rsidR="001B6736" w:rsidRPr="00EB5342">
          <w:rPr>
            <w:rStyle w:val="Hyperlink"/>
          </w:rPr>
          <w:t>Emissions Reduction Plan</w:t>
        </w:r>
        <w:r w:rsidR="001B6736">
          <w:rPr>
            <w:webHidden/>
          </w:rPr>
          <w:tab/>
        </w:r>
        <w:r w:rsidR="001B6736">
          <w:rPr>
            <w:webHidden/>
          </w:rPr>
          <w:fldChar w:fldCharType="begin"/>
        </w:r>
        <w:r w:rsidR="001B6736">
          <w:rPr>
            <w:webHidden/>
          </w:rPr>
          <w:instrText xml:space="preserve"> PAGEREF _Toc173487271 \h </w:instrText>
        </w:r>
        <w:r w:rsidR="001B6736">
          <w:rPr>
            <w:webHidden/>
          </w:rPr>
        </w:r>
        <w:r w:rsidR="001B6736">
          <w:rPr>
            <w:webHidden/>
          </w:rPr>
          <w:fldChar w:fldCharType="separate"/>
        </w:r>
        <w:r w:rsidR="001B6736">
          <w:rPr>
            <w:webHidden/>
          </w:rPr>
          <w:t>6</w:t>
        </w:r>
        <w:r w:rsidR="001B6736">
          <w:rPr>
            <w:webHidden/>
          </w:rPr>
          <w:fldChar w:fldCharType="end"/>
        </w:r>
      </w:hyperlink>
    </w:p>
    <w:p w14:paraId="34C6A1D6" w14:textId="573D417A" w:rsidR="001B6736" w:rsidRDefault="002E1820">
      <w:pPr>
        <w:pStyle w:val="TOC2"/>
        <w:rPr>
          <w:rFonts w:eastAsiaTheme="minorEastAsia"/>
          <w:spacing w:val="0"/>
          <w:kern w:val="2"/>
          <w:sz w:val="24"/>
          <w:lang w:eastAsia="en-AU"/>
          <w14:ligatures w14:val="standardContextual"/>
        </w:rPr>
      </w:pPr>
      <w:hyperlink w:anchor="_Toc173487272" w:history="1">
        <w:r w:rsidR="001B6736" w:rsidRPr="00EB5342">
          <w:rPr>
            <w:rStyle w:val="Hyperlink"/>
          </w:rPr>
          <w:t>Purpose</w:t>
        </w:r>
        <w:r w:rsidR="001B6736">
          <w:rPr>
            <w:webHidden/>
          </w:rPr>
          <w:tab/>
        </w:r>
        <w:r w:rsidR="001B6736">
          <w:rPr>
            <w:webHidden/>
          </w:rPr>
          <w:fldChar w:fldCharType="begin"/>
        </w:r>
        <w:r w:rsidR="001B6736">
          <w:rPr>
            <w:webHidden/>
          </w:rPr>
          <w:instrText xml:space="preserve"> PAGEREF _Toc173487272 \h </w:instrText>
        </w:r>
        <w:r w:rsidR="001B6736">
          <w:rPr>
            <w:webHidden/>
          </w:rPr>
        </w:r>
        <w:r w:rsidR="001B6736">
          <w:rPr>
            <w:webHidden/>
          </w:rPr>
          <w:fldChar w:fldCharType="separate"/>
        </w:r>
        <w:r w:rsidR="001B6736">
          <w:rPr>
            <w:webHidden/>
          </w:rPr>
          <w:t>6</w:t>
        </w:r>
        <w:r w:rsidR="001B6736">
          <w:rPr>
            <w:webHidden/>
          </w:rPr>
          <w:fldChar w:fldCharType="end"/>
        </w:r>
      </w:hyperlink>
    </w:p>
    <w:p w14:paraId="433B679B" w14:textId="4D54AECC" w:rsidR="001B6736" w:rsidRDefault="002E1820">
      <w:pPr>
        <w:pStyle w:val="TOC2"/>
        <w:rPr>
          <w:rFonts w:eastAsiaTheme="minorEastAsia"/>
          <w:spacing w:val="0"/>
          <w:kern w:val="2"/>
          <w:sz w:val="24"/>
          <w:lang w:eastAsia="en-AU"/>
          <w14:ligatures w14:val="standardContextual"/>
        </w:rPr>
      </w:pPr>
      <w:hyperlink w:anchor="_Toc173487273" w:history="1">
        <w:r w:rsidR="001B6736" w:rsidRPr="00EB5342">
          <w:rPr>
            <w:rStyle w:val="Hyperlink"/>
          </w:rPr>
          <w:t>Net zero greenhouse gas emissions</w:t>
        </w:r>
        <w:r w:rsidR="001B6736">
          <w:rPr>
            <w:webHidden/>
          </w:rPr>
          <w:tab/>
        </w:r>
        <w:r w:rsidR="001B6736">
          <w:rPr>
            <w:webHidden/>
          </w:rPr>
          <w:fldChar w:fldCharType="begin"/>
        </w:r>
        <w:r w:rsidR="001B6736">
          <w:rPr>
            <w:webHidden/>
          </w:rPr>
          <w:instrText xml:space="preserve"> PAGEREF _Toc173487273 \h </w:instrText>
        </w:r>
        <w:r w:rsidR="001B6736">
          <w:rPr>
            <w:webHidden/>
          </w:rPr>
        </w:r>
        <w:r w:rsidR="001B6736">
          <w:rPr>
            <w:webHidden/>
          </w:rPr>
          <w:fldChar w:fldCharType="separate"/>
        </w:r>
        <w:r w:rsidR="001B6736">
          <w:rPr>
            <w:webHidden/>
          </w:rPr>
          <w:t>6</w:t>
        </w:r>
        <w:r w:rsidR="001B6736">
          <w:rPr>
            <w:webHidden/>
          </w:rPr>
          <w:fldChar w:fldCharType="end"/>
        </w:r>
      </w:hyperlink>
    </w:p>
    <w:p w14:paraId="59028F7B" w14:textId="01BD8338" w:rsidR="001B6736" w:rsidRDefault="002E1820">
      <w:pPr>
        <w:pStyle w:val="TOC2"/>
        <w:rPr>
          <w:rFonts w:eastAsiaTheme="minorEastAsia"/>
          <w:spacing w:val="0"/>
          <w:kern w:val="2"/>
          <w:sz w:val="24"/>
          <w:lang w:eastAsia="en-AU"/>
          <w14:ligatures w14:val="standardContextual"/>
        </w:rPr>
      </w:pPr>
      <w:hyperlink w:anchor="_Toc173487274" w:history="1">
        <w:r w:rsidR="001B6736" w:rsidRPr="00EB5342">
          <w:rPr>
            <w:rStyle w:val="Hyperlink"/>
          </w:rPr>
          <w:t>Governance and reporting</w:t>
        </w:r>
        <w:r w:rsidR="001B6736">
          <w:rPr>
            <w:webHidden/>
          </w:rPr>
          <w:tab/>
        </w:r>
        <w:r w:rsidR="001B6736">
          <w:rPr>
            <w:webHidden/>
          </w:rPr>
          <w:fldChar w:fldCharType="begin"/>
        </w:r>
        <w:r w:rsidR="001B6736">
          <w:rPr>
            <w:webHidden/>
          </w:rPr>
          <w:instrText xml:space="preserve"> PAGEREF _Toc173487274 \h </w:instrText>
        </w:r>
        <w:r w:rsidR="001B6736">
          <w:rPr>
            <w:webHidden/>
          </w:rPr>
        </w:r>
        <w:r w:rsidR="001B6736">
          <w:rPr>
            <w:webHidden/>
          </w:rPr>
          <w:fldChar w:fldCharType="separate"/>
        </w:r>
        <w:r w:rsidR="001B6736">
          <w:rPr>
            <w:webHidden/>
          </w:rPr>
          <w:t>6</w:t>
        </w:r>
        <w:r w:rsidR="001B6736">
          <w:rPr>
            <w:webHidden/>
          </w:rPr>
          <w:fldChar w:fldCharType="end"/>
        </w:r>
      </w:hyperlink>
    </w:p>
    <w:p w14:paraId="52474A48" w14:textId="6A35D973" w:rsidR="001B6736" w:rsidRDefault="002E1820">
      <w:pPr>
        <w:pStyle w:val="TOC2"/>
        <w:rPr>
          <w:rFonts w:eastAsiaTheme="minorEastAsia"/>
          <w:spacing w:val="0"/>
          <w:kern w:val="2"/>
          <w:sz w:val="24"/>
          <w:lang w:eastAsia="en-AU"/>
          <w14:ligatures w14:val="standardContextual"/>
        </w:rPr>
      </w:pPr>
      <w:hyperlink w:anchor="_Toc173487275" w:history="1">
        <w:r w:rsidR="001B6736" w:rsidRPr="00EB5342">
          <w:rPr>
            <w:rStyle w:val="Hyperlink"/>
          </w:rPr>
          <w:t>Department of Social Services operational context</w:t>
        </w:r>
        <w:r w:rsidR="001B6736">
          <w:rPr>
            <w:webHidden/>
          </w:rPr>
          <w:tab/>
        </w:r>
        <w:r w:rsidR="001B6736">
          <w:rPr>
            <w:webHidden/>
          </w:rPr>
          <w:fldChar w:fldCharType="begin"/>
        </w:r>
        <w:r w:rsidR="001B6736">
          <w:rPr>
            <w:webHidden/>
          </w:rPr>
          <w:instrText xml:space="preserve"> PAGEREF _Toc173487275 \h </w:instrText>
        </w:r>
        <w:r w:rsidR="001B6736">
          <w:rPr>
            <w:webHidden/>
          </w:rPr>
        </w:r>
        <w:r w:rsidR="001B6736">
          <w:rPr>
            <w:webHidden/>
          </w:rPr>
          <w:fldChar w:fldCharType="separate"/>
        </w:r>
        <w:r w:rsidR="001B6736">
          <w:rPr>
            <w:webHidden/>
          </w:rPr>
          <w:t>8</w:t>
        </w:r>
        <w:r w:rsidR="001B6736">
          <w:rPr>
            <w:webHidden/>
          </w:rPr>
          <w:fldChar w:fldCharType="end"/>
        </w:r>
      </w:hyperlink>
    </w:p>
    <w:p w14:paraId="13F99BE1" w14:textId="317FCA92" w:rsidR="001B6736" w:rsidRDefault="002E1820">
      <w:pPr>
        <w:pStyle w:val="TOC2"/>
        <w:rPr>
          <w:rFonts w:eastAsiaTheme="minorEastAsia"/>
          <w:spacing w:val="0"/>
          <w:kern w:val="2"/>
          <w:sz w:val="24"/>
          <w:lang w:eastAsia="en-AU"/>
          <w14:ligatures w14:val="standardContextual"/>
        </w:rPr>
      </w:pPr>
      <w:hyperlink w:anchor="_Toc173487276" w:history="1">
        <w:r w:rsidR="001B6736" w:rsidRPr="00EB5342">
          <w:rPr>
            <w:rStyle w:val="Hyperlink"/>
          </w:rPr>
          <w:t>Baseline emissions</w:t>
        </w:r>
        <w:r w:rsidR="001B6736">
          <w:rPr>
            <w:webHidden/>
          </w:rPr>
          <w:tab/>
        </w:r>
        <w:r w:rsidR="001B6736">
          <w:rPr>
            <w:webHidden/>
          </w:rPr>
          <w:fldChar w:fldCharType="begin"/>
        </w:r>
        <w:r w:rsidR="001B6736">
          <w:rPr>
            <w:webHidden/>
          </w:rPr>
          <w:instrText xml:space="preserve"> PAGEREF _Toc173487276 \h </w:instrText>
        </w:r>
        <w:r w:rsidR="001B6736">
          <w:rPr>
            <w:webHidden/>
          </w:rPr>
        </w:r>
        <w:r w:rsidR="001B6736">
          <w:rPr>
            <w:webHidden/>
          </w:rPr>
          <w:fldChar w:fldCharType="separate"/>
        </w:r>
        <w:r w:rsidR="001B6736">
          <w:rPr>
            <w:webHidden/>
          </w:rPr>
          <w:t>8</w:t>
        </w:r>
        <w:r w:rsidR="001B6736">
          <w:rPr>
            <w:webHidden/>
          </w:rPr>
          <w:fldChar w:fldCharType="end"/>
        </w:r>
      </w:hyperlink>
    </w:p>
    <w:p w14:paraId="69DDB38B" w14:textId="13B16B81" w:rsidR="001B6736" w:rsidRDefault="002E1820">
      <w:pPr>
        <w:pStyle w:val="TOC2"/>
        <w:rPr>
          <w:rFonts w:eastAsiaTheme="minorEastAsia"/>
          <w:spacing w:val="0"/>
          <w:kern w:val="2"/>
          <w:sz w:val="24"/>
          <w:lang w:eastAsia="en-AU"/>
          <w14:ligatures w14:val="standardContextual"/>
        </w:rPr>
      </w:pPr>
      <w:hyperlink w:anchor="_Toc173487277" w:history="1">
        <w:r w:rsidR="001B6736" w:rsidRPr="00EB5342">
          <w:rPr>
            <w:rStyle w:val="Hyperlink"/>
          </w:rPr>
          <w:t>Emissions reduction targets</w:t>
        </w:r>
        <w:r w:rsidR="001B6736">
          <w:rPr>
            <w:webHidden/>
          </w:rPr>
          <w:tab/>
        </w:r>
        <w:r w:rsidR="001B6736">
          <w:rPr>
            <w:webHidden/>
          </w:rPr>
          <w:fldChar w:fldCharType="begin"/>
        </w:r>
        <w:r w:rsidR="001B6736">
          <w:rPr>
            <w:webHidden/>
          </w:rPr>
          <w:instrText xml:space="preserve"> PAGEREF _Toc173487277 \h </w:instrText>
        </w:r>
        <w:r w:rsidR="001B6736">
          <w:rPr>
            <w:webHidden/>
          </w:rPr>
        </w:r>
        <w:r w:rsidR="001B6736">
          <w:rPr>
            <w:webHidden/>
          </w:rPr>
          <w:fldChar w:fldCharType="separate"/>
        </w:r>
        <w:r w:rsidR="001B6736">
          <w:rPr>
            <w:webHidden/>
          </w:rPr>
          <w:t>9</w:t>
        </w:r>
        <w:r w:rsidR="001B6736">
          <w:rPr>
            <w:webHidden/>
          </w:rPr>
          <w:fldChar w:fldCharType="end"/>
        </w:r>
      </w:hyperlink>
    </w:p>
    <w:p w14:paraId="793DCD29" w14:textId="0E877EFB" w:rsidR="001B6736" w:rsidRDefault="002E1820">
      <w:pPr>
        <w:pStyle w:val="TOC1"/>
        <w:rPr>
          <w:rFonts w:eastAsiaTheme="minorEastAsia"/>
          <w:spacing w:val="0"/>
          <w:kern w:val="2"/>
          <w:sz w:val="24"/>
          <w:lang w:eastAsia="en-AU"/>
          <w14:ligatures w14:val="standardContextual"/>
        </w:rPr>
      </w:pPr>
      <w:hyperlink w:anchor="_Toc173487278" w:history="1">
        <w:r w:rsidR="001B6736" w:rsidRPr="00EB5342">
          <w:rPr>
            <w:rStyle w:val="Hyperlink"/>
          </w:rPr>
          <w:t>Priorities and Actions</w:t>
        </w:r>
        <w:r w:rsidR="001B6736">
          <w:rPr>
            <w:webHidden/>
          </w:rPr>
          <w:tab/>
        </w:r>
        <w:r w:rsidR="001B6736">
          <w:rPr>
            <w:webHidden/>
          </w:rPr>
          <w:fldChar w:fldCharType="begin"/>
        </w:r>
        <w:r w:rsidR="001B6736">
          <w:rPr>
            <w:webHidden/>
          </w:rPr>
          <w:instrText xml:space="preserve"> PAGEREF _Toc173487278 \h </w:instrText>
        </w:r>
        <w:r w:rsidR="001B6736">
          <w:rPr>
            <w:webHidden/>
          </w:rPr>
        </w:r>
        <w:r w:rsidR="001B6736">
          <w:rPr>
            <w:webHidden/>
          </w:rPr>
          <w:fldChar w:fldCharType="separate"/>
        </w:r>
        <w:r w:rsidR="001B6736">
          <w:rPr>
            <w:webHidden/>
          </w:rPr>
          <w:t>10</w:t>
        </w:r>
        <w:r w:rsidR="001B6736">
          <w:rPr>
            <w:webHidden/>
          </w:rPr>
          <w:fldChar w:fldCharType="end"/>
        </w:r>
      </w:hyperlink>
    </w:p>
    <w:p w14:paraId="52F48CCA" w14:textId="6F5D2AA7" w:rsidR="001B6736" w:rsidRDefault="002E1820">
      <w:pPr>
        <w:pStyle w:val="TOC2"/>
        <w:rPr>
          <w:rFonts w:eastAsiaTheme="minorEastAsia"/>
          <w:spacing w:val="0"/>
          <w:kern w:val="2"/>
          <w:sz w:val="24"/>
          <w:lang w:eastAsia="en-AU"/>
          <w14:ligatures w14:val="standardContextual"/>
        </w:rPr>
      </w:pPr>
      <w:hyperlink w:anchor="_Toc173487279" w:history="1">
        <w:r w:rsidR="001B6736" w:rsidRPr="00EB5342">
          <w:rPr>
            <w:rStyle w:val="Hyperlink"/>
          </w:rPr>
          <w:t>Net Zero Energy and Buildings</w:t>
        </w:r>
        <w:r w:rsidR="001B6736">
          <w:rPr>
            <w:webHidden/>
          </w:rPr>
          <w:tab/>
        </w:r>
        <w:r w:rsidR="001B6736">
          <w:rPr>
            <w:webHidden/>
          </w:rPr>
          <w:fldChar w:fldCharType="begin"/>
        </w:r>
        <w:r w:rsidR="001B6736">
          <w:rPr>
            <w:webHidden/>
          </w:rPr>
          <w:instrText xml:space="preserve"> PAGEREF _Toc173487279 \h </w:instrText>
        </w:r>
        <w:r w:rsidR="001B6736">
          <w:rPr>
            <w:webHidden/>
          </w:rPr>
        </w:r>
        <w:r w:rsidR="001B6736">
          <w:rPr>
            <w:webHidden/>
          </w:rPr>
          <w:fldChar w:fldCharType="separate"/>
        </w:r>
        <w:r w:rsidR="001B6736">
          <w:rPr>
            <w:webHidden/>
          </w:rPr>
          <w:t>10</w:t>
        </w:r>
        <w:r w:rsidR="001B6736">
          <w:rPr>
            <w:webHidden/>
          </w:rPr>
          <w:fldChar w:fldCharType="end"/>
        </w:r>
      </w:hyperlink>
    </w:p>
    <w:p w14:paraId="0AC9F4A2" w14:textId="3D047700" w:rsidR="001B6736" w:rsidRDefault="002E1820">
      <w:pPr>
        <w:pStyle w:val="TOC2"/>
        <w:rPr>
          <w:rFonts w:eastAsiaTheme="minorEastAsia"/>
          <w:spacing w:val="0"/>
          <w:kern w:val="2"/>
          <w:sz w:val="24"/>
          <w:lang w:eastAsia="en-AU"/>
          <w14:ligatures w14:val="standardContextual"/>
        </w:rPr>
      </w:pPr>
      <w:hyperlink w:anchor="_Toc173487280" w:history="1">
        <w:r w:rsidR="001B6736" w:rsidRPr="00EB5342">
          <w:rPr>
            <w:rStyle w:val="Hyperlink"/>
          </w:rPr>
          <w:t>Net Zero Fleet</w:t>
        </w:r>
        <w:r w:rsidR="001B6736">
          <w:rPr>
            <w:webHidden/>
          </w:rPr>
          <w:tab/>
        </w:r>
        <w:r w:rsidR="001B6736">
          <w:rPr>
            <w:webHidden/>
          </w:rPr>
          <w:fldChar w:fldCharType="begin"/>
        </w:r>
        <w:r w:rsidR="001B6736">
          <w:rPr>
            <w:webHidden/>
          </w:rPr>
          <w:instrText xml:space="preserve"> PAGEREF _Toc173487280 \h </w:instrText>
        </w:r>
        <w:r w:rsidR="001B6736">
          <w:rPr>
            <w:webHidden/>
          </w:rPr>
        </w:r>
        <w:r w:rsidR="001B6736">
          <w:rPr>
            <w:webHidden/>
          </w:rPr>
          <w:fldChar w:fldCharType="separate"/>
        </w:r>
        <w:r w:rsidR="001B6736">
          <w:rPr>
            <w:webHidden/>
          </w:rPr>
          <w:t>11</w:t>
        </w:r>
        <w:r w:rsidR="001B6736">
          <w:rPr>
            <w:webHidden/>
          </w:rPr>
          <w:fldChar w:fldCharType="end"/>
        </w:r>
      </w:hyperlink>
    </w:p>
    <w:p w14:paraId="00BA96C4" w14:textId="38456128" w:rsidR="001B6736" w:rsidRDefault="002E1820">
      <w:pPr>
        <w:pStyle w:val="TOC2"/>
        <w:rPr>
          <w:rFonts w:eastAsiaTheme="minorEastAsia"/>
          <w:spacing w:val="0"/>
          <w:kern w:val="2"/>
          <w:sz w:val="24"/>
          <w:lang w:eastAsia="en-AU"/>
          <w14:ligatures w14:val="standardContextual"/>
        </w:rPr>
      </w:pPr>
      <w:hyperlink w:anchor="_Toc173487281" w:history="1">
        <w:r w:rsidR="001B6736" w:rsidRPr="00EB5342">
          <w:rPr>
            <w:rStyle w:val="Hyperlink"/>
          </w:rPr>
          <w:t>Net Zero ICT</w:t>
        </w:r>
        <w:r w:rsidR="001B6736">
          <w:rPr>
            <w:webHidden/>
          </w:rPr>
          <w:tab/>
        </w:r>
        <w:r w:rsidR="001B6736">
          <w:rPr>
            <w:webHidden/>
          </w:rPr>
          <w:fldChar w:fldCharType="begin"/>
        </w:r>
        <w:r w:rsidR="001B6736">
          <w:rPr>
            <w:webHidden/>
          </w:rPr>
          <w:instrText xml:space="preserve"> PAGEREF _Toc173487281 \h </w:instrText>
        </w:r>
        <w:r w:rsidR="001B6736">
          <w:rPr>
            <w:webHidden/>
          </w:rPr>
        </w:r>
        <w:r w:rsidR="001B6736">
          <w:rPr>
            <w:webHidden/>
          </w:rPr>
          <w:fldChar w:fldCharType="separate"/>
        </w:r>
        <w:r w:rsidR="001B6736">
          <w:rPr>
            <w:webHidden/>
          </w:rPr>
          <w:t>12</w:t>
        </w:r>
        <w:r w:rsidR="001B6736">
          <w:rPr>
            <w:webHidden/>
          </w:rPr>
          <w:fldChar w:fldCharType="end"/>
        </w:r>
      </w:hyperlink>
    </w:p>
    <w:p w14:paraId="11367B41" w14:textId="113640C4" w:rsidR="001B6736" w:rsidRDefault="002E1820">
      <w:pPr>
        <w:pStyle w:val="TOC2"/>
        <w:rPr>
          <w:rFonts w:eastAsiaTheme="minorEastAsia"/>
          <w:spacing w:val="0"/>
          <w:kern w:val="2"/>
          <w:sz w:val="24"/>
          <w:lang w:eastAsia="en-AU"/>
          <w14:ligatures w14:val="standardContextual"/>
        </w:rPr>
      </w:pPr>
      <w:hyperlink w:anchor="_Toc173487282" w:history="1">
        <w:r w:rsidR="001B6736" w:rsidRPr="00EB5342">
          <w:rPr>
            <w:rStyle w:val="Hyperlink"/>
          </w:rPr>
          <w:t>Net Zero Procurement</w:t>
        </w:r>
        <w:r w:rsidR="001B6736">
          <w:rPr>
            <w:webHidden/>
          </w:rPr>
          <w:tab/>
        </w:r>
        <w:r w:rsidR="001B6736">
          <w:rPr>
            <w:webHidden/>
          </w:rPr>
          <w:fldChar w:fldCharType="begin"/>
        </w:r>
        <w:r w:rsidR="001B6736">
          <w:rPr>
            <w:webHidden/>
          </w:rPr>
          <w:instrText xml:space="preserve"> PAGEREF _Toc173487282 \h </w:instrText>
        </w:r>
        <w:r w:rsidR="001B6736">
          <w:rPr>
            <w:webHidden/>
          </w:rPr>
        </w:r>
        <w:r w:rsidR="001B6736">
          <w:rPr>
            <w:webHidden/>
          </w:rPr>
          <w:fldChar w:fldCharType="separate"/>
        </w:r>
        <w:r w:rsidR="001B6736">
          <w:rPr>
            <w:webHidden/>
          </w:rPr>
          <w:t>12</w:t>
        </w:r>
        <w:r w:rsidR="001B6736">
          <w:rPr>
            <w:webHidden/>
          </w:rPr>
          <w:fldChar w:fldCharType="end"/>
        </w:r>
      </w:hyperlink>
    </w:p>
    <w:p w14:paraId="722319DE" w14:textId="6009BEEE" w:rsidR="001B6736" w:rsidRDefault="002E1820">
      <w:pPr>
        <w:pStyle w:val="TOC2"/>
        <w:rPr>
          <w:rFonts w:eastAsiaTheme="minorEastAsia"/>
          <w:spacing w:val="0"/>
          <w:kern w:val="2"/>
          <w:sz w:val="24"/>
          <w:lang w:eastAsia="en-AU"/>
          <w14:ligatures w14:val="standardContextual"/>
        </w:rPr>
      </w:pPr>
      <w:hyperlink w:anchor="_Toc173487283" w:history="1">
        <w:r w:rsidR="001B6736" w:rsidRPr="00EB5342">
          <w:rPr>
            <w:rStyle w:val="Hyperlink"/>
          </w:rPr>
          <w:t>Net Zero Travel</w:t>
        </w:r>
        <w:r w:rsidR="001B6736">
          <w:rPr>
            <w:webHidden/>
          </w:rPr>
          <w:tab/>
        </w:r>
        <w:r w:rsidR="001B6736">
          <w:rPr>
            <w:webHidden/>
          </w:rPr>
          <w:fldChar w:fldCharType="begin"/>
        </w:r>
        <w:r w:rsidR="001B6736">
          <w:rPr>
            <w:webHidden/>
          </w:rPr>
          <w:instrText xml:space="preserve"> PAGEREF _Toc173487283 \h </w:instrText>
        </w:r>
        <w:r w:rsidR="001B6736">
          <w:rPr>
            <w:webHidden/>
          </w:rPr>
        </w:r>
        <w:r w:rsidR="001B6736">
          <w:rPr>
            <w:webHidden/>
          </w:rPr>
          <w:fldChar w:fldCharType="separate"/>
        </w:r>
        <w:r w:rsidR="001B6736">
          <w:rPr>
            <w:webHidden/>
          </w:rPr>
          <w:t>12</w:t>
        </w:r>
        <w:r w:rsidR="001B6736">
          <w:rPr>
            <w:webHidden/>
          </w:rPr>
          <w:fldChar w:fldCharType="end"/>
        </w:r>
      </w:hyperlink>
    </w:p>
    <w:p w14:paraId="47A45A43" w14:textId="438EF68D" w:rsidR="001B6736" w:rsidRDefault="002E1820">
      <w:pPr>
        <w:pStyle w:val="TOC2"/>
        <w:rPr>
          <w:rFonts w:eastAsiaTheme="minorEastAsia"/>
          <w:spacing w:val="0"/>
          <w:kern w:val="2"/>
          <w:sz w:val="24"/>
          <w:lang w:eastAsia="en-AU"/>
          <w14:ligatures w14:val="standardContextual"/>
        </w:rPr>
      </w:pPr>
      <w:hyperlink w:anchor="_Toc173487284" w:history="1">
        <w:r w:rsidR="001B6736" w:rsidRPr="00EB5342">
          <w:rPr>
            <w:rStyle w:val="Hyperlink"/>
          </w:rPr>
          <w:t>People, culture, and capability</w:t>
        </w:r>
        <w:r w:rsidR="001B6736">
          <w:rPr>
            <w:webHidden/>
          </w:rPr>
          <w:tab/>
        </w:r>
        <w:r w:rsidR="001B6736">
          <w:rPr>
            <w:webHidden/>
          </w:rPr>
          <w:fldChar w:fldCharType="begin"/>
        </w:r>
        <w:r w:rsidR="001B6736">
          <w:rPr>
            <w:webHidden/>
          </w:rPr>
          <w:instrText xml:space="preserve"> PAGEREF _Toc173487284 \h </w:instrText>
        </w:r>
        <w:r w:rsidR="001B6736">
          <w:rPr>
            <w:webHidden/>
          </w:rPr>
        </w:r>
        <w:r w:rsidR="001B6736">
          <w:rPr>
            <w:webHidden/>
          </w:rPr>
          <w:fldChar w:fldCharType="separate"/>
        </w:r>
        <w:r w:rsidR="001B6736">
          <w:rPr>
            <w:webHidden/>
          </w:rPr>
          <w:t>13</w:t>
        </w:r>
        <w:r w:rsidR="001B6736">
          <w:rPr>
            <w:webHidden/>
          </w:rPr>
          <w:fldChar w:fldCharType="end"/>
        </w:r>
      </w:hyperlink>
    </w:p>
    <w:p w14:paraId="0727A146" w14:textId="2A50BFEE" w:rsidR="001B6736" w:rsidRDefault="002E1820">
      <w:pPr>
        <w:pStyle w:val="TOC1"/>
        <w:rPr>
          <w:rFonts w:eastAsiaTheme="minorEastAsia"/>
          <w:spacing w:val="0"/>
          <w:kern w:val="2"/>
          <w:sz w:val="24"/>
          <w:lang w:eastAsia="en-AU"/>
          <w14:ligatures w14:val="standardContextual"/>
        </w:rPr>
      </w:pPr>
      <w:hyperlink w:anchor="_Toc173487285" w:history="1">
        <w:r w:rsidR="001B6736" w:rsidRPr="00EB5342">
          <w:rPr>
            <w:rStyle w:val="Hyperlink"/>
          </w:rPr>
          <w:t>Owner/contact officer</w:t>
        </w:r>
        <w:r w:rsidR="001B6736">
          <w:rPr>
            <w:webHidden/>
          </w:rPr>
          <w:tab/>
        </w:r>
        <w:r w:rsidR="001B6736">
          <w:rPr>
            <w:webHidden/>
          </w:rPr>
          <w:fldChar w:fldCharType="begin"/>
        </w:r>
        <w:r w:rsidR="001B6736">
          <w:rPr>
            <w:webHidden/>
          </w:rPr>
          <w:instrText xml:space="preserve"> PAGEREF _Toc173487285 \h </w:instrText>
        </w:r>
        <w:r w:rsidR="001B6736">
          <w:rPr>
            <w:webHidden/>
          </w:rPr>
        </w:r>
        <w:r w:rsidR="001B6736">
          <w:rPr>
            <w:webHidden/>
          </w:rPr>
          <w:fldChar w:fldCharType="separate"/>
        </w:r>
        <w:r w:rsidR="001B6736">
          <w:rPr>
            <w:webHidden/>
          </w:rPr>
          <w:t>13</w:t>
        </w:r>
        <w:r w:rsidR="001B6736">
          <w:rPr>
            <w:webHidden/>
          </w:rPr>
          <w:fldChar w:fldCharType="end"/>
        </w:r>
      </w:hyperlink>
    </w:p>
    <w:p w14:paraId="1662A13F" w14:textId="68389FD6" w:rsidR="001B6736" w:rsidRDefault="002E1820">
      <w:pPr>
        <w:pStyle w:val="TOC1"/>
        <w:rPr>
          <w:rFonts w:eastAsiaTheme="minorEastAsia"/>
          <w:spacing w:val="0"/>
          <w:kern w:val="2"/>
          <w:sz w:val="24"/>
          <w:lang w:eastAsia="en-AU"/>
          <w14:ligatures w14:val="standardContextual"/>
        </w:rPr>
      </w:pPr>
      <w:hyperlink w:anchor="_Toc173487286" w:history="1">
        <w:r w:rsidR="001B6736" w:rsidRPr="00EB5342">
          <w:rPr>
            <w:rStyle w:val="Hyperlink"/>
          </w:rPr>
          <w:t>More information</w:t>
        </w:r>
        <w:r w:rsidR="001B6736">
          <w:rPr>
            <w:webHidden/>
          </w:rPr>
          <w:tab/>
        </w:r>
        <w:r w:rsidR="001B6736">
          <w:rPr>
            <w:webHidden/>
          </w:rPr>
          <w:fldChar w:fldCharType="begin"/>
        </w:r>
        <w:r w:rsidR="001B6736">
          <w:rPr>
            <w:webHidden/>
          </w:rPr>
          <w:instrText xml:space="preserve"> PAGEREF _Toc173487286 \h </w:instrText>
        </w:r>
        <w:r w:rsidR="001B6736">
          <w:rPr>
            <w:webHidden/>
          </w:rPr>
        </w:r>
        <w:r w:rsidR="001B6736">
          <w:rPr>
            <w:webHidden/>
          </w:rPr>
          <w:fldChar w:fldCharType="separate"/>
        </w:r>
        <w:r w:rsidR="001B6736">
          <w:rPr>
            <w:webHidden/>
          </w:rPr>
          <w:t>13</w:t>
        </w:r>
        <w:r w:rsidR="001B6736">
          <w:rPr>
            <w:webHidden/>
          </w:rPr>
          <w:fldChar w:fldCharType="end"/>
        </w:r>
      </w:hyperlink>
    </w:p>
    <w:p w14:paraId="6679ED63" w14:textId="60D0A4CF" w:rsidR="00474BB8" w:rsidRDefault="00F17243" w:rsidP="00474BB8">
      <w:pPr>
        <w:pStyle w:val="IntroductionQuote"/>
        <w:tabs>
          <w:tab w:val="left" w:pos="1230"/>
        </w:tabs>
      </w:pPr>
      <w:r>
        <w:fldChar w:fldCharType="end"/>
      </w:r>
      <w:r w:rsidR="00886EDD" w:rsidDel="00886EDD">
        <w:t xml:space="preserve"> </w:t>
      </w:r>
      <w:r w:rsidR="00474BB8">
        <w:br w:type="page"/>
      </w:r>
    </w:p>
    <w:p w14:paraId="3E572194" w14:textId="33BC7E52" w:rsidR="001009CB" w:rsidRDefault="00886EDD" w:rsidP="006F740F">
      <w:pPr>
        <w:pStyle w:val="Heading2"/>
        <w:numPr>
          <w:ilvl w:val="0"/>
          <w:numId w:val="0"/>
        </w:numPr>
      </w:pPr>
      <w:bookmarkStart w:id="4" w:name="_Toc165372316"/>
      <w:bookmarkStart w:id="5" w:name="_Toc173487270"/>
      <w:bookmarkStart w:id="6" w:name="_Toc125976850"/>
      <w:bookmarkStart w:id="7" w:name="_Toc144912244"/>
      <w:r>
        <w:lastRenderedPageBreak/>
        <w:t>Accountable Authority</w:t>
      </w:r>
      <w:r w:rsidRPr="0007750F">
        <w:t xml:space="preserve"> </w:t>
      </w:r>
      <w:r w:rsidR="00913614" w:rsidRPr="0007750F">
        <w:t>Sign Off</w:t>
      </w:r>
      <w:bookmarkEnd w:id="4"/>
      <w:bookmarkEnd w:id="5"/>
    </w:p>
    <w:p w14:paraId="7A276C93" w14:textId="6E486F7A" w:rsidR="00886EDD" w:rsidRDefault="00886EDD" w:rsidP="00886EDD">
      <w:pPr>
        <w:pStyle w:val="BodyText1"/>
      </w:pPr>
      <w:r>
        <w:t xml:space="preserve">The Australian Government released the Net Zero in Government Operations Strategy in November 2023, setting out the overall approach and action required by Commonwealth entities to achieve the </w:t>
      </w:r>
      <w:r w:rsidR="00396D21">
        <w:br/>
      </w:r>
      <w:r>
        <w:t xml:space="preserve">APS Net Zero 2030 target. </w:t>
      </w:r>
    </w:p>
    <w:p w14:paraId="557D3AE9" w14:textId="77777777" w:rsidR="00886EDD" w:rsidRDefault="00886EDD" w:rsidP="00886EDD">
      <w:pPr>
        <w:pStyle w:val="BodyText1"/>
      </w:pPr>
      <w:r>
        <w:t xml:space="preserve">The Net Zero in Government Operations Strategy represents a strong commitment by the Australian Government to lead by example on emissions reduction and contribute to the decarbonisation of Australia’s economy. </w:t>
      </w:r>
    </w:p>
    <w:p w14:paraId="4049F20F" w14:textId="46C979AF" w:rsidR="00886EDD" w:rsidRDefault="00886EDD" w:rsidP="00886EDD">
      <w:pPr>
        <w:pStyle w:val="BodyText1"/>
      </w:pPr>
      <w:r>
        <w:t>The Department of Social Services is committed to the achievement of the Government’s APS Net Zero 2030 target. The department is following the APS Net Zero 2030 target in full, as per the Net Zero in Government Operations Strategy.</w:t>
      </w:r>
    </w:p>
    <w:p w14:paraId="79E40368" w14:textId="50DDE754" w:rsidR="00913614" w:rsidRPr="0007750F" w:rsidRDefault="00886EDD" w:rsidP="006E46C3">
      <w:pPr>
        <w:pStyle w:val="BodyText1"/>
      </w:pPr>
      <w:r>
        <w:t>This Emissions Reduction Plan describes the priorities and actions the department is taking to reduce our operational emissions and contribute to the APS Net Zero 2030 target.</w:t>
      </w:r>
    </w:p>
    <w:p w14:paraId="4204E288" w14:textId="77777777" w:rsidR="00065952" w:rsidRDefault="00065952">
      <w:pPr>
        <w:spacing w:after="240"/>
      </w:pPr>
      <w:r>
        <w:rPr>
          <w:noProof/>
        </w:rPr>
        <w:drawing>
          <wp:inline distT="0" distB="0" distL="0" distR="0" wp14:anchorId="79EA92CB" wp14:editId="020C91C6">
            <wp:extent cx="1260432" cy="666750"/>
            <wp:effectExtent l="0" t="0" r="0" b="0"/>
            <wp:docPr id="2905703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70383" name="Picture 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71000" cy="672340"/>
                    </a:xfrm>
                    <a:prstGeom prst="rect">
                      <a:avLst/>
                    </a:prstGeom>
                  </pic:spPr>
                </pic:pic>
              </a:graphicData>
            </a:graphic>
          </wp:inline>
        </w:drawing>
      </w:r>
    </w:p>
    <w:p w14:paraId="24452C2C" w14:textId="6E490332" w:rsidR="00913614" w:rsidRDefault="00065952">
      <w:pPr>
        <w:spacing w:after="240"/>
        <w:rPr>
          <w:rFonts w:asciiTheme="majorHAnsi" w:eastAsiaTheme="majorEastAsia" w:hAnsiTheme="majorHAnsi" w:cstheme="majorBidi"/>
          <w:bCs/>
          <w:color w:val="005A70" w:themeColor="accent1"/>
          <w:sz w:val="40"/>
          <w:szCs w:val="26"/>
        </w:rPr>
      </w:pPr>
      <w:r>
        <w:t>Ray Griggs AO CSC</w:t>
      </w:r>
      <w:r>
        <w:br/>
        <w:t>Secretary</w:t>
      </w:r>
      <w:r w:rsidR="00913614">
        <w:br w:type="page"/>
      </w:r>
    </w:p>
    <w:p w14:paraId="1A351BA6" w14:textId="7A446688" w:rsidR="0009703B" w:rsidRDefault="00CC5457" w:rsidP="00C71702">
      <w:pPr>
        <w:pStyle w:val="Heading2"/>
        <w:numPr>
          <w:ilvl w:val="0"/>
          <w:numId w:val="0"/>
        </w:numPr>
      </w:pPr>
      <w:bookmarkStart w:id="8" w:name="_Toc173487271"/>
      <w:bookmarkEnd w:id="6"/>
      <w:bookmarkEnd w:id="7"/>
      <w:r>
        <w:lastRenderedPageBreak/>
        <w:t>Emissions Reduction Plan</w:t>
      </w:r>
      <w:bookmarkEnd w:id="8"/>
    </w:p>
    <w:p w14:paraId="5E15B119" w14:textId="77777777" w:rsidR="00A5636B" w:rsidRPr="00A5636B" w:rsidRDefault="00A5636B" w:rsidP="00A5636B"/>
    <w:p w14:paraId="017FBF73" w14:textId="3E551D87" w:rsidR="00913614" w:rsidRDefault="00913614" w:rsidP="00C71702">
      <w:pPr>
        <w:pStyle w:val="Heading3"/>
        <w:numPr>
          <w:ilvl w:val="0"/>
          <w:numId w:val="0"/>
        </w:numPr>
      </w:pPr>
      <w:bookmarkStart w:id="9" w:name="_Toc173487272"/>
      <w:bookmarkStart w:id="10" w:name="_Toc125976851"/>
      <w:bookmarkStart w:id="11" w:name="_Toc144912245"/>
      <w:r>
        <w:t>Purpose</w:t>
      </w:r>
      <w:bookmarkEnd w:id="9"/>
    </w:p>
    <w:p w14:paraId="7D8186EE" w14:textId="63BD838B" w:rsidR="00886EDD" w:rsidRPr="0007750F" w:rsidRDefault="00886EDD" w:rsidP="00886EDD">
      <w:pPr>
        <w:pStyle w:val="BodyText1"/>
      </w:pPr>
      <w:r>
        <w:t>The department</w:t>
      </w:r>
      <w:r w:rsidRPr="0007750F">
        <w:t xml:space="preserve"> </w:t>
      </w:r>
      <w:r>
        <w:t>is responsible for</w:t>
      </w:r>
      <w:r w:rsidRPr="0007750F">
        <w:t xml:space="preserve"> managing and implementing emissions reduction initiatives set by the Australian Government</w:t>
      </w:r>
      <w:r>
        <w:t>’s</w:t>
      </w:r>
      <w:r w:rsidRPr="0007750F">
        <w:t xml:space="preserve"> </w:t>
      </w:r>
      <w:hyperlink r:id="rId20" w:history="1">
        <w:r w:rsidRPr="004754FA">
          <w:rPr>
            <w:rStyle w:val="Hyperlink"/>
          </w:rPr>
          <w:t>Net Zero in Government Operations Strategy</w:t>
        </w:r>
      </w:hyperlink>
      <w:r w:rsidRPr="0007750F">
        <w:t xml:space="preserve"> </w:t>
      </w:r>
      <w:r>
        <w:t xml:space="preserve">(the Strategy) </w:t>
      </w:r>
      <w:r w:rsidRPr="0007750F">
        <w:t xml:space="preserve">developed by Department of Finance. The </w:t>
      </w:r>
      <w:r>
        <w:t>Strategy</w:t>
      </w:r>
      <w:r w:rsidRPr="0007750F">
        <w:t xml:space="preserve"> </w:t>
      </w:r>
      <w:r>
        <w:t>sets out the</w:t>
      </w:r>
      <w:r w:rsidRPr="0007750F">
        <w:t xml:space="preserve"> Australian Government’s approach to achieving net zero greenhouse gas emissions </w:t>
      </w:r>
      <w:r>
        <w:t>from</w:t>
      </w:r>
      <w:r w:rsidRPr="0007750F">
        <w:t xml:space="preserve"> its operations </w:t>
      </w:r>
      <w:r>
        <w:t xml:space="preserve">by 2030 </w:t>
      </w:r>
      <w:r w:rsidRPr="0007750F">
        <w:t xml:space="preserve">and </w:t>
      </w:r>
      <w:r>
        <w:t xml:space="preserve">the </w:t>
      </w:r>
      <w:r w:rsidRPr="0007750F">
        <w:t>reinstatement of public emissions reporting.</w:t>
      </w:r>
    </w:p>
    <w:p w14:paraId="58FB2B93" w14:textId="3ED360FD" w:rsidR="00886EDD" w:rsidRPr="0007750F" w:rsidRDefault="00886EDD" w:rsidP="00886EDD">
      <w:pPr>
        <w:pStyle w:val="BodyText1"/>
      </w:pPr>
      <w:r w:rsidRPr="0007750F">
        <w:t xml:space="preserve">The goal of this </w:t>
      </w:r>
      <w:r>
        <w:t>Emissions Reduction P</w:t>
      </w:r>
      <w:r w:rsidRPr="0007750F">
        <w:t xml:space="preserve">lan is to provide a pathway for the </w:t>
      </w:r>
      <w:r>
        <w:t>department</w:t>
      </w:r>
      <w:r w:rsidRPr="0007750F">
        <w:t xml:space="preserve"> to </w:t>
      </w:r>
      <w:r>
        <w:t xml:space="preserve">contribute to the achievement of the </w:t>
      </w:r>
      <w:r w:rsidRPr="00156764">
        <w:t>APS Net Zero 2030</w:t>
      </w:r>
      <w:r>
        <w:t xml:space="preserve"> </w:t>
      </w:r>
      <w:r w:rsidRPr="00156764">
        <w:t xml:space="preserve">target </w:t>
      </w:r>
      <w:r w:rsidRPr="0007750F">
        <w:t>through emissions reduction activities</w:t>
      </w:r>
      <w:r w:rsidRPr="00156764">
        <w:t>.</w:t>
      </w:r>
      <w:r w:rsidDel="00C96B8C">
        <w:t xml:space="preserve"> </w:t>
      </w:r>
      <w:r w:rsidRPr="0007750F">
        <w:t xml:space="preserve">This plan encompasses existing and new </w:t>
      </w:r>
      <w:r>
        <w:t>priorities and actions</w:t>
      </w:r>
      <w:r w:rsidRPr="0007750F">
        <w:t xml:space="preserve"> within </w:t>
      </w:r>
      <w:r>
        <w:t>the department</w:t>
      </w:r>
      <w:r w:rsidRPr="0007750F">
        <w:t xml:space="preserve"> to reduce emissions.</w:t>
      </w:r>
    </w:p>
    <w:p w14:paraId="36C39D50" w14:textId="77777777" w:rsidR="00886EDD" w:rsidRDefault="00886EDD" w:rsidP="00886EDD">
      <w:pPr>
        <w:pStyle w:val="BodyText1"/>
      </w:pPr>
      <w:r>
        <w:t xml:space="preserve">This Emissions Reduction Plan has been completed in accordance with the </w:t>
      </w:r>
      <w:hyperlink r:id="rId21" w:history="1">
        <w:r w:rsidRPr="00256D88">
          <w:t>Strategy</w:t>
        </w:r>
      </w:hyperlink>
      <w:r>
        <w:t>, associated guidance and reporting standards for annual emissions reporting.</w:t>
      </w:r>
    </w:p>
    <w:p w14:paraId="39F584C8" w14:textId="77777777" w:rsidR="00A5636B" w:rsidRDefault="00A5636B" w:rsidP="00886EDD">
      <w:pPr>
        <w:pStyle w:val="BodyText1"/>
      </w:pPr>
    </w:p>
    <w:p w14:paraId="1253FC97" w14:textId="1F635CF1" w:rsidR="00CC5457" w:rsidRDefault="00CC5457" w:rsidP="00C71702">
      <w:pPr>
        <w:pStyle w:val="Heading3"/>
        <w:numPr>
          <w:ilvl w:val="0"/>
          <w:numId w:val="0"/>
        </w:numPr>
      </w:pPr>
      <w:bookmarkStart w:id="12" w:name="_Toc173487273"/>
      <w:r>
        <w:t xml:space="preserve">Net </w:t>
      </w:r>
      <w:r w:rsidR="006A7734">
        <w:t>z</w:t>
      </w:r>
      <w:r>
        <w:t xml:space="preserve">ero </w:t>
      </w:r>
      <w:r w:rsidR="006A7734">
        <w:t>g</w:t>
      </w:r>
      <w:r>
        <w:t xml:space="preserve">reenhouse </w:t>
      </w:r>
      <w:r w:rsidR="006A7734">
        <w:t>g</w:t>
      </w:r>
      <w:r>
        <w:t xml:space="preserve">as </w:t>
      </w:r>
      <w:r w:rsidR="006A7734">
        <w:t>e</w:t>
      </w:r>
      <w:r>
        <w:t>missions</w:t>
      </w:r>
      <w:bookmarkEnd w:id="12"/>
    </w:p>
    <w:p w14:paraId="57A397D4" w14:textId="78E0A1D6" w:rsidR="00886EDD" w:rsidRDefault="00886EDD" w:rsidP="006E46C3">
      <w:pPr>
        <w:pStyle w:val="BodyText1"/>
      </w:pPr>
      <w:r w:rsidRPr="00886EDD">
        <w:t>APS Net Zero 2030 is the target set by the Australian Government to achieve net zero greenhouse gas emissions from government operations by the year 2030. It includes scope 1 and scope 2 emissions from activities in Australia and its territories, as described in the Strategy. The APS Net Zero 2030 target applies at the aggregate level to non-corporate Commonwealth entities and generally covers the entirety of the entity’s organisation. From an organisational perspective, this means minimising the greenhouse gas emissions that are within our control.</w:t>
      </w:r>
    </w:p>
    <w:p w14:paraId="120D8A9A" w14:textId="77777777" w:rsidR="00A5636B" w:rsidRDefault="00A5636B" w:rsidP="006E46C3">
      <w:pPr>
        <w:pStyle w:val="BodyText1"/>
      </w:pPr>
    </w:p>
    <w:p w14:paraId="3DF8419C" w14:textId="04B8DFBF" w:rsidR="00913614" w:rsidRDefault="00913614" w:rsidP="00C71702">
      <w:pPr>
        <w:pStyle w:val="Heading3"/>
        <w:numPr>
          <w:ilvl w:val="0"/>
          <w:numId w:val="0"/>
        </w:numPr>
      </w:pPr>
      <w:bookmarkStart w:id="13" w:name="_Toc173487274"/>
      <w:r>
        <w:t>Governance</w:t>
      </w:r>
      <w:r w:rsidR="00886EDD">
        <w:t xml:space="preserve"> and </w:t>
      </w:r>
      <w:r w:rsidR="006A7734">
        <w:t>r</w:t>
      </w:r>
      <w:r w:rsidR="00886EDD">
        <w:t>eporting</w:t>
      </w:r>
      <w:bookmarkEnd w:id="13"/>
    </w:p>
    <w:p w14:paraId="04AC9A85" w14:textId="77777777" w:rsidR="00886EDD" w:rsidRDefault="00886EDD" w:rsidP="00886EDD">
      <w:pPr>
        <w:pStyle w:val="BodyText1"/>
      </w:pPr>
      <w:r>
        <w:t>Progress against actions identified within this Emissions Reduction Plan, and any additional measures adopted, will be included in our annual reports. This, combined with annual emissions reporting, will be used as a measure of the department’s progress towards reducing its emissions.</w:t>
      </w:r>
    </w:p>
    <w:p w14:paraId="6CB08D1F" w14:textId="77777777" w:rsidR="00886EDD" w:rsidRDefault="00886EDD" w:rsidP="00886EDD">
      <w:pPr>
        <w:pStyle w:val="BodyText1"/>
      </w:pPr>
      <w:r>
        <w:t>As part of the Net Zero in Government Operations Annual Progress Report, the Department of Finance will aggregate these measures to provide whole-of-Australian Government emissions reporting.</w:t>
      </w:r>
    </w:p>
    <w:p w14:paraId="02C669E6" w14:textId="413B51E7" w:rsidR="00CB09DA" w:rsidRPr="002A4881" w:rsidRDefault="00CB09DA" w:rsidP="006E46C3">
      <w:pPr>
        <w:pStyle w:val="BodyText1"/>
      </w:pPr>
      <w:r w:rsidRPr="002A4881">
        <w:t xml:space="preserve">The department has appointed </w:t>
      </w:r>
      <w:r w:rsidR="0093139B">
        <w:t xml:space="preserve">the </w:t>
      </w:r>
      <w:r w:rsidR="00610D7A" w:rsidRPr="002A4881">
        <w:t>Chief Operating Officer</w:t>
      </w:r>
      <w:r w:rsidR="00976DE4" w:rsidRPr="002A4881">
        <w:t xml:space="preserve"> (</w:t>
      </w:r>
      <w:r w:rsidR="00610D7A" w:rsidRPr="002A4881">
        <w:t>COO</w:t>
      </w:r>
      <w:r w:rsidR="00976DE4" w:rsidRPr="002A4881">
        <w:t>)</w:t>
      </w:r>
      <w:r w:rsidRPr="002A4881">
        <w:t xml:space="preserve"> to be the Chief Sustainability Officer (CSO). The role of the CSO is to:</w:t>
      </w:r>
    </w:p>
    <w:p w14:paraId="10D95F52" w14:textId="77777777" w:rsidR="00CB09DA" w:rsidRPr="002A4881" w:rsidRDefault="00CB09DA" w:rsidP="00530880">
      <w:pPr>
        <w:pStyle w:val="ListParagraph"/>
        <w:rPr>
          <w:b/>
          <w:bCs/>
        </w:rPr>
      </w:pPr>
      <w:r w:rsidRPr="002A4881">
        <w:t xml:space="preserve">champion the Net Zero in Government Operations Strategy and related initiatives that support climate action in government operations. </w:t>
      </w:r>
    </w:p>
    <w:p w14:paraId="7A9E60AE" w14:textId="6E17E007" w:rsidR="00131603" w:rsidRPr="00131603" w:rsidRDefault="00CB09DA" w:rsidP="00131603">
      <w:pPr>
        <w:pStyle w:val="ListParagraph"/>
        <w:rPr>
          <w:b/>
          <w:bCs/>
        </w:rPr>
      </w:pPr>
      <w:r w:rsidRPr="002A4881">
        <w:t>represent the department in the Chief Sustainability Officer network.</w:t>
      </w:r>
    </w:p>
    <w:p w14:paraId="2C317BEC" w14:textId="381EEF3A" w:rsidR="000923DE" w:rsidRPr="00CA7F91" w:rsidRDefault="00CA7F91" w:rsidP="00396D21">
      <w:pPr>
        <w:rPr>
          <w:b/>
          <w:bCs/>
        </w:rPr>
      </w:pPr>
      <w:r w:rsidRPr="00131603">
        <w:rPr>
          <w:b/>
          <w:bCs/>
          <w:noProof/>
        </w:rPr>
        <w:lastRenderedPageBreak/>
        <mc:AlternateContent>
          <mc:Choice Requires="wps">
            <w:drawing>
              <wp:anchor distT="0" distB="0" distL="114300" distR="114300" simplePos="0" relativeHeight="251664384" behindDoc="0" locked="0" layoutInCell="1" allowOverlap="1" wp14:anchorId="63AB1CE0" wp14:editId="3420983F">
                <wp:simplePos x="0" y="0"/>
                <wp:positionH relativeFrom="column">
                  <wp:posOffset>4812665</wp:posOffset>
                </wp:positionH>
                <wp:positionV relativeFrom="paragraph">
                  <wp:posOffset>788035</wp:posOffset>
                </wp:positionV>
                <wp:extent cx="171450" cy="0"/>
                <wp:effectExtent l="0" t="19050" r="19050" b="19050"/>
                <wp:wrapSquare wrapText="bothSides"/>
                <wp:docPr id="208699247" name="Straight Connector 3">
                  <a:extLst xmlns:a="http://schemas.openxmlformats.org/drawingml/2006/main">
                    <a:ext uri="{FF2B5EF4-FFF2-40B4-BE49-F238E27FC236}">
                      <a16:creationId xmlns:a16="http://schemas.microsoft.com/office/drawing/2014/main" id="{D0AA9130-BB2D-4B3E-53EE-24931EAC59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45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54248" id="Straight Connector 3"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95pt,62.05pt" to="392.4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" strokecolor="#a5a5a5 [2092]" strokeweight="2.25pt">
                <o:lock v:ext="edit" shapetype="f"/>
                <w10:wrap type="square"/>
              </v:line>
            </w:pict>
          </mc:Fallback>
        </mc:AlternateContent>
      </w:r>
      <w:r w:rsidRPr="00131603">
        <w:rPr>
          <w:b/>
          <w:bCs/>
          <w:noProof/>
        </w:rPr>
        <mc:AlternateContent>
          <mc:Choice Requires="wps">
            <w:drawing>
              <wp:anchor distT="0" distB="0" distL="114300" distR="114300" simplePos="0" relativeHeight="251663360" behindDoc="0" locked="0" layoutInCell="1" allowOverlap="1" wp14:anchorId="5EEF9B88" wp14:editId="247EB856">
                <wp:simplePos x="0" y="0"/>
                <wp:positionH relativeFrom="column">
                  <wp:posOffset>4974590</wp:posOffset>
                </wp:positionH>
                <wp:positionV relativeFrom="paragraph">
                  <wp:posOffset>283210</wp:posOffset>
                </wp:positionV>
                <wp:extent cx="1543685" cy="3638550"/>
                <wp:effectExtent l="0" t="0" r="0" b="0"/>
                <wp:wrapSquare wrapText="bothSides"/>
                <wp:docPr id="1308369112" name="TextBox 54">
                  <a:extLst xmlns:a="http://schemas.openxmlformats.org/drawingml/2006/main">
                    <a:ext uri="{FF2B5EF4-FFF2-40B4-BE49-F238E27FC236}">
                      <a16:creationId xmlns:a16="http://schemas.microsoft.com/office/drawing/2014/main" id="{F097AC2B-689E-6A61-C29B-285E7C9F1B5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43685" cy="3638550"/>
                        </a:xfrm>
                        <a:prstGeom prst="rect">
                          <a:avLst/>
                        </a:prstGeom>
                        <a:solidFill>
                          <a:schemeClr val="accent4"/>
                        </a:solidFill>
                      </wps:spPr>
                      <wps:txbx>
                        <w:txbxContent>
                          <w:p w14:paraId="6CB3FC39" w14:textId="77777777" w:rsidR="00131603" w:rsidRPr="00997AC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Audit and Risk Committee</w:t>
                            </w:r>
                          </w:p>
                          <w:p w14:paraId="4FDFF8DD" w14:textId="77777777"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Provides independent assurance and advice to the Secretary and EMG on the design and operation of the department’s risk, control and compliance framework, including its external accountability responsibilities.</w:t>
                            </w:r>
                          </w:p>
                        </w:txbxContent>
                      </wps:txbx>
                      <wps:bodyPr wrap="square" rtlCol="0">
                        <a:noAutofit/>
                      </wps:bodyPr>
                    </wps:wsp>
                  </a:graphicData>
                </a:graphic>
                <wp14:sizeRelV relativeFrom="margin">
                  <wp14:pctHeight>0</wp14:pctHeight>
                </wp14:sizeRelV>
              </wp:anchor>
            </w:drawing>
          </mc:Choice>
          <mc:Fallback>
            <w:pict>
              <v:shapetype w14:anchorId="5EEF9B88" id="_x0000_t202" coordsize="21600,21600" o:spt="202" path="m,l,21600r21600,l21600,xe">
                <v:stroke joinstyle="miter"/>
                <v:path gradientshapeok="t" o:connecttype="rect"/>
              </v:shapetype>
              <v:shape id="TextBox 54" o:spid="_x0000_s1026" type="#_x0000_t202" alt="&quot;&quot;" style="position:absolute;margin-left:391.7pt;margin-top:22.3pt;width:121.55pt;height:28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" fillcolor="#d9d9d6 [3207]" stroked="f">
                <v:textbox>
                  <w:txbxContent>
                    <w:p w14:paraId="6CB3FC39" w14:textId="77777777" w:rsidR="00131603" w:rsidRPr="00997AC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Audit and Risk Committee</w:t>
                      </w:r>
                    </w:p>
                    <w:p w14:paraId="4FDFF8DD" w14:textId="77777777"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Provides independent assurance and advice to the Secretary and EMG on the design and operation of the department’s risk, control and compliance framework, including its external accountability responsibilities.</w:t>
                      </w:r>
                    </w:p>
                  </w:txbxContent>
                </v:textbox>
                <w10:wrap type="square"/>
              </v:shape>
            </w:pict>
          </mc:Fallback>
        </mc:AlternateContent>
      </w:r>
      <w:r w:rsidRPr="00131603">
        <w:rPr>
          <w:b/>
          <w:bCs/>
          <w:noProof/>
        </w:rPr>
        <mc:AlternateContent>
          <mc:Choice Requires="wps">
            <w:drawing>
              <wp:anchor distT="0" distB="0" distL="114300" distR="114300" simplePos="0" relativeHeight="251666432" behindDoc="0" locked="0" layoutInCell="1" allowOverlap="1" wp14:anchorId="240DE2DA" wp14:editId="111EF000">
                <wp:simplePos x="0" y="0"/>
                <wp:positionH relativeFrom="column">
                  <wp:posOffset>59055</wp:posOffset>
                </wp:positionH>
                <wp:positionV relativeFrom="paragraph">
                  <wp:posOffset>3197860</wp:posOffset>
                </wp:positionV>
                <wp:extent cx="4782185" cy="723900"/>
                <wp:effectExtent l="0" t="0" r="0" b="0"/>
                <wp:wrapSquare wrapText="bothSides"/>
                <wp:docPr id="688605562" name="Rectangle 5">
                  <a:extLst xmlns:a="http://schemas.openxmlformats.org/drawingml/2006/main">
                    <a:ext uri="{FF2B5EF4-FFF2-40B4-BE49-F238E27FC236}">
                      <a16:creationId xmlns:a16="http://schemas.microsoft.com/office/drawing/2014/main" id="{FE8B756D-A895-F88B-0AFD-C6373DA10FDA}"/>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82185" cy="72390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3D9623" w14:textId="77777777" w:rsidR="00CA7F91" w:rsidRDefault="00131603" w:rsidP="00997AC1">
                            <w:pPr>
                              <w:spacing w:after="0" w:line="240" w:lineRule="auto"/>
                              <w:jc w:val="center"/>
                              <w:rPr>
                                <w:rFonts w:ascii="Arial" w:hAnsi="Arial" w:cs="Arial"/>
                                <w:b/>
                                <w:bCs/>
                                <w:color w:val="000000" w:themeColor="text1"/>
                                <w:sz w:val="20"/>
                                <w:szCs w:val="20"/>
                              </w:rPr>
                            </w:pPr>
                            <w:r w:rsidRPr="00997AC1">
                              <w:rPr>
                                <w:rFonts w:ascii="Arial" w:hAnsi="Arial" w:cs="Arial"/>
                                <w:b/>
                                <w:bCs/>
                                <w:color w:val="000000" w:themeColor="text1"/>
                                <w:sz w:val="20"/>
                                <w:szCs w:val="20"/>
                              </w:rPr>
                              <w:t xml:space="preserve">Net Zero Working Group </w:t>
                            </w:r>
                          </w:p>
                          <w:p w14:paraId="3671B8D6" w14:textId="1C0B36AF" w:rsidR="00131603" w:rsidRPr="00997AC1" w:rsidRDefault="00131603" w:rsidP="00997AC1">
                            <w:pPr>
                              <w:spacing w:after="0" w:line="240" w:lineRule="auto"/>
                              <w:jc w:val="center"/>
                              <w:rPr>
                                <w:rFonts w:ascii="Arial" w:hAnsi="Arial" w:cs="Arial"/>
                                <w:b/>
                                <w:bCs/>
                                <w:color w:val="000000" w:themeColor="text1"/>
                                <w:sz w:val="20"/>
                                <w:szCs w:val="20"/>
                              </w:rPr>
                            </w:pPr>
                            <w:r w:rsidRPr="00997AC1">
                              <w:rPr>
                                <w:rFonts w:ascii="Arial" w:hAnsi="Arial" w:cs="Arial"/>
                                <w:b/>
                                <w:bCs/>
                                <w:color w:val="000000" w:themeColor="text1"/>
                                <w:sz w:val="20"/>
                                <w:szCs w:val="20"/>
                              </w:rPr>
                              <w:t>(Chaired by BM Property &amp; Security Branch)</w:t>
                            </w:r>
                          </w:p>
                          <w:p w14:paraId="4DC6075C" w14:textId="77777777" w:rsidR="00131603" w:rsidRPr="00997AC1" w:rsidRDefault="00131603" w:rsidP="00997AC1">
                            <w:pPr>
                              <w:spacing w:after="0" w:line="240" w:lineRule="auto"/>
                              <w:jc w:val="center"/>
                              <w:rPr>
                                <w:rFonts w:ascii="Arial" w:hAnsi="Arial" w:cs="Arial"/>
                                <w:color w:val="000000" w:themeColor="text1"/>
                                <w:sz w:val="20"/>
                                <w:szCs w:val="20"/>
                              </w:rPr>
                            </w:pPr>
                            <w:r w:rsidRPr="00997AC1">
                              <w:rPr>
                                <w:rFonts w:ascii="Arial" w:hAnsi="Arial" w:cs="Arial"/>
                                <w:color w:val="000000" w:themeColor="text1"/>
                                <w:sz w:val="20"/>
                                <w:szCs w:val="20"/>
                              </w:rPr>
                              <w:t>Officer-level working group responsible for the department’s Emissions Reduction Plan and Emissions Reporting.</w:t>
                            </w:r>
                          </w:p>
                        </w:txbxContent>
                      </wps:txbx>
                      <wps:bodyPr rtlCol="0" anchor="ctr">
                        <a:noAutofit/>
                      </wps:bodyPr>
                    </wps:wsp>
                  </a:graphicData>
                </a:graphic>
                <wp14:sizeRelV relativeFrom="margin">
                  <wp14:pctHeight>0</wp14:pctHeight>
                </wp14:sizeRelV>
              </wp:anchor>
            </w:drawing>
          </mc:Choice>
          <mc:Fallback>
            <w:pict>
              <v:rect w14:anchorId="240DE2DA" id="Rectangle 5" o:spid="_x0000_s1027" alt="&quot;&quot;" style="position:absolute;margin-left:4.65pt;margin-top:251.8pt;width:376.55pt;height:5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" fillcolor="#befbff [661]" stroked="f" strokeweight=".73403mm">
                <v:textbox>
                  <w:txbxContent>
                    <w:p w14:paraId="753D9623" w14:textId="77777777" w:rsidR="00CA7F91" w:rsidRDefault="00131603" w:rsidP="00997AC1">
                      <w:pPr>
                        <w:spacing w:after="0" w:line="240" w:lineRule="auto"/>
                        <w:jc w:val="center"/>
                        <w:rPr>
                          <w:rFonts w:ascii="Arial" w:hAnsi="Arial" w:cs="Arial"/>
                          <w:b/>
                          <w:bCs/>
                          <w:color w:val="000000" w:themeColor="text1"/>
                          <w:sz w:val="20"/>
                          <w:szCs w:val="20"/>
                        </w:rPr>
                      </w:pPr>
                      <w:r w:rsidRPr="00997AC1">
                        <w:rPr>
                          <w:rFonts w:ascii="Arial" w:hAnsi="Arial" w:cs="Arial"/>
                          <w:b/>
                          <w:bCs/>
                          <w:color w:val="000000" w:themeColor="text1"/>
                          <w:sz w:val="20"/>
                          <w:szCs w:val="20"/>
                        </w:rPr>
                        <w:t xml:space="preserve">Net Zero Working Group </w:t>
                      </w:r>
                    </w:p>
                    <w:p w14:paraId="3671B8D6" w14:textId="1C0B36AF" w:rsidR="00131603" w:rsidRPr="00997AC1" w:rsidRDefault="00131603" w:rsidP="00997AC1">
                      <w:pPr>
                        <w:spacing w:after="0" w:line="240" w:lineRule="auto"/>
                        <w:jc w:val="center"/>
                        <w:rPr>
                          <w:rFonts w:ascii="Arial" w:hAnsi="Arial" w:cs="Arial"/>
                          <w:b/>
                          <w:bCs/>
                          <w:color w:val="000000" w:themeColor="text1"/>
                          <w:sz w:val="20"/>
                          <w:szCs w:val="20"/>
                        </w:rPr>
                      </w:pPr>
                      <w:r w:rsidRPr="00997AC1">
                        <w:rPr>
                          <w:rFonts w:ascii="Arial" w:hAnsi="Arial" w:cs="Arial"/>
                          <w:b/>
                          <w:bCs/>
                          <w:color w:val="000000" w:themeColor="text1"/>
                          <w:sz w:val="20"/>
                          <w:szCs w:val="20"/>
                        </w:rPr>
                        <w:t>(Chaired by BM Property &amp; Security Branch)</w:t>
                      </w:r>
                    </w:p>
                    <w:p w14:paraId="4DC6075C" w14:textId="77777777" w:rsidR="00131603" w:rsidRPr="00997AC1" w:rsidRDefault="00131603" w:rsidP="00997AC1">
                      <w:pPr>
                        <w:spacing w:after="0" w:line="240" w:lineRule="auto"/>
                        <w:jc w:val="center"/>
                        <w:rPr>
                          <w:rFonts w:ascii="Arial" w:hAnsi="Arial" w:cs="Arial"/>
                          <w:color w:val="000000" w:themeColor="text1"/>
                          <w:sz w:val="20"/>
                          <w:szCs w:val="20"/>
                        </w:rPr>
                      </w:pPr>
                      <w:r w:rsidRPr="00997AC1">
                        <w:rPr>
                          <w:rFonts w:ascii="Arial" w:hAnsi="Arial" w:cs="Arial"/>
                          <w:color w:val="000000" w:themeColor="text1"/>
                          <w:sz w:val="20"/>
                          <w:szCs w:val="20"/>
                        </w:rPr>
                        <w:t>Officer-level working group responsible for the department’s Emissions Reduction Plan and Emissions Reporting.</w:t>
                      </w:r>
                    </w:p>
                  </w:txbxContent>
                </v:textbox>
                <w10:wrap type="square"/>
              </v:rect>
            </w:pict>
          </mc:Fallback>
        </mc:AlternateContent>
      </w:r>
      <w:r w:rsidRPr="00131603">
        <w:rPr>
          <w:b/>
          <w:bCs/>
          <w:noProof/>
        </w:rPr>
        <mc:AlternateContent>
          <mc:Choice Requires="wps">
            <w:drawing>
              <wp:anchor distT="0" distB="0" distL="114300" distR="114300" simplePos="0" relativeHeight="251665408" behindDoc="0" locked="0" layoutInCell="1" allowOverlap="1" wp14:anchorId="7940E724" wp14:editId="1AC75304">
                <wp:simplePos x="0" y="0"/>
                <wp:positionH relativeFrom="column">
                  <wp:posOffset>59055</wp:posOffset>
                </wp:positionH>
                <wp:positionV relativeFrom="paragraph">
                  <wp:posOffset>2550160</wp:posOffset>
                </wp:positionV>
                <wp:extent cx="4782185" cy="581025"/>
                <wp:effectExtent l="0" t="0" r="0" b="9525"/>
                <wp:wrapSquare wrapText="bothSides"/>
                <wp:docPr id="16103665" name="Rectangle 4">
                  <a:extLst xmlns:a="http://schemas.openxmlformats.org/drawingml/2006/main">
                    <a:ext uri="{FF2B5EF4-FFF2-40B4-BE49-F238E27FC236}">
                      <a16:creationId xmlns:a16="http://schemas.microsoft.com/office/drawing/2014/main" id="{A4C33910-4959-8FBD-5A3C-DA9C95CAA49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82185" cy="58102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DA27B9" w14:textId="34F6C1D0" w:rsidR="00131603" w:rsidRPr="00997AC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DSS Property and Security Branch</w:t>
                            </w:r>
                          </w:p>
                          <w:p w14:paraId="66417066" w14:textId="77777777"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Responsible for developing and maintaining the department’s Emissions Reduction Plan and including Emissions Reporting in the Annual Report.</w:t>
                            </w:r>
                          </w:p>
                        </w:txbxContent>
                      </wps:txbx>
                      <wps:bodyPr rtlCol="0" anchor="ctr">
                        <a:noAutofit/>
                      </wps:bodyPr>
                    </wps:wsp>
                  </a:graphicData>
                </a:graphic>
                <wp14:sizeRelV relativeFrom="margin">
                  <wp14:pctHeight>0</wp14:pctHeight>
                </wp14:sizeRelV>
              </wp:anchor>
            </w:drawing>
          </mc:Choice>
          <mc:Fallback>
            <w:pict>
              <v:rect w14:anchorId="7940E724" id="Rectangle 4" o:spid="_x0000_s1028" alt="&quot;&quot;" style="position:absolute;margin-left:4.65pt;margin-top:200.8pt;width:376.55pt;height:4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" fillcolor="#007c82 [3209]" stroked="f" strokeweight=".73403mm">
                <v:textbox>
                  <w:txbxContent>
                    <w:p w14:paraId="59DA27B9" w14:textId="34F6C1D0" w:rsidR="00131603" w:rsidRPr="00997AC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DSS Property and Security Branch</w:t>
                      </w:r>
                    </w:p>
                    <w:p w14:paraId="66417066" w14:textId="77777777"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Responsible for developing and maintaining the department’s Emissions Reduction Plan and including Emissions Reporting in the Annual Report.</w:t>
                      </w:r>
                    </w:p>
                  </w:txbxContent>
                </v:textbox>
                <w10:wrap type="square"/>
              </v:rect>
            </w:pict>
          </mc:Fallback>
        </mc:AlternateContent>
      </w:r>
      <w:r w:rsidRPr="00131603">
        <w:rPr>
          <w:b/>
          <w:bCs/>
          <w:noProof/>
        </w:rPr>
        <mc:AlternateContent>
          <mc:Choice Requires="wps">
            <w:drawing>
              <wp:anchor distT="0" distB="0" distL="114300" distR="114300" simplePos="0" relativeHeight="251662336" behindDoc="0" locked="0" layoutInCell="1" allowOverlap="1" wp14:anchorId="754EE85C" wp14:editId="5C6F059B">
                <wp:simplePos x="0" y="0"/>
                <wp:positionH relativeFrom="column">
                  <wp:posOffset>40640</wp:posOffset>
                </wp:positionH>
                <wp:positionV relativeFrom="paragraph">
                  <wp:posOffset>1311275</wp:posOffset>
                </wp:positionV>
                <wp:extent cx="4782185" cy="1133475"/>
                <wp:effectExtent l="0" t="0" r="0" b="9525"/>
                <wp:wrapSquare wrapText="bothSides"/>
                <wp:docPr id="2098226601" name="Rectangle 2">
                  <a:extLst xmlns:a="http://schemas.openxmlformats.org/drawingml/2006/main">
                    <a:ext uri="{FF2B5EF4-FFF2-40B4-BE49-F238E27FC236}">
                      <a16:creationId xmlns:a16="http://schemas.microsoft.com/office/drawing/2014/main" id="{2C4F0520-A489-255E-8EE5-69A5085B7AE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82185" cy="11334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A654AD" w14:textId="77777777" w:rsidR="00CA7F9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 xml:space="preserve">Chief Sustainability Officer (CSO) </w:t>
                            </w:r>
                          </w:p>
                          <w:p w14:paraId="1099736B" w14:textId="5320994F" w:rsidR="00131603" w:rsidRPr="00997AC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(Chief Operating Officer)</w:t>
                            </w:r>
                          </w:p>
                          <w:p w14:paraId="6FFBF6AB" w14:textId="77777777" w:rsid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Responsible for championing the department’s Net Zero by 2030 Emissions Reduction Plan.</w:t>
                            </w:r>
                            <w:r w:rsidR="00997AC1">
                              <w:rPr>
                                <w:rFonts w:ascii="Arial" w:hAnsi="Arial" w:cs="Arial"/>
                                <w:sz w:val="20"/>
                                <w:szCs w:val="20"/>
                              </w:rPr>
                              <w:t xml:space="preserve"> </w:t>
                            </w:r>
                          </w:p>
                          <w:p w14:paraId="23CF8F2A" w14:textId="79092C78"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Note: The COO is also the department’s appointed Chief Risk Officer, responsible for overseeing the department’s Risk Management Framework and governance arrangements.</w:t>
                            </w:r>
                          </w:p>
                        </w:txbxContent>
                      </wps:txbx>
                      <wps:bodyPr rtlCol="0" anchor="ctr">
                        <a:noAutofit/>
                      </wps:bodyPr>
                    </wps:wsp>
                  </a:graphicData>
                </a:graphic>
                <wp14:sizeRelV relativeFrom="margin">
                  <wp14:pctHeight>0</wp14:pctHeight>
                </wp14:sizeRelV>
              </wp:anchor>
            </w:drawing>
          </mc:Choice>
          <mc:Fallback>
            <w:pict>
              <v:rect w14:anchorId="754EE85C" id="Rectangle 2" o:spid="_x0000_s1029" alt="&quot;&quot;" style="position:absolute;margin-left:3.2pt;margin-top:103.25pt;width:376.55pt;height:8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" fillcolor="#005a70 [3204]" stroked="f" strokeweight=".73403mm">
                <v:textbox>
                  <w:txbxContent>
                    <w:p w14:paraId="24A654AD" w14:textId="77777777" w:rsidR="00CA7F9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 xml:space="preserve">Chief Sustainability Officer (CSO) </w:t>
                      </w:r>
                    </w:p>
                    <w:p w14:paraId="1099736B" w14:textId="5320994F" w:rsidR="00131603" w:rsidRPr="00997AC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(Chief Operating Officer)</w:t>
                      </w:r>
                    </w:p>
                    <w:p w14:paraId="6FFBF6AB" w14:textId="77777777" w:rsid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Responsible for championing the department’s Net Zero by 2030 Emissions Reduction Plan.</w:t>
                      </w:r>
                      <w:r w:rsidR="00997AC1">
                        <w:rPr>
                          <w:rFonts w:ascii="Arial" w:hAnsi="Arial" w:cs="Arial"/>
                          <w:sz w:val="20"/>
                          <w:szCs w:val="20"/>
                        </w:rPr>
                        <w:t xml:space="preserve"> </w:t>
                      </w:r>
                    </w:p>
                    <w:p w14:paraId="23CF8F2A" w14:textId="79092C78"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Note: The COO is also the department’s appointed Chief Risk Officer, responsible for overseeing the department’s Risk Management Framework and governance arrangements.</w:t>
                      </w:r>
                    </w:p>
                  </w:txbxContent>
                </v:textbox>
                <w10:wrap type="square"/>
              </v:rect>
            </w:pict>
          </mc:Fallback>
        </mc:AlternateContent>
      </w:r>
      <w:r w:rsidRPr="00131603">
        <w:rPr>
          <w:b/>
          <w:bCs/>
          <w:noProof/>
        </w:rPr>
        <mc:AlternateContent>
          <mc:Choice Requires="wps">
            <w:drawing>
              <wp:anchor distT="0" distB="0" distL="114300" distR="114300" simplePos="0" relativeHeight="251661312" behindDoc="0" locked="0" layoutInCell="1" allowOverlap="1" wp14:anchorId="5EED08E4" wp14:editId="22AF62AD">
                <wp:simplePos x="0" y="0"/>
                <wp:positionH relativeFrom="column">
                  <wp:posOffset>40640</wp:posOffset>
                </wp:positionH>
                <wp:positionV relativeFrom="paragraph">
                  <wp:posOffset>254635</wp:posOffset>
                </wp:positionV>
                <wp:extent cx="4782185" cy="981075"/>
                <wp:effectExtent l="0" t="0" r="0" b="9525"/>
                <wp:wrapSquare wrapText="bothSides"/>
                <wp:docPr id="1922353013" name="TextBox 4">
                  <a:extLst xmlns:a="http://schemas.openxmlformats.org/drawingml/2006/main">
                    <a:ext uri="{FF2B5EF4-FFF2-40B4-BE49-F238E27FC236}">
                      <a16:creationId xmlns:a16="http://schemas.microsoft.com/office/drawing/2014/main" id="{64DB9CCD-E15A-E2F7-47C7-0F2D2F72028B}"/>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82185" cy="981075"/>
                        </a:xfrm>
                        <a:prstGeom prst="rect">
                          <a:avLst/>
                        </a:prstGeom>
                        <a:solidFill>
                          <a:schemeClr val="accent1">
                            <a:lumMod val="50000"/>
                          </a:schemeClr>
                        </a:solidFill>
                        <a:ln>
                          <a:noFill/>
                        </a:ln>
                      </wps:spPr>
                      <wps:txbx>
                        <w:txbxContent>
                          <w:p w14:paraId="3B5F13B9" w14:textId="77777777" w:rsidR="00CA7F91" w:rsidRDefault="00131603" w:rsidP="00997AC1">
                            <w:pPr>
                              <w:spacing w:after="0" w:line="240" w:lineRule="auto"/>
                              <w:jc w:val="center"/>
                              <w:rPr>
                                <w:rFonts w:ascii="Arial" w:hAnsi="Arial" w:cs="Arial"/>
                                <w:b/>
                                <w:bCs/>
                                <w:sz w:val="20"/>
                                <w:szCs w:val="20"/>
                              </w:rPr>
                            </w:pPr>
                            <w:r w:rsidRPr="00131603">
                              <w:rPr>
                                <w:rFonts w:ascii="Arial" w:hAnsi="Arial" w:cs="Arial"/>
                                <w:b/>
                                <w:bCs/>
                                <w:sz w:val="20"/>
                                <w:szCs w:val="20"/>
                              </w:rPr>
                              <w:t xml:space="preserve">Executive Management Group (EMG) </w:t>
                            </w:r>
                          </w:p>
                          <w:p w14:paraId="65E24CF2" w14:textId="6EC29F1D" w:rsidR="00131603" w:rsidRPr="00131603" w:rsidRDefault="00131603" w:rsidP="00997AC1">
                            <w:pPr>
                              <w:spacing w:after="0" w:line="240" w:lineRule="auto"/>
                              <w:jc w:val="center"/>
                              <w:rPr>
                                <w:rFonts w:ascii="Arial" w:hAnsi="Arial" w:cs="Arial"/>
                                <w:b/>
                                <w:bCs/>
                                <w:sz w:val="20"/>
                                <w:szCs w:val="20"/>
                              </w:rPr>
                            </w:pPr>
                            <w:r w:rsidRPr="00131603">
                              <w:rPr>
                                <w:rFonts w:ascii="Arial" w:hAnsi="Arial" w:cs="Arial"/>
                                <w:b/>
                                <w:bCs/>
                                <w:sz w:val="20"/>
                                <w:szCs w:val="20"/>
                              </w:rPr>
                              <w:t>(Chaired by Secretary)</w:t>
                            </w:r>
                          </w:p>
                          <w:p w14:paraId="3402C5F7" w14:textId="27F4EF20" w:rsidR="00131603" w:rsidRPr="00131603" w:rsidRDefault="00131603" w:rsidP="00997AC1">
                            <w:pPr>
                              <w:spacing w:after="0" w:line="240" w:lineRule="auto"/>
                              <w:jc w:val="center"/>
                              <w:rPr>
                                <w:rFonts w:ascii="Arial" w:hAnsi="Arial" w:cs="Arial"/>
                                <w:sz w:val="20"/>
                                <w:szCs w:val="20"/>
                              </w:rPr>
                            </w:pPr>
                            <w:r w:rsidRPr="00131603">
                              <w:rPr>
                                <w:rFonts w:ascii="Arial" w:hAnsi="Arial" w:cs="Arial"/>
                                <w:sz w:val="20"/>
                                <w:szCs w:val="20"/>
                              </w:rPr>
                              <w:t>Oversees the department’s overall strategic direction, priorities, management</w:t>
                            </w:r>
                            <w:r w:rsidR="00997AC1">
                              <w:rPr>
                                <w:rFonts w:ascii="Arial" w:hAnsi="Arial" w:cs="Arial"/>
                                <w:sz w:val="20"/>
                                <w:szCs w:val="20"/>
                              </w:rPr>
                              <w:t>,</w:t>
                            </w:r>
                            <w:r w:rsidRPr="00131603">
                              <w:rPr>
                                <w:rFonts w:ascii="Arial" w:hAnsi="Arial" w:cs="Arial"/>
                                <w:sz w:val="20"/>
                                <w:szCs w:val="20"/>
                              </w:rPr>
                              <w:t xml:space="preserve"> and performance.</w:t>
                            </w:r>
                          </w:p>
                          <w:p w14:paraId="697166B3" w14:textId="77777777" w:rsidR="00131603" w:rsidRPr="00131603" w:rsidRDefault="00131603" w:rsidP="00997AC1">
                            <w:pPr>
                              <w:spacing w:after="0" w:line="240" w:lineRule="auto"/>
                              <w:jc w:val="center"/>
                              <w:rPr>
                                <w:rFonts w:ascii="Arial" w:hAnsi="Arial" w:cs="Arial"/>
                                <w:sz w:val="20"/>
                                <w:szCs w:val="20"/>
                              </w:rPr>
                            </w:pPr>
                            <w:r w:rsidRPr="00131603">
                              <w:rPr>
                                <w:rFonts w:ascii="Arial" w:hAnsi="Arial" w:cs="Arial"/>
                                <w:sz w:val="20"/>
                                <w:szCs w:val="20"/>
                              </w:rPr>
                              <w:t>Responsible for signing the department’s Emissions Reduction Plan, ensuring commitment to the net zero outcomes.</w:t>
                            </w:r>
                          </w:p>
                        </w:txbxContent>
                      </wps:txbx>
                      <wps:bodyPr wrap="square" rtlCol="0" anchor="ctr">
                        <a:noAutofit/>
                      </wps:bodyPr>
                    </wps:wsp>
                  </a:graphicData>
                </a:graphic>
                <wp14:sizeRelV relativeFrom="margin">
                  <wp14:pctHeight>0</wp14:pctHeight>
                </wp14:sizeRelV>
              </wp:anchor>
            </w:drawing>
          </mc:Choice>
          <mc:Fallback>
            <w:pict>
              <v:shape w14:anchorId="5EED08E4" id="TextBox 4" o:spid="_x0000_s1030" type="#_x0000_t202" alt="&quot;&quot;" style="position:absolute;margin-left:3.2pt;margin-top:20.05pt;width:376.55pt;height:7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" fillcolor="#002c37 [1604]" stroked="f">
                <v:textbox>
                  <w:txbxContent>
                    <w:p w14:paraId="3B5F13B9" w14:textId="77777777" w:rsidR="00CA7F91" w:rsidRDefault="00131603" w:rsidP="00997AC1">
                      <w:pPr>
                        <w:spacing w:after="0" w:line="240" w:lineRule="auto"/>
                        <w:jc w:val="center"/>
                        <w:rPr>
                          <w:rFonts w:ascii="Arial" w:hAnsi="Arial" w:cs="Arial"/>
                          <w:b/>
                          <w:bCs/>
                          <w:sz w:val="20"/>
                          <w:szCs w:val="20"/>
                        </w:rPr>
                      </w:pPr>
                      <w:r w:rsidRPr="00131603">
                        <w:rPr>
                          <w:rFonts w:ascii="Arial" w:hAnsi="Arial" w:cs="Arial"/>
                          <w:b/>
                          <w:bCs/>
                          <w:sz w:val="20"/>
                          <w:szCs w:val="20"/>
                        </w:rPr>
                        <w:t xml:space="preserve">Executive Management Group (EMG) </w:t>
                      </w:r>
                    </w:p>
                    <w:p w14:paraId="65E24CF2" w14:textId="6EC29F1D" w:rsidR="00131603" w:rsidRPr="00131603" w:rsidRDefault="00131603" w:rsidP="00997AC1">
                      <w:pPr>
                        <w:spacing w:after="0" w:line="240" w:lineRule="auto"/>
                        <w:jc w:val="center"/>
                        <w:rPr>
                          <w:rFonts w:ascii="Arial" w:hAnsi="Arial" w:cs="Arial"/>
                          <w:b/>
                          <w:bCs/>
                          <w:sz w:val="20"/>
                          <w:szCs w:val="20"/>
                        </w:rPr>
                      </w:pPr>
                      <w:r w:rsidRPr="00131603">
                        <w:rPr>
                          <w:rFonts w:ascii="Arial" w:hAnsi="Arial" w:cs="Arial"/>
                          <w:b/>
                          <w:bCs/>
                          <w:sz w:val="20"/>
                          <w:szCs w:val="20"/>
                        </w:rPr>
                        <w:t>(Chaired by Secretary)</w:t>
                      </w:r>
                    </w:p>
                    <w:p w14:paraId="3402C5F7" w14:textId="27F4EF20" w:rsidR="00131603" w:rsidRPr="00131603" w:rsidRDefault="00131603" w:rsidP="00997AC1">
                      <w:pPr>
                        <w:spacing w:after="0" w:line="240" w:lineRule="auto"/>
                        <w:jc w:val="center"/>
                        <w:rPr>
                          <w:rFonts w:ascii="Arial" w:hAnsi="Arial" w:cs="Arial"/>
                          <w:sz w:val="20"/>
                          <w:szCs w:val="20"/>
                        </w:rPr>
                      </w:pPr>
                      <w:r w:rsidRPr="00131603">
                        <w:rPr>
                          <w:rFonts w:ascii="Arial" w:hAnsi="Arial" w:cs="Arial"/>
                          <w:sz w:val="20"/>
                          <w:szCs w:val="20"/>
                        </w:rPr>
                        <w:t>Oversees the department’s overall strategic direction, priorities, management</w:t>
                      </w:r>
                      <w:r w:rsidR="00997AC1">
                        <w:rPr>
                          <w:rFonts w:ascii="Arial" w:hAnsi="Arial" w:cs="Arial"/>
                          <w:sz w:val="20"/>
                          <w:szCs w:val="20"/>
                        </w:rPr>
                        <w:t>,</w:t>
                      </w:r>
                      <w:r w:rsidRPr="00131603">
                        <w:rPr>
                          <w:rFonts w:ascii="Arial" w:hAnsi="Arial" w:cs="Arial"/>
                          <w:sz w:val="20"/>
                          <w:szCs w:val="20"/>
                        </w:rPr>
                        <w:t xml:space="preserve"> and performance.</w:t>
                      </w:r>
                    </w:p>
                    <w:p w14:paraId="697166B3" w14:textId="77777777" w:rsidR="00131603" w:rsidRPr="00131603" w:rsidRDefault="00131603" w:rsidP="00997AC1">
                      <w:pPr>
                        <w:spacing w:after="0" w:line="240" w:lineRule="auto"/>
                        <w:jc w:val="center"/>
                        <w:rPr>
                          <w:rFonts w:ascii="Arial" w:hAnsi="Arial" w:cs="Arial"/>
                          <w:sz w:val="20"/>
                          <w:szCs w:val="20"/>
                        </w:rPr>
                      </w:pPr>
                      <w:r w:rsidRPr="00131603">
                        <w:rPr>
                          <w:rFonts w:ascii="Arial" w:hAnsi="Arial" w:cs="Arial"/>
                          <w:sz w:val="20"/>
                          <w:szCs w:val="20"/>
                        </w:rPr>
                        <w:t>Responsible for signing the department’s Emissions Reduction Plan, ensuring commitment to the net zero outcomes.</w:t>
                      </w:r>
                    </w:p>
                  </w:txbxContent>
                </v:textbox>
                <w10:wrap type="square"/>
              </v:shape>
            </w:pict>
          </mc:Fallback>
        </mc:AlternateContent>
      </w:r>
      <w:r w:rsidR="003453FF" w:rsidRPr="00131603">
        <w:rPr>
          <w:b/>
          <w:bCs/>
        </w:rPr>
        <w:t>Governance diagram</w:t>
      </w:r>
      <w:r w:rsidR="00997AC1" w:rsidRPr="00131603">
        <w:rPr>
          <w:b/>
          <w:bCs/>
          <w:noProof/>
        </w:rPr>
        <mc:AlternateContent>
          <mc:Choice Requires="wps">
            <w:drawing>
              <wp:anchor distT="0" distB="0" distL="114300" distR="114300" simplePos="0" relativeHeight="251660288" behindDoc="0" locked="0" layoutInCell="1" allowOverlap="1" wp14:anchorId="57EA29E0" wp14:editId="41025FAC">
                <wp:simplePos x="0" y="0"/>
                <wp:positionH relativeFrom="column">
                  <wp:posOffset>2459990</wp:posOffset>
                </wp:positionH>
                <wp:positionV relativeFrom="paragraph">
                  <wp:posOffset>431165</wp:posOffset>
                </wp:positionV>
                <wp:extent cx="9525" cy="3190875"/>
                <wp:effectExtent l="19050" t="19050" r="28575" b="9525"/>
                <wp:wrapSquare wrapText="bothSides"/>
                <wp:docPr id="1264917565" name="Straight Connector 1">
                  <a:extLst xmlns:a="http://schemas.openxmlformats.org/drawingml/2006/main">
                    <a:ext uri="{FF2B5EF4-FFF2-40B4-BE49-F238E27FC236}">
                      <a16:creationId xmlns:a16="http://schemas.microsoft.com/office/drawing/2014/main" id="{E4D6EA5A-D332-B7AD-0AF3-42CE980765CB}"/>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3190875"/>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E04FA" id="Straight Connector 1"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pt,33.95pt" to="194.45pt,2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" strokecolor="#a5a5a5 [2092]" strokeweight="2.25pt">
                <o:lock v:ext="edit" shapetype="f"/>
                <w10:wrap type="square"/>
              </v:line>
            </w:pict>
          </mc:Fallback>
        </mc:AlternateContent>
      </w:r>
    </w:p>
    <w:p w14:paraId="45B1A629" w14:textId="77777777" w:rsidR="00396D21" w:rsidRDefault="00396D21">
      <w:pPr>
        <w:spacing w:after="240"/>
      </w:pPr>
      <w:bookmarkStart w:id="14" w:name="_Toc165372325"/>
    </w:p>
    <w:p w14:paraId="65B9FB3F" w14:textId="77777777" w:rsidR="00396D21" w:rsidRDefault="00396D21" w:rsidP="00C71702">
      <w:pPr>
        <w:pStyle w:val="Heading3"/>
        <w:numPr>
          <w:ilvl w:val="0"/>
          <w:numId w:val="0"/>
        </w:numPr>
      </w:pPr>
      <w:r>
        <w:br/>
      </w:r>
    </w:p>
    <w:p w14:paraId="35223444" w14:textId="77777777" w:rsidR="00396D21" w:rsidRDefault="00396D21">
      <w:pPr>
        <w:spacing w:after="240"/>
        <w:rPr>
          <w:rFonts w:asciiTheme="majorHAnsi" w:eastAsiaTheme="majorEastAsia" w:hAnsiTheme="majorHAnsi" w:cstheme="majorBidi"/>
          <w:color w:val="005A70" w:themeColor="accent1"/>
          <w:sz w:val="32"/>
          <w:szCs w:val="26"/>
        </w:rPr>
      </w:pPr>
      <w:r>
        <w:br w:type="page"/>
      </w:r>
    </w:p>
    <w:p w14:paraId="63FF117F" w14:textId="2AE88424" w:rsidR="00913614" w:rsidRDefault="00913614" w:rsidP="00C71702">
      <w:pPr>
        <w:pStyle w:val="Heading3"/>
        <w:numPr>
          <w:ilvl w:val="0"/>
          <w:numId w:val="0"/>
        </w:numPr>
      </w:pPr>
      <w:bookmarkStart w:id="15" w:name="_Toc173487275"/>
      <w:r w:rsidRPr="00145D56">
        <w:lastRenderedPageBreak/>
        <w:t>Department of Social Services</w:t>
      </w:r>
      <w:r w:rsidRPr="0007750F">
        <w:t xml:space="preserve"> </w:t>
      </w:r>
      <w:r w:rsidR="000F0AD4">
        <w:t>o</w:t>
      </w:r>
      <w:r w:rsidRPr="0007750F">
        <w:t xml:space="preserve">perational </w:t>
      </w:r>
      <w:r>
        <w:t>c</w:t>
      </w:r>
      <w:r w:rsidRPr="0007750F">
        <w:t>ontext</w:t>
      </w:r>
      <w:bookmarkEnd w:id="14"/>
      <w:bookmarkEnd w:id="15"/>
    </w:p>
    <w:p w14:paraId="0D08229B" w14:textId="324153B6" w:rsidR="0025013F" w:rsidRPr="00651ACD" w:rsidRDefault="0025013F" w:rsidP="006E46C3">
      <w:pPr>
        <w:pStyle w:val="BodyText1"/>
      </w:pPr>
      <w:r w:rsidRPr="00651ACD">
        <w:t xml:space="preserve">The department operates in a complex, </w:t>
      </w:r>
      <w:r w:rsidR="00D50CE7" w:rsidRPr="00651ACD">
        <w:t>interconnected,</w:t>
      </w:r>
      <w:r w:rsidRPr="00651ACD">
        <w:t xml:space="preserve"> and evolving environment that presents both challenges and opportunities. Our success is contingent on our ability to anticipate, adapt and respond to the changing environment. Our focus is on supporting individuals, families and vulnerable members of Australian communities using person-centred approaches. We use our networks, </w:t>
      </w:r>
      <w:r w:rsidR="00D50CE7" w:rsidRPr="00651ACD">
        <w:t>partnerships,</w:t>
      </w:r>
      <w:r w:rsidRPr="00651ACD">
        <w:t xml:space="preserve"> and expertise to inform mainstream policy and programs, legislative and structural </w:t>
      </w:r>
      <w:r w:rsidR="00A925E9" w:rsidRPr="00651ACD">
        <w:t>reform,</w:t>
      </w:r>
      <w:r w:rsidRPr="00651ACD">
        <w:t xml:space="preserve"> and funding of priority programs.</w:t>
      </w:r>
    </w:p>
    <w:p w14:paraId="5799AC67" w14:textId="1D4FB9D0" w:rsidR="008211D1" w:rsidRDefault="003576E4" w:rsidP="006E46C3">
      <w:pPr>
        <w:pStyle w:val="BodyText1"/>
      </w:pPr>
      <w:r>
        <w:t>T</w:t>
      </w:r>
      <w:r w:rsidR="0025013F" w:rsidRPr="00651ACD">
        <w:t xml:space="preserve">he department operates across all </w:t>
      </w:r>
      <w:r w:rsidR="0025013F" w:rsidRPr="003201B8">
        <w:t>Australian states and territories, with</w:t>
      </w:r>
      <w:r w:rsidR="008D7228" w:rsidRPr="003201B8">
        <w:t xml:space="preserve"> an annual</w:t>
      </w:r>
      <w:r>
        <w:t xml:space="preserve"> staffing level around</w:t>
      </w:r>
      <w:r w:rsidR="008D7228" w:rsidRPr="003201B8">
        <w:t xml:space="preserve"> 3,000</w:t>
      </w:r>
      <w:r w:rsidR="0025013F" w:rsidRPr="003201B8">
        <w:t xml:space="preserve"> personnel. The department </w:t>
      </w:r>
      <w:r w:rsidR="00582EF1">
        <w:t>has staff located in</w:t>
      </w:r>
      <w:r w:rsidR="0025013F" w:rsidRPr="003201B8">
        <w:t xml:space="preserve"> 19 sites</w:t>
      </w:r>
      <w:r w:rsidR="00805832" w:rsidRPr="003201B8">
        <w:t xml:space="preserve"> </w:t>
      </w:r>
      <w:r w:rsidR="0025013F" w:rsidRPr="003201B8">
        <w:t>across Australia</w:t>
      </w:r>
      <w:r>
        <w:t xml:space="preserve"> of which</w:t>
      </w:r>
      <w:r w:rsidR="0025013F" w:rsidRPr="003201B8">
        <w:t xml:space="preserve"> ten properties </w:t>
      </w:r>
      <w:r w:rsidR="00307464">
        <w:t xml:space="preserve">are </w:t>
      </w:r>
      <w:r w:rsidR="0025013F" w:rsidRPr="003201B8">
        <w:t>leased directly</w:t>
      </w:r>
      <w:r w:rsidR="003F7DD7">
        <w:t xml:space="preserve">. </w:t>
      </w:r>
      <w:r w:rsidR="000375C0">
        <w:t xml:space="preserve">Leasing and facilities management </w:t>
      </w:r>
      <w:r w:rsidR="00AA4194">
        <w:t xml:space="preserve">activities are </w:t>
      </w:r>
      <w:r w:rsidR="000375C0">
        <w:t xml:space="preserve">managed under the </w:t>
      </w:r>
      <w:r w:rsidR="000375C0">
        <w:rPr>
          <w:rFonts w:eastAsia="Times New Roman"/>
        </w:rPr>
        <w:t xml:space="preserve">Whole of </w:t>
      </w:r>
      <w:r w:rsidR="006A7734">
        <w:rPr>
          <w:rFonts w:eastAsia="Times New Roman"/>
        </w:rPr>
        <w:t xml:space="preserve">Australian </w:t>
      </w:r>
      <w:r w:rsidR="000375C0">
        <w:rPr>
          <w:rFonts w:eastAsia="Times New Roman"/>
        </w:rPr>
        <w:t>Government Property Services Coordinated Procurement Arrangements.</w:t>
      </w:r>
      <w:r w:rsidR="003F7DD7" w:rsidRPr="003F7DD7">
        <w:t xml:space="preserve"> </w:t>
      </w:r>
    </w:p>
    <w:p w14:paraId="0C245B7E" w14:textId="68029EBA" w:rsidR="0025013F" w:rsidRPr="003E7D91" w:rsidRDefault="003F7DD7" w:rsidP="006E46C3">
      <w:pPr>
        <w:pStyle w:val="BodyText1"/>
        <w:rPr>
          <w:sz w:val="20"/>
          <w:szCs w:val="20"/>
        </w:rPr>
      </w:pPr>
      <w:r>
        <w:t xml:space="preserve">The department has staff located in </w:t>
      </w:r>
      <w:r w:rsidRPr="003201B8">
        <w:t xml:space="preserve">nine properties which are sub-leased from other Government departments under Memorandum of Understanding (MoU) agreements. </w:t>
      </w:r>
      <w:r>
        <w:t>The department does not have operational control of MoU properties.</w:t>
      </w:r>
      <w:r w:rsidR="003E7D91" w:rsidRPr="00A51AD1">
        <w:t xml:space="preserve"> </w:t>
      </w:r>
      <w:r w:rsidR="00057933" w:rsidRPr="00A51AD1">
        <w:t>The Domestic, Family and Sexual Violence Commission</w:t>
      </w:r>
      <w:r w:rsidR="00643B20">
        <w:t xml:space="preserve"> </w:t>
      </w:r>
      <w:r w:rsidR="00057933" w:rsidRPr="00A51AD1">
        <w:t>is located within the department</w:t>
      </w:r>
      <w:r w:rsidR="00057933">
        <w:t>’s</w:t>
      </w:r>
      <w:r w:rsidR="00057933" w:rsidRPr="00A51AD1">
        <w:t xml:space="preserve"> tenancies and their property-related emissions are included in the department’s emissions.</w:t>
      </w:r>
    </w:p>
    <w:p w14:paraId="53C71636" w14:textId="25EFB694" w:rsidR="00E0745C" w:rsidRPr="00E0745C" w:rsidRDefault="00E0745C" w:rsidP="006E46C3">
      <w:pPr>
        <w:pStyle w:val="BodyText1"/>
      </w:pPr>
      <w:r w:rsidRPr="003201B8">
        <w:t xml:space="preserve">The department operates a small fleet of </w:t>
      </w:r>
      <w:r w:rsidR="000E018C" w:rsidRPr="003201B8">
        <w:t xml:space="preserve">25 leased </w:t>
      </w:r>
      <w:r w:rsidRPr="003201B8">
        <w:t>vehicles to support the delivery</w:t>
      </w:r>
      <w:r w:rsidRPr="00E0745C">
        <w:t xml:space="preserve"> of services across all Australian states and territories</w:t>
      </w:r>
      <w:r w:rsidR="00946843">
        <w:t xml:space="preserve">, of which 8 are </w:t>
      </w:r>
      <w:r w:rsidR="006A7734">
        <w:t>Zero Emission Vehicles (</w:t>
      </w:r>
      <w:r w:rsidR="00946843">
        <w:t>ZEVs</w:t>
      </w:r>
      <w:r w:rsidR="006A7734">
        <w:t>)</w:t>
      </w:r>
      <w:r w:rsidR="00946843">
        <w:t xml:space="preserve"> and 7 are </w:t>
      </w:r>
      <w:r w:rsidR="006A7734">
        <w:t>Low Emission Vehicles (</w:t>
      </w:r>
      <w:r w:rsidR="00946843">
        <w:t>LEVs</w:t>
      </w:r>
      <w:r w:rsidR="006A7734">
        <w:t>)</w:t>
      </w:r>
      <w:r w:rsidR="00946843">
        <w:t>.</w:t>
      </w:r>
    </w:p>
    <w:p w14:paraId="6D9E17EF" w14:textId="380B84CD" w:rsidR="0025013F" w:rsidRPr="00FC1612" w:rsidRDefault="00FC1612" w:rsidP="006E46C3">
      <w:pPr>
        <w:pStyle w:val="BodyText1"/>
        <w:rPr>
          <w:lang w:eastAsia="en-AU"/>
        </w:rPr>
      </w:pPr>
      <w:r w:rsidRPr="00F74709">
        <w:rPr>
          <w:lang w:eastAsia="en-AU"/>
        </w:rPr>
        <w:t xml:space="preserve">The provision of information technology and communication services including </w:t>
      </w:r>
      <w:r w:rsidR="000375C0">
        <w:rPr>
          <w:lang w:eastAsia="en-AU"/>
        </w:rPr>
        <w:t xml:space="preserve">infrastructure, </w:t>
      </w:r>
      <w:r w:rsidRPr="00F74709">
        <w:rPr>
          <w:lang w:eastAsia="en-AU"/>
        </w:rPr>
        <w:t xml:space="preserve">support, and maintenance of equipment, </w:t>
      </w:r>
      <w:r w:rsidR="000375C0">
        <w:rPr>
          <w:lang w:eastAsia="en-AU"/>
        </w:rPr>
        <w:t xml:space="preserve">is </w:t>
      </w:r>
      <w:r w:rsidRPr="00F74709">
        <w:rPr>
          <w:lang w:eastAsia="en-AU"/>
        </w:rPr>
        <w:t>provided by Services Australia</w:t>
      </w:r>
      <w:r w:rsidR="000375C0">
        <w:rPr>
          <w:lang w:eastAsia="en-AU"/>
        </w:rPr>
        <w:t xml:space="preserve"> under a shared services arrangement</w:t>
      </w:r>
      <w:r w:rsidRPr="00F74709">
        <w:rPr>
          <w:lang w:eastAsia="en-AU"/>
        </w:rPr>
        <w:t xml:space="preserve">. </w:t>
      </w:r>
    </w:p>
    <w:p w14:paraId="2B5B3C79" w14:textId="77E31C59" w:rsidR="00592568" w:rsidRPr="00592568" w:rsidRDefault="00592568" w:rsidP="006E46C3">
      <w:pPr>
        <w:pStyle w:val="BodyText1"/>
      </w:pPr>
      <w:r w:rsidRPr="00592568">
        <w:t xml:space="preserve">All procurement is undertaken in accordance with the Commonwealth Procurement Rules (CPRs). </w:t>
      </w:r>
      <w:r w:rsidR="003201B8">
        <w:t xml:space="preserve">As </w:t>
      </w:r>
      <w:proofErr w:type="gramStart"/>
      <w:r w:rsidR="003201B8">
        <w:t>at</w:t>
      </w:r>
      <w:proofErr w:type="gramEnd"/>
      <w:r w:rsidR="003201B8">
        <w:t xml:space="preserve"> 30 April 2024, </w:t>
      </w:r>
      <w:r w:rsidRPr="00592568">
        <w:t xml:space="preserve">the department entered </w:t>
      </w:r>
      <w:r w:rsidRPr="003201B8">
        <w:t xml:space="preserve">into 311 contracts with a total estimated value of $109 </w:t>
      </w:r>
      <w:r w:rsidR="003B1CA7">
        <w:t>m</w:t>
      </w:r>
      <w:r w:rsidRPr="003201B8">
        <w:t>illion.</w:t>
      </w:r>
      <w:r>
        <w:t xml:space="preserve"> </w:t>
      </w:r>
    </w:p>
    <w:p w14:paraId="177329A8" w14:textId="77777777" w:rsidR="008F4E95" w:rsidRDefault="00622D25" w:rsidP="006E46C3">
      <w:pPr>
        <w:pStyle w:val="BodyText1"/>
      </w:pPr>
      <w:r w:rsidRPr="00622D25">
        <w:t xml:space="preserve">All departmental travel is undertaken utilising the Whole of Government Travel Arrangements which includes travel management services, domestic and international air travel services, domestic accommodation, domestic vehicle rental services and travel and procurement payment services. </w:t>
      </w:r>
    </w:p>
    <w:p w14:paraId="75D15F60" w14:textId="1E8367F0" w:rsidR="00745708" w:rsidRDefault="00622D25" w:rsidP="006E46C3">
      <w:pPr>
        <w:pStyle w:val="BodyText1"/>
      </w:pPr>
      <w:r w:rsidRPr="00622D25">
        <w:t xml:space="preserve">For the </w:t>
      </w:r>
      <w:r w:rsidR="003201B8">
        <w:t xml:space="preserve">full </w:t>
      </w:r>
      <w:r w:rsidRPr="00622D25">
        <w:t xml:space="preserve">financial </w:t>
      </w:r>
      <w:r w:rsidRPr="00371608">
        <w:t xml:space="preserve">year </w:t>
      </w:r>
      <w:r w:rsidR="00E90EC1" w:rsidRPr="00371608">
        <w:t>20</w:t>
      </w:r>
      <w:r w:rsidRPr="00371608">
        <w:t xml:space="preserve">22-23, the department undertook 2,604 </w:t>
      </w:r>
      <w:r w:rsidR="006A7734">
        <w:t xml:space="preserve">domestic and international </w:t>
      </w:r>
      <w:r w:rsidRPr="00371608">
        <w:t xml:space="preserve">trips and </w:t>
      </w:r>
      <w:r w:rsidR="00371608" w:rsidRPr="00371608">
        <w:t xml:space="preserve">as </w:t>
      </w:r>
      <w:proofErr w:type="gramStart"/>
      <w:r w:rsidR="00371608" w:rsidRPr="00371608">
        <w:t>at</w:t>
      </w:r>
      <w:proofErr w:type="gramEnd"/>
      <w:r w:rsidR="00371608" w:rsidRPr="00371608">
        <w:t xml:space="preserve"> 30 April 2024</w:t>
      </w:r>
      <w:r w:rsidRPr="00371608">
        <w:t>, the department has undertaken 2,770 trips.</w:t>
      </w:r>
    </w:p>
    <w:p w14:paraId="5A5F4AAE" w14:textId="77777777" w:rsidR="00A5636B" w:rsidRDefault="00A5636B" w:rsidP="006E46C3">
      <w:pPr>
        <w:pStyle w:val="BodyText1"/>
      </w:pPr>
    </w:p>
    <w:p w14:paraId="06AC2559" w14:textId="783C24C8" w:rsidR="00913614" w:rsidRDefault="00913614" w:rsidP="00C71702">
      <w:pPr>
        <w:pStyle w:val="Heading3"/>
        <w:numPr>
          <w:ilvl w:val="0"/>
          <w:numId w:val="0"/>
        </w:numPr>
      </w:pPr>
      <w:bookmarkStart w:id="16" w:name="_Toc173487276"/>
      <w:r>
        <w:t xml:space="preserve">Baseline </w:t>
      </w:r>
      <w:r w:rsidR="006A7734">
        <w:t>e</w:t>
      </w:r>
      <w:r>
        <w:t>missions</w:t>
      </w:r>
      <w:bookmarkEnd w:id="16"/>
    </w:p>
    <w:p w14:paraId="0C03F2EE" w14:textId="365BF568" w:rsidR="0023442A" w:rsidRDefault="0023442A" w:rsidP="006E46C3">
      <w:pPr>
        <w:pStyle w:val="BodyText1"/>
      </w:pPr>
      <w:r w:rsidRPr="003476E2">
        <w:t xml:space="preserve">Baseline emissions are a record of greenhouse gasses that have been produced in the past and were produced prior to the introduction of any strategies to reduce emissions. The baseline emissions </w:t>
      </w:r>
      <w:r w:rsidR="006A7734" w:rsidRPr="006A7734">
        <w:t xml:space="preserve">from financial year 2022-23 </w:t>
      </w:r>
      <w:r w:rsidRPr="003476E2">
        <w:t>are the reference point against which emissions reduction</w:t>
      </w:r>
      <w:r w:rsidR="006A7734">
        <w:t xml:space="preserve"> actions</w:t>
      </w:r>
      <w:r w:rsidRPr="003476E2">
        <w:t xml:space="preserve"> can be measured.</w:t>
      </w:r>
    </w:p>
    <w:p w14:paraId="2D4D3162" w14:textId="59BF8CB2" w:rsidR="00DB560D" w:rsidRPr="003476E2" w:rsidRDefault="006A7734" w:rsidP="00DB560D">
      <w:pPr>
        <w:pStyle w:val="BodyText1"/>
      </w:pPr>
      <w:r w:rsidRPr="006A7734">
        <w:t xml:space="preserve">The baseline emissions for this plan focus on scope 1 and scope 2 emissions, consistent with the APS Net Zero 2030 target. Electricity-related emissions were calculated using the location-based method. </w:t>
      </w:r>
      <w:r w:rsidR="00396D21">
        <w:br/>
      </w:r>
      <w:r w:rsidRPr="006A7734">
        <w:t xml:space="preserve">The complete 2022-23 greenhouse gas emissions inventory tables for </w:t>
      </w:r>
      <w:r>
        <w:t>the department</w:t>
      </w:r>
      <w:r w:rsidRPr="006A7734">
        <w:t xml:space="preserve"> are presented in our 2022-23 annual report.</w:t>
      </w:r>
      <w:r w:rsidR="00DB560D">
        <w:t xml:space="preserve"> </w:t>
      </w:r>
      <w:r w:rsidR="00DB560D" w:rsidRPr="00B6415C">
        <w:t>Amendments made to 20</w:t>
      </w:r>
      <w:r w:rsidR="00DB560D">
        <w:t>22</w:t>
      </w:r>
      <w:r w:rsidR="00DB560D" w:rsidRPr="00B6415C">
        <w:t>-</w:t>
      </w:r>
      <w:r w:rsidR="00DB560D">
        <w:t>23</w:t>
      </w:r>
      <w:r w:rsidR="00DB560D" w:rsidRPr="00B6415C">
        <w:t xml:space="preserve"> emissions data can be found </w:t>
      </w:r>
      <w:r w:rsidR="00DB560D">
        <w:t xml:space="preserve">on </w:t>
      </w:r>
      <w:r w:rsidR="00071319">
        <w:t>the department’s</w:t>
      </w:r>
      <w:r w:rsidR="00DB560D">
        <w:t xml:space="preserve"> website</w:t>
      </w:r>
      <w:r w:rsidR="00DB560D" w:rsidRPr="00B6415C">
        <w:t>. Enhancements to the amendments reporting process is being investigated for future reporting years.</w:t>
      </w:r>
    </w:p>
    <w:p w14:paraId="76B4B9DF" w14:textId="5F499B30" w:rsidR="006A7734" w:rsidRPr="003476E2" w:rsidRDefault="0023442A" w:rsidP="006E46C3">
      <w:pPr>
        <w:pStyle w:val="BodyText1"/>
      </w:pPr>
      <w:r w:rsidRPr="003476E2">
        <w:t xml:space="preserve">The greenhouse gas emissions below are presented in </w:t>
      </w:r>
      <w:r w:rsidR="006232B9" w:rsidRPr="00653C3B">
        <w:t>Kilograms</w:t>
      </w:r>
      <w:r w:rsidRPr="00653C3B">
        <w:t xml:space="preserve"> of Carbon Dioxide Equivalents (</w:t>
      </w:r>
      <w:r w:rsidR="006232B9" w:rsidRPr="00653C3B">
        <w:t>Kg</w:t>
      </w:r>
      <w:r w:rsidR="00653C3B" w:rsidRPr="00653C3B">
        <w:t xml:space="preserve"> </w:t>
      </w:r>
      <w:r w:rsidRPr="00653C3B">
        <w:t>CO</w:t>
      </w:r>
      <w:r w:rsidRPr="00653C3B">
        <w:rPr>
          <w:vertAlign w:val="subscript"/>
        </w:rPr>
        <w:t>2</w:t>
      </w:r>
      <w:r w:rsidRPr="00653C3B">
        <w:t>e).</w:t>
      </w:r>
    </w:p>
    <w:p w14:paraId="133C125E" w14:textId="3A5F7F3A" w:rsidR="0023442A" w:rsidRDefault="0023442A" w:rsidP="0023442A">
      <w:pPr>
        <w:pStyle w:val="TableChartheading"/>
      </w:pPr>
      <w:r w:rsidRPr="00B83D75">
        <w:lastRenderedPageBreak/>
        <w:t>Department of Social Services Greenhouse Gas Emissions – Location-based method</w:t>
      </w:r>
      <w:r w:rsidR="00491EF8">
        <w:t xml:space="preserve"> 2022-23</w:t>
      </w:r>
      <w:r w:rsidR="00747640">
        <w:t xml:space="preserve"> </w:t>
      </w:r>
      <w:r w:rsidR="00640D14">
        <w:t>(Amended)</w:t>
      </w:r>
      <w:r w:rsidR="00284DF5">
        <w:rPr>
          <w:rStyle w:val="FootnoteReference"/>
        </w:rPr>
        <w:footnoteReference w:id="1"/>
      </w:r>
    </w:p>
    <w:tbl>
      <w:tblPr>
        <w:tblStyle w:val="DSSDatatablestyle"/>
        <w:tblW w:w="5000" w:type="pct"/>
        <w:tblLook w:val="04E0" w:firstRow="1" w:lastRow="1" w:firstColumn="1" w:lastColumn="0" w:noHBand="0" w:noVBand="1"/>
      </w:tblPr>
      <w:tblGrid>
        <w:gridCol w:w="2551"/>
        <w:gridCol w:w="2551"/>
        <w:gridCol w:w="2551"/>
        <w:gridCol w:w="2551"/>
      </w:tblGrid>
      <w:tr w:rsidR="00DB560D" w:rsidRPr="000D7AF6" w14:paraId="5147338D" w14:textId="77777777" w:rsidTr="00FF1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9412379" w14:textId="38F26CEF" w:rsidR="00DB560D" w:rsidRPr="000D7AF6" w:rsidRDefault="00DB560D" w:rsidP="00DB560D">
            <w:pPr>
              <w:pStyle w:val="Tablebodytext"/>
            </w:pPr>
            <w:r w:rsidRPr="000817E8">
              <w:t>Emission Source</w:t>
            </w:r>
          </w:p>
        </w:tc>
        <w:tc>
          <w:tcPr>
            <w:tcW w:w="1250" w:type="pct"/>
          </w:tcPr>
          <w:p w14:paraId="72A690EF" w14:textId="77777777" w:rsidR="00B71C5A" w:rsidRDefault="00DB560D" w:rsidP="00DB560D">
            <w:pPr>
              <w:pStyle w:val="Tablebodytext"/>
              <w:cnfStyle w:val="100000000000" w:firstRow="1" w:lastRow="0" w:firstColumn="0" w:lastColumn="0" w:oddVBand="0" w:evenVBand="0" w:oddHBand="0" w:evenHBand="0" w:firstRowFirstColumn="0" w:firstRowLastColumn="0" w:lastRowFirstColumn="0" w:lastRowLastColumn="0"/>
              <w:rPr>
                <w:b w:val="0"/>
              </w:rPr>
            </w:pPr>
            <w:r w:rsidRPr="000817E8">
              <w:t xml:space="preserve">Scope 1 </w:t>
            </w:r>
          </w:p>
          <w:p w14:paraId="142ECA5E" w14:textId="6832745A" w:rsidR="00DB560D" w:rsidRPr="000D7AF6" w:rsidRDefault="00DB560D" w:rsidP="00DB560D">
            <w:pPr>
              <w:pStyle w:val="Tablebodytext"/>
              <w:cnfStyle w:val="100000000000" w:firstRow="1" w:lastRow="0" w:firstColumn="0" w:lastColumn="0" w:oddVBand="0" w:evenVBand="0" w:oddHBand="0" w:evenHBand="0" w:firstRowFirstColumn="0" w:firstRowLastColumn="0" w:lastRowFirstColumn="0" w:lastRowLastColumn="0"/>
            </w:pPr>
            <w:r w:rsidRPr="000817E8">
              <w:t>kg CO</w:t>
            </w:r>
            <w:r w:rsidRPr="00DB560D">
              <w:rPr>
                <w:vertAlign w:val="subscript"/>
              </w:rPr>
              <w:t>2</w:t>
            </w:r>
            <w:r w:rsidRPr="000817E8">
              <w:t>-e</w:t>
            </w:r>
          </w:p>
        </w:tc>
        <w:tc>
          <w:tcPr>
            <w:tcW w:w="1250" w:type="pct"/>
          </w:tcPr>
          <w:p w14:paraId="4F6868A1" w14:textId="77777777" w:rsidR="00B71C5A" w:rsidRDefault="00DB560D" w:rsidP="00DB560D">
            <w:pPr>
              <w:pStyle w:val="Tablebodytext"/>
              <w:cnfStyle w:val="100000000000" w:firstRow="1" w:lastRow="0" w:firstColumn="0" w:lastColumn="0" w:oddVBand="0" w:evenVBand="0" w:oddHBand="0" w:evenHBand="0" w:firstRowFirstColumn="0" w:firstRowLastColumn="0" w:lastRowFirstColumn="0" w:lastRowLastColumn="0"/>
              <w:rPr>
                <w:b w:val="0"/>
              </w:rPr>
            </w:pPr>
            <w:r w:rsidRPr="000817E8">
              <w:t xml:space="preserve">Scope 2 </w:t>
            </w:r>
          </w:p>
          <w:p w14:paraId="0607BCA6" w14:textId="13B2DA2B" w:rsidR="00DB560D" w:rsidRPr="000D7AF6" w:rsidRDefault="00DB560D" w:rsidP="00DB560D">
            <w:pPr>
              <w:pStyle w:val="Tablebodytext"/>
              <w:cnfStyle w:val="100000000000" w:firstRow="1" w:lastRow="0" w:firstColumn="0" w:lastColumn="0" w:oddVBand="0" w:evenVBand="0" w:oddHBand="0" w:evenHBand="0" w:firstRowFirstColumn="0" w:firstRowLastColumn="0" w:lastRowFirstColumn="0" w:lastRowLastColumn="0"/>
            </w:pPr>
            <w:r w:rsidRPr="000817E8">
              <w:t>kg CO</w:t>
            </w:r>
            <w:r w:rsidRPr="00DB560D">
              <w:rPr>
                <w:vertAlign w:val="subscript"/>
              </w:rPr>
              <w:t>2</w:t>
            </w:r>
            <w:r w:rsidRPr="000817E8">
              <w:t>-e</w:t>
            </w:r>
          </w:p>
        </w:tc>
        <w:tc>
          <w:tcPr>
            <w:tcW w:w="1250" w:type="pct"/>
          </w:tcPr>
          <w:p w14:paraId="71DCD896" w14:textId="77777777" w:rsidR="00DB560D" w:rsidRPr="000F78A3" w:rsidRDefault="00DB560D" w:rsidP="00DB560D">
            <w:pPr>
              <w:pStyle w:val="Tablebodytext"/>
              <w:cnfStyle w:val="100000000000" w:firstRow="1" w:lastRow="0" w:firstColumn="0" w:lastColumn="0" w:oddVBand="0" w:evenVBand="0" w:oddHBand="0" w:evenHBand="0" w:firstRowFirstColumn="0" w:firstRowLastColumn="0" w:lastRowFirstColumn="0" w:lastRowLastColumn="0"/>
            </w:pPr>
            <w:r w:rsidRPr="000F78A3">
              <w:t xml:space="preserve">Total </w:t>
            </w:r>
          </w:p>
          <w:p w14:paraId="406DD9BE" w14:textId="524F37EC" w:rsidR="00DB560D" w:rsidRPr="000F78A3" w:rsidRDefault="00DB560D" w:rsidP="00DB560D">
            <w:pPr>
              <w:pStyle w:val="Tablebodytext"/>
              <w:cnfStyle w:val="100000000000" w:firstRow="1" w:lastRow="0" w:firstColumn="0" w:lastColumn="0" w:oddVBand="0" w:evenVBand="0" w:oddHBand="0" w:evenHBand="0" w:firstRowFirstColumn="0" w:firstRowLastColumn="0" w:lastRowFirstColumn="0" w:lastRowLastColumn="0"/>
            </w:pPr>
            <w:r w:rsidRPr="000F78A3">
              <w:t>kg CO</w:t>
            </w:r>
            <w:r w:rsidRPr="00C3767F">
              <w:rPr>
                <w:vertAlign w:val="subscript"/>
              </w:rPr>
              <w:t>2</w:t>
            </w:r>
            <w:r w:rsidR="00B71C5A">
              <w:rPr>
                <w:vertAlign w:val="subscript"/>
              </w:rPr>
              <w:t>-</w:t>
            </w:r>
            <w:r w:rsidRPr="000F78A3">
              <w:t>e</w:t>
            </w:r>
          </w:p>
        </w:tc>
      </w:tr>
      <w:tr w:rsidR="00DB560D" w:rsidRPr="000D7AF6" w14:paraId="3108EE02" w14:textId="77777777" w:rsidTr="00FF1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39186C9" w14:textId="42E7C617" w:rsidR="00DB560D" w:rsidRPr="000D7AF6" w:rsidRDefault="00DB560D" w:rsidP="00DB560D">
            <w:pPr>
              <w:pStyle w:val="Tablebodytext"/>
            </w:pPr>
            <w:r w:rsidRPr="000817E8">
              <w:t>Electricity (Location Based Approach)</w:t>
            </w:r>
          </w:p>
        </w:tc>
        <w:tc>
          <w:tcPr>
            <w:tcW w:w="1250" w:type="pct"/>
          </w:tcPr>
          <w:p w14:paraId="70EC8956" w14:textId="38231C59" w:rsidR="00DB560D" w:rsidRPr="007F4F19" w:rsidRDefault="00DB560D" w:rsidP="00DB560D">
            <w:pPr>
              <w:pStyle w:val="Tablebodytext"/>
              <w:cnfStyle w:val="000000100000" w:firstRow="0" w:lastRow="0" w:firstColumn="0" w:lastColumn="0" w:oddVBand="0" w:evenVBand="0" w:oddHBand="1" w:evenHBand="0" w:firstRowFirstColumn="0" w:firstRowLastColumn="0" w:lastRowFirstColumn="0" w:lastRowLastColumn="0"/>
              <w:rPr>
                <w:b/>
              </w:rPr>
            </w:pPr>
            <w:r w:rsidRPr="000817E8">
              <w:t xml:space="preserve"> N/A </w:t>
            </w:r>
          </w:p>
        </w:tc>
        <w:tc>
          <w:tcPr>
            <w:tcW w:w="1250" w:type="pct"/>
          </w:tcPr>
          <w:p w14:paraId="3D5D8A8C" w14:textId="3A023503" w:rsidR="00DB560D" w:rsidRPr="007F4F19" w:rsidRDefault="00DB560D" w:rsidP="00DB560D">
            <w:pPr>
              <w:pStyle w:val="Tablebodytext"/>
              <w:cnfStyle w:val="000000100000" w:firstRow="0" w:lastRow="0" w:firstColumn="0" w:lastColumn="0" w:oddVBand="0" w:evenVBand="0" w:oddHBand="1" w:evenHBand="0" w:firstRowFirstColumn="0" w:firstRowLastColumn="0" w:lastRowFirstColumn="0" w:lastRowLastColumn="0"/>
              <w:rPr>
                <w:b/>
              </w:rPr>
            </w:pPr>
            <w:r w:rsidRPr="000817E8">
              <w:t xml:space="preserve"> 1,471,920 </w:t>
            </w:r>
          </w:p>
        </w:tc>
        <w:tc>
          <w:tcPr>
            <w:tcW w:w="1250" w:type="pct"/>
          </w:tcPr>
          <w:p w14:paraId="489902B0" w14:textId="2667187F" w:rsidR="00DB560D" w:rsidRPr="00BA1585" w:rsidRDefault="00DB560D" w:rsidP="00DB560D">
            <w:pPr>
              <w:pStyle w:val="Tablebodytext"/>
              <w:cnfStyle w:val="000000100000" w:firstRow="0" w:lastRow="0" w:firstColumn="0" w:lastColumn="0" w:oddVBand="0" w:evenVBand="0" w:oddHBand="1" w:evenHBand="0" w:firstRowFirstColumn="0" w:firstRowLastColumn="0" w:lastRowFirstColumn="0" w:lastRowLastColumn="0"/>
              <w:rPr>
                <w:b/>
                <w:bCs w:val="0"/>
              </w:rPr>
            </w:pPr>
            <w:r w:rsidRPr="00BA1585">
              <w:rPr>
                <w:b/>
                <w:bCs w:val="0"/>
              </w:rPr>
              <w:t>1,471,920</w:t>
            </w:r>
          </w:p>
        </w:tc>
      </w:tr>
      <w:tr w:rsidR="00DB560D" w:rsidRPr="000D7AF6" w14:paraId="472BA870" w14:textId="77777777" w:rsidTr="00FF1A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E9F94EC" w14:textId="1D01F97A" w:rsidR="00DB560D" w:rsidRPr="000D7AF6" w:rsidRDefault="00DB560D" w:rsidP="00DB560D">
            <w:pPr>
              <w:pStyle w:val="Tablebodytext"/>
            </w:pPr>
            <w:r w:rsidRPr="000817E8">
              <w:t>Natural Gas</w:t>
            </w:r>
          </w:p>
        </w:tc>
        <w:tc>
          <w:tcPr>
            <w:tcW w:w="1250" w:type="pct"/>
          </w:tcPr>
          <w:p w14:paraId="0B21058B" w14:textId="120FFF47" w:rsidR="00DB560D" w:rsidRPr="007F4F19" w:rsidRDefault="00DB560D" w:rsidP="00DB560D">
            <w:pPr>
              <w:pStyle w:val="Tablebodytext"/>
              <w:cnfStyle w:val="000000010000" w:firstRow="0" w:lastRow="0" w:firstColumn="0" w:lastColumn="0" w:oddVBand="0" w:evenVBand="0" w:oddHBand="0" w:evenHBand="1" w:firstRowFirstColumn="0" w:firstRowLastColumn="0" w:lastRowFirstColumn="0" w:lastRowLastColumn="0"/>
            </w:pPr>
            <w:r w:rsidRPr="000817E8">
              <w:t xml:space="preserve"> - </w:t>
            </w:r>
          </w:p>
        </w:tc>
        <w:tc>
          <w:tcPr>
            <w:tcW w:w="1250" w:type="pct"/>
          </w:tcPr>
          <w:p w14:paraId="0CDE56E1" w14:textId="296D6DCF" w:rsidR="00DB560D" w:rsidRPr="007F4F19" w:rsidRDefault="00DB560D" w:rsidP="00DB560D">
            <w:pPr>
              <w:pStyle w:val="Tablebodytext"/>
              <w:cnfStyle w:val="000000010000" w:firstRow="0" w:lastRow="0" w:firstColumn="0" w:lastColumn="0" w:oddVBand="0" w:evenVBand="0" w:oddHBand="0" w:evenHBand="1" w:firstRowFirstColumn="0" w:firstRowLastColumn="0" w:lastRowFirstColumn="0" w:lastRowLastColumn="0"/>
              <w:rPr>
                <w:b/>
              </w:rPr>
            </w:pPr>
            <w:r w:rsidRPr="000817E8">
              <w:t xml:space="preserve"> N/A </w:t>
            </w:r>
          </w:p>
        </w:tc>
        <w:tc>
          <w:tcPr>
            <w:tcW w:w="1250" w:type="pct"/>
          </w:tcPr>
          <w:p w14:paraId="48B79DC0" w14:textId="6B3DA010" w:rsidR="00DB560D" w:rsidRPr="00BA1585" w:rsidRDefault="00DB560D" w:rsidP="00DB560D">
            <w:pPr>
              <w:pStyle w:val="Tablebodytext"/>
              <w:cnfStyle w:val="000000010000" w:firstRow="0" w:lastRow="0" w:firstColumn="0" w:lastColumn="0" w:oddVBand="0" w:evenVBand="0" w:oddHBand="0" w:evenHBand="1" w:firstRowFirstColumn="0" w:firstRowLastColumn="0" w:lastRowFirstColumn="0" w:lastRowLastColumn="0"/>
              <w:rPr>
                <w:b/>
                <w:bCs w:val="0"/>
              </w:rPr>
            </w:pPr>
            <w:r w:rsidRPr="00BA1585">
              <w:rPr>
                <w:b/>
                <w:bCs w:val="0"/>
              </w:rPr>
              <w:t>-</w:t>
            </w:r>
          </w:p>
        </w:tc>
      </w:tr>
      <w:tr w:rsidR="00DB560D" w:rsidRPr="000D7AF6" w14:paraId="1BB1D0E1" w14:textId="77777777" w:rsidTr="00FF1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0E9BAC9" w14:textId="1C265B3A" w:rsidR="00DB560D" w:rsidRPr="000D7AF6" w:rsidRDefault="00DB560D" w:rsidP="00DB560D">
            <w:pPr>
              <w:pStyle w:val="Tablebodytext"/>
            </w:pPr>
            <w:r w:rsidRPr="000817E8">
              <w:t>Fleet Vehicles</w:t>
            </w:r>
          </w:p>
        </w:tc>
        <w:tc>
          <w:tcPr>
            <w:tcW w:w="1250" w:type="pct"/>
          </w:tcPr>
          <w:p w14:paraId="51AF92A6" w14:textId="61C2A536" w:rsidR="00DB560D" w:rsidRPr="007F4F19" w:rsidRDefault="00DB560D" w:rsidP="00DB560D">
            <w:pPr>
              <w:pStyle w:val="Tablebodytext"/>
              <w:cnfStyle w:val="000000100000" w:firstRow="0" w:lastRow="0" w:firstColumn="0" w:lastColumn="0" w:oddVBand="0" w:evenVBand="0" w:oddHBand="1" w:evenHBand="0" w:firstRowFirstColumn="0" w:firstRowLastColumn="0" w:lastRowFirstColumn="0" w:lastRowLastColumn="0"/>
              <w:rPr>
                <w:b/>
              </w:rPr>
            </w:pPr>
            <w:r w:rsidRPr="000817E8">
              <w:t xml:space="preserve">18,793 </w:t>
            </w:r>
          </w:p>
        </w:tc>
        <w:tc>
          <w:tcPr>
            <w:tcW w:w="1250" w:type="pct"/>
          </w:tcPr>
          <w:p w14:paraId="5799DE38" w14:textId="4A9F8C73" w:rsidR="00DB560D" w:rsidRPr="007F4F19" w:rsidRDefault="00DB560D" w:rsidP="00DB560D">
            <w:pPr>
              <w:pStyle w:val="Tablebodytext"/>
              <w:cnfStyle w:val="000000100000" w:firstRow="0" w:lastRow="0" w:firstColumn="0" w:lastColumn="0" w:oddVBand="0" w:evenVBand="0" w:oddHBand="1" w:evenHBand="0" w:firstRowFirstColumn="0" w:firstRowLastColumn="0" w:lastRowFirstColumn="0" w:lastRowLastColumn="0"/>
              <w:rPr>
                <w:b/>
              </w:rPr>
            </w:pPr>
            <w:r w:rsidRPr="000817E8">
              <w:t xml:space="preserve"> N/A </w:t>
            </w:r>
          </w:p>
        </w:tc>
        <w:tc>
          <w:tcPr>
            <w:tcW w:w="1250" w:type="pct"/>
          </w:tcPr>
          <w:p w14:paraId="44EEE41C" w14:textId="7755D3AA" w:rsidR="00DB560D" w:rsidRPr="00BA1585" w:rsidRDefault="00DB560D" w:rsidP="00DB560D">
            <w:pPr>
              <w:pStyle w:val="Tablebodytext"/>
              <w:cnfStyle w:val="000000100000" w:firstRow="0" w:lastRow="0" w:firstColumn="0" w:lastColumn="0" w:oddVBand="0" w:evenVBand="0" w:oddHBand="1" w:evenHBand="0" w:firstRowFirstColumn="0" w:firstRowLastColumn="0" w:lastRowFirstColumn="0" w:lastRowLastColumn="0"/>
              <w:rPr>
                <w:b/>
                <w:bCs w:val="0"/>
              </w:rPr>
            </w:pPr>
            <w:r w:rsidRPr="00BA1585">
              <w:rPr>
                <w:b/>
                <w:bCs w:val="0"/>
              </w:rPr>
              <w:t>18,793</w:t>
            </w:r>
          </w:p>
        </w:tc>
      </w:tr>
      <w:tr w:rsidR="00DB560D" w:rsidRPr="00DB560D" w14:paraId="487EC9D4" w14:textId="77777777" w:rsidTr="00FF1A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D63B957" w14:textId="64C7A1EF" w:rsidR="00DB560D" w:rsidRPr="005C27E4" w:rsidRDefault="00DB560D" w:rsidP="00DB560D">
            <w:pPr>
              <w:pStyle w:val="Tablebodytext"/>
            </w:pPr>
            <w:r w:rsidRPr="000817E8">
              <w:t>Other Energy</w:t>
            </w:r>
          </w:p>
        </w:tc>
        <w:tc>
          <w:tcPr>
            <w:tcW w:w="1250" w:type="pct"/>
          </w:tcPr>
          <w:p w14:paraId="45CA082F" w14:textId="585C82E6" w:rsidR="00DB560D" w:rsidRPr="007F4F19" w:rsidRDefault="00DB560D" w:rsidP="00DB560D">
            <w:pPr>
              <w:pStyle w:val="Tablebodytext"/>
              <w:cnfStyle w:val="000000010000" w:firstRow="0" w:lastRow="0" w:firstColumn="0" w:lastColumn="0" w:oddVBand="0" w:evenVBand="0" w:oddHBand="0" w:evenHBand="1" w:firstRowFirstColumn="0" w:firstRowLastColumn="0" w:lastRowFirstColumn="0" w:lastRowLastColumn="0"/>
            </w:pPr>
            <w:r w:rsidRPr="000817E8">
              <w:t xml:space="preserve"> - </w:t>
            </w:r>
          </w:p>
        </w:tc>
        <w:tc>
          <w:tcPr>
            <w:tcW w:w="1250" w:type="pct"/>
          </w:tcPr>
          <w:p w14:paraId="72A8DB26" w14:textId="3058208A" w:rsidR="00DB560D" w:rsidRPr="007F4F19" w:rsidRDefault="00DB560D" w:rsidP="00DB560D">
            <w:pPr>
              <w:pStyle w:val="Tablebodytext"/>
              <w:cnfStyle w:val="000000010000" w:firstRow="0" w:lastRow="0" w:firstColumn="0" w:lastColumn="0" w:oddVBand="0" w:evenVBand="0" w:oddHBand="0" w:evenHBand="1" w:firstRowFirstColumn="0" w:firstRowLastColumn="0" w:lastRowFirstColumn="0" w:lastRowLastColumn="0"/>
            </w:pPr>
            <w:r w:rsidRPr="000817E8">
              <w:t xml:space="preserve"> N/A </w:t>
            </w:r>
          </w:p>
        </w:tc>
        <w:tc>
          <w:tcPr>
            <w:tcW w:w="1250" w:type="pct"/>
          </w:tcPr>
          <w:p w14:paraId="52EC261B" w14:textId="0C27B4ED" w:rsidR="00DB560D" w:rsidRPr="00BA1585" w:rsidRDefault="00DB560D" w:rsidP="00DB560D">
            <w:pPr>
              <w:pStyle w:val="Tablebodytext"/>
              <w:cnfStyle w:val="000000010000" w:firstRow="0" w:lastRow="0" w:firstColumn="0" w:lastColumn="0" w:oddVBand="0" w:evenVBand="0" w:oddHBand="0" w:evenHBand="1" w:firstRowFirstColumn="0" w:firstRowLastColumn="0" w:lastRowFirstColumn="0" w:lastRowLastColumn="0"/>
              <w:rPr>
                <w:b/>
                <w:bCs w:val="0"/>
              </w:rPr>
            </w:pPr>
            <w:r w:rsidRPr="00BA1585">
              <w:rPr>
                <w:b/>
                <w:bCs w:val="0"/>
              </w:rPr>
              <w:t>-</w:t>
            </w:r>
          </w:p>
        </w:tc>
      </w:tr>
      <w:tr w:rsidR="00DB560D" w:rsidRPr="00DB560D" w14:paraId="5FC0B3BC" w14:textId="77777777" w:rsidTr="00FF1A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894AC9D" w14:textId="7C8BCB84" w:rsidR="00DB560D" w:rsidRPr="000817E8" w:rsidRDefault="00DB560D" w:rsidP="00DB560D">
            <w:pPr>
              <w:pStyle w:val="Tablebodytext"/>
            </w:pPr>
            <w:r w:rsidRPr="0019220B">
              <w:t>Total kg CO2-e</w:t>
            </w:r>
          </w:p>
        </w:tc>
        <w:tc>
          <w:tcPr>
            <w:tcW w:w="1250" w:type="pct"/>
          </w:tcPr>
          <w:p w14:paraId="2AAEF17B" w14:textId="1A0B8CDA" w:rsidR="00DB560D" w:rsidRPr="000817E8" w:rsidRDefault="00DB560D" w:rsidP="00DB560D">
            <w:pPr>
              <w:pStyle w:val="Tablebodytext"/>
              <w:cnfStyle w:val="010000000000" w:firstRow="0" w:lastRow="1" w:firstColumn="0" w:lastColumn="0" w:oddVBand="0" w:evenVBand="0" w:oddHBand="0" w:evenHBand="0" w:firstRowFirstColumn="0" w:firstRowLastColumn="0" w:lastRowFirstColumn="0" w:lastRowLastColumn="0"/>
            </w:pPr>
            <w:r w:rsidRPr="0019220B">
              <w:t xml:space="preserve"> 18,793 </w:t>
            </w:r>
          </w:p>
        </w:tc>
        <w:tc>
          <w:tcPr>
            <w:tcW w:w="1250" w:type="pct"/>
          </w:tcPr>
          <w:p w14:paraId="1472CB7C" w14:textId="48275173" w:rsidR="00DB560D" w:rsidRPr="000817E8" w:rsidRDefault="00DB560D" w:rsidP="00DB560D">
            <w:pPr>
              <w:pStyle w:val="Tablebodytext"/>
              <w:cnfStyle w:val="010000000000" w:firstRow="0" w:lastRow="1" w:firstColumn="0" w:lastColumn="0" w:oddVBand="0" w:evenVBand="0" w:oddHBand="0" w:evenHBand="0" w:firstRowFirstColumn="0" w:firstRowLastColumn="0" w:lastRowFirstColumn="0" w:lastRowLastColumn="0"/>
            </w:pPr>
            <w:r w:rsidRPr="0019220B">
              <w:t xml:space="preserve"> 1,471,920 </w:t>
            </w:r>
          </w:p>
        </w:tc>
        <w:tc>
          <w:tcPr>
            <w:tcW w:w="1250" w:type="pct"/>
          </w:tcPr>
          <w:p w14:paraId="12F518AF" w14:textId="0CE8F581" w:rsidR="00DB560D" w:rsidRPr="00BA1585" w:rsidRDefault="00DB560D" w:rsidP="00DB560D">
            <w:pPr>
              <w:pStyle w:val="Tablebodytext"/>
              <w:cnfStyle w:val="010000000000" w:firstRow="0" w:lastRow="1" w:firstColumn="0" w:lastColumn="0" w:oddVBand="0" w:evenVBand="0" w:oddHBand="0" w:evenHBand="0" w:firstRowFirstColumn="0" w:firstRowLastColumn="0" w:lastRowFirstColumn="0" w:lastRowLastColumn="0"/>
              <w:rPr>
                <w:bCs w:val="0"/>
              </w:rPr>
            </w:pPr>
            <w:r w:rsidRPr="00BA1585">
              <w:rPr>
                <w:bCs w:val="0"/>
              </w:rPr>
              <w:t>1,490,713</w:t>
            </w:r>
          </w:p>
        </w:tc>
      </w:tr>
    </w:tbl>
    <w:p w14:paraId="69E9B879" w14:textId="227E4DB9" w:rsidR="0023442A" w:rsidRPr="003476E2" w:rsidRDefault="0023442A" w:rsidP="0023442A">
      <w:pPr>
        <w:pStyle w:val="TableChartheading"/>
      </w:pPr>
      <w:r w:rsidRPr="003476E2">
        <w:t>Department of Social Services Greenhouse Gas Emissions – Market-based method</w:t>
      </w:r>
      <w:r w:rsidR="00491EF8">
        <w:t xml:space="preserve"> 2022-23</w:t>
      </w:r>
      <w:r w:rsidR="00640D14">
        <w:t xml:space="preserve"> (Amended)</w:t>
      </w:r>
      <w:r w:rsidR="00131341">
        <w:rPr>
          <w:rStyle w:val="FootnoteReference"/>
        </w:rPr>
        <w:footnoteReference w:id="2"/>
      </w:r>
    </w:p>
    <w:p w14:paraId="5073CB25" w14:textId="14505CA2" w:rsidR="00DA7A33" w:rsidRDefault="0023442A" w:rsidP="006E46C3">
      <w:pPr>
        <w:pStyle w:val="BodyText1"/>
      </w:pPr>
      <w:r w:rsidRPr="003476E2">
        <w:t xml:space="preserve">The electricity emissions reported above are calculated using the location-based approach. When applying the market-based method, which accounts for activities such as </w:t>
      </w:r>
      <w:r w:rsidR="00746A69" w:rsidRPr="003476E2">
        <w:t>Greenpower</w:t>
      </w:r>
      <w:r w:rsidRPr="003476E2">
        <w:t xml:space="preserve">, purchased LGCs and/or </w:t>
      </w:r>
      <w:proofErr w:type="gramStart"/>
      <w:r w:rsidRPr="003476E2">
        <w:t xml:space="preserve">being </w:t>
      </w:r>
      <w:r>
        <w:t xml:space="preserve">located </w:t>
      </w:r>
      <w:r w:rsidRPr="003476E2">
        <w:t>in</w:t>
      </w:r>
      <w:proofErr w:type="gramEnd"/>
      <w:r w:rsidRPr="003476E2">
        <w:t xml:space="preserve"> the ACT, the total emissions for electricity, are below:</w:t>
      </w:r>
    </w:p>
    <w:tbl>
      <w:tblPr>
        <w:tblStyle w:val="DSSDatatablestyle"/>
        <w:tblW w:w="5000" w:type="pct"/>
        <w:tblLook w:val="04E0" w:firstRow="1" w:lastRow="1" w:firstColumn="1" w:lastColumn="0" w:noHBand="0" w:noVBand="1"/>
      </w:tblPr>
      <w:tblGrid>
        <w:gridCol w:w="2551"/>
        <w:gridCol w:w="2551"/>
        <w:gridCol w:w="2551"/>
        <w:gridCol w:w="2551"/>
      </w:tblGrid>
      <w:tr w:rsidR="00DB560D" w:rsidRPr="000D7AF6" w14:paraId="5E7777FD" w14:textId="77777777" w:rsidTr="00FF1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0B906C5" w14:textId="3655AE5E" w:rsidR="00DB560D" w:rsidRPr="000D7AF6" w:rsidRDefault="00DB560D" w:rsidP="00DB560D">
            <w:pPr>
              <w:pStyle w:val="Tablebodytext"/>
            </w:pPr>
            <w:r w:rsidRPr="00A525CA">
              <w:t>Emission Source</w:t>
            </w:r>
          </w:p>
        </w:tc>
        <w:tc>
          <w:tcPr>
            <w:tcW w:w="1250" w:type="pct"/>
          </w:tcPr>
          <w:p w14:paraId="7C122EEA" w14:textId="77777777" w:rsidR="00B71C5A" w:rsidRDefault="00DB560D" w:rsidP="00DB560D">
            <w:pPr>
              <w:pStyle w:val="Tablebodytext"/>
              <w:cnfStyle w:val="100000000000" w:firstRow="1" w:lastRow="0" w:firstColumn="0" w:lastColumn="0" w:oddVBand="0" w:evenVBand="0" w:oddHBand="0" w:evenHBand="0" w:firstRowFirstColumn="0" w:firstRowLastColumn="0" w:lastRowFirstColumn="0" w:lastRowLastColumn="0"/>
              <w:rPr>
                <w:b w:val="0"/>
              </w:rPr>
            </w:pPr>
            <w:r w:rsidRPr="00A525CA">
              <w:t xml:space="preserve">Scope 1 </w:t>
            </w:r>
          </w:p>
          <w:p w14:paraId="74F8E6DC" w14:textId="7382CD7D" w:rsidR="00DB560D" w:rsidRPr="000D7AF6" w:rsidRDefault="00DB560D" w:rsidP="00DB560D">
            <w:pPr>
              <w:pStyle w:val="Tablebodytext"/>
              <w:cnfStyle w:val="100000000000" w:firstRow="1" w:lastRow="0" w:firstColumn="0" w:lastColumn="0" w:oddVBand="0" w:evenVBand="0" w:oddHBand="0" w:evenHBand="0" w:firstRowFirstColumn="0" w:firstRowLastColumn="0" w:lastRowFirstColumn="0" w:lastRowLastColumn="0"/>
            </w:pPr>
            <w:r w:rsidRPr="00A525CA">
              <w:t>kg CO</w:t>
            </w:r>
            <w:r w:rsidRPr="00DB560D">
              <w:rPr>
                <w:vertAlign w:val="subscript"/>
              </w:rPr>
              <w:t>2</w:t>
            </w:r>
            <w:r w:rsidRPr="00A525CA">
              <w:t>-e</w:t>
            </w:r>
          </w:p>
        </w:tc>
        <w:tc>
          <w:tcPr>
            <w:tcW w:w="1250" w:type="pct"/>
          </w:tcPr>
          <w:p w14:paraId="46363566" w14:textId="77777777" w:rsidR="00B71C5A" w:rsidRDefault="00DB560D" w:rsidP="00DB560D">
            <w:pPr>
              <w:pStyle w:val="Tablebodytext"/>
              <w:cnfStyle w:val="100000000000" w:firstRow="1" w:lastRow="0" w:firstColumn="0" w:lastColumn="0" w:oddVBand="0" w:evenVBand="0" w:oddHBand="0" w:evenHBand="0" w:firstRowFirstColumn="0" w:firstRowLastColumn="0" w:lastRowFirstColumn="0" w:lastRowLastColumn="0"/>
              <w:rPr>
                <w:b w:val="0"/>
              </w:rPr>
            </w:pPr>
            <w:r w:rsidRPr="00A525CA">
              <w:t xml:space="preserve">Scope 2 </w:t>
            </w:r>
          </w:p>
          <w:p w14:paraId="0031326A" w14:textId="609EC69C" w:rsidR="00DB560D" w:rsidRPr="000D7AF6" w:rsidRDefault="00DB560D" w:rsidP="00DB560D">
            <w:pPr>
              <w:pStyle w:val="Tablebodytext"/>
              <w:cnfStyle w:val="100000000000" w:firstRow="1" w:lastRow="0" w:firstColumn="0" w:lastColumn="0" w:oddVBand="0" w:evenVBand="0" w:oddHBand="0" w:evenHBand="0" w:firstRowFirstColumn="0" w:firstRowLastColumn="0" w:lastRowFirstColumn="0" w:lastRowLastColumn="0"/>
            </w:pPr>
            <w:r w:rsidRPr="00A525CA">
              <w:t>kg CO</w:t>
            </w:r>
            <w:r w:rsidRPr="00DB560D">
              <w:rPr>
                <w:vertAlign w:val="subscript"/>
              </w:rPr>
              <w:t>2</w:t>
            </w:r>
            <w:r w:rsidRPr="00A525CA">
              <w:t>-e</w:t>
            </w:r>
          </w:p>
        </w:tc>
        <w:tc>
          <w:tcPr>
            <w:tcW w:w="1250" w:type="pct"/>
          </w:tcPr>
          <w:p w14:paraId="7A67BC02" w14:textId="77777777" w:rsidR="00DB560D" w:rsidRPr="000F78A3" w:rsidRDefault="00DB560D" w:rsidP="00DB560D">
            <w:pPr>
              <w:pStyle w:val="Tablebodytext"/>
              <w:cnfStyle w:val="100000000000" w:firstRow="1" w:lastRow="0" w:firstColumn="0" w:lastColumn="0" w:oddVBand="0" w:evenVBand="0" w:oddHBand="0" w:evenHBand="0" w:firstRowFirstColumn="0" w:firstRowLastColumn="0" w:lastRowFirstColumn="0" w:lastRowLastColumn="0"/>
            </w:pPr>
            <w:r w:rsidRPr="000F78A3">
              <w:t xml:space="preserve">Total </w:t>
            </w:r>
          </w:p>
          <w:p w14:paraId="78A49F12" w14:textId="28AB6505" w:rsidR="00DB560D" w:rsidRPr="000F78A3" w:rsidRDefault="00DB560D" w:rsidP="00DB560D">
            <w:pPr>
              <w:pStyle w:val="Tablebodytext"/>
              <w:cnfStyle w:val="100000000000" w:firstRow="1" w:lastRow="0" w:firstColumn="0" w:lastColumn="0" w:oddVBand="0" w:evenVBand="0" w:oddHBand="0" w:evenHBand="0" w:firstRowFirstColumn="0" w:firstRowLastColumn="0" w:lastRowFirstColumn="0" w:lastRowLastColumn="0"/>
            </w:pPr>
            <w:r w:rsidRPr="000F78A3">
              <w:t>kg CO</w:t>
            </w:r>
            <w:r w:rsidRPr="00C3767F">
              <w:rPr>
                <w:vertAlign w:val="subscript"/>
              </w:rPr>
              <w:t>2</w:t>
            </w:r>
            <w:r w:rsidR="00B71C5A">
              <w:rPr>
                <w:vertAlign w:val="subscript"/>
              </w:rPr>
              <w:t>-</w:t>
            </w:r>
            <w:r w:rsidRPr="000F78A3">
              <w:t>e</w:t>
            </w:r>
          </w:p>
        </w:tc>
      </w:tr>
      <w:tr w:rsidR="00DB560D" w:rsidRPr="000D7AF6" w14:paraId="542C2C77" w14:textId="77777777" w:rsidTr="00FF1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84307E4" w14:textId="2BFCB5DF" w:rsidR="00DB560D" w:rsidRPr="000D7AF6" w:rsidRDefault="00DB560D" w:rsidP="00DB560D">
            <w:pPr>
              <w:pStyle w:val="Tablebodytext"/>
            </w:pPr>
            <w:r w:rsidRPr="00A525CA">
              <w:t>Electricity (Market Based Approach)</w:t>
            </w:r>
          </w:p>
        </w:tc>
        <w:tc>
          <w:tcPr>
            <w:tcW w:w="1250" w:type="pct"/>
          </w:tcPr>
          <w:p w14:paraId="2E928DA5" w14:textId="7EDD30D7" w:rsidR="00DB560D" w:rsidRPr="007F4F19" w:rsidRDefault="00DB560D" w:rsidP="00DB560D">
            <w:pPr>
              <w:pStyle w:val="Tablebodytext"/>
              <w:cnfStyle w:val="000000100000" w:firstRow="0" w:lastRow="0" w:firstColumn="0" w:lastColumn="0" w:oddVBand="0" w:evenVBand="0" w:oddHBand="1" w:evenHBand="0" w:firstRowFirstColumn="0" w:firstRowLastColumn="0" w:lastRowFirstColumn="0" w:lastRowLastColumn="0"/>
              <w:rPr>
                <w:b/>
              </w:rPr>
            </w:pPr>
            <w:r w:rsidRPr="00A525CA">
              <w:t xml:space="preserve"> N/A </w:t>
            </w:r>
          </w:p>
        </w:tc>
        <w:tc>
          <w:tcPr>
            <w:tcW w:w="1250" w:type="pct"/>
          </w:tcPr>
          <w:p w14:paraId="4750C849" w14:textId="65D47458" w:rsidR="00DB560D" w:rsidRPr="007F4F19" w:rsidRDefault="00DB560D" w:rsidP="00DB560D">
            <w:pPr>
              <w:pStyle w:val="Tablebodytext"/>
              <w:cnfStyle w:val="000000100000" w:firstRow="0" w:lastRow="0" w:firstColumn="0" w:lastColumn="0" w:oddVBand="0" w:evenVBand="0" w:oddHBand="1" w:evenHBand="0" w:firstRowFirstColumn="0" w:firstRowLastColumn="0" w:lastRowFirstColumn="0" w:lastRowLastColumn="0"/>
              <w:rPr>
                <w:b/>
              </w:rPr>
            </w:pPr>
            <w:r w:rsidRPr="00A525CA">
              <w:t xml:space="preserve"> 440,002 </w:t>
            </w:r>
          </w:p>
        </w:tc>
        <w:tc>
          <w:tcPr>
            <w:tcW w:w="1250" w:type="pct"/>
          </w:tcPr>
          <w:p w14:paraId="01206E18" w14:textId="26C9AB9D" w:rsidR="00DB560D" w:rsidRPr="007F4F19" w:rsidRDefault="00491EF8" w:rsidP="00DB560D">
            <w:pPr>
              <w:pStyle w:val="Tablebodytext"/>
              <w:cnfStyle w:val="000000100000" w:firstRow="0" w:lastRow="0" w:firstColumn="0" w:lastColumn="0" w:oddVBand="0" w:evenVBand="0" w:oddHBand="1" w:evenHBand="0" w:firstRowFirstColumn="0" w:firstRowLastColumn="0" w:lastRowFirstColumn="0" w:lastRowLastColumn="0"/>
              <w:rPr>
                <w:b/>
              </w:rPr>
            </w:pPr>
            <w:r w:rsidRPr="00491EF8">
              <w:rPr>
                <w:b/>
              </w:rPr>
              <w:t>440,002</w:t>
            </w:r>
          </w:p>
        </w:tc>
      </w:tr>
      <w:tr w:rsidR="00DB560D" w:rsidRPr="000D7AF6" w14:paraId="6FB21972" w14:textId="77777777" w:rsidTr="00FF1A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DB2AF58" w14:textId="2B0848C2" w:rsidR="00DB560D" w:rsidRPr="000D7AF6" w:rsidRDefault="00DB560D" w:rsidP="00DB560D">
            <w:pPr>
              <w:pStyle w:val="Tablebodytext"/>
            </w:pPr>
            <w:r w:rsidRPr="00A525CA">
              <w:t>Natural Gas</w:t>
            </w:r>
          </w:p>
        </w:tc>
        <w:tc>
          <w:tcPr>
            <w:tcW w:w="1250" w:type="pct"/>
          </w:tcPr>
          <w:p w14:paraId="0AFD874F" w14:textId="517A13CB" w:rsidR="00DB560D" w:rsidRPr="007F4F19" w:rsidRDefault="00DB560D" w:rsidP="00DB560D">
            <w:pPr>
              <w:pStyle w:val="Tablebodytext"/>
              <w:cnfStyle w:val="000000010000" w:firstRow="0" w:lastRow="0" w:firstColumn="0" w:lastColumn="0" w:oddVBand="0" w:evenVBand="0" w:oddHBand="0" w:evenHBand="1" w:firstRowFirstColumn="0" w:firstRowLastColumn="0" w:lastRowFirstColumn="0" w:lastRowLastColumn="0"/>
            </w:pPr>
            <w:r w:rsidRPr="00A525CA">
              <w:t xml:space="preserve"> - </w:t>
            </w:r>
          </w:p>
        </w:tc>
        <w:tc>
          <w:tcPr>
            <w:tcW w:w="1250" w:type="pct"/>
          </w:tcPr>
          <w:p w14:paraId="3B3C87FD" w14:textId="2F57A15E" w:rsidR="00DB560D" w:rsidRPr="007F4F19" w:rsidRDefault="00DB560D" w:rsidP="00DB560D">
            <w:pPr>
              <w:pStyle w:val="Tablebodytext"/>
              <w:cnfStyle w:val="000000010000" w:firstRow="0" w:lastRow="0" w:firstColumn="0" w:lastColumn="0" w:oddVBand="0" w:evenVBand="0" w:oddHBand="0" w:evenHBand="1" w:firstRowFirstColumn="0" w:firstRowLastColumn="0" w:lastRowFirstColumn="0" w:lastRowLastColumn="0"/>
              <w:rPr>
                <w:b/>
              </w:rPr>
            </w:pPr>
            <w:r w:rsidRPr="00A525CA">
              <w:t xml:space="preserve"> N/A </w:t>
            </w:r>
          </w:p>
        </w:tc>
        <w:tc>
          <w:tcPr>
            <w:tcW w:w="1250" w:type="pct"/>
          </w:tcPr>
          <w:p w14:paraId="1C39C7C9" w14:textId="365B7549" w:rsidR="00DB560D" w:rsidRPr="007F4F19" w:rsidRDefault="00491EF8" w:rsidP="00DB560D">
            <w:pPr>
              <w:pStyle w:val="Tablebodytext"/>
              <w:cnfStyle w:val="000000010000" w:firstRow="0" w:lastRow="0" w:firstColumn="0" w:lastColumn="0" w:oddVBand="0" w:evenVBand="0" w:oddHBand="0" w:evenHBand="1" w:firstRowFirstColumn="0" w:firstRowLastColumn="0" w:lastRowFirstColumn="0" w:lastRowLastColumn="0"/>
            </w:pPr>
            <w:r>
              <w:t>-</w:t>
            </w:r>
          </w:p>
        </w:tc>
      </w:tr>
      <w:tr w:rsidR="00DB560D" w:rsidRPr="000D7AF6" w14:paraId="18AA6AA2" w14:textId="77777777" w:rsidTr="00FF1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E8729CB" w14:textId="6EC1475B" w:rsidR="00DB560D" w:rsidRPr="000D7AF6" w:rsidRDefault="00DB560D" w:rsidP="00DB560D">
            <w:pPr>
              <w:pStyle w:val="Tablebodytext"/>
            </w:pPr>
            <w:r w:rsidRPr="00A525CA">
              <w:t>Fleet Vehicles</w:t>
            </w:r>
          </w:p>
        </w:tc>
        <w:tc>
          <w:tcPr>
            <w:tcW w:w="1250" w:type="pct"/>
          </w:tcPr>
          <w:p w14:paraId="425B227E" w14:textId="1B2392B5" w:rsidR="00DB560D" w:rsidRPr="007F4F19" w:rsidRDefault="00DB560D" w:rsidP="00DB560D">
            <w:pPr>
              <w:pStyle w:val="Tablebodytext"/>
              <w:cnfStyle w:val="000000100000" w:firstRow="0" w:lastRow="0" w:firstColumn="0" w:lastColumn="0" w:oddVBand="0" w:evenVBand="0" w:oddHBand="1" w:evenHBand="0" w:firstRowFirstColumn="0" w:firstRowLastColumn="0" w:lastRowFirstColumn="0" w:lastRowLastColumn="0"/>
              <w:rPr>
                <w:b/>
              </w:rPr>
            </w:pPr>
            <w:r w:rsidRPr="00A525CA">
              <w:t xml:space="preserve">18,793 </w:t>
            </w:r>
          </w:p>
        </w:tc>
        <w:tc>
          <w:tcPr>
            <w:tcW w:w="1250" w:type="pct"/>
          </w:tcPr>
          <w:p w14:paraId="3D471C22" w14:textId="7D692E87" w:rsidR="00DB560D" w:rsidRPr="007F4F19" w:rsidRDefault="00DB560D" w:rsidP="00DB560D">
            <w:pPr>
              <w:pStyle w:val="Tablebodytext"/>
              <w:cnfStyle w:val="000000100000" w:firstRow="0" w:lastRow="0" w:firstColumn="0" w:lastColumn="0" w:oddVBand="0" w:evenVBand="0" w:oddHBand="1" w:evenHBand="0" w:firstRowFirstColumn="0" w:firstRowLastColumn="0" w:lastRowFirstColumn="0" w:lastRowLastColumn="0"/>
              <w:rPr>
                <w:b/>
              </w:rPr>
            </w:pPr>
            <w:r w:rsidRPr="00A525CA">
              <w:t xml:space="preserve"> N/A </w:t>
            </w:r>
          </w:p>
        </w:tc>
        <w:tc>
          <w:tcPr>
            <w:tcW w:w="1250" w:type="pct"/>
          </w:tcPr>
          <w:p w14:paraId="6C0F0E74" w14:textId="53B4DE97" w:rsidR="00DB560D" w:rsidRPr="007F4F19" w:rsidRDefault="00491EF8" w:rsidP="00DB560D">
            <w:pPr>
              <w:pStyle w:val="Tablebodytext"/>
              <w:cnfStyle w:val="000000100000" w:firstRow="0" w:lastRow="0" w:firstColumn="0" w:lastColumn="0" w:oddVBand="0" w:evenVBand="0" w:oddHBand="1" w:evenHBand="0" w:firstRowFirstColumn="0" w:firstRowLastColumn="0" w:lastRowFirstColumn="0" w:lastRowLastColumn="0"/>
              <w:rPr>
                <w:b/>
              </w:rPr>
            </w:pPr>
            <w:r w:rsidRPr="00491EF8">
              <w:rPr>
                <w:b/>
              </w:rPr>
              <w:t>18,793</w:t>
            </w:r>
          </w:p>
        </w:tc>
      </w:tr>
      <w:tr w:rsidR="00DB560D" w:rsidRPr="000D7AF6" w14:paraId="21558ECF" w14:textId="77777777" w:rsidTr="00FF1A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022EC93" w14:textId="10B901BF" w:rsidR="00DB560D" w:rsidRPr="003A34FF" w:rsidRDefault="00DB560D" w:rsidP="00DB560D">
            <w:pPr>
              <w:pStyle w:val="Tablebodytext"/>
            </w:pPr>
            <w:r w:rsidRPr="00A525CA">
              <w:t>Other Energy</w:t>
            </w:r>
          </w:p>
        </w:tc>
        <w:tc>
          <w:tcPr>
            <w:tcW w:w="1250" w:type="pct"/>
          </w:tcPr>
          <w:p w14:paraId="16DA97B3" w14:textId="134FAC75" w:rsidR="00DB560D" w:rsidRPr="007F4F19" w:rsidRDefault="00DB560D" w:rsidP="00DB560D">
            <w:pPr>
              <w:pStyle w:val="Tablebodytext"/>
              <w:cnfStyle w:val="000000010000" w:firstRow="0" w:lastRow="0" w:firstColumn="0" w:lastColumn="0" w:oddVBand="0" w:evenVBand="0" w:oddHBand="0" w:evenHBand="1" w:firstRowFirstColumn="0" w:firstRowLastColumn="0" w:lastRowFirstColumn="0" w:lastRowLastColumn="0"/>
            </w:pPr>
            <w:r w:rsidRPr="00A525CA">
              <w:t xml:space="preserve"> - </w:t>
            </w:r>
          </w:p>
        </w:tc>
        <w:tc>
          <w:tcPr>
            <w:tcW w:w="1250" w:type="pct"/>
          </w:tcPr>
          <w:p w14:paraId="5AFA6EC4" w14:textId="432ED633" w:rsidR="00DB560D" w:rsidRPr="007F4F19" w:rsidRDefault="00DB560D" w:rsidP="00DB560D">
            <w:pPr>
              <w:pStyle w:val="Tablebodytext"/>
              <w:cnfStyle w:val="000000010000" w:firstRow="0" w:lastRow="0" w:firstColumn="0" w:lastColumn="0" w:oddVBand="0" w:evenVBand="0" w:oddHBand="0" w:evenHBand="1" w:firstRowFirstColumn="0" w:firstRowLastColumn="0" w:lastRowFirstColumn="0" w:lastRowLastColumn="0"/>
            </w:pPr>
            <w:r w:rsidRPr="00A525CA">
              <w:t xml:space="preserve"> N/A </w:t>
            </w:r>
          </w:p>
        </w:tc>
        <w:tc>
          <w:tcPr>
            <w:tcW w:w="1250" w:type="pct"/>
          </w:tcPr>
          <w:p w14:paraId="54782CA5" w14:textId="4FE4F167" w:rsidR="00DB560D" w:rsidRPr="007F4F19" w:rsidRDefault="00491EF8" w:rsidP="00DB560D">
            <w:pPr>
              <w:pStyle w:val="Tablebodytext"/>
              <w:cnfStyle w:val="000000010000" w:firstRow="0" w:lastRow="0" w:firstColumn="0" w:lastColumn="0" w:oddVBand="0" w:evenVBand="0" w:oddHBand="0" w:evenHBand="1" w:firstRowFirstColumn="0" w:firstRowLastColumn="0" w:lastRowFirstColumn="0" w:lastRowLastColumn="0"/>
            </w:pPr>
            <w:r>
              <w:t>-</w:t>
            </w:r>
          </w:p>
        </w:tc>
      </w:tr>
      <w:tr w:rsidR="00DB560D" w:rsidRPr="000D7AF6" w14:paraId="1552883F" w14:textId="77777777" w:rsidTr="00FF1A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4E85797" w14:textId="513DF410" w:rsidR="00DB560D" w:rsidRPr="00A525CA" w:rsidRDefault="00DB560D" w:rsidP="00DB560D">
            <w:pPr>
              <w:pStyle w:val="Tablebodytext"/>
            </w:pPr>
            <w:r w:rsidRPr="007911B0">
              <w:t>Total kg CO</w:t>
            </w:r>
            <w:r w:rsidRPr="00491EF8">
              <w:rPr>
                <w:vertAlign w:val="subscript"/>
              </w:rPr>
              <w:t>2</w:t>
            </w:r>
            <w:r w:rsidRPr="007911B0">
              <w:t>-e</w:t>
            </w:r>
          </w:p>
        </w:tc>
        <w:tc>
          <w:tcPr>
            <w:tcW w:w="1250" w:type="pct"/>
          </w:tcPr>
          <w:p w14:paraId="507509EE" w14:textId="50C8F842" w:rsidR="00DB560D" w:rsidRPr="00A525CA" w:rsidRDefault="00DB560D" w:rsidP="00DB560D">
            <w:pPr>
              <w:pStyle w:val="Tablebodytext"/>
              <w:cnfStyle w:val="010000000000" w:firstRow="0" w:lastRow="1" w:firstColumn="0" w:lastColumn="0" w:oddVBand="0" w:evenVBand="0" w:oddHBand="0" w:evenHBand="0" w:firstRowFirstColumn="0" w:firstRowLastColumn="0" w:lastRowFirstColumn="0" w:lastRowLastColumn="0"/>
            </w:pPr>
            <w:r w:rsidRPr="007911B0">
              <w:t xml:space="preserve"> 18,793 </w:t>
            </w:r>
          </w:p>
        </w:tc>
        <w:tc>
          <w:tcPr>
            <w:tcW w:w="1250" w:type="pct"/>
          </w:tcPr>
          <w:p w14:paraId="350AD3A4" w14:textId="48E8CBC6" w:rsidR="00DB560D" w:rsidRPr="00A525CA" w:rsidRDefault="00DB560D" w:rsidP="00DB560D">
            <w:pPr>
              <w:pStyle w:val="Tablebodytext"/>
              <w:cnfStyle w:val="010000000000" w:firstRow="0" w:lastRow="1" w:firstColumn="0" w:lastColumn="0" w:oddVBand="0" w:evenVBand="0" w:oddHBand="0" w:evenHBand="0" w:firstRowFirstColumn="0" w:firstRowLastColumn="0" w:lastRowFirstColumn="0" w:lastRowLastColumn="0"/>
            </w:pPr>
            <w:r w:rsidRPr="007911B0">
              <w:t xml:space="preserve"> 440,002 </w:t>
            </w:r>
          </w:p>
        </w:tc>
        <w:tc>
          <w:tcPr>
            <w:tcW w:w="1250" w:type="pct"/>
          </w:tcPr>
          <w:p w14:paraId="7B660ECB" w14:textId="5026BA78" w:rsidR="00DB560D" w:rsidRPr="007F4F19" w:rsidRDefault="00491EF8" w:rsidP="00DB560D">
            <w:pPr>
              <w:pStyle w:val="Tablebodytext"/>
              <w:cnfStyle w:val="010000000000" w:firstRow="0" w:lastRow="1" w:firstColumn="0" w:lastColumn="0" w:oddVBand="0" w:evenVBand="0" w:oddHBand="0" w:evenHBand="0" w:firstRowFirstColumn="0" w:firstRowLastColumn="0" w:lastRowFirstColumn="0" w:lastRowLastColumn="0"/>
            </w:pPr>
            <w:r>
              <w:t>458,795</w:t>
            </w:r>
          </w:p>
        </w:tc>
      </w:tr>
    </w:tbl>
    <w:p w14:paraId="7DDFE410" w14:textId="77777777" w:rsidR="00837AD5" w:rsidRDefault="00837AD5" w:rsidP="000039B1"/>
    <w:p w14:paraId="54A38C90" w14:textId="20C342A1" w:rsidR="00CC5457" w:rsidRDefault="00CC5457" w:rsidP="005C5B4A">
      <w:pPr>
        <w:pStyle w:val="Heading3"/>
        <w:numPr>
          <w:ilvl w:val="0"/>
          <w:numId w:val="0"/>
        </w:numPr>
      </w:pPr>
      <w:bookmarkStart w:id="18" w:name="_Toc173487277"/>
      <w:r>
        <w:t>Emissions reduction targets</w:t>
      </w:r>
      <w:bookmarkEnd w:id="18"/>
    </w:p>
    <w:p w14:paraId="4723AC10" w14:textId="2E88FFA0" w:rsidR="005C5B4A" w:rsidRDefault="005C5B4A" w:rsidP="005C5B4A">
      <w:pPr>
        <w:pStyle w:val="BodyText1"/>
      </w:pPr>
      <w:r>
        <w:t xml:space="preserve">The department is following the APS Net Zero 2030 target in full, as per the Net Zero in Government Operations Strategy. The target covers the entirety of our entity’s operations within Australia for scope 1 and scope 2 emissions, as described in the Strategy. </w:t>
      </w:r>
    </w:p>
    <w:p w14:paraId="0C3BBB3E" w14:textId="77777777" w:rsidR="005C5B4A" w:rsidRDefault="005C5B4A">
      <w:pPr>
        <w:spacing w:after="240"/>
        <w:rPr>
          <w:rFonts w:asciiTheme="majorHAnsi" w:eastAsiaTheme="majorEastAsia" w:hAnsiTheme="majorHAnsi" w:cstheme="majorBidi"/>
          <w:bCs/>
          <w:color w:val="005A70" w:themeColor="accent1"/>
          <w:sz w:val="40"/>
          <w:szCs w:val="26"/>
        </w:rPr>
      </w:pPr>
      <w:r>
        <w:br w:type="page"/>
      </w:r>
    </w:p>
    <w:p w14:paraId="38EA39A5" w14:textId="1C74AFF2" w:rsidR="0009703B" w:rsidRPr="00B435E2" w:rsidRDefault="00C369C7" w:rsidP="00A6536C">
      <w:pPr>
        <w:pStyle w:val="Heading2"/>
        <w:numPr>
          <w:ilvl w:val="0"/>
          <w:numId w:val="0"/>
        </w:numPr>
        <w:ind w:left="502" w:hanging="502"/>
      </w:pPr>
      <w:bookmarkStart w:id="19" w:name="_Chapter_1"/>
      <w:bookmarkStart w:id="20" w:name="_Toc173487278"/>
      <w:bookmarkEnd w:id="10"/>
      <w:bookmarkEnd w:id="11"/>
      <w:bookmarkEnd w:id="19"/>
      <w:r>
        <w:lastRenderedPageBreak/>
        <w:t>Priorities and Actions</w:t>
      </w:r>
      <w:bookmarkEnd w:id="20"/>
    </w:p>
    <w:p w14:paraId="3BF36FEC" w14:textId="668ED78A" w:rsidR="00BE0A9D" w:rsidRDefault="00BE0A9D" w:rsidP="006E46C3">
      <w:pPr>
        <w:pStyle w:val="BodyText1"/>
      </w:pPr>
      <w:bookmarkStart w:id="21" w:name="_Toc125976854"/>
      <w:r w:rsidRPr="00BE0A9D">
        <w:t xml:space="preserve">For </w:t>
      </w:r>
      <w:r>
        <w:t>the department</w:t>
      </w:r>
      <w:r w:rsidRPr="00BE0A9D">
        <w:t xml:space="preserve"> to contribute to the achievement of the APS Net Zero 2030 target, targeted action on existing emissions reduction measures and the introduction of further or new measures is required. These actions are summarised in the following points, with further detail provided below:</w:t>
      </w:r>
    </w:p>
    <w:p w14:paraId="66902B83" w14:textId="77777777" w:rsidR="00DF3C6F" w:rsidRPr="00FD41D3" w:rsidRDefault="00DF3C6F" w:rsidP="00300E1D">
      <w:pPr>
        <w:pStyle w:val="ListParagraph"/>
      </w:pPr>
      <w:r w:rsidRPr="00FD41D3">
        <w:t>Procuring renewable electricity</w:t>
      </w:r>
    </w:p>
    <w:p w14:paraId="43E22631" w14:textId="4EC56E60" w:rsidR="00DF3C6F" w:rsidRPr="00FD41D3" w:rsidRDefault="00DF3C6F" w:rsidP="00300E1D">
      <w:pPr>
        <w:pStyle w:val="ListParagraph"/>
      </w:pPr>
      <w:r w:rsidRPr="00FD41D3">
        <w:t xml:space="preserve">Improving building </w:t>
      </w:r>
      <w:r w:rsidR="00746A69">
        <w:t>performance</w:t>
      </w:r>
    </w:p>
    <w:p w14:paraId="55E00B54" w14:textId="474B7154" w:rsidR="00DF3C6F" w:rsidRPr="00FD41D3" w:rsidRDefault="00DF3C6F" w:rsidP="00300E1D">
      <w:pPr>
        <w:pStyle w:val="ListParagraph"/>
      </w:pPr>
      <w:r w:rsidRPr="00FD41D3">
        <w:t xml:space="preserve">Transitioning the fleet </w:t>
      </w:r>
      <w:r w:rsidR="00746A69">
        <w:t xml:space="preserve">passenger </w:t>
      </w:r>
      <w:r w:rsidRPr="00FD41D3">
        <w:t>vehicles to low emission vehicles</w:t>
      </w:r>
    </w:p>
    <w:p w14:paraId="0F1F7414" w14:textId="0FC67803" w:rsidR="00DF3C6F" w:rsidRPr="00FD41D3" w:rsidRDefault="00746A69" w:rsidP="00300E1D">
      <w:pPr>
        <w:pStyle w:val="ListParagraph"/>
      </w:pPr>
      <w:r>
        <w:t>Embedding sustainability into future</w:t>
      </w:r>
      <w:r w:rsidR="00DF3C6F" w:rsidRPr="00FD41D3">
        <w:t xml:space="preserve"> procurement</w:t>
      </w:r>
      <w:r>
        <w:t xml:space="preserve"> activity</w:t>
      </w:r>
    </w:p>
    <w:p w14:paraId="44B4DF95" w14:textId="77777777" w:rsidR="00DF3C6F" w:rsidRPr="00FD41D3" w:rsidRDefault="00DF3C6F" w:rsidP="00300E1D">
      <w:pPr>
        <w:pStyle w:val="ListParagraph"/>
      </w:pPr>
      <w:r w:rsidRPr="00FD41D3">
        <w:t xml:space="preserve">Encouraging low-emission sources of travel </w:t>
      </w:r>
    </w:p>
    <w:p w14:paraId="69F2396F" w14:textId="47F680B5" w:rsidR="00DF3C6F" w:rsidRDefault="00DF3C6F" w:rsidP="00300E1D">
      <w:pPr>
        <w:pStyle w:val="ListParagraph"/>
      </w:pPr>
      <w:r w:rsidRPr="00FD41D3">
        <w:t xml:space="preserve">People, </w:t>
      </w:r>
      <w:r w:rsidR="00746A69" w:rsidRPr="00FD41D3">
        <w:t>culture,</w:t>
      </w:r>
      <w:r w:rsidRPr="00FD41D3">
        <w:t xml:space="preserve"> and capability uplift.</w:t>
      </w:r>
    </w:p>
    <w:p w14:paraId="24C3D92B" w14:textId="77777777" w:rsidR="000039B1" w:rsidRDefault="000039B1" w:rsidP="000039B1"/>
    <w:p w14:paraId="73F5CF89" w14:textId="55418FA6" w:rsidR="00604061" w:rsidRDefault="009879BB" w:rsidP="00C71702">
      <w:pPr>
        <w:pStyle w:val="Heading3"/>
        <w:numPr>
          <w:ilvl w:val="0"/>
          <w:numId w:val="0"/>
        </w:numPr>
      </w:pPr>
      <w:bookmarkStart w:id="22" w:name="_Toc173487279"/>
      <w:r>
        <w:t xml:space="preserve">Net Zero </w:t>
      </w:r>
      <w:r w:rsidR="005B5E60">
        <w:t xml:space="preserve">Energy and </w:t>
      </w:r>
      <w:r w:rsidR="00FA3C85">
        <w:t>Buildings</w:t>
      </w:r>
      <w:bookmarkEnd w:id="22"/>
    </w:p>
    <w:p w14:paraId="1B0780E5" w14:textId="4C75B0A2" w:rsidR="00A01B33" w:rsidRPr="00A761EA" w:rsidRDefault="003A2B3D" w:rsidP="000B1494">
      <w:r>
        <w:t>Under the</w:t>
      </w:r>
      <w:r w:rsidR="00176867">
        <w:t xml:space="preserve"> procurement of energy and management of </w:t>
      </w:r>
      <w:r w:rsidR="001B3CD3">
        <w:t>b</w:t>
      </w:r>
      <w:r w:rsidR="00176867">
        <w:t>uildings</w:t>
      </w:r>
      <w:r>
        <w:t>, the department will</w:t>
      </w:r>
      <w:r w:rsidR="00176867">
        <w:t>:</w:t>
      </w:r>
    </w:p>
    <w:tbl>
      <w:tblPr>
        <w:tblStyle w:val="DSSDatatablestyle"/>
        <w:tblW w:w="10504" w:type="dxa"/>
        <w:tblLook w:val="04A0" w:firstRow="1" w:lastRow="0" w:firstColumn="1" w:lastColumn="0" w:noHBand="0" w:noVBand="1"/>
        <w:tblDescription w:val="Example of a table styled with the first of the two DSS table styles. It is populated with food-related dummy data."/>
      </w:tblPr>
      <w:tblGrid>
        <w:gridCol w:w="2410"/>
        <w:gridCol w:w="5670"/>
        <w:gridCol w:w="2424"/>
      </w:tblGrid>
      <w:tr w:rsidR="00E65D34" w14:paraId="0A86A904" w14:textId="77777777" w:rsidTr="001D1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1FB1284" w14:textId="396DE012" w:rsidR="00E65D34" w:rsidRDefault="008336CE" w:rsidP="00465E39">
            <w:pPr>
              <w:pStyle w:val="NoSpacing"/>
            </w:pPr>
            <w:r>
              <w:t>Activity</w:t>
            </w:r>
            <w:r w:rsidR="005A4946">
              <w:t xml:space="preserve"> </w:t>
            </w:r>
            <w:r>
              <w:t xml:space="preserve"> </w:t>
            </w:r>
          </w:p>
        </w:tc>
        <w:tc>
          <w:tcPr>
            <w:tcW w:w="5670" w:type="dxa"/>
          </w:tcPr>
          <w:p w14:paraId="08022F64" w14:textId="130BFB89" w:rsidR="00E65D34" w:rsidRDefault="000527D8" w:rsidP="00465E39">
            <w:pPr>
              <w:pStyle w:val="NoSpacing"/>
              <w:cnfStyle w:val="100000000000" w:firstRow="1" w:lastRow="0" w:firstColumn="0" w:lastColumn="0" w:oddVBand="0" w:evenVBand="0" w:oddHBand="0" w:evenHBand="0" w:firstRowFirstColumn="0" w:firstRowLastColumn="0" w:lastRowFirstColumn="0" w:lastRowLastColumn="0"/>
            </w:pPr>
            <w:r>
              <w:t>Action</w:t>
            </w:r>
            <w:r w:rsidR="005A4946">
              <w:t>s to improve building performance</w:t>
            </w:r>
          </w:p>
        </w:tc>
        <w:tc>
          <w:tcPr>
            <w:tcW w:w="2424" w:type="dxa"/>
          </w:tcPr>
          <w:p w14:paraId="56E0D636" w14:textId="45AE3BC7" w:rsidR="008336CE" w:rsidRDefault="00E65D34" w:rsidP="003402EC">
            <w:pPr>
              <w:pStyle w:val="NoSpacing"/>
              <w:ind w:right="344"/>
              <w:jc w:val="right"/>
              <w:cnfStyle w:val="100000000000" w:firstRow="1" w:lastRow="0" w:firstColumn="0" w:lastColumn="0" w:oddVBand="0" w:evenVBand="0" w:oddHBand="0" w:evenHBand="0" w:firstRowFirstColumn="0" w:firstRowLastColumn="0" w:lastRowFirstColumn="0" w:lastRowLastColumn="0"/>
            </w:pPr>
            <w:r>
              <w:t>Timeframe</w:t>
            </w:r>
          </w:p>
        </w:tc>
      </w:tr>
      <w:tr w:rsidR="008336CE" w14:paraId="723B75A4"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C4BDDA5" w14:textId="60477857" w:rsidR="008336CE" w:rsidRDefault="008336CE" w:rsidP="008336CE">
            <w:pPr>
              <w:pStyle w:val="NoSpacing"/>
            </w:pPr>
            <w:r>
              <w:t>Commonwealth National Lease (CNL)</w:t>
            </w:r>
          </w:p>
        </w:tc>
        <w:tc>
          <w:tcPr>
            <w:tcW w:w="5670" w:type="dxa"/>
          </w:tcPr>
          <w:p w14:paraId="5582A781" w14:textId="7947C911" w:rsidR="008336CE" w:rsidRDefault="008336CE" w:rsidP="008336CE">
            <w:pPr>
              <w:pStyle w:val="NoSpacing"/>
              <w:cnfStyle w:val="000000100000" w:firstRow="0" w:lastRow="0" w:firstColumn="0" w:lastColumn="0" w:oddVBand="0" w:evenVBand="0" w:oddHBand="1" w:evenHBand="0" w:firstRowFirstColumn="0" w:firstRowLastColumn="0" w:lastRowFirstColumn="0" w:lastRowLastColumn="0"/>
            </w:pPr>
            <w:r>
              <w:t>Incorporate additional environmental sustainability and emission reduction elements into the CNL template to negotiate with landlords</w:t>
            </w:r>
            <w:r w:rsidR="005F14C5">
              <w:t>.</w:t>
            </w:r>
          </w:p>
        </w:tc>
        <w:tc>
          <w:tcPr>
            <w:tcW w:w="2424" w:type="dxa"/>
          </w:tcPr>
          <w:p w14:paraId="1060F248" w14:textId="2F4A7437" w:rsidR="008336CE" w:rsidRDefault="00BC0DC0" w:rsidP="003402EC">
            <w:pPr>
              <w:pStyle w:val="NoSpacing"/>
              <w:ind w:right="344"/>
              <w:jc w:val="right"/>
              <w:cnfStyle w:val="000000100000" w:firstRow="0" w:lastRow="0" w:firstColumn="0" w:lastColumn="0" w:oddVBand="0" w:evenVBand="0" w:oddHBand="1" w:evenHBand="0" w:firstRowFirstColumn="0" w:firstRowLastColumn="0" w:lastRowFirstColumn="0" w:lastRowLastColumn="0"/>
            </w:pPr>
            <w:r>
              <w:t xml:space="preserve">Ongoing for </w:t>
            </w:r>
            <w:r>
              <w:br/>
              <w:t>n</w:t>
            </w:r>
            <w:r w:rsidR="001058E1">
              <w:t>ew</w:t>
            </w:r>
            <w:r>
              <w:t xml:space="preserve"> leases</w:t>
            </w:r>
          </w:p>
        </w:tc>
      </w:tr>
      <w:tr w:rsidR="008336CE" w14:paraId="048CB3CC" w14:textId="77777777" w:rsidTr="001D1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E1D0B56" w14:textId="64CCEA5D" w:rsidR="008336CE" w:rsidRDefault="008336CE" w:rsidP="008336CE">
            <w:pPr>
              <w:pStyle w:val="NoSpacing"/>
            </w:pPr>
            <w:r>
              <w:t>Electricity procurement</w:t>
            </w:r>
          </w:p>
        </w:tc>
        <w:tc>
          <w:tcPr>
            <w:tcW w:w="5670" w:type="dxa"/>
          </w:tcPr>
          <w:p w14:paraId="6B48DEB2" w14:textId="68F8F756" w:rsidR="008336CE" w:rsidRDefault="008336CE" w:rsidP="008336CE">
            <w:pPr>
              <w:pStyle w:val="NoSpacing"/>
              <w:cnfStyle w:val="000000010000" w:firstRow="0" w:lastRow="0" w:firstColumn="0" w:lastColumn="0" w:oddVBand="0" w:evenVBand="0" w:oddHBand="0" w:evenHBand="1" w:firstRowFirstColumn="0" w:firstRowLastColumn="0" w:lastRowFirstColumn="0" w:lastRowLastColumn="0"/>
            </w:pPr>
            <w:r>
              <w:t>Procure renewable energy through</w:t>
            </w:r>
            <w:r w:rsidRPr="00094954">
              <w:t xml:space="preserve"> participat</w:t>
            </w:r>
            <w:r w:rsidR="00946843">
              <w:t>ing</w:t>
            </w:r>
            <w:r w:rsidRPr="00094954">
              <w:t xml:space="preserve"> in the </w:t>
            </w:r>
            <w:proofErr w:type="spellStart"/>
            <w:r w:rsidRPr="00094954">
              <w:t>WoAG</w:t>
            </w:r>
            <w:proofErr w:type="spellEnd"/>
            <w:r w:rsidRPr="00094954">
              <w:t xml:space="preserve"> renewable electricity procurement</w:t>
            </w:r>
            <w:r w:rsidR="005F14C5">
              <w:t>.</w:t>
            </w:r>
          </w:p>
        </w:tc>
        <w:tc>
          <w:tcPr>
            <w:tcW w:w="2424" w:type="dxa"/>
          </w:tcPr>
          <w:p w14:paraId="659447A0" w14:textId="3007131C" w:rsidR="008336CE" w:rsidRDefault="009539F8" w:rsidP="003402EC">
            <w:pPr>
              <w:pStyle w:val="NoSpacing"/>
              <w:ind w:right="344"/>
              <w:jc w:val="right"/>
              <w:cnfStyle w:val="000000010000" w:firstRow="0" w:lastRow="0" w:firstColumn="0" w:lastColumn="0" w:oddVBand="0" w:evenVBand="0" w:oddHBand="0" w:evenHBand="1" w:firstRowFirstColumn="0" w:firstRowLastColumn="0" w:lastRowFirstColumn="0" w:lastRowLastColumn="0"/>
            </w:pPr>
            <w:r>
              <w:t>Ongoing for new contracts</w:t>
            </w:r>
          </w:p>
        </w:tc>
      </w:tr>
      <w:tr w:rsidR="008336CE" w14:paraId="202157EF"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4DA5774" w14:textId="45B99B63" w:rsidR="008336CE" w:rsidRDefault="008336CE" w:rsidP="008336CE">
            <w:pPr>
              <w:pStyle w:val="NoSpacing"/>
            </w:pPr>
            <w:r>
              <w:t>Green lease schedule (GLS)</w:t>
            </w:r>
          </w:p>
        </w:tc>
        <w:tc>
          <w:tcPr>
            <w:tcW w:w="5670" w:type="dxa"/>
          </w:tcPr>
          <w:p w14:paraId="6759B569" w14:textId="001FA82A" w:rsidR="008336CE" w:rsidRDefault="00E2716F" w:rsidP="008336CE">
            <w:pPr>
              <w:pStyle w:val="NoSpacing"/>
              <w:cnfStyle w:val="000000100000" w:firstRow="0" w:lastRow="0" w:firstColumn="0" w:lastColumn="0" w:oddVBand="0" w:evenVBand="0" w:oddHBand="1" w:evenHBand="0" w:firstRowFirstColumn="0" w:firstRowLastColumn="0" w:lastRowFirstColumn="0" w:lastRowLastColumn="0"/>
            </w:pPr>
            <w:r>
              <w:t>Review l</w:t>
            </w:r>
            <w:r w:rsidR="008336CE">
              <w:t>eases over 1,000m</w:t>
            </w:r>
            <w:r w:rsidR="008336CE" w:rsidRPr="00A13D46">
              <w:rPr>
                <w:vertAlign w:val="superscript"/>
              </w:rPr>
              <w:t xml:space="preserve">2 </w:t>
            </w:r>
            <w:r w:rsidR="008336CE">
              <w:t xml:space="preserve">and 4 years duration </w:t>
            </w:r>
            <w:r w:rsidR="005F14C5">
              <w:t xml:space="preserve">to </w:t>
            </w:r>
            <w:r w:rsidR="008336CE">
              <w:t>include the relevant version of the GLS</w:t>
            </w:r>
            <w:r w:rsidR="005F14C5">
              <w:t>.</w:t>
            </w:r>
          </w:p>
        </w:tc>
        <w:tc>
          <w:tcPr>
            <w:tcW w:w="2424" w:type="dxa"/>
          </w:tcPr>
          <w:p w14:paraId="779166CA" w14:textId="17F0BCEE" w:rsidR="008336CE" w:rsidRDefault="008336CE" w:rsidP="003402EC">
            <w:pPr>
              <w:pStyle w:val="NoSpacing"/>
              <w:ind w:right="344"/>
              <w:jc w:val="right"/>
              <w:cnfStyle w:val="000000100000" w:firstRow="0" w:lastRow="0" w:firstColumn="0" w:lastColumn="0" w:oddVBand="0" w:evenVBand="0" w:oddHBand="1" w:evenHBand="0" w:firstRowFirstColumn="0" w:firstRowLastColumn="0" w:lastRowFirstColumn="0" w:lastRowLastColumn="0"/>
            </w:pPr>
            <w:r>
              <w:t>1 January 2025</w:t>
            </w:r>
            <w:r w:rsidR="00EA44A8">
              <w:t xml:space="preserve"> </w:t>
            </w:r>
            <w:r w:rsidR="00442D6B">
              <w:br/>
            </w:r>
          </w:p>
        </w:tc>
      </w:tr>
      <w:tr w:rsidR="008336CE" w14:paraId="0ED8B8E3" w14:textId="77777777" w:rsidTr="001D1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1D0DFAB" w14:textId="5F04ECD4" w:rsidR="008336CE" w:rsidRDefault="008336CE" w:rsidP="008336CE">
            <w:pPr>
              <w:pStyle w:val="NoSpacing"/>
            </w:pPr>
            <w:r>
              <w:t>EV charging</w:t>
            </w:r>
          </w:p>
        </w:tc>
        <w:tc>
          <w:tcPr>
            <w:tcW w:w="5670" w:type="dxa"/>
          </w:tcPr>
          <w:p w14:paraId="3521807C" w14:textId="16263752" w:rsidR="008336CE" w:rsidRDefault="008336CE" w:rsidP="008336CE">
            <w:pPr>
              <w:pStyle w:val="NoSpacing"/>
              <w:cnfStyle w:val="000000010000" w:firstRow="0" w:lastRow="0" w:firstColumn="0" w:lastColumn="0" w:oddVBand="0" w:evenVBand="0" w:oddHBand="0" w:evenHBand="1" w:firstRowFirstColumn="0" w:firstRowLastColumn="0" w:lastRowFirstColumn="0" w:lastRowLastColumn="0"/>
            </w:pPr>
            <w:r>
              <w:t>Review allocat</w:t>
            </w:r>
            <w:r w:rsidRPr="00C46346">
              <w:t xml:space="preserve">ed parking facilities </w:t>
            </w:r>
            <w:r>
              <w:t xml:space="preserve">with a fleet vehicle </w:t>
            </w:r>
            <w:r w:rsidRPr="00C46346">
              <w:t>to support electric vehicle charging where possible</w:t>
            </w:r>
            <w:r w:rsidR="005F14C5">
              <w:t>.</w:t>
            </w:r>
          </w:p>
        </w:tc>
        <w:tc>
          <w:tcPr>
            <w:tcW w:w="2424" w:type="dxa"/>
          </w:tcPr>
          <w:p w14:paraId="614AD4F6" w14:textId="180521DC" w:rsidR="008336CE" w:rsidRDefault="008336CE" w:rsidP="003402EC">
            <w:pPr>
              <w:pStyle w:val="NoSpacing"/>
              <w:ind w:right="344"/>
              <w:jc w:val="right"/>
              <w:cnfStyle w:val="000000010000" w:firstRow="0" w:lastRow="0" w:firstColumn="0" w:lastColumn="0" w:oddVBand="0" w:evenVBand="0" w:oddHBand="0" w:evenHBand="1" w:firstRowFirstColumn="0" w:firstRowLastColumn="0" w:lastRowFirstColumn="0" w:lastRowLastColumn="0"/>
            </w:pPr>
            <w:r w:rsidRPr="00C46346">
              <w:t>1 January 2025</w:t>
            </w:r>
            <w:r w:rsidR="00442D6B">
              <w:t xml:space="preserve"> </w:t>
            </w:r>
            <w:r w:rsidR="00442D6B">
              <w:br/>
            </w:r>
          </w:p>
        </w:tc>
      </w:tr>
      <w:tr w:rsidR="008336CE" w14:paraId="657E07E3"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DBBC0B3" w14:textId="4CF85495" w:rsidR="008336CE" w:rsidRDefault="008336CE" w:rsidP="008336CE">
            <w:pPr>
              <w:pStyle w:val="NoSpacing"/>
            </w:pPr>
            <w:r>
              <w:t>NABERS ratings</w:t>
            </w:r>
          </w:p>
        </w:tc>
        <w:tc>
          <w:tcPr>
            <w:tcW w:w="5670" w:type="dxa"/>
          </w:tcPr>
          <w:p w14:paraId="26DC7CD4" w14:textId="7049F4AB" w:rsidR="008336CE" w:rsidRDefault="005F14C5" w:rsidP="008336CE">
            <w:pPr>
              <w:pStyle w:val="NoSpacing"/>
              <w:cnfStyle w:val="000000100000" w:firstRow="0" w:lastRow="0" w:firstColumn="0" w:lastColumn="0" w:oddVBand="0" w:evenVBand="0" w:oddHBand="1" w:evenHBand="0" w:firstRowFirstColumn="0" w:firstRowLastColumn="0" w:lastRowFirstColumn="0" w:lastRowLastColumn="0"/>
            </w:pPr>
            <w:r>
              <w:t>Ensure l</w:t>
            </w:r>
            <w:r w:rsidR="008336CE">
              <w:t>eases over</w:t>
            </w:r>
            <w:r w:rsidR="008336CE" w:rsidRPr="001820E7">
              <w:t xml:space="preserve"> 1,000 m</w:t>
            </w:r>
            <w:r w:rsidR="008336CE" w:rsidRPr="00A13D46">
              <w:rPr>
                <w:vertAlign w:val="superscript"/>
              </w:rPr>
              <w:t xml:space="preserve">2 </w:t>
            </w:r>
            <w:r w:rsidR="008336CE">
              <w:t>and 4 years duration</w:t>
            </w:r>
            <w:r>
              <w:t xml:space="preserve"> are working towards</w:t>
            </w:r>
            <w:r w:rsidR="008336CE" w:rsidRPr="001820E7">
              <w:t xml:space="preserve"> and </w:t>
            </w:r>
            <w:r>
              <w:t xml:space="preserve">can </w:t>
            </w:r>
            <w:r w:rsidR="008336CE" w:rsidRPr="001820E7">
              <w:t xml:space="preserve">maintain </w:t>
            </w:r>
            <w:r>
              <w:t xml:space="preserve">a </w:t>
            </w:r>
            <w:r w:rsidR="008336CE" w:rsidRPr="001820E7">
              <w:t>5.5 star or higher base building and tenancy NABERS energy rating</w:t>
            </w:r>
            <w:r>
              <w:t>.</w:t>
            </w:r>
          </w:p>
        </w:tc>
        <w:tc>
          <w:tcPr>
            <w:tcW w:w="2424" w:type="dxa"/>
          </w:tcPr>
          <w:p w14:paraId="73AD96C5" w14:textId="2096E96A" w:rsidR="008336CE" w:rsidRDefault="008336CE" w:rsidP="003402EC">
            <w:pPr>
              <w:pStyle w:val="NoSpacing"/>
              <w:ind w:right="344"/>
              <w:jc w:val="right"/>
              <w:cnfStyle w:val="000000100000" w:firstRow="0" w:lastRow="0" w:firstColumn="0" w:lastColumn="0" w:oddVBand="0" w:evenVBand="0" w:oddHBand="1" w:evenHBand="0" w:firstRowFirstColumn="0" w:firstRowLastColumn="0" w:lastRowFirstColumn="0" w:lastRowLastColumn="0"/>
            </w:pPr>
            <w:r>
              <w:t>1 July 2025</w:t>
            </w:r>
          </w:p>
        </w:tc>
      </w:tr>
      <w:tr w:rsidR="008336CE" w14:paraId="76008B3A" w14:textId="77777777" w:rsidTr="001D1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F018747" w14:textId="58854F37" w:rsidR="008336CE" w:rsidRDefault="008336CE" w:rsidP="008336CE">
            <w:pPr>
              <w:pStyle w:val="NoSpacing"/>
            </w:pPr>
            <w:r>
              <w:t>GBCA Green Star ratings</w:t>
            </w:r>
          </w:p>
        </w:tc>
        <w:tc>
          <w:tcPr>
            <w:tcW w:w="5670" w:type="dxa"/>
          </w:tcPr>
          <w:p w14:paraId="68AF7346" w14:textId="0D3CC44E" w:rsidR="008336CE" w:rsidRDefault="008336CE" w:rsidP="008336CE">
            <w:pPr>
              <w:pStyle w:val="NoSpacing"/>
              <w:cnfStyle w:val="000000010000" w:firstRow="0" w:lastRow="0" w:firstColumn="0" w:lastColumn="0" w:oddVBand="0" w:evenVBand="0" w:oddHBand="0" w:evenHBand="1" w:firstRowFirstColumn="0" w:firstRowLastColumn="0" w:lastRowFirstColumn="0" w:lastRowLastColumn="0"/>
            </w:pPr>
            <w:r>
              <w:t xml:space="preserve">Contracts for the purchase or construction of office spaces with a value greater than $15 million </w:t>
            </w:r>
            <w:r w:rsidRPr="00683FDE">
              <w:t>must have and maintain a 6-star NABERS energy rating and GBCA 4-star Green Star rating (minimum) which includes complying with the Climate Positive pathway</w:t>
            </w:r>
            <w:r>
              <w:t>.</w:t>
            </w:r>
          </w:p>
        </w:tc>
        <w:tc>
          <w:tcPr>
            <w:tcW w:w="2424" w:type="dxa"/>
          </w:tcPr>
          <w:p w14:paraId="2DE64562" w14:textId="6F439736" w:rsidR="008336CE" w:rsidRDefault="008336CE" w:rsidP="003402EC">
            <w:pPr>
              <w:pStyle w:val="NoSpacing"/>
              <w:ind w:right="344"/>
              <w:jc w:val="right"/>
              <w:cnfStyle w:val="000000010000" w:firstRow="0" w:lastRow="0" w:firstColumn="0" w:lastColumn="0" w:oddVBand="0" w:evenVBand="0" w:oddHBand="0" w:evenHBand="1" w:firstRowFirstColumn="0" w:firstRowLastColumn="0" w:lastRowFirstColumn="0" w:lastRowLastColumn="0"/>
            </w:pPr>
            <w:r>
              <w:t>1 July 2026</w:t>
            </w:r>
          </w:p>
        </w:tc>
      </w:tr>
      <w:tr w:rsidR="008558E3" w14:paraId="4827C62A"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EB8B65C" w14:textId="46CB59D8" w:rsidR="008558E3" w:rsidRDefault="008558E3" w:rsidP="008558E3">
            <w:pPr>
              <w:pStyle w:val="NoSpacing"/>
            </w:pPr>
            <w:r w:rsidRPr="00474020">
              <w:t xml:space="preserve">Procurement </w:t>
            </w:r>
          </w:p>
        </w:tc>
        <w:tc>
          <w:tcPr>
            <w:tcW w:w="5670" w:type="dxa"/>
          </w:tcPr>
          <w:p w14:paraId="1F38B892" w14:textId="2A716549" w:rsidR="008558E3" w:rsidRDefault="008558E3" w:rsidP="008558E3">
            <w:pPr>
              <w:pStyle w:val="NoSpacing"/>
              <w:cnfStyle w:val="000000100000" w:firstRow="0" w:lastRow="0" w:firstColumn="0" w:lastColumn="0" w:oddVBand="0" w:evenVBand="0" w:oddHBand="1" w:evenHBand="0" w:firstRowFirstColumn="0" w:firstRowLastColumn="0" w:lastRowFirstColumn="0" w:lastRowLastColumn="0"/>
            </w:pPr>
            <w:r w:rsidRPr="00474020">
              <w:rPr>
                <w:bCs/>
              </w:rPr>
              <w:t>Review contracts for the purchase or construction of office space to ensure they include all-electric where available</w:t>
            </w:r>
            <w:r w:rsidRPr="00474020">
              <w:rPr>
                <w:rStyle w:val="FootnoteReference"/>
                <w:bCs/>
              </w:rPr>
              <w:footnoteReference w:id="3"/>
            </w:r>
            <w:r w:rsidRPr="00474020">
              <w:rPr>
                <w:bCs/>
              </w:rPr>
              <w:t>.</w:t>
            </w:r>
          </w:p>
        </w:tc>
        <w:tc>
          <w:tcPr>
            <w:tcW w:w="2424" w:type="dxa"/>
          </w:tcPr>
          <w:p w14:paraId="5E0D8803" w14:textId="5B4C8408" w:rsidR="008558E3" w:rsidRDefault="008558E3" w:rsidP="003402EC">
            <w:pPr>
              <w:pStyle w:val="NoSpacing"/>
              <w:ind w:right="344"/>
              <w:jc w:val="right"/>
              <w:cnfStyle w:val="000000100000" w:firstRow="0" w:lastRow="0" w:firstColumn="0" w:lastColumn="0" w:oddVBand="0" w:evenVBand="0" w:oddHBand="1" w:evenHBand="0" w:firstRowFirstColumn="0" w:firstRowLastColumn="0" w:lastRowFirstColumn="0" w:lastRowLastColumn="0"/>
            </w:pPr>
            <w:r w:rsidRPr="00474020">
              <w:rPr>
                <w:bCs/>
              </w:rPr>
              <w:t>1 July 2026</w:t>
            </w:r>
          </w:p>
        </w:tc>
      </w:tr>
    </w:tbl>
    <w:p w14:paraId="23F6F7DE" w14:textId="77777777" w:rsidR="00416BD6" w:rsidRDefault="00416BD6">
      <w:r>
        <w:rPr>
          <w:b/>
        </w:rPr>
        <w:br w:type="page"/>
      </w:r>
    </w:p>
    <w:tbl>
      <w:tblPr>
        <w:tblStyle w:val="DSSDatatablestyle"/>
        <w:tblW w:w="10504" w:type="dxa"/>
        <w:tblLook w:val="04A0" w:firstRow="1" w:lastRow="0" w:firstColumn="1" w:lastColumn="0" w:noHBand="0" w:noVBand="1"/>
        <w:tblDescription w:val="Example of a table styled with the first of the two DSS table styles. It is populated with food-related dummy data."/>
      </w:tblPr>
      <w:tblGrid>
        <w:gridCol w:w="2410"/>
        <w:gridCol w:w="5670"/>
        <w:gridCol w:w="2424"/>
      </w:tblGrid>
      <w:tr w:rsidR="00B06816" w:rsidRPr="00B06816" w14:paraId="3170276B" w14:textId="77777777" w:rsidTr="001D1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2F39833" w14:textId="7E948D20" w:rsidR="001D19E2" w:rsidRPr="00B06816" w:rsidRDefault="001D19E2" w:rsidP="008336CE">
            <w:pPr>
              <w:pStyle w:val="NoSpacing"/>
            </w:pPr>
            <w:r w:rsidRPr="00B06816">
              <w:lastRenderedPageBreak/>
              <w:t>Activity</w:t>
            </w:r>
          </w:p>
        </w:tc>
        <w:tc>
          <w:tcPr>
            <w:tcW w:w="5670" w:type="dxa"/>
          </w:tcPr>
          <w:p w14:paraId="46229D31" w14:textId="1297F1E2" w:rsidR="001D19E2" w:rsidRPr="00B06816" w:rsidRDefault="001D19E2" w:rsidP="001D19E2">
            <w:pPr>
              <w:pStyle w:val="NoSpacing"/>
              <w:ind w:left="360"/>
              <w:cnfStyle w:val="100000000000" w:firstRow="1" w:lastRow="0" w:firstColumn="0" w:lastColumn="0" w:oddVBand="0" w:evenVBand="0" w:oddHBand="0" w:evenHBand="0" w:firstRowFirstColumn="0" w:firstRowLastColumn="0" w:lastRowFirstColumn="0" w:lastRowLastColumn="0"/>
              <w:rPr>
                <w:b w:val="0"/>
              </w:rPr>
            </w:pPr>
            <w:r w:rsidRPr="00B06816">
              <w:t>Additional Initiatives</w:t>
            </w:r>
          </w:p>
        </w:tc>
        <w:tc>
          <w:tcPr>
            <w:tcW w:w="2424" w:type="dxa"/>
          </w:tcPr>
          <w:p w14:paraId="38F53146" w14:textId="592F6797" w:rsidR="001D19E2" w:rsidRPr="00B06816" w:rsidRDefault="001D19E2" w:rsidP="003402EC">
            <w:pPr>
              <w:pStyle w:val="NoSpacing"/>
              <w:ind w:right="344"/>
              <w:jc w:val="right"/>
              <w:cnfStyle w:val="100000000000" w:firstRow="1" w:lastRow="0" w:firstColumn="0" w:lastColumn="0" w:oddVBand="0" w:evenVBand="0" w:oddHBand="0" w:evenHBand="0" w:firstRowFirstColumn="0" w:firstRowLastColumn="0" w:lastRowFirstColumn="0" w:lastRowLastColumn="0"/>
              <w:rPr>
                <w:b w:val="0"/>
              </w:rPr>
            </w:pPr>
            <w:r w:rsidRPr="00B06816">
              <w:t>Timeframe</w:t>
            </w:r>
          </w:p>
        </w:tc>
      </w:tr>
      <w:tr w:rsidR="008336CE" w14:paraId="0020CC64" w14:textId="77777777" w:rsidTr="00282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E05067C" w14:textId="77777777" w:rsidR="008336CE" w:rsidRDefault="008336CE" w:rsidP="008336CE">
            <w:pPr>
              <w:pStyle w:val="NoSpacing"/>
            </w:pPr>
            <w:r>
              <w:t>Energy efficiency measures</w:t>
            </w:r>
          </w:p>
        </w:tc>
        <w:tc>
          <w:tcPr>
            <w:tcW w:w="5670" w:type="dxa"/>
          </w:tcPr>
          <w:p w14:paraId="6DEE6D63" w14:textId="564F7DBE" w:rsidR="00E041AA" w:rsidRDefault="002D1F8D" w:rsidP="00DD23AC">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t>Use of energy efficient lighting solutions including sensor lights</w:t>
            </w:r>
            <w:r w:rsidR="00EA218D">
              <w:t xml:space="preserve"> and LED.</w:t>
            </w:r>
            <w:r w:rsidR="00B75D15">
              <w:t xml:space="preserve"> </w:t>
            </w:r>
          </w:p>
          <w:p w14:paraId="0DB2A901" w14:textId="7FAE9054" w:rsidR="0007568F" w:rsidRDefault="0007568F" w:rsidP="00DD23AC">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t>Consider conducting audits of operational use of buildings and operation of plant and equipment by building management systems (BMS) to identify BMS tuning opportunities and resource consumption reduction.</w:t>
            </w:r>
          </w:p>
          <w:p w14:paraId="3599A6C4" w14:textId="15C3A58C" w:rsidR="002D1F8D" w:rsidRDefault="002D1F8D" w:rsidP="00DD23AC">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t>Reduce</w:t>
            </w:r>
            <w:r w:rsidR="00B75D15">
              <w:t>d</w:t>
            </w:r>
            <w:r>
              <w:t xml:space="preserve"> power </w:t>
            </w:r>
            <w:r w:rsidR="00CF20AA">
              <w:t>consumption</w:t>
            </w:r>
            <w:r>
              <w:t xml:space="preserve"> by using technology that automatically switches off when left on and unattended</w:t>
            </w:r>
            <w:r w:rsidR="00CF20AA">
              <w:t>.</w:t>
            </w:r>
          </w:p>
          <w:p w14:paraId="41D67E8A" w14:textId="01377156" w:rsidR="00987A44" w:rsidRPr="001D19E2" w:rsidRDefault="00CF20AA" w:rsidP="001D19E2">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t>Using new technology that allows staff to ‘wake up’ PCs that have been switched off to install software updates.</w:t>
            </w:r>
          </w:p>
        </w:tc>
        <w:tc>
          <w:tcPr>
            <w:tcW w:w="2424" w:type="dxa"/>
          </w:tcPr>
          <w:p w14:paraId="5CC15683" w14:textId="2E40C768" w:rsidR="008336CE" w:rsidRDefault="001D19E2" w:rsidP="003402EC">
            <w:pPr>
              <w:pStyle w:val="NoSpacing"/>
              <w:ind w:right="344"/>
              <w:jc w:val="right"/>
              <w:cnfStyle w:val="000000100000" w:firstRow="0" w:lastRow="0" w:firstColumn="0" w:lastColumn="0" w:oddVBand="0" w:evenVBand="0" w:oddHBand="1" w:evenHBand="0" w:firstRowFirstColumn="0" w:firstRowLastColumn="0" w:lastRowFirstColumn="0" w:lastRowLastColumn="0"/>
            </w:pPr>
            <w:r>
              <w:t>During 2024-25</w:t>
            </w:r>
          </w:p>
        </w:tc>
      </w:tr>
      <w:tr w:rsidR="008336CE" w14:paraId="1F3399D4" w14:textId="77777777" w:rsidTr="002828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2B6A656" w14:textId="2E0E5A1F" w:rsidR="008336CE" w:rsidRDefault="008336CE" w:rsidP="008336CE">
            <w:pPr>
              <w:pStyle w:val="NoSpacing"/>
            </w:pPr>
            <w:r>
              <w:t>Minimise environmental impacts</w:t>
            </w:r>
          </w:p>
        </w:tc>
        <w:tc>
          <w:tcPr>
            <w:tcW w:w="5670" w:type="dxa"/>
          </w:tcPr>
          <w:p w14:paraId="04AD1F30" w14:textId="02A97D39" w:rsidR="008336CE" w:rsidRDefault="006034A3" w:rsidP="00DD23AC">
            <w:pPr>
              <w:pStyle w:val="NoSpacing"/>
              <w:numPr>
                <w:ilvl w:val="0"/>
                <w:numId w:val="11"/>
              </w:numPr>
              <w:cnfStyle w:val="000000010000" w:firstRow="0" w:lastRow="0" w:firstColumn="0" w:lastColumn="0" w:oddVBand="0" w:evenVBand="0" w:oddHBand="0" w:evenHBand="1" w:firstRowFirstColumn="0" w:firstRowLastColumn="0" w:lastRowFirstColumn="0" w:lastRowLastColumn="0"/>
            </w:pPr>
            <w:r>
              <w:t>M</w:t>
            </w:r>
            <w:r w:rsidR="008336CE">
              <w:t>inimise use of hazardous waste and materials</w:t>
            </w:r>
            <w:r w:rsidR="00CF20AA">
              <w:t>.</w:t>
            </w:r>
          </w:p>
          <w:p w14:paraId="009237E1" w14:textId="3D8744C5" w:rsidR="008336CE" w:rsidRDefault="008336CE" w:rsidP="00DD23AC">
            <w:pPr>
              <w:pStyle w:val="NoSpacing"/>
              <w:numPr>
                <w:ilvl w:val="0"/>
                <w:numId w:val="11"/>
              </w:numPr>
              <w:cnfStyle w:val="000000010000" w:firstRow="0" w:lastRow="0" w:firstColumn="0" w:lastColumn="0" w:oddVBand="0" w:evenVBand="0" w:oddHBand="0" w:evenHBand="1" w:firstRowFirstColumn="0" w:firstRowLastColumn="0" w:lastRowFirstColumn="0" w:lastRowLastColumn="0"/>
            </w:pPr>
            <w:r>
              <w:t xml:space="preserve">Target premium </w:t>
            </w:r>
            <w:r w:rsidR="00596BC6">
              <w:t xml:space="preserve">Water Efficiency Labelling and Standards (WELS) </w:t>
            </w:r>
            <w:r>
              <w:t>rating where possible</w:t>
            </w:r>
            <w:r w:rsidR="00CF20AA">
              <w:t>.</w:t>
            </w:r>
          </w:p>
          <w:p w14:paraId="4418028A" w14:textId="6C0AC21E" w:rsidR="00987A44" w:rsidRPr="001D19E2" w:rsidRDefault="008336CE" w:rsidP="001D19E2">
            <w:pPr>
              <w:pStyle w:val="NoSpacing"/>
              <w:numPr>
                <w:ilvl w:val="0"/>
                <w:numId w:val="11"/>
              </w:numPr>
              <w:cnfStyle w:val="000000010000" w:firstRow="0" w:lastRow="0" w:firstColumn="0" w:lastColumn="0" w:oddVBand="0" w:evenVBand="0" w:oddHBand="0" w:evenHBand="1" w:firstRowFirstColumn="0" w:firstRowLastColumn="0" w:lastRowFirstColumn="0" w:lastRowLastColumn="0"/>
            </w:pPr>
            <w:r>
              <w:t>Environmentally friendly and low-harm products waste minimisation</w:t>
            </w:r>
            <w:r w:rsidR="00CF20AA">
              <w:t>.</w:t>
            </w:r>
          </w:p>
        </w:tc>
        <w:tc>
          <w:tcPr>
            <w:tcW w:w="2424" w:type="dxa"/>
          </w:tcPr>
          <w:p w14:paraId="6826450B" w14:textId="47617276" w:rsidR="008336CE" w:rsidRDefault="001D19E2" w:rsidP="003402EC">
            <w:pPr>
              <w:pStyle w:val="NoSpacing"/>
              <w:ind w:right="344"/>
              <w:jc w:val="right"/>
              <w:cnfStyle w:val="000000010000" w:firstRow="0" w:lastRow="0" w:firstColumn="0" w:lastColumn="0" w:oddVBand="0" w:evenVBand="0" w:oddHBand="0" w:evenHBand="1" w:firstRowFirstColumn="0" w:firstRowLastColumn="0" w:lastRowFirstColumn="0" w:lastRowLastColumn="0"/>
            </w:pPr>
            <w:r>
              <w:t>During 2024-25</w:t>
            </w:r>
          </w:p>
        </w:tc>
      </w:tr>
      <w:tr w:rsidR="008336CE" w14:paraId="4207B26F" w14:textId="77777777" w:rsidTr="00282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8DFF4EA" w14:textId="6E845E3D" w:rsidR="008336CE" w:rsidRDefault="008336CE" w:rsidP="008336CE">
            <w:pPr>
              <w:pStyle w:val="NoSpacing"/>
            </w:pPr>
            <w:r>
              <w:t>Reducing landfill</w:t>
            </w:r>
          </w:p>
        </w:tc>
        <w:tc>
          <w:tcPr>
            <w:tcW w:w="5670" w:type="dxa"/>
          </w:tcPr>
          <w:p w14:paraId="79033E07" w14:textId="60B5A789" w:rsidR="008336CE" w:rsidRDefault="008336CE" w:rsidP="00DD23AC">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t>Promote waste management p</w:t>
            </w:r>
            <w:r w:rsidR="00AD4969">
              <w:t>ractices</w:t>
            </w:r>
            <w:r w:rsidR="00CF20AA">
              <w:t>.</w:t>
            </w:r>
          </w:p>
          <w:p w14:paraId="0B44D36A" w14:textId="67E34626" w:rsidR="008336CE" w:rsidRDefault="008558E3" w:rsidP="00DD23AC">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t>Providing</w:t>
            </w:r>
            <w:r w:rsidR="008336CE">
              <w:t xml:space="preserve"> recycl</w:t>
            </w:r>
            <w:r>
              <w:t>ing</w:t>
            </w:r>
            <w:r w:rsidR="008336CE">
              <w:t xml:space="preserve"> bins</w:t>
            </w:r>
            <w:r>
              <w:t xml:space="preserve"> in every site</w:t>
            </w:r>
            <w:r w:rsidR="00CF20AA">
              <w:t>.</w:t>
            </w:r>
          </w:p>
          <w:p w14:paraId="5BB8BF35" w14:textId="77777777" w:rsidR="008336CE" w:rsidRDefault="008336CE" w:rsidP="00DD23AC">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t>Incorporate organic waste contracts</w:t>
            </w:r>
            <w:r w:rsidR="00CF20AA">
              <w:t>.</w:t>
            </w:r>
          </w:p>
          <w:p w14:paraId="52C383C2" w14:textId="172CC33D" w:rsidR="0006275E" w:rsidRDefault="0006275E" w:rsidP="0006275E">
            <w:pPr>
              <w:pStyle w:val="NoSpacing"/>
              <w:ind w:left="360"/>
              <w:cnfStyle w:val="000000100000" w:firstRow="0" w:lastRow="0" w:firstColumn="0" w:lastColumn="0" w:oddVBand="0" w:evenVBand="0" w:oddHBand="1" w:evenHBand="0" w:firstRowFirstColumn="0" w:firstRowLastColumn="0" w:lastRowFirstColumn="0" w:lastRowLastColumn="0"/>
            </w:pPr>
          </w:p>
        </w:tc>
        <w:tc>
          <w:tcPr>
            <w:tcW w:w="2424" w:type="dxa"/>
          </w:tcPr>
          <w:p w14:paraId="31A27FA5" w14:textId="00710392" w:rsidR="008336CE" w:rsidRDefault="001D19E2" w:rsidP="003402EC">
            <w:pPr>
              <w:pStyle w:val="NoSpacing"/>
              <w:ind w:right="344"/>
              <w:jc w:val="right"/>
              <w:cnfStyle w:val="000000100000" w:firstRow="0" w:lastRow="0" w:firstColumn="0" w:lastColumn="0" w:oddVBand="0" w:evenVBand="0" w:oddHBand="1" w:evenHBand="0" w:firstRowFirstColumn="0" w:firstRowLastColumn="0" w:lastRowFirstColumn="0" w:lastRowLastColumn="0"/>
            </w:pPr>
            <w:r>
              <w:t>During 2024-25</w:t>
            </w:r>
          </w:p>
        </w:tc>
      </w:tr>
      <w:tr w:rsidR="006F6AA8" w14:paraId="28BE553B" w14:textId="77777777" w:rsidTr="002828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40E0156" w14:textId="272E355A" w:rsidR="006F6AA8" w:rsidRDefault="006F6AA8" w:rsidP="006F6AA8">
            <w:pPr>
              <w:pStyle w:val="NoSpacing"/>
            </w:pPr>
            <w:r>
              <w:t>Support a circular economy</w:t>
            </w:r>
          </w:p>
        </w:tc>
        <w:tc>
          <w:tcPr>
            <w:tcW w:w="5670" w:type="dxa"/>
          </w:tcPr>
          <w:p w14:paraId="7260D9EC" w14:textId="77777777" w:rsidR="006F6AA8" w:rsidRDefault="006F6AA8" w:rsidP="00DD23AC">
            <w:pPr>
              <w:pStyle w:val="NoSpacing"/>
              <w:numPr>
                <w:ilvl w:val="0"/>
                <w:numId w:val="11"/>
              </w:numPr>
              <w:cnfStyle w:val="000000010000" w:firstRow="0" w:lastRow="0" w:firstColumn="0" w:lastColumn="0" w:oddVBand="0" w:evenVBand="0" w:oddHBand="0" w:evenHBand="1" w:firstRowFirstColumn="0" w:firstRowLastColumn="0" w:lastRowFirstColumn="0" w:lastRowLastColumn="0"/>
            </w:pPr>
            <w:r>
              <w:t xml:space="preserve">Resue, repair, refurbish and use of recycled content where possible. </w:t>
            </w:r>
          </w:p>
          <w:p w14:paraId="1856064E" w14:textId="32C17B10" w:rsidR="0006275E" w:rsidRDefault="0006275E" w:rsidP="0006275E">
            <w:pPr>
              <w:pStyle w:val="NoSpacing"/>
              <w:ind w:left="360"/>
              <w:cnfStyle w:val="000000010000" w:firstRow="0" w:lastRow="0" w:firstColumn="0" w:lastColumn="0" w:oddVBand="0" w:evenVBand="0" w:oddHBand="0" w:evenHBand="1" w:firstRowFirstColumn="0" w:firstRowLastColumn="0" w:lastRowFirstColumn="0" w:lastRowLastColumn="0"/>
            </w:pPr>
          </w:p>
        </w:tc>
        <w:tc>
          <w:tcPr>
            <w:tcW w:w="2424" w:type="dxa"/>
          </w:tcPr>
          <w:p w14:paraId="373C8B72" w14:textId="0AA29E55" w:rsidR="006F6AA8" w:rsidRDefault="001D19E2" w:rsidP="003402EC">
            <w:pPr>
              <w:pStyle w:val="NoSpacing"/>
              <w:ind w:right="344"/>
              <w:jc w:val="right"/>
              <w:cnfStyle w:val="000000010000" w:firstRow="0" w:lastRow="0" w:firstColumn="0" w:lastColumn="0" w:oddVBand="0" w:evenVBand="0" w:oddHBand="0" w:evenHBand="1" w:firstRowFirstColumn="0" w:firstRowLastColumn="0" w:lastRowFirstColumn="0" w:lastRowLastColumn="0"/>
            </w:pPr>
            <w:r>
              <w:t>During 2024-25</w:t>
            </w:r>
          </w:p>
        </w:tc>
      </w:tr>
    </w:tbl>
    <w:p w14:paraId="62551858" w14:textId="753AE3D3" w:rsidR="00604061" w:rsidRDefault="00396D21" w:rsidP="00C71702">
      <w:pPr>
        <w:pStyle w:val="Heading3"/>
        <w:numPr>
          <w:ilvl w:val="0"/>
          <w:numId w:val="0"/>
        </w:numPr>
      </w:pPr>
      <w:r w:rsidRPr="00396D21">
        <w:rPr>
          <w:sz w:val="18"/>
          <w:szCs w:val="16"/>
        </w:rPr>
        <w:br/>
      </w:r>
      <w:bookmarkStart w:id="23" w:name="_Toc173487280"/>
      <w:r w:rsidR="009879BB">
        <w:t xml:space="preserve">Net Zero </w:t>
      </w:r>
      <w:r w:rsidR="00604061">
        <w:t>Fleet</w:t>
      </w:r>
      <w:bookmarkEnd w:id="23"/>
      <w:r w:rsidR="00604061">
        <w:t xml:space="preserve"> </w:t>
      </w:r>
    </w:p>
    <w:p w14:paraId="5AF3F2E3" w14:textId="2C28F9A6" w:rsidR="00CA1D4B" w:rsidRDefault="008658BB" w:rsidP="006E46C3">
      <w:pPr>
        <w:pStyle w:val="BodyText1"/>
        <w:rPr>
          <w:lang w:eastAsia="en-AU"/>
        </w:rPr>
      </w:pPr>
      <w:r>
        <w:t>Under the l</w:t>
      </w:r>
      <w:r w:rsidR="001D53C6" w:rsidRPr="002A4C95">
        <w:t xml:space="preserve">easing of </w:t>
      </w:r>
      <w:r w:rsidR="001B3CD3">
        <w:t>f</w:t>
      </w:r>
      <w:r w:rsidR="001D53C6" w:rsidRPr="002A4C95">
        <w:t xml:space="preserve">leet </w:t>
      </w:r>
      <w:r w:rsidR="000161AE" w:rsidRPr="002A4C95">
        <w:t>vehicles,</w:t>
      </w:r>
      <w:r>
        <w:t xml:space="preserve"> the department will</w:t>
      </w:r>
      <w:r w:rsidR="00F00866" w:rsidRPr="002A4C95">
        <w:rPr>
          <w:lang w:eastAsia="en-AU"/>
        </w:rPr>
        <w:t xml:space="preserve"> ensure the procurement and sourcing of motor vehicles is consistent with the </w:t>
      </w:r>
      <w:r w:rsidR="00E23E6E" w:rsidRPr="002A4C95">
        <w:rPr>
          <w:i/>
          <w:iCs/>
          <w:lang w:eastAsia="en-AU"/>
        </w:rPr>
        <w:t>Commonwealth</w:t>
      </w:r>
      <w:r w:rsidR="00F00866" w:rsidRPr="002A4C95">
        <w:rPr>
          <w:i/>
          <w:iCs/>
          <w:lang w:eastAsia="en-AU"/>
        </w:rPr>
        <w:t xml:space="preserve"> </w:t>
      </w:r>
      <w:r w:rsidR="00E23E6E" w:rsidRPr="002A4C95">
        <w:rPr>
          <w:i/>
          <w:iCs/>
          <w:lang w:eastAsia="en-AU"/>
        </w:rPr>
        <w:t xml:space="preserve">Fleet </w:t>
      </w:r>
      <w:r w:rsidR="00F00866" w:rsidRPr="002A4C95">
        <w:rPr>
          <w:i/>
          <w:iCs/>
          <w:lang w:eastAsia="en-AU"/>
        </w:rPr>
        <w:t>Vehicle Selection Policy</w:t>
      </w:r>
      <w:r w:rsidR="00E23E6E" w:rsidRPr="002A4C95">
        <w:rPr>
          <w:rStyle w:val="FootnoteReference"/>
          <w:i/>
          <w:iCs/>
          <w:lang w:eastAsia="en-AU"/>
        </w:rPr>
        <w:footnoteReference w:id="4"/>
      </w:r>
      <w:r w:rsidR="00400C59">
        <w:rPr>
          <w:i/>
          <w:iCs/>
          <w:lang w:eastAsia="en-AU"/>
        </w:rPr>
        <w:t>.</w:t>
      </w:r>
      <w:r w:rsidR="00F00866" w:rsidRPr="002A4C95">
        <w:rPr>
          <w:lang w:eastAsia="en-AU"/>
        </w:rPr>
        <w:t xml:space="preserve"> </w:t>
      </w:r>
    </w:p>
    <w:tbl>
      <w:tblPr>
        <w:tblStyle w:val="DSSDatatablestyle"/>
        <w:tblW w:w="9923" w:type="dxa"/>
        <w:tblLook w:val="04A0" w:firstRow="1" w:lastRow="0" w:firstColumn="1" w:lastColumn="0" w:noHBand="0" w:noVBand="1"/>
      </w:tblPr>
      <w:tblGrid>
        <w:gridCol w:w="1971"/>
        <w:gridCol w:w="5542"/>
        <w:gridCol w:w="2410"/>
      </w:tblGrid>
      <w:tr w:rsidR="00072A5B" w14:paraId="24B0F7D5" w14:textId="77777777" w:rsidTr="001D1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hideMark/>
          </w:tcPr>
          <w:p w14:paraId="04713513" w14:textId="77777777" w:rsidR="00072A5B" w:rsidRDefault="00072A5B">
            <w:pPr>
              <w:pStyle w:val="NoSpacing"/>
            </w:pPr>
            <w:r>
              <w:t>Activity</w:t>
            </w:r>
          </w:p>
        </w:tc>
        <w:tc>
          <w:tcPr>
            <w:tcW w:w="5542" w:type="dxa"/>
            <w:hideMark/>
          </w:tcPr>
          <w:p w14:paraId="060DCE35" w14:textId="6186A6FA" w:rsidR="00072A5B" w:rsidRDefault="00A040E5">
            <w:pPr>
              <w:pStyle w:val="NoSpacing"/>
              <w:cnfStyle w:val="100000000000" w:firstRow="1" w:lastRow="0" w:firstColumn="0" w:lastColumn="0" w:oddVBand="0" w:evenVBand="0" w:oddHBand="0" w:evenHBand="0" w:firstRowFirstColumn="0" w:firstRowLastColumn="0" w:lastRowFirstColumn="0" w:lastRowLastColumn="0"/>
            </w:pPr>
            <w:r>
              <w:t>Action</w:t>
            </w:r>
            <w:r w:rsidR="006936F3">
              <w:t>s for fleet transition</w:t>
            </w:r>
          </w:p>
        </w:tc>
        <w:tc>
          <w:tcPr>
            <w:tcW w:w="2410" w:type="dxa"/>
            <w:hideMark/>
          </w:tcPr>
          <w:p w14:paraId="5AAC727C" w14:textId="77777777" w:rsidR="00072A5B" w:rsidRDefault="00072A5B" w:rsidP="003402EC">
            <w:pPr>
              <w:pStyle w:val="NoSpacing"/>
              <w:jc w:val="right"/>
              <w:cnfStyle w:val="100000000000" w:firstRow="1" w:lastRow="0" w:firstColumn="0" w:lastColumn="0" w:oddVBand="0" w:evenVBand="0" w:oddHBand="0" w:evenHBand="0" w:firstRowFirstColumn="0" w:firstRowLastColumn="0" w:lastRowFirstColumn="0" w:lastRowLastColumn="0"/>
            </w:pPr>
            <w:r>
              <w:t>Timeframe</w:t>
            </w:r>
          </w:p>
        </w:tc>
      </w:tr>
      <w:tr w:rsidR="00072A5B" w14:paraId="7F531839"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hideMark/>
          </w:tcPr>
          <w:p w14:paraId="342078BA" w14:textId="77777777" w:rsidR="00072A5B" w:rsidRPr="00D61845" w:rsidRDefault="00072A5B">
            <w:pPr>
              <w:pStyle w:val="NoSpacing"/>
            </w:pPr>
            <w:r w:rsidRPr="00D61845">
              <w:t>Fleet</w:t>
            </w:r>
          </w:p>
        </w:tc>
        <w:tc>
          <w:tcPr>
            <w:tcW w:w="5542" w:type="dxa"/>
          </w:tcPr>
          <w:p w14:paraId="0E9F6385" w14:textId="2651D3B8" w:rsidR="00072A5B" w:rsidRPr="00C46346" w:rsidRDefault="00072A5B" w:rsidP="000640FC">
            <w:pPr>
              <w:pStyle w:val="NoSpacing"/>
              <w:cnfStyle w:val="000000100000" w:firstRow="0" w:lastRow="0" w:firstColumn="0" w:lastColumn="0" w:oddVBand="0" w:evenVBand="0" w:oddHBand="1" w:evenHBand="0" w:firstRowFirstColumn="0" w:firstRowLastColumn="0" w:lastRowFirstColumn="0" w:lastRowLastColumn="0"/>
            </w:pPr>
            <w:r w:rsidRPr="00C46346">
              <w:t>T</w:t>
            </w:r>
            <w:r w:rsidR="003F7FE1">
              <w:t>ransition</w:t>
            </w:r>
            <w:r w:rsidRPr="00C46346">
              <w:t xml:space="preserve"> 25% of new passenger vehicle</w:t>
            </w:r>
            <w:r w:rsidR="003F7FE1">
              <w:t>s</w:t>
            </w:r>
            <w:r w:rsidRPr="00C46346">
              <w:t xml:space="preserve"> to</w:t>
            </w:r>
            <w:r w:rsidR="006D0096">
              <w:t xml:space="preserve"> </w:t>
            </w:r>
            <w:r w:rsidRPr="00C46346">
              <w:t xml:space="preserve"> </w:t>
            </w:r>
            <w:r w:rsidR="006D0096">
              <w:br/>
            </w:r>
            <w:r w:rsidR="003F7FE1">
              <w:t>l</w:t>
            </w:r>
            <w:r w:rsidRPr="00C46346">
              <w:t>ow emission vehicles.</w:t>
            </w:r>
          </w:p>
        </w:tc>
        <w:tc>
          <w:tcPr>
            <w:tcW w:w="2410" w:type="dxa"/>
          </w:tcPr>
          <w:p w14:paraId="70DE4557" w14:textId="42FB5976" w:rsidR="00072A5B" w:rsidRPr="00C46346" w:rsidRDefault="00E17271" w:rsidP="003402EC">
            <w:pPr>
              <w:pStyle w:val="NoSpacing"/>
              <w:jc w:val="right"/>
              <w:cnfStyle w:val="000000100000" w:firstRow="0" w:lastRow="0" w:firstColumn="0" w:lastColumn="0" w:oddVBand="0" w:evenVBand="0" w:oddHBand="1" w:evenHBand="0" w:firstRowFirstColumn="0" w:firstRowLastColumn="0" w:lastRowFirstColumn="0" w:lastRowLastColumn="0"/>
            </w:pPr>
            <w:r>
              <w:t>Completed</w:t>
            </w:r>
          </w:p>
          <w:p w14:paraId="1A16FF76" w14:textId="60E687F9" w:rsidR="00072A5B" w:rsidRPr="00C46346" w:rsidRDefault="00072A5B" w:rsidP="003402EC">
            <w:pPr>
              <w:pStyle w:val="NoSpacing"/>
              <w:jc w:val="right"/>
              <w:cnfStyle w:val="000000100000" w:firstRow="0" w:lastRow="0" w:firstColumn="0" w:lastColumn="0" w:oddVBand="0" w:evenVBand="0" w:oddHBand="1" w:evenHBand="0" w:firstRowFirstColumn="0" w:firstRowLastColumn="0" w:lastRowFirstColumn="0" w:lastRowLastColumn="0"/>
            </w:pPr>
          </w:p>
        </w:tc>
      </w:tr>
      <w:tr w:rsidR="000640FC" w14:paraId="1BC4F072" w14:textId="77777777" w:rsidTr="001D1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0C3F107C" w14:textId="77777777" w:rsidR="000640FC" w:rsidRDefault="000640FC">
            <w:pPr>
              <w:pStyle w:val="NoSpacing"/>
              <w:rPr>
                <w:b w:val="0"/>
                <w:bCs/>
              </w:rPr>
            </w:pPr>
          </w:p>
        </w:tc>
        <w:tc>
          <w:tcPr>
            <w:tcW w:w="5542" w:type="dxa"/>
          </w:tcPr>
          <w:p w14:paraId="6A6819A5" w14:textId="61396C78" w:rsidR="000640FC" w:rsidRPr="00C46346" w:rsidRDefault="000640FC">
            <w:pPr>
              <w:pStyle w:val="NoSpacing"/>
              <w:cnfStyle w:val="000000010000" w:firstRow="0" w:lastRow="0" w:firstColumn="0" w:lastColumn="0" w:oddVBand="0" w:evenVBand="0" w:oddHBand="0" w:evenHBand="1" w:firstRowFirstColumn="0" w:firstRowLastColumn="0" w:lastRowFirstColumn="0" w:lastRowLastColumn="0"/>
            </w:pPr>
            <w:r w:rsidRPr="00C46346">
              <w:t>T</w:t>
            </w:r>
            <w:r w:rsidR="006D0096">
              <w:t>ransition</w:t>
            </w:r>
            <w:r w:rsidRPr="00C46346">
              <w:t xml:space="preserve"> 50% of new passenger vehicle</w:t>
            </w:r>
            <w:r w:rsidR="00B741F6">
              <w:t>s</w:t>
            </w:r>
            <w:r w:rsidRPr="00C46346">
              <w:t xml:space="preserve"> to  </w:t>
            </w:r>
            <w:r w:rsidR="006D0096">
              <w:br/>
            </w:r>
            <w:r w:rsidRPr="00C46346">
              <w:t>low emission vehicles.</w:t>
            </w:r>
          </w:p>
        </w:tc>
        <w:tc>
          <w:tcPr>
            <w:tcW w:w="2410" w:type="dxa"/>
          </w:tcPr>
          <w:p w14:paraId="36ACBC6A" w14:textId="76DA8DA7" w:rsidR="000640FC" w:rsidRPr="00C46346" w:rsidRDefault="00726A95" w:rsidP="003402EC">
            <w:pPr>
              <w:pStyle w:val="NoSpacing"/>
              <w:jc w:val="right"/>
              <w:cnfStyle w:val="000000010000" w:firstRow="0" w:lastRow="0" w:firstColumn="0" w:lastColumn="0" w:oddVBand="0" w:evenVBand="0" w:oddHBand="0" w:evenHBand="1" w:firstRowFirstColumn="0" w:firstRowLastColumn="0" w:lastRowFirstColumn="0" w:lastRowLastColumn="0"/>
            </w:pPr>
            <w:r>
              <w:t xml:space="preserve">Completed </w:t>
            </w:r>
          </w:p>
        </w:tc>
      </w:tr>
      <w:tr w:rsidR="00B741F6" w14:paraId="1743C7F8"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5ACF99F7" w14:textId="77777777" w:rsidR="00B741F6" w:rsidRDefault="00B741F6">
            <w:pPr>
              <w:pStyle w:val="NoSpacing"/>
              <w:rPr>
                <w:b w:val="0"/>
                <w:bCs/>
              </w:rPr>
            </w:pPr>
          </w:p>
        </w:tc>
        <w:tc>
          <w:tcPr>
            <w:tcW w:w="5542" w:type="dxa"/>
          </w:tcPr>
          <w:p w14:paraId="69528154" w14:textId="5AFB0BDA" w:rsidR="00B741F6" w:rsidRPr="00C46346" w:rsidRDefault="00B741F6">
            <w:pPr>
              <w:pStyle w:val="NoSpacing"/>
              <w:cnfStyle w:val="000000100000" w:firstRow="0" w:lastRow="0" w:firstColumn="0" w:lastColumn="0" w:oddVBand="0" w:evenVBand="0" w:oddHBand="1" w:evenHBand="0" w:firstRowFirstColumn="0" w:firstRowLastColumn="0" w:lastRowFirstColumn="0" w:lastRowLastColumn="0"/>
            </w:pPr>
            <w:r>
              <w:t xml:space="preserve">Transition 75% of new passenger vehicles to  </w:t>
            </w:r>
            <w:r>
              <w:br/>
              <w:t>low emission vehicles.</w:t>
            </w:r>
          </w:p>
        </w:tc>
        <w:tc>
          <w:tcPr>
            <w:tcW w:w="2410" w:type="dxa"/>
          </w:tcPr>
          <w:p w14:paraId="1D38633C" w14:textId="6CEC794D" w:rsidR="00B741F6" w:rsidRPr="00C46346" w:rsidRDefault="00B741F6" w:rsidP="003402EC">
            <w:pPr>
              <w:pStyle w:val="NoSpacing"/>
              <w:jc w:val="right"/>
              <w:cnfStyle w:val="000000100000" w:firstRow="0" w:lastRow="0" w:firstColumn="0" w:lastColumn="0" w:oddVBand="0" w:evenVBand="0" w:oddHBand="1" w:evenHBand="0" w:firstRowFirstColumn="0" w:firstRowLastColumn="0" w:lastRowFirstColumn="0" w:lastRowLastColumn="0"/>
            </w:pPr>
            <w:r>
              <w:t>1 July 2025</w:t>
            </w:r>
          </w:p>
        </w:tc>
      </w:tr>
    </w:tbl>
    <w:p w14:paraId="6F70B780" w14:textId="77777777" w:rsidR="00416BD6" w:rsidRDefault="00416BD6" w:rsidP="000C7E9A"/>
    <w:p w14:paraId="7AA38304" w14:textId="77777777" w:rsidR="00416BD6" w:rsidRDefault="00416BD6">
      <w:pPr>
        <w:spacing w:after="240"/>
        <w:rPr>
          <w:rFonts w:asciiTheme="majorHAnsi" w:eastAsiaTheme="majorEastAsia" w:hAnsiTheme="majorHAnsi" w:cstheme="majorBidi"/>
          <w:color w:val="005A70" w:themeColor="accent1"/>
          <w:sz w:val="32"/>
          <w:szCs w:val="26"/>
        </w:rPr>
      </w:pPr>
      <w:r>
        <w:br w:type="page"/>
      </w:r>
    </w:p>
    <w:p w14:paraId="527D0FD1" w14:textId="523C9EC3" w:rsidR="00604061" w:rsidRDefault="009879BB" w:rsidP="00C71702">
      <w:pPr>
        <w:pStyle w:val="Heading3"/>
        <w:numPr>
          <w:ilvl w:val="0"/>
          <w:numId w:val="0"/>
        </w:numPr>
      </w:pPr>
      <w:bookmarkStart w:id="24" w:name="_Toc173487281"/>
      <w:r>
        <w:lastRenderedPageBreak/>
        <w:t xml:space="preserve">Net Zero </w:t>
      </w:r>
      <w:r w:rsidR="007320F2">
        <w:t>ICT</w:t>
      </w:r>
      <w:bookmarkEnd w:id="24"/>
    </w:p>
    <w:p w14:paraId="66A30063" w14:textId="0D0F3452" w:rsidR="00855CC1" w:rsidRDefault="008D7E58" w:rsidP="00CA172A">
      <w:r w:rsidRPr="008D7E58">
        <w:t xml:space="preserve">Services Australia provides ICT services and equipment under a shared services arrangement. </w:t>
      </w:r>
      <w:r w:rsidR="00372F41">
        <w:t>The department w</w:t>
      </w:r>
      <w:r w:rsidRPr="008D7E58">
        <w:t xml:space="preserve">ill work in partnership with Services Australia to ensure data centres </w:t>
      </w:r>
      <w:proofErr w:type="gramStart"/>
      <w:r w:rsidRPr="008D7E58">
        <w:t>are located in</w:t>
      </w:r>
      <w:proofErr w:type="gramEnd"/>
      <w:r w:rsidRPr="008D7E58">
        <w:t xml:space="preserve"> energy efficient premises and wherever possible participate in the whole of government digital marketplace panel.</w:t>
      </w:r>
    </w:p>
    <w:tbl>
      <w:tblPr>
        <w:tblStyle w:val="DSSDatatablestyle"/>
        <w:tblW w:w="0" w:type="auto"/>
        <w:tblLook w:val="04A0" w:firstRow="1" w:lastRow="0" w:firstColumn="1" w:lastColumn="0" w:noHBand="0" w:noVBand="1"/>
      </w:tblPr>
      <w:tblGrid>
        <w:gridCol w:w="1985"/>
        <w:gridCol w:w="5528"/>
        <w:gridCol w:w="2410"/>
      </w:tblGrid>
      <w:tr w:rsidR="00C46346" w14:paraId="5B0E838D" w14:textId="77777777" w:rsidTr="001D1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03CF13B8" w14:textId="77777777" w:rsidR="00C46346" w:rsidRDefault="00C46346">
            <w:pPr>
              <w:pStyle w:val="NoSpacing"/>
            </w:pPr>
            <w:r>
              <w:t>Activity</w:t>
            </w:r>
          </w:p>
        </w:tc>
        <w:tc>
          <w:tcPr>
            <w:tcW w:w="5528" w:type="dxa"/>
            <w:hideMark/>
          </w:tcPr>
          <w:p w14:paraId="3A3426F4" w14:textId="0A87CF18" w:rsidR="00C46346" w:rsidRDefault="008558E3">
            <w:pPr>
              <w:pStyle w:val="NoSpacing"/>
              <w:cnfStyle w:val="100000000000" w:firstRow="1" w:lastRow="0" w:firstColumn="0" w:lastColumn="0" w:oddVBand="0" w:evenVBand="0" w:oddHBand="0" w:evenHBand="0" w:firstRowFirstColumn="0" w:firstRowLastColumn="0" w:lastRowFirstColumn="0" w:lastRowLastColumn="0"/>
            </w:pPr>
            <w:r>
              <w:t>Action by the department</w:t>
            </w:r>
          </w:p>
        </w:tc>
        <w:tc>
          <w:tcPr>
            <w:tcW w:w="2410" w:type="dxa"/>
            <w:hideMark/>
          </w:tcPr>
          <w:p w14:paraId="7DC71F73" w14:textId="77777777" w:rsidR="00C46346" w:rsidRDefault="00C46346" w:rsidP="003402EC">
            <w:pPr>
              <w:pStyle w:val="NoSpacing"/>
              <w:jc w:val="right"/>
              <w:cnfStyle w:val="100000000000" w:firstRow="1" w:lastRow="0" w:firstColumn="0" w:lastColumn="0" w:oddVBand="0" w:evenVBand="0" w:oddHBand="0" w:evenHBand="0" w:firstRowFirstColumn="0" w:firstRowLastColumn="0" w:lastRowFirstColumn="0" w:lastRowLastColumn="0"/>
            </w:pPr>
            <w:r>
              <w:t>Timeframe</w:t>
            </w:r>
          </w:p>
        </w:tc>
      </w:tr>
      <w:tr w:rsidR="00C46346" w14:paraId="1902A88B"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left w:val="nil"/>
              <w:right w:val="nil"/>
            </w:tcBorders>
            <w:hideMark/>
          </w:tcPr>
          <w:p w14:paraId="56D98CF7" w14:textId="77777777" w:rsidR="00C46346" w:rsidRDefault="00C46346">
            <w:pPr>
              <w:pStyle w:val="NoSpacing"/>
            </w:pPr>
            <w:r>
              <w:t>ICT</w:t>
            </w:r>
          </w:p>
        </w:tc>
        <w:tc>
          <w:tcPr>
            <w:tcW w:w="5528" w:type="dxa"/>
            <w:tcBorders>
              <w:left w:val="nil"/>
              <w:right w:val="nil"/>
            </w:tcBorders>
          </w:tcPr>
          <w:p w14:paraId="26B9EAE0" w14:textId="0C8782CE" w:rsidR="00C46346" w:rsidRPr="00C46346" w:rsidRDefault="00AA4194">
            <w:pPr>
              <w:pStyle w:val="NoSpacing"/>
              <w:cnfStyle w:val="000000100000" w:firstRow="0" w:lastRow="0" w:firstColumn="0" w:lastColumn="0" w:oddVBand="0" w:evenVBand="0" w:oddHBand="1" w:evenHBand="0" w:firstRowFirstColumn="0" w:firstRowLastColumn="0" w:lastRowFirstColumn="0" w:lastRowLastColumn="0"/>
            </w:pPr>
            <w:r>
              <w:t>Working in partnership with Services Australia</w:t>
            </w:r>
            <w:r w:rsidR="000F5F85">
              <w:t xml:space="preserve"> to ensure n</w:t>
            </w:r>
            <w:r w:rsidR="00C46346" w:rsidRPr="00C46346">
              <w:t>ew data facilities</w:t>
            </w:r>
            <w:r w:rsidR="002D232C">
              <w:t>,</w:t>
            </w:r>
            <w:r w:rsidR="00C46346" w:rsidRPr="00C46346">
              <w:t xml:space="preserve"> that are sourced outside the whole-of-Government panel arrangement</w:t>
            </w:r>
            <w:r w:rsidR="002D232C">
              <w:t>,</w:t>
            </w:r>
            <w:r w:rsidR="000F5F85">
              <w:t xml:space="preserve"> are </w:t>
            </w:r>
            <w:r w:rsidR="00C46346" w:rsidRPr="00C46346">
              <w:t xml:space="preserve">required to </w:t>
            </w:r>
            <w:r w:rsidR="00364D58" w:rsidRPr="00C46346">
              <w:t>achieve,</w:t>
            </w:r>
            <w:r w:rsidR="00C46346" w:rsidRPr="00C46346">
              <w:t xml:space="preserve"> and maintain 5 stars NABERS rating</w:t>
            </w:r>
            <w:r w:rsidR="00881F1A">
              <w:t xml:space="preserve"> </w:t>
            </w:r>
            <w:r w:rsidR="00881F1A" w:rsidRPr="00881F1A">
              <w:t>or equivalent environmental rating, such as a Power Usage Effectiveness of 1.4 or less.</w:t>
            </w:r>
          </w:p>
        </w:tc>
        <w:tc>
          <w:tcPr>
            <w:tcW w:w="2410" w:type="dxa"/>
            <w:tcBorders>
              <w:left w:val="nil"/>
              <w:right w:val="nil"/>
            </w:tcBorders>
            <w:hideMark/>
          </w:tcPr>
          <w:p w14:paraId="45744833" w14:textId="77777777" w:rsidR="00C46346" w:rsidRPr="00C46346" w:rsidRDefault="00C46346" w:rsidP="003402EC">
            <w:pPr>
              <w:pStyle w:val="NoSpacing"/>
              <w:jc w:val="right"/>
              <w:cnfStyle w:val="000000100000" w:firstRow="0" w:lastRow="0" w:firstColumn="0" w:lastColumn="0" w:oddVBand="0" w:evenVBand="0" w:oddHBand="1" w:evenHBand="0" w:firstRowFirstColumn="0" w:firstRowLastColumn="0" w:lastRowFirstColumn="0" w:lastRowLastColumn="0"/>
            </w:pPr>
            <w:r w:rsidRPr="00C46346">
              <w:t>1 July 2025</w:t>
            </w:r>
          </w:p>
        </w:tc>
      </w:tr>
      <w:tr w:rsidR="008558E3" w14:paraId="213BDBA9" w14:textId="77777777" w:rsidTr="001D1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left w:val="nil"/>
              <w:right w:val="nil"/>
            </w:tcBorders>
          </w:tcPr>
          <w:p w14:paraId="675D76E1" w14:textId="77777777" w:rsidR="008558E3" w:rsidRDefault="008558E3">
            <w:pPr>
              <w:pStyle w:val="NoSpacing"/>
            </w:pPr>
          </w:p>
        </w:tc>
        <w:tc>
          <w:tcPr>
            <w:tcW w:w="5528" w:type="dxa"/>
            <w:tcBorders>
              <w:left w:val="nil"/>
              <w:right w:val="nil"/>
            </w:tcBorders>
          </w:tcPr>
          <w:p w14:paraId="07A6963E" w14:textId="074A1ED1" w:rsidR="008558E3" w:rsidRPr="00C46346" w:rsidRDefault="008558E3">
            <w:pPr>
              <w:pStyle w:val="NoSpacing"/>
              <w:cnfStyle w:val="000000010000" w:firstRow="0" w:lastRow="0" w:firstColumn="0" w:lastColumn="0" w:oddVBand="0" w:evenVBand="0" w:oddHBand="0" w:evenHBand="1" w:firstRowFirstColumn="0" w:firstRowLastColumn="0" w:lastRowFirstColumn="0" w:lastRowLastColumn="0"/>
            </w:pPr>
            <w:r>
              <w:t>Services Australia has confirmed the data facilities already meet the minimum standards.</w:t>
            </w:r>
          </w:p>
        </w:tc>
        <w:tc>
          <w:tcPr>
            <w:tcW w:w="2410" w:type="dxa"/>
            <w:tcBorders>
              <w:left w:val="nil"/>
              <w:right w:val="nil"/>
            </w:tcBorders>
          </w:tcPr>
          <w:p w14:paraId="1CDE8FB5" w14:textId="5383C1C0" w:rsidR="008558E3" w:rsidRPr="00C46346" w:rsidRDefault="008558E3" w:rsidP="003402EC">
            <w:pPr>
              <w:pStyle w:val="NoSpacing"/>
              <w:jc w:val="right"/>
              <w:cnfStyle w:val="000000010000" w:firstRow="0" w:lastRow="0" w:firstColumn="0" w:lastColumn="0" w:oddVBand="0" w:evenVBand="0" w:oddHBand="0" w:evenHBand="1" w:firstRowFirstColumn="0" w:firstRowLastColumn="0" w:lastRowFirstColumn="0" w:lastRowLastColumn="0"/>
            </w:pPr>
            <w:r>
              <w:t>Ongoing</w:t>
            </w:r>
          </w:p>
        </w:tc>
      </w:tr>
    </w:tbl>
    <w:p w14:paraId="388D28CA" w14:textId="0861C42E" w:rsidR="007320F2" w:rsidRDefault="00396D21" w:rsidP="00C71702">
      <w:pPr>
        <w:pStyle w:val="Heading3"/>
        <w:numPr>
          <w:ilvl w:val="0"/>
          <w:numId w:val="0"/>
        </w:numPr>
      </w:pPr>
      <w:r w:rsidRPr="00396D21">
        <w:rPr>
          <w:sz w:val="18"/>
          <w:szCs w:val="16"/>
        </w:rPr>
        <w:br/>
      </w:r>
      <w:bookmarkStart w:id="25" w:name="_Toc173487282"/>
      <w:r w:rsidR="009879BB">
        <w:t xml:space="preserve">Net Zero </w:t>
      </w:r>
      <w:r w:rsidR="007320F2">
        <w:t>Procurement</w:t>
      </w:r>
      <w:bookmarkEnd w:id="25"/>
    </w:p>
    <w:p w14:paraId="078FCC6B" w14:textId="1D1A466F" w:rsidR="00974019" w:rsidRDefault="008658BB" w:rsidP="00A70F00">
      <w:r>
        <w:t>Under the procurement guidelines the department will</w:t>
      </w:r>
      <w:r w:rsidR="00674E2E" w:rsidRPr="002A4C95">
        <w:t xml:space="preserve">:  </w:t>
      </w:r>
    </w:p>
    <w:tbl>
      <w:tblPr>
        <w:tblStyle w:val="DSSDatatablestyle"/>
        <w:tblW w:w="9923" w:type="dxa"/>
        <w:tblLook w:val="04A0" w:firstRow="1" w:lastRow="0" w:firstColumn="1" w:lastColumn="0" w:noHBand="0" w:noVBand="1"/>
      </w:tblPr>
      <w:tblGrid>
        <w:gridCol w:w="1971"/>
        <w:gridCol w:w="5542"/>
        <w:gridCol w:w="2410"/>
      </w:tblGrid>
      <w:tr w:rsidR="00072A5B" w14:paraId="4B03B964" w14:textId="77777777" w:rsidTr="001D1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hideMark/>
          </w:tcPr>
          <w:p w14:paraId="4C1C2238" w14:textId="77777777" w:rsidR="00072A5B" w:rsidRDefault="00072A5B" w:rsidP="00DE76CE">
            <w:pPr>
              <w:pStyle w:val="NoSpacing"/>
            </w:pPr>
            <w:r>
              <w:t>Activity</w:t>
            </w:r>
          </w:p>
        </w:tc>
        <w:tc>
          <w:tcPr>
            <w:tcW w:w="5542" w:type="dxa"/>
            <w:hideMark/>
          </w:tcPr>
          <w:p w14:paraId="6E598E37" w14:textId="48BFE6CF" w:rsidR="00072A5B" w:rsidRDefault="00E337A1" w:rsidP="00DE76CE">
            <w:pPr>
              <w:pStyle w:val="NoSpacing"/>
              <w:cnfStyle w:val="100000000000" w:firstRow="1" w:lastRow="0" w:firstColumn="0" w:lastColumn="0" w:oddVBand="0" w:evenVBand="0" w:oddHBand="0" w:evenHBand="0" w:firstRowFirstColumn="0" w:firstRowLastColumn="0" w:lastRowFirstColumn="0" w:lastRowLastColumn="0"/>
            </w:pPr>
            <w:r>
              <w:t>Action by the department</w:t>
            </w:r>
          </w:p>
        </w:tc>
        <w:tc>
          <w:tcPr>
            <w:tcW w:w="2410" w:type="dxa"/>
            <w:hideMark/>
          </w:tcPr>
          <w:p w14:paraId="7CB1C5F1" w14:textId="77777777" w:rsidR="00072A5B" w:rsidRDefault="00072A5B" w:rsidP="003402EC">
            <w:pPr>
              <w:pStyle w:val="NoSpacing"/>
              <w:jc w:val="right"/>
              <w:cnfStyle w:val="100000000000" w:firstRow="1" w:lastRow="0" w:firstColumn="0" w:lastColumn="0" w:oddVBand="0" w:evenVBand="0" w:oddHBand="0" w:evenHBand="0" w:firstRowFirstColumn="0" w:firstRowLastColumn="0" w:lastRowFirstColumn="0" w:lastRowLastColumn="0"/>
            </w:pPr>
            <w:r>
              <w:t>Timeframe</w:t>
            </w:r>
          </w:p>
        </w:tc>
      </w:tr>
      <w:tr w:rsidR="00690D82" w14:paraId="63FEBA06"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66B1FEB6" w14:textId="7A6E2B8F" w:rsidR="00690D82" w:rsidRDefault="00690D82" w:rsidP="00690D82">
            <w:pPr>
              <w:pStyle w:val="NoSpacing"/>
            </w:pPr>
            <w:r>
              <w:t>Procurement</w:t>
            </w:r>
          </w:p>
        </w:tc>
        <w:tc>
          <w:tcPr>
            <w:tcW w:w="5542" w:type="dxa"/>
          </w:tcPr>
          <w:p w14:paraId="5585747E" w14:textId="4E94F954" w:rsidR="00690D82" w:rsidRDefault="00690D82" w:rsidP="00690D82">
            <w:pPr>
              <w:pStyle w:val="NoSpacing"/>
              <w:cnfStyle w:val="000000100000" w:firstRow="0" w:lastRow="0" w:firstColumn="0" w:lastColumn="0" w:oddVBand="0" w:evenVBand="0" w:oddHBand="1" w:evenHBand="0" w:firstRowFirstColumn="0" w:firstRowLastColumn="0" w:lastRowFirstColumn="0" w:lastRowLastColumn="0"/>
            </w:pPr>
            <w:r>
              <w:t>Commit to su</w:t>
            </w:r>
            <w:r w:rsidRPr="002A4C95">
              <w:t>pporting training and guidance, including the Government’s</w:t>
            </w:r>
            <w:r w:rsidRPr="00A70F00">
              <w:t xml:space="preserve"> Sustainable Procurement Guide</w:t>
            </w:r>
            <w:r w:rsidRPr="003F1305">
              <w:rPr>
                <w:vertAlign w:val="superscript"/>
              </w:rPr>
              <w:footnoteReference w:id="5"/>
            </w:r>
            <w:r w:rsidRPr="002A4C95">
              <w:t xml:space="preserve"> </w:t>
            </w:r>
            <w:r w:rsidR="00DB7F03">
              <w:t>to be</w:t>
            </w:r>
            <w:r w:rsidRPr="002A4C95">
              <w:t xml:space="preserve"> embedded into the department’s procurement process, </w:t>
            </w:r>
            <w:r w:rsidR="00DB7F03" w:rsidRPr="002A4C95">
              <w:t>training,</w:t>
            </w:r>
            <w:r w:rsidRPr="002A4C95">
              <w:t xml:space="preserve"> and templates</w:t>
            </w:r>
            <w:r>
              <w:t>.</w:t>
            </w:r>
          </w:p>
        </w:tc>
        <w:tc>
          <w:tcPr>
            <w:tcW w:w="2410" w:type="dxa"/>
          </w:tcPr>
          <w:p w14:paraId="7BD2E095" w14:textId="3F633803" w:rsidR="00690D82" w:rsidRDefault="00690D82" w:rsidP="003402EC">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1 January 2025</w:t>
            </w:r>
          </w:p>
        </w:tc>
      </w:tr>
      <w:tr w:rsidR="00DB7F03" w14:paraId="08645439" w14:textId="77777777" w:rsidTr="001D1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24A42D7A" w14:textId="44A242CA" w:rsidR="00DB7F03" w:rsidRDefault="008558E3" w:rsidP="00DB7F03">
            <w:pPr>
              <w:pStyle w:val="NoSpacing"/>
            </w:pPr>
            <w:r>
              <w:t>Paper</w:t>
            </w:r>
          </w:p>
        </w:tc>
        <w:tc>
          <w:tcPr>
            <w:tcW w:w="5542" w:type="dxa"/>
          </w:tcPr>
          <w:p w14:paraId="49717384" w14:textId="007FD3D0" w:rsidR="00DB7F03" w:rsidRDefault="00DB7F03" w:rsidP="00DB7F03">
            <w:pPr>
              <w:pStyle w:val="NoSpacing"/>
              <w:cnfStyle w:val="000000010000" w:firstRow="0" w:lastRow="0" w:firstColumn="0" w:lastColumn="0" w:oddVBand="0" w:evenVBand="0" w:oddHBand="0" w:evenHBand="1" w:firstRowFirstColumn="0" w:firstRowLastColumn="0" w:lastRowFirstColumn="0" w:lastRowLastColumn="0"/>
            </w:pPr>
            <w:r>
              <w:t>Purchase 100% recycled content paper for internal printers, photocopiers, and multifunction devices</w:t>
            </w:r>
            <w:r w:rsidR="00484F46">
              <w:t>.</w:t>
            </w:r>
          </w:p>
        </w:tc>
        <w:tc>
          <w:tcPr>
            <w:tcW w:w="2410" w:type="dxa"/>
          </w:tcPr>
          <w:p w14:paraId="206972C3" w14:textId="5965503E" w:rsidR="00DB7F03" w:rsidRDefault="00DB7F03" w:rsidP="003402EC">
            <w:pPr>
              <w:pStyle w:val="NoSpacing"/>
              <w:jc w:val="right"/>
              <w:cnfStyle w:val="000000010000" w:firstRow="0" w:lastRow="0" w:firstColumn="0" w:lastColumn="0" w:oddVBand="0" w:evenVBand="0" w:oddHBand="0" w:evenHBand="1" w:firstRowFirstColumn="0" w:firstRowLastColumn="0" w:lastRowFirstColumn="0" w:lastRowLastColumn="0"/>
              <w:rPr>
                <w:bCs/>
              </w:rPr>
            </w:pPr>
            <w:r>
              <w:rPr>
                <w:bCs/>
              </w:rPr>
              <w:t>Ongoing</w:t>
            </w:r>
          </w:p>
        </w:tc>
      </w:tr>
      <w:tr w:rsidR="00FD2242" w14:paraId="2AEECF92"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7EF56037" w14:textId="4D2C5310" w:rsidR="00FD2242" w:rsidRDefault="00996BCF" w:rsidP="00DB7F03">
            <w:pPr>
              <w:pStyle w:val="NoSpacing"/>
            </w:pPr>
            <w:r>
              <w:t>Offsets</w:t>
            </w:r>
          </w:p>
        </w:tc>
        <w:tc>
          <w:tcPr>
            <w:tcW w:w="5542" w:type="dxa"/>
          </w:tcPr>
          <w:p w14:paraId="267929CC" w14:textId="380AB57C" w:rsidR="00FD2242" w:rsidRDefault="00F36A5F" w:rsidP="00DB7F03">
            <w:pPr>
              <w:pStyle w:val="NoSpacing"/>
              <w:cnfStyle w:val="000000100000" w:firstRow="0" w:lastRow="0" w:firstColumn="0" w:lastColumn="0" w:oddVBand="0" w:evenVBand="0" w:oddHBand="1" w:evenHBand="0" w:firstRowFirstColumn="0" w:firstRowLastColumn="0" w:lastRowFirstColumn="0" w:lastRowLastColumn="0"/>
            </w:pPr>
            <w:r>
              <w:rPr>
                <w:rFonts w:eastAsia="Times New Roman"/>
              </w:rPr>
              <w:t xml:space="preserve">Only where all options associated with emissions </w:t>
            </w:r>
            <w:r w:rsidR="0064273F">
              <w:rPr>
                <w:rFonts w:eastAsia="Times New Roman"/>
              </w:rPr>
              <w:t xml:space="preserve">avoidance and </w:t>
            </w:r>
            <w:r>
              <w:rPr>
                <w:rFonts w:eastAsia="Times New Roman"/>
              </w:rPr>
              <w:t>reduction</w:t>
            </w:r>
            <w:r>
              <w:rPr>
                <w:rFonts w:eastAsia="Times New Roman"/>
                <w:color w:val="FF0000"/>
              </w:rPr>
              <w:t xml:space="preserve"> </w:t>
            </w:r>
            <w:r>
              <w:rPr>
                <w:rFonts w:eastAsia="Times New Roman"/>
              </w:rPr>
              <w:t>have been exhausted should residual emissions be addressed through the purchase of offsets.</w:t>
            </w:r>
          </w:p>
        </w:tc>
        <w:tc>
          <w:tcPr>
            <w:tcW w:w="2410" w:type="dxa"/>
          </w:tcPr>
          <w:p w14:paraId="11454EDB" w14:textId="32BB8FE7" w:rsidR="00FD2242" w:rsidRDefault="00996D17" w:rsidP="003402EC">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When available</w:t>
            </w:r>
          </w:p>
        </w:tc>
      </w:tr>
    </w:tbl>
    <w:p w14:paraId="2F51689E" w14:textId="36AC1035" w:rsidR="007320F2" w:rsidRDefault="00396D21" w:rsidP="00C71702">
      <w:pPr>
        <w:pStyle w:val="Heading3"/>
        <w:numPr>
          <w:ilvl w:val="0"/>
          <w:numId w:val="0"/>
        </w:numPr>
      </w:pPr>
      <w:r w:rsidRPr="00396D21">
        <w:rPr>
          <w:sz w:val="18"/>
          <w:szCs w:val="16"/>
        </w:rPr>
        <w:br/>
      </w:r>
      <w:bookmarkStart w:id="26" w:name="_Toc173487283"/>
      <w:r w:rsidR="009879BB">
        <w:t xml:space="preserve">Net Zero </w:t>
      </w:r>
      <w:r w:rsidR="007320F2">
        <w:t>Travel</w:t>
      </w:r>
      <w:bookmarkEnd w:id="26"/>
      <w:r w:rsidR="007320F2">
        <w:t xml:space="preserve"> </w:t>
      </w:r>
    </w:p>
    <w:p w14:paraId="200B665C" w14:textId="2FA7410A" w:rsidR="00D90DA6" w:rsidRDefault="008658BB" w:rsidP="00390D9B">
      <w:r>
        <w:t>The department will</w:t>
      </w:r>
      <w:r w:rsidR="00D90DA6" w:rsidRPr="002A4C95">
        <w:t xml:space="preserve">: </w:t>
      </w:r>
    </w:p>
    <w:tbl>
      <w:tblPr>
        <w:tblStyle w:val="DSSDatatablestyle"/>
        <w:tblW w:w="9923" w:type="dxa"/>
        <w:tblLook w:val="04A0" w:firstRow="1" w:lastRow="0" w:firstColumn="1" w:lastColumn="0" w:noHBand="0" w:noVBand="1"/>
      </w:tblPr>
      <w:tblGrid>
        <w:gridCol w:w="1971"/>
        <w:gridCol w:w="5542"/>
        <w:gridCol w:w="2410"/>
      </w:tblGrid>
      <w:tr w:rsidR="00072A5B" w14:paraId="54D74A11" w14:textId="77777777" w:rsidTr="001D1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hideMark/>
          </w:tcPr>
          <w:p w14:paraId="7C3C6FEE" w14:textId="77777777" w:rsidR="00072A5B" w:rsidRDefault="00072A5B" w:rsidP="00DE76CE">
            <w:pPr>
              <w:pStyle w:val="NoSpacing"/>
            </w:pPr>
            <w:r>
              <w:t>Activity</w:t>
            </w:r>
          </w:p>
        </w:tc>
        <w:tc>
          <w:tcPr>
            <w:tcW w:w="5542" w:type="dxa"/>
            <w:hideMark/>
          </w:tcPr>
          <w:p w14:paraId="359F054F" w14:textId="301082DF" w:rsidR="00072A5B" w:rsidRDefault="008658BB" w:rsidP="00DE76CE">
            <w:pPr>
              <w:pStyle w:val="NoSpacing"/>
              <w:cnfStyle w:val="100000000000" w:firstRow="1" w:lastRow="0" w:firstColumn="0" w:lastColumn="0" w:oddVBand="0" w:evenVBand="0" w:oddHBand="0" w:evenHBand="0" w:firstRowFirstColumn="0" w:firstRowLastColumn="0" w:lastRowFirstColumn="0" w:lastRowLastColumn="0"/>
            </w:pPr>
            <w:r>
              <w:t>Action by the department</w:t>
            </w:r>
          </w:p>
        </w:tc>
        <w:tc>
          <w:tcPr>
            <w:tcW w:w="2410" w:type="dxa"/>
            <w:hideMark/>
          </w:tcPr>
          <w:p w14:paraId="309B6751" w14:textId="77777777" w:rsidR="00072A5B" w:rsidRDefault="00072A5B" w:rsidP="003402EC">
            <w:pPr>
              <w:pStyle w:val="NoSpacing"/>
              <w:jc w:val="right"/>
              <w:cnfStyle w:val="100000000000" w:firstRow="1" w:lastRow="0" w:firstColumn="0" w:lastColumn="0" w:oddVBand="0" w:evenVBand="0" w:oddHBand="0" w:evenHBand="0" w:firstRowFirstColumn="0" w:firstRowLastColumn="0" w:lastRowFirstColumn="0" w:lastRowLastColumn="0"/>
            </w:pPr>
            <w:r>
              <w:t>Timeframe</w:t>
            </w:r>
          </w:p>
        </w:tc>
      </w:tr>
      <w:tr w:rsidR="00072A5B" w14:paraId="6A547899"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hideMark/>
          </w:tcPr>
          <w:p w14:paraId="72F74188" w14:textId="77777777" w:rsidR="00072A5B" w:rsidRPr="00390D9B" w:rsidRDefault="00072A5B" w:rsidP="00DE76CE">
            <w:pPr>
              <w:pStyle w:val="NoSpacing"/>
            </w:pPr>
            <w:r w:rsidRPr="00390D9B">
              <w:t>Travel</w:t>
            </w:r>
          </w:p>
        </w:tc>
        <w:tc>
          <w:tcPr>
            <w:tcW w:w="5542" w:type="dxa"/>
          </w:tcPr>
          <w:p w14:paraId="559B9889" w14:textId="0404C3C3" w:rsidR="00072A5B" w:rsidRPr="0067129B" w:rsidRDefault="004169EC" w:rsidP="0067129B">
            <w:pPr>
              <w:pStyle w:val="NoSpacing"/>
              <w:cnfStyle w:val="000000100000" w:firstRow="0" w:lastRow="0" w:firstColumn="0" w:lastColumn="0" w:oddVBand="0" w:evenVBand="0" w:oddHBand="1" w:evenHBand="0" w:firstRowFirstColumn="0" w:firstRowLastColumn="0" w:lastRowFirstColumn="0" w:lastRowLastColumn="0"/>
            </w:pPr>
            <w:r>
              <w:t>Ensure t</w:t>
            </w:r>
            <w:r w:rsidR="00390D9B" w:rsidRPr="002A4C95">
              <w:t>he travel policy is updated to enable and encourage low-emission sources of transport, such as trains or other land-based transport.</w:t>
            </w:r>
          </w:p>
        </w:tc>
        <w:tc>
          <w:tcPr>
            <w:tcW w:w="2410" w:type="dxa"/>
          </w:tcPr>
          <w:p w14:paraId="4D37A226" w14:textId="4D04C0DC" w:rsidR="00072A5B" w:rsidRPr="00C46346" w:rsidRDefault="00175A5A" w:rsidP="003402EC">
            <w:pPr>
              <w:pStyle w:val="NoSpacing"/>
              <w:jc w:val="right"/>
              <w:cnfStyle w:val="000000100000" w:firstRow="0" w:lastRow="0" w:firstColumn="0" w:lastColumn="0" w:oddVBand="0" w:evenVBand="0" w:oddHBand="1" w:evenHBand="0" w:firstRowFirstColumn="0" w:firstRowLastColumn="0" w:lastRowFirstColumn="0" w:lastRowLastColumn="0"/>
            </w:pPr>
            <w:r>
              <w:t>Completed</w:t>
            </w:r>
          </w:p>
        </w:tc>
      </w:tr>
      <w:tr w:rsidR="00390D9B" w14:paraId="64F6A2F0" w14:textId="77777777" w:rsidTr="001D1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798A76FE" w14:textId="77777777" w:rsidR="00390D9B" w:rsidRPr="00390D9B" w:rsidRDefault="00390D9B" w:rsidP="00DE76CE">
            <w:pPr>
              <w:pStyle w:val="NoSpacing"/>
            </w:pPr>
          </w:p>
        </w:tc>
        <w:tc>
          <w:tcPr>
            <w:tcW w:w="5542" w:type="dxa"/>
          </w:tcPr>
          <w:p w14:paraId="5003ECD4" w14:textId="1B0C89F6" w:rsidR="00390D9B" w:rsidRPr="002A4C95" w:rsidRDefault="00F015B3" w:rsidP="0067129B">
            <w:pPr>
              <w:pStyle w:val="NoSpacing"/>
              <w:cnfStyle w:val="000000010000" w:firstRow="0" w:lastRow="0" w:firstColumn="0" w:lastColumn="0" w:oddVBand="0" w:evenVBand="0" w:oddHBand="0" w:evenHBand="1" w:firstRowFirstColumn="0" w:firstRowLastColumn="0" w:lastRowFirstColumn="0" w:lastRowLastColumn="0"/>
            </w:pPr>
            <w:r>
              <w:t xml:space="preserve">Work with </w:t>
            </w:r>
            <w:r w:rsidR="004169EC">
              <w:t>s</w:t>
            </w:r>
            <w:r w:rsidR="00390D9B" w:rsidRPr="002A4C95">
              <w:t xml:space="preserve">taff responsible for booking travel </w:t>
            </w:r>
            <w:r>
              <w:t xml:space="preserve">to ensure they </w:t>
            </w:r>
            <w:r w:rsidR="00390D9B" w:rsidRPr="002A4C95">
              <w:t xml:space="preserve">consider </w:t>
            </w:r>
            <w:r>
              <w:t>e</w:t>
            </w:r>
            <w:r w:rsidR="00390D9B" w:rsidRPr="002A4C95">
              <w:t>nergy ratings in the Online Booking Tool</w:t>
            </w:r>
            <w:r w:rsidR="003E5CFF">
              <w:t xml:space="preserve"> once available under the </w:t>
            </w:r>
            <w:r w:rsidR="0008163B">
              <w:t>W</w:t>
            </w:r>
            <w:r w:rsidR="003E5CFF" w:rsidRPr="00C46346">
              <w:t>hole-of-Government</w:t>
            </w:r>
            <w:r w:rsidR="003E5CFF">
              <w:t xml:space="preserve"> arrangements</w:t>
            </w:r>
            <w:r w:rsidR="0067129B">
              <w:t>.</w:t>
            </w:r>
          </w:p>
        </w:tc>
        <w:tc>
          <w:tcPr>
            <w:tcW w:w="2410" w:type="dxa"/>
          </w:tcPr>
          <w:p w14:paraId="41A152EA" w14:textId="0A4718E0" w:rsidR="00390D9B" w:rsidRPr="00C46346" w:rsidRDefault="003E5CFF" w:rsidP="003402EC">
            <w:pPr>
              <w:pStyle w:val="NoSpacing"/>
              <w:jc w:val="right"/>
              <w:cnfStyle w:val="000000010000" w:firstRow="0" w:lastRow="0" w:firstColumn="0" w:lastColumn="0" w:oddVBand="0" w:evenVBand="0" w:oddHBand="0" w:evenHBand="1" w:firstRowFirstColumn="0" w:firstRowLastColumn="0" w:lastRowFirstColumn="0" w:lastRowLastColumn="0"/>
            </w:pPr>
            <w:r>
              <w:t>Ongoing</w:t>
            </w:r>
          </w:p>
        </w:tc>
      </w:tr>
    </w:tbl>
    <w:p w14:paraId="3C59D50D" w14:textId="4C7845CE" w:rsidR="007320F2" w:rsidRDefault="007320F2" w:rsidP="00C71702">
      <w:pPr>
        <w:pStyle w:val="Heading3"/>
        <w:numPr>
          <w:ilvl w:val="0"/>
          <w:numId w:val="0"/>
        </w:numPr>
      </w:pPr>
      <w:bookmarkStart w:id="27" w:name="_Toc173487284"/>
      <w:r>
        <w:lastRenderedPageBreak/>
        <w:t xml:space="preserve">People, </w:t>
      </w:r>
      <w:r w:rsidR="0006275E">
        <w:t>culture,</w:t>
      </w:r>
      <w:r>
        <w:t xml:space="preserve"> and capability</w:t>
      </w:r>
      <w:bookmarkEnd w:id="27"/>
    </w:p>
    <w:p w14:paraId="2DC75831" w14:textId="33ACD8BF" w:rsidR="00B45DEA" w:rsidRDefault="00B45DEA" w:rsidP="00B45DEA">
      <w:r>
        <w:t>The department will develop a communication plan to</w:t>
      </w:r>
      <w:r w:rsidR="006E718B">
        <w:t xml:space="preserve"> support all staff, including contractors and consultants, to contribute to improving the department’s environmental performance by</w:t>
      </w:r>
      <w:r>
        <w:t xml:space="preserve">: </w:t>
      </w:r>
    </w:p>
    <w:tbl>
      <w:tblPr>
        <w:tblStyle w:val="DSSDatatablestyle"/>
        <w:tblW w:w="9923" w:type="dxa"/>
        <w:tblLook w:val="04A0" w:firstRow="1" w:lastRow="0" w:firstColumn="1" w:lastColumn="0" w:noHBand="0" w:noVBand="1"/>
      </w:tblPr>
      <w:tblGrid>
        <w:gridCol w:w="1971"/>
        <w:gridCol w:w="5542"/>
        <w:gridCol w:w="2410"/>
      </w:tblGrid>
      <w:tr w:rsidR="0077158E" w14:paraId="6F31D3F6" w14:textId="77777777" w:rsidTr="001D19E2">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971" w:type="dxa"/>
            <w:hideMark/>
          </w:tcPr>
          <w:p w14:paraId="2E2BDAA2" w14:textId="77777777" w:rsidR="0077158E" w:rsidRDefault="0077158E" w:rsidP="00DE76CE">
            <w:pPr>
              <w:pStyle w:val="NoSpacing"/>
            </w:pPr>
            <w:r>
              <w:t>Activity</w:t>
            </w:r>
          </w:p>
        </w:tc>
        <w:tc>
          <w:tcPr>
            <w:tcW w:w="5542" w:type="dxa"/>
            <w:hideMark/>
          </w:tcPr>
          <w:p w14:paraId="636F3B27" w14:textId="3F69B7E4" w:rsidR="0077158E" w:rsidRDefault="008658BB" w:rsidP="00DE76CE">
            <w:pPr>
              <w:pStyle w:val="NoSpacing"/>
              <w:cnfStyle w:val="100000000000" w:firstRow="1" w:lastRow="0" w:firstColumn="0" w:lastColumn="0" w:oddVBand="0" w:evenVBand="0" w:oddHBand="0" w:evenHBand="0" w:firstRowFirstColumn="0" w:firstRowLastColumn="0" w:lastRowFirstColumn="0" w:lastRowLastColumn="0"/>
            </w:pPr>
            <w:r>
              <w:t>Action by the department</w:t>
            </w:r>
          </w:p>
        </w:tc>
        <w:tc>
          <w:tcPr>
            <w:tcW w:w="2410" w:type="dxa"/>
            <w:hideMark/>
          </w:tcPr>
          <w:p w14:paraId="3D3D2E9B" w14:textId="77777777" w:rsidR="0077158E" w:rsidRDefault="0077158E" w:rsidP="003402EC">
            <w:pPr>
              <w:pStyle w:val="NoSpacing"/>
              <w:jc w:val="right"/>
              <w:cnfStyle w:val="100000000000" w:firstRow="1" w:lastRow="0" w:firstColumn="0" w:lastColumn="0" w:oddVBand="0" w:evenVBand="0" w:oddHBand="0" w:evenHBand="0" w:firstRowFirstColumn="0" w:firstRowLastColumn="0" w:lastRowFirstColumn="0" w:lastRowLastColumn="0"/>
            </w:pPr>
            <w:r>
              <w:t>Timeframe</w:t>
            </w:r>
          </w:p>
        </w:tc>
      </w:tr>
      <w:tr w:rsidR="003F30BF" w14:paraId="66FEC934"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5A48B842" w14:textId="77777777" w:rsidR="003F30BF" w:rsidRDefault="003F30BF" w:rsidP="003F30BF">
            <w:pPr>
              <w:pStyle w:val="NoSpacing"/>
              <w:rPr>
                <w:b w:val="0"/>
              </w:rPr>
            </w:pPr>
            <w:r>
              <w:t>Communication</w:t>
            </w:r>
          </w:p>
          <w:p w14:paraId="02EDC67D" w14:textId="77777777" w:rsidR="003F30BF" w:rsidRDefault="003F30BF" w:rsidP="00DE76CE">
            <w:pPr>
              <w:pStyle w:val="NoSpacing"/>
            </w:pPr>
          </w:p>
        </w:tc>
        <w:tc>
          <w:tcPr>
            <w:tcW w:w="5542" w:type="dxa"/>
          </w:tcPr>
          <w:p w14:paraId="65ACA80D" w14:textId="77777777" w:rsidR="003F30BF" w:rsidRDefault="003F30BF" w:rsidP="003F30BF">
            <w:pPr>
              <w:pStyle w:val="NoSpacing"/>
              <w:cnfStyle w:val="000000100000" w:firstRow="0" w:lastRow="0" w:firstColumn="0" w:lastColumn="0" w:oddVBand="0" w:evenVBand="0" w:oddHBand="1" w:evenHBand="0" w:firstRowFirstColumn="0" w:firstRowLastColumn="0" w:lastRowFirstColumn="0" w:lastRowLastColumn="0"/>
            </w:pPr>
            <w:r>
              <w:t xml:space="preserve">Appoint a Chief Sustainability Officer </w:t>
            </w:r>
          </w:p>
          <w:p w14:paraId="76E44A57" w14:textId="77777777" w:rsidR="003F30BF" w:rsidRDefault="003F30BF" w:rsidP="00203E87">
            <w:pPr>
              <w:pStyle w:val="NoSpacing"/>
              <w:cnfStyle w:val="000000100000" w:firstRow="0" w:lastRow="0" w:firstColumn="0" w:lastColumn="0" w:oddVBand="0" w:evenVBand="0" w:oddHBand="1" w:evenHBand="0" w:firstRowFirstColumn="0" w:firstRowLastColumn="0" w:lastRowFirstColumn="0" w:lastRowLastColumn="0"/>
            </w:pPr>
          </w:p>
        </w:tc>
        <w:tc>
          <w:tcPr>
            <w:tcW w:w="2410" w:type="dxa"/>
          </w:tcPr>
          <w:p w14:paraId="46CB8265" w14:textId="77777777" w:rsidR="003F30BF" w:rsidRDefault="003F30BF" w:rsidP="003402EC">
            <w:pPr>
              <w:pStyle w:val="NoSpacing"/>
              <w:jc w:val="right"/>
              <w:cnfStyle w:val="000000100000" w:firstRow="0" w:lastRow="0" w:firstColumn="0" w:lastColumn="0" w:oddVBand="0" w:evenVBand="0" w:oddHBand="1" w:evenHBand="0" w:firstRowFirstColumn="0" w:firstRowLastColumn="0" w:lastRowFirstColumn="0" w:lastRowLastColumn="0"/>
            </w:pPr>
            <w:r>
              <w:t>Completed</w:t>
            </w:r>
          </w:p>
          <w:p w14:paraId="2F04D226" w14:textId="77777777" w:rsidR="003F30BF" w:rsidRDefault="003F30BF" w:rsidP="003402EC">
            <w:pPr>
              <w:pStyle w:val="NoSpacing"/>
              <w:jc w:val="right"/>
              <w:cnfStyle w:val="000000100000" w:firstRow="0" w:lastRow="0" w:firstColumn="0" w:lastColumn="0" w:oddVBand="0" w:evenVBand="0" w:oddHBand="1" w:evenHBand="0" w:firstRowFirstColumn="0" w:firstRowLastColumn="0" w:lastRowFirstColumn="0" w:lastRowLastColumn="0"/>
            </w:pPr>
          </w:p>
        </w:tc>
      </w:tr>
      <w:tr w:rsidR="00DE59AF" w14:paraId="2AA440F4" w14:textId="77777777" w:rsidTr="001D1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hideMark/>
          </w:tcPr>
          <w:p w14:paraId="659D7488" w14:textId="52778241" w:rsidR="003F30BF" w:rsidRPr="003F30BF" w:rsidRDefault="003F30BF" w:rsidP="003F30BF">
            <w:pPr>
              <w:pStyle w:val="NoSpacing"/>
            </w:pPr>
          </w:p>
        </w:tc>
        <w:tc>
          <w:tcPr>
            <w:tcW w:w="5542" w:type="dxa"/>
          </w:tcPr>
          <w:p w14:paraId="4D9F1365" w14:textId="77777777" w:rsidR="0077158E" w:rsidRDefault="00412CBC" w:rsidP="00203E87">
            <w:pPr>
              <w:pStyle w:val="NoSpacing"/>
              <w:cnfStyle w:val="000000010000" w:firstRow="0" w:lastRow="0" w:firstColumn="0" w:lastColumn="0" w:oddVBand="0" w:evenVBand="0" w:oddHBand="0" w:evenHBand="1" w:firstRowFirstColumn="0" w:firstRowLastColumn="0" w:lastRowFirstColumn="0" w:lastRowLastColumn="0"/>
            </w:pPr>
            <w:r>
              <w:t>S</w:t>
            </w:r>
            <w:r w:rsidRPr="00BD27C2">
              <w:t>upport</w:t>
            </w:r>
            <w:r>
              <w:t>ing</w:t>
            </w:r>
            <w:r w:rsidRPr="00BD27C2">
              <w:t xml:space="preserve"> and promot</w:t>
            </w:r>
            <w:r>
              <w:t>ing</w:t>
            </w:r>
            <w:r w:rsidRPr="00BD27C2">
              <w:t xml:space="preserve"> APS Academy advice, guidance, tools, case studies and training programs, when available.</w:t>
            </w:r>
          </w:p>
          <w:p w14:paraId="648C8276" w14:textId="3FEEA68C" w:rsidR="0006275E" w:rsidRPr="0067129B" w:rsidRDefault="0006275E" w:rsidP="00203E87">
            <w:pPr>
              <w:pStyle w:val="NoSpacing"/>
              <w:cnfStyle w:val="000000010000" w:firstRow="0" w:lastRow="0" w:firstColumn="0" w:lastColumn="0" w:oddVBand="0" w:evenVBand="0" w:oddHBand="0" w:evenHBand="1" w:firstRowFirstColumn="0" w:firstRowLastColumn="0" w:lastRowFirstColumn="0" w:lastRowLastColumn="0"/>
            </w:pPr>
          </w:p>
        </w:tc>
        <w:tc>
          <w:tcPr>
            <w:tcW w:w="2410" w:type="dxa"/>
          </w:tcPr>
          <w:p w14:paraId="7D75C8C6" w14:textId="7AD6CDFA" w:rsidR="0077158E" w:rsidRPr="00C46346" w:rsidRDefault="00412CBC" w:rsidP="003402EC">
            <w:pPr>
              <w:pStyle w:val="NoSpacing"/>
              <w:jc w:val="right"/>
              <w:cnfStyle w:val="000000010000" w:firstRow="0" w:lastRow="0" w:firstColumn="0" w:lastColumn="0" w:oddVBand="0" w:evenVBand="0" w:oddHBand="0" w:evenHBand="1" w:firstRowFirstColumn="0" w:firstRowLastColumn="0" w:lastRowFirstColumn="0" w:lastRowLastColumn="0"/>
            </w:pPr>
            <w:r>
              <w:t>When available</w:t>
            </w:r>
          </w:p>
        </w:tc>
      </w:tr>
      <w:tr w:rsidR="0077158E" w14:paraId="36115DF0" w14:textId="77777777" w:rsidTr="001D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7A5C8F34" w14:textId="77777777" w:rsidR="0077158E" w:rsidRPr="00390D9B" w:rsidRDefault="0077158E" w:rsidP="00DE76CE">
            <w:pPr>
              <w:pStyle w:val="NoSpacing"/>
            </w:pPr>
          </w:p>
        </w:tc>
        <w:tc>
          <w:tcPr>
            <w:tcW w:w="5542" w:type="dxa"/>
          </w:tcPr>
          <w:p w14:paraId="2BFF85D0" w14:textId="77777777" w:rsidR="0077158E" w:rsidRDefault="00F25BE1" w:rsidP="00F25BE1">
            <w:pPr>
              <w:pStyle w:val="NoSpacing"/>
              <w:cnfStyle w:val="000000100000" w:firstRow="0" w:lastRow="0" w:firstColumn="0" w:lastColumn="0" w:oddVBand="0" w:evenVBand="0" w:oddHBand="1" w:evenHBand="0" w:firstRowFirstColumn="0" w:firstRowLastColumn="0" w:lastRowFirstColumn="0" w:lastRowLastColumn="0"/>
            </w:pPr>
            <w:r>
              <w:t>P</w:t>
            </w:r>
            <w:r w:rsidR="00412CBC" w:rsidRPr="00F5442A">
              <w:t>romot</w:t>
            </w:r>
            <w:r w:rsidR="00412CBC">
              <w:t>ing</w:t>
            </w:r>
            <w:r w:rsidR="00412CBC" w:rsidRPr="00F5442A">
              <w:t xml:space="preserve"> employee engagement and staff-led initiatives such as </w:t>
            </w:r>
            <w:r w:rsidR="00412CBC" w:rsidRPr="00912C82">
              <w:t>Whole of Australian Government Environmental Contact Officer network (</w:t>
            </w:r>
            <w:proofErr w:type="spellStart"/>
            <w:r w:rsidR="00412CBC" w:rsidRPr="00912C82">
              <w:t>ECONet</w:t>
            </w:r>
            <w:proofErr w:type="spellEnd"/>
            <w:r w:rsidR="00412CBC" w:rsidRPr="00912C82">
              <w:t>)</w:t>
            </w:r>
            <w:r w:rsidR="00412CBC" w:rsidRPr="00F5442A">
              <w:t>, when available.</w:t>
            </w:r>
          </w:p>
          <w:p w14:paraId="4BEEB16E" w14:textId="48E2FA76" w:rsidR="0006275E" w:rsidRPr="00F25BE1" w:rsidRDefault="0006275E" w:rsidP="00F25BE1">
            <w:pPr>
              <w:pStyle w:val="NoSpacing"/>
              <w:cnfStyle w:val="000000100000" w:firstRow="0" w:lastRow="0" w:firstColumn="0" w:lastColumn="0" w:oddVBand="0" w:evenVBand="0" w:oddHBand="1" w:evenHBand="0" w:firstRowFirstColumn="0" w:firstRowLastColumn="0" w:lastRowFirstColumn="0" w:lastRowLastColumn="0"/>
            </w:pPr>
          </w:p>
        </w:tc>
        <w:tc>
          <w:tcPr>
            <w:tcW w:w="2410" w:type="dxa"/>
          </w:tcPr>
          <w:p w14:paraId="1F19A666" w14:textId="1092CFBC" w:rsidR="0077158E" w:rsidRPr="00C46346" w:rsidRDefault="00412CBC" w:rsidP="003402EC">
            <w:pPr>
              <w:pStyle w:val="NoSpacing"/>
              <w:jc w:val="right"/>
              <w:cnfStyle w:val="000000100000" w:firstRow="0" w:lastRow="0" w:firstColumn="0" w:lastColumn="0" w:oddVBand="0" w:evenVBand="0" w:oddHBand="1" w:evenHBand="0" w:firstRowFirstColumn="0" w:firstRowLastColumn="0" w:lastRowFirstColumn="0" w:lastRowLastColumn="0"/>
            </w:pPr>
            <w:r>
              <w:t>When available</w:t>
            </w:r>
          </w:p>
        </w:tc>
      </w:tr>
      <w:tr w:rsidR="00F94914" w14:paraId="787C6CAF" w14:textId="77777777" w:rsidTr="001D1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5FC295B9" w14:textId="77777777" w:rsidR="00F94914" w:rsidRPr="00390D9B" w:rsidRDefault="00F94914" w:rsidP="00DE76CE">
            <w:pPr>
              <w:pStyle w:val="NoSpacing"/>
            </w:pPr>
          </w:p>
        </w:tc>
        <w:tc>
          <w:tcPr>
            <w:tcW w:w="5542" w:type="dxa"/>
          </w:tcPr>
          <w:p w14:paraId="16A144B8" w14:textId="77777777" w:rsidR="0006275E" w:rsidRDefault="00F94914" w:rsidP="0006275E">
            <w:pPr>
              <w:pStyle w:val="NoSpacing"/>
              <w:cnfStyle w:val="000000010000" w:firstRow="0" w:lastRow="0" w:firstColumn="0" w:lastColumn="0" w:oddVBand="0" w:evenVBand="0" w:oddHBand="0" w:evenHBand="1" w:firstRowFirstColumn="0" w:firstRowLastColumn="0" w:lastRowFirstColumn="0" w:lastRowLastColumn="0"/>
            </w:pPr>
            <w:r>
              <w:t>Update intranet pages</w:t>
            </w:r>
            <w:r w:rsidR="000F5028">
              <w:t xml:space="preserve"> to promote:</w:t>
            </w:r>
            <w:r w:rsidR="000F5028">
              <w:br/>
            </w:r>
          </w:p>
          <w:p w14:paraId="09552A26" w14:textId="5EA90E95" w:rsidR="000F5028" w:rsidRDefault="000F5028" w:rsidP="00DD23AC">
            <w:pPr>
              <w:pStyle w:val="NoSpacing"/>
              <w:numPr>
                <w:ilvl w:val="0"/>
                <w:numId w:val="11"/>
              </w:numPr>
              <w:cnfStyle w:val="000000010000" w:firstRow="0" w:lastRow="0" w:firstColumn="0" w:lastColumn="0" w:oddVBand="0" w:evenVBand="0" w:oddHBand="0" w:evenHBand="1" w:firstRowFirstColumn="0" w:firstRowLastColumn="0" w:lastRowFirstColumn="0" w:lastRowLastColumn="0"/>
            </w:pPr>
            <w:r>
              <w:t>Foster</w:t>
            </w:r>
            <w:r w:rsidR="00CE7C39">
              <w:t>ing</w:t>
            </w:r>
            <w:r>
              <w:t xml:space="preserve"> a culture of environmental responsibility.</w:t>
            </w:r>
          </w:p>
          <w:p w14:paraId="233EA483" w14:textId="77777777" w:rsidR="000F5028" w:rsidRDefault="000F5028" w:rsidP="00DD23AC">
            <w:pPr>
              <w:pStyle w:val="NoSpacing"/>
              <w:numPr>
                <w:ilvl w:val="0"/>
                <w:numId w:val="11"/>
              </w:numPr>
              <w:cnfStyle w:val="000000010000" w:firstRow="0" w:lastRow="0" w:firstColumn="0" w:lastColumn="0" w:oddVBand="0" w:evenVBand="0" w:oddHBand="0" w:evenHBand="1" w:firstRowFirstColumn="0" w:firstRowLastColumn="0" w:lastRowFirstColumn="0" w:lastRowLastColumn="0"/>
            </w:pPr>
            <w:r>
              <w:t>Thinking before printing.</w:t>
            </w:r>
          </w:p>
          <w:p w14:paraId="76523A87" w14:textId="77777777" w:rsidR="00223F10" w:rsidRDefault="00CE7C39" w:rsidP="00DD23AC">
            <w:pPr>
              <w:pStyle w:val="NoSpacing"/>
              <w:numPr>
                <w:ilvl w:val="0"/>
                <w:numId w:val="11"/>
              </w:numPr>
              <w:cnfStyle w:val="000000010000" w:firstRow="0" w:lastRow="0" w:firstColumn="0" w:lastColumn="0" w:oddVBand="0" w:evenVBand="0" w:oddHBand="0" w:evenHBand="1" w:firstRowFirstColumn="0" w:firstRowLastColumn="0" w:lastRowFirstColumn="0" w:lastRowLastColumn="0"/>
            </w:pPr>
            <w:r>
              <w:t>Importance of shutting down equipment</w:t>
            </w:r>
            <w:r w:rsidR="00223F10">
              <w:t>.</w:t>
            </w:r>
          </w:p>
          <w:p w14:paraId="46F6B685" w14:textId="6ED0AB38" w:rsidR="0006275E" w:rsidRPr="00816F44" w:rsidRDefault="00223F10" w:rsidP="00816F44">
            <w:pPr>
              <w:pStyle w:val="NoSpacing"/>
              <w:numPr>
                <w:ilvl w:val="0"/>
                <w:numId w:val="11"/>
              </w:numPr>
              <w:cnfStyle w:val="000000010000" w:firstRow="0" w:lastRow="0" w:firstColumn="0" w:lastColumn="0" w:oddVBand="0" w:evenVBand="0" w:oddHBand="0" w:evenHBand="1" w:firstRowFirstColumn="0" w:firstRowLastColumn="0" w:lastRowFirstColumn="0" w:lastRowLastColumn="0"/>
            </w:pPr>
            <w:r>
              <w:t>E</w:t>
            </w:r>
            <w:r w:rsidR="000F5028">
              <w:t>ffective use of blinds to optimis</w:t>
            </w:r>
            <w:r w:rsidR="000F5028" w:rsidRPr="00223F10">
              <w:t>e</w:t>
            </w:r>
            <w:r w:rsidR="000F5028">
              <w:t xml:space="preserve"> air conditioner and heating system efficiency. </w:t>
            </w:r>
          </w:p>
        </w:tc>
        <w:tc>
          <w:tcPr>
            <w:tcW w:w="2410" w:type="dxa"/>
          </w:tcPr>
          <w:p w14:paraId="01C4DDC5" w14:textId="0F7B818D" w:rsidR="00F94914" w:rsidRDefault="000F5028" w:rsidP="003402EC">
            <w:pPr>
              <w:pStyle w:val="NoSpacing"/>
              <w:jc w:val="right"/>
              <w:cnfStyle w:val="000000010000" w:firstRow="0" w:lastRow="0" w:firstColumn="0" w:lastColumn="0" w:oddVBand="0" w:evenVBand="0" w:oddHBand="0" w:evenHBand="1" w:firstRowFirstColumn="0" w:firstRowLastColumn="0" w:lastRowFirstColumn="0" w:lastRowLastColumn="0"/>
            </w:pPr>
            <w:r>
              <w:t>Ongoing</w:t>
            </w:r>
          </w:p>
        </w:tc>
      </w:tr>
    </w:tbl>
    <w:p w14:paraId="12067FCC" w14:textId="77777777" w:rsidR="006F4DCC" w:rsidRDefault="006F4DCC" w:rsidP="006F4DCC">
      <w:bookmarkStart w:id="28" w:name="_Toc125976856"/>
      <w:bookmarkEnd w:id="21"/>
    </w:p>
    <w:p w14:paraId="45905563" w14:textId="5CB47557" w:rsidR="0009703B" w:rsidRPr="00B435E2" w:rsidRDefault="009556F0" w:rsidP="00FA7130">
      <w:pPr>
        <w:pStyle w:val="Heading2"/>
        <w:numPr>
          <w:ilvl w:val="0"/>
          <w:numId w:val="0"/>
        </w:numPr>
      </w:pPr>
      <w:bookmarkStart w:id="29" w:name="_Toc173487285"/>
      <w:r>
        <w:t>O</w:t>
      </w:r>
      <w:r w:rsidR="0009703B" w:rsidRPr="00B435E2">
        <w:t>wner/</w:t>
      </w:r>
      <w:r w:rsidR="000C7E9A">
        <w:t>c</w:t>
      </w:r>
      <w:r w:rsidR="0009703B" w:rsidRPr="00B435E2">
        <w:t>ontact officer</w:t>
      </w:r>
      <w:bookmarkEnd w:id="28"/>
      <w:bookmarkEnd w:id="29"/>
    </w:p>
    <w:p w14:paraId="17DC78D2" w14:textId="1CBCFF9A" w:rsidR="00524EAA" w:rsidRPr="00CF0F58" w:rsidRDefault="00481D17" w:rsidP="00DE2CD0">
      <w:r w:rsidRPr="00CF0F58">
        <w:t>Chief Sustainability Officer</w:t>
      </w:r>
      <w:r w:rsidR="000375C0" w:rsidRPr="00CF0F58">
        <w:t xml:space="preserve">, </w:t>
      </w:r>
      <w:r w:rsidR="00CF0F58" w:rsidRPr="00CF0F58">
        <w:t>Chief Operating Officer</w:t>
      </w:r>
      <w:r w:rsidR="000375C0" w:rsidRPr="00CF0F58">
        <w:t xml:space="preserve">, </w:t>
      </w:r>
      <w:r w:rsidR="00AA4194" w:rsidRPr="00CF0F58">
        <w:t>Corporate</w:t>
      </w:r>
      <w:bookmarkStart w:id="30" w:name="_Toc125976859"/>
    </w:p>
    <w:p w14:paraId="0106BA0C" w14:textId="42C67150" w:rsidR="0009703B" w:rsidRPr="00B435E2" w:rsidRDefault="00396D21" w:rsidP="00C71702">
      <w:pPr>
        <w:pStyle w:val="Heading2"/>
        <w:numPr>
          <w:ilvl w:val="0"/>
          <w:numId w:val="0"/>
        </w:numPr>
      </w:pPr>
      <w:r>
        <w:br/>
      </w:r>
      <w:bookmarkStart w:id="31" w:name="_Toc173487286"/>
      <w:r w:rsidR="0009703B" w:rsidRPr="00B435E2">
        <w:t xml:space="preserve">More </w:t>
      </w:r>
      <w:r w:rsidR="0009703B" w:rsidRPr="00467A93">
        <w:t>information</w:t>
      </w:r>
      <w:bookmarkEnd w:id="30"/>
      <w:bookmarkEnd w:id="31"/>
    </w:p>
    <w:p w14:paraId="3198BE42" w14:textId="6708A5A5" w:rsidR="003D0DA0" w:rsidRPr="00B435E2" w:rsidRDefault="0009703B" w:rsidP="006F4DCC">
      <w:r w:rsidRPr="00B435E2">
        <w:t xml:space="preserve">For more information, please contact </w:t>
      </w:r>
      <w:r w:rsidR="00CF44E8">
        <w:t>Property Services</w:t>
      </w:r>
      <w:r w:rsidRPr="00082274">
        <w:t>,</w:t>
      </w:r>
      <w:r w:rsidRPr="00B435E2">
        <w:t xml:space="preserve"> </w:t>
      </w:r>
      <w:r w:rsidRPr="00082274">
        <w:t xml:space="preserve">in </w:t>
      </w:r>
      <w:r w:rsidR="006F4DCC">
        <w:t xml:space="preserve">the </w:t>
      </w:r>
      <w:r w:rsidR="00CF44E8">
        <w:t xml:space="preserve">Property and Security Branch by </w:t>
      </w:r>
      <w:r w:rsidRPr="00082274">
        <w:t>email</w:t>
      </w:r>
      <w:r w:rsidR="00CF44E8">
        <w:t xml:space="preserve"> </w:t>
      </w:r>
      <w:hyperlink r:id="rId22" w:history="1">
        <w:r w:rsidR="00FD4AA5" w:rsidRPr="00D2668E">
          <w:rPr>
            <w:rStyle w:val="Hyperlink"/>
          </w:rPr>
          <w:t>netzero@dss.gov.au</w:t>
        </w:r>
      </w:hyperlink>
      <w:r w:rsidR="00CF44E8">
        <w:t>.</w:t>
      </w:r>
      <w:bookmarkEnd w:id="0"/>
    </w:p>
    <w:sectPr w:rsidR="003D0DA0" w:rsidRPr="00B435E2" w:rsidSect="002B0825">
      <w:footerReference w:type="default" r:id="rId23"/>
      <w:footerReference w:type="first" r:id="rId24"/>
      <w:pgSz w:w="11906" w:h="16838"/>
      <w:pgMar w:top="851" w:right="851" w:bottom="1134" w:left="85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7A496" w14:textId="77777777" w:rsidR="00F671D2" w:rsidRDefault="00F671D2" w:rsidP="008F3023">
      <w:pPr>
        <w:spacing w:after="0" w:line="240" w:lineRule="auto"/>
      </w:pPr>
      <w:r>
        <w:separator/>
      </w:r>
    </w:p>
  </w:endnote>
  <w:endnote w:type="continuationSeparator" w:id="0">
    <w:p w14:paraId="3A7F16C1" w14:textId="77777777" w:rsidR="00F671D2" w:rsidRDefault="00F671D2"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036000"/>
      <w:docPartObj>
        <w:docPartGallery w:val="Page Numbers (Bottom of Page)"/>
        <w:docPartUnique/>
      </w:docPartObj>
    </w:sdtPr>
    <w:sdtEndPr>
      <w:rPr>
        <w:rStyle w:val="FooterChar"/>
        <w:spacing w:val="3"/>
      </w:rPr>
    </w:sdtEndPr>
    <w:sdtContent>
      <w:p w14:paraId="299F22DE" w14:textId="153CAE28" w:rsidR="00CC5457" w:rsidRPr="007120F0" w:rsidRDefault="00CC5457" w:rsidP="006E46C3">
        <w:pPr>
          <w:pStyle w:val="BodyText1"/>
          <w:rPr>
            <w:rStyle w:val="FooterChar"/>
            <w:rFonts w:ascii="Arial" w:hAnsi="Arial"/>
          </w:rPr>
        </w:pPr>
        <w:r w:rsidRPr="007120F0">
          <w:rPr>
            <w:rStyle w:val="FooterChar"/>
          </w:rPr>
          <w:fldChar w:fldCharType="begin"/>
        </w:r>
        <w:r w:rsidRPr="007120F0">
          <w:rPr>
            <w:rStyle w:val="FooterChar"/>
          </w:rPr>
          <w:instrText xml:space="preserve"> PAGE   \* MERGEFORMAT </w:instrText>
        </w:r>
        <w:r w:rsidRPr="007120F0">
          <w:rPr>
            <w:rStyle w:val="FooterChar"/>
          </w:rPr>
          <w:fldChar w:fldCharType="separate"/>
        </w:r>
        <w:r>
          <w:rPr>
            <w:rStyle w:val="FooterChar"/>
          </w:rPr>
          <w:t>6</w:t>
        </w:r>
        <w:r w:rsidRPr="007120F0">
          <w:rPr>
            <w:rStyle w:val="FooterChar"/>
          </w:rPr>
          <w:fldChar w:fldCharType="end"/>
        </w:r>
        <w:r w:rsidRPr="007120F0">
          <w:rPr>
            <w:rStyle w:val="FooterChar"/>
          </w:rPr>
          <w:t xml:space="preserve"> | </w:t>
        </w:r>
        <w:r w:rsidRPr="003D4A16">
          <w:rPr>
            <w:rStyle w:val="FooterChar"/>
          </w:rPr>
          <w:t>Department of Social Services</w:t>
        </w:r>
        <w:r w:rsidRPr="007120F0">
          <w:rPr>
            <w:rStyle w:val="FooterChar"/>
          </w:rPr>
          <w:t xml:space="preserve"> | </w:t>
        </w:r>
        <w:r>
          <w:rPr>
            <w:rStyle w:val="FooterChar"/>
          </w:rPr>
          <w:t xml:space="preserve">Emissions Reduction </w:t>
        </w:r>
        <w:r w:rsidR="00EC1FB2">
          <w:rPr>
            <w:rStyle w:val="FooterChar"/>
          </w:rPr>
          <w:t>Plan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9990B" w14:textId="77777777" w:rsidR="00474BB8" w:rsidRDefault="00474BB8" w:rsidP="00D86E50">
    <w:pPr>
      <w:pStyle w:val="Footer"/>
      <w:tabs>
        <w:tab w:val="clear" w:pos="4513"/>
        <w:tab w:val="clear" w:pos="9026"/>
        <w:tab w:val="left" w:pos="3040"/>
      </w:tabs>
      <w:jc w:val="center"/>
    </w:pPr>
    <w:r>
      <w:rPr>
        <w:noProof/>
        <w:lang w:eastAsia="en-AU"/>
      </w:rPr>
      <w:drawing>
        <wp:anchor distT="0" distB="0" distL="114300" distR="114300" simplePos="0" relativeHeight="251666432" behindDoc="1" locked="0" layoutInCell="1" allowOverlap="1" wp14:anchorId="52DA87BF" wp14:editId="41C597A7">
          <wp:simplePos x="0" y="0"/>
          <wp:positionH relativeFrom="page">
            <wp:posOffset>34945</wp:posOffset>
          </wp:positionH>
          <wp:positionV relativeFrom="page">
            <wp:align>bottom</wp:align>
          </wp:positionV>
          <wp:extent cx="7574400" cy="1184400"/>
          <wp:effectExtent l="0" t="0" r="7620" b="0"/>
          <wp:wrapNone/>
          <wp:docPr id="874683135" name="Picture 87468313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p>
  <w:p w14:paraId="03A1021B" w14:textId="77777777" w:rsidR="00474BB8" w:rsidRDefault="00474BB8"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B86A" w14:textId="77777777" w:rsidR="00F671D2" w:rsidRDefault="00F671D2" w:rsidP="008F3023">
      <w:pPr>
        <w:spacing w:after="0" w:line="240" w:lineRule="auto"/>
      </w:pPr>
      <w:r>
        <w:separator/>
      </w:r>
    </w:p>
  </w:footnote>
  <w:footnote w:type="continuationSeparator" w:id="0">
    <w:p w14:paraId="7F961AAC" w14:textId="77777777" w:rsidR="00F671D2" w:rsidRDefault="00F671D2" w:rsidP="008F3023">
      <w:pPr>
        <w:spacing w:after="0" w:line="240" w:lineRule="auto"/>
      </w:pPr>
      <w:r>
        <w:continuationSeparator/>
      </w:r>
    </w:p>
  </w:footnote>
  <w:footnote w:id="1">
    <w:p w14:paraId="708363BB" w14:textId="425A4778" w:rsidR="006B360D" w:rsidRPr="00DA7A92" w:rsidRDefault="00284DF5" w:rsidP="00976141">
      <w:pPr>
        <w:pStyle w:val="Footer"/>
      </w:pPr>
      <w:r>
        <w:rPr>
          <w:rStyle w:val="FootnoteReference"/>
        </w:rPr>
        <w:footnoteRef/>
      </w:r>
      <w:r w:rsidR="00E1747B" w:rsidRPr="00E1747B">
        <w:rPr>
          <w:rStyle w:val="FootnoteReference"/>
        </w:rPr>
        <w:t xml:space="preserve"> &amp; 2</w:t>
      </w:r>
      <w:r w:rsidR="00E1747B">
        <w:t xml:space="preserve"> </w:t>
      </w:r>
      <w:r w:rsidR="006B360D" w:rsidRPr="00BC26F9">
        <w:rPr>
          <w:sz w:val="20"/>
          <w:szCs w:val="20"/>
        </w:rPr>
        <w:t xml:space="preserve">The baseline emissions will be </w:t>
      </w:r>
      <w:r w:rsidR="00BC26F9" w:rsidRPr="00BC26F9">
        <w:rPr>
          <w:sz w:val="20"/>
          <w:szCs w:val="20"/>
        </w:rPr>
        <w:t>amended in line with APS Net Zero reporting framework</w:t>
      </w:r>
      <w:r w:rsidR="000357A7">
        <w:rPr>
          <w:sz w:val="20"/>
          <w:szCs w:val="20"/>
        </w:rPr>
        <w:t xml:space="preserve"> and as data sources are improved</w:t>
      </w:r>
      <w:r w:rsidR="00BC26F9">
        <w:rPr>
          <w:sz w:val="20"/>
          <w:szCs w:val="20"/>
        </w:rPr>
        <w:t>.</w:t>
      </w:r>
    </w:p>
  </w:footnote>
  <w:footnote w:id="2">
    <w:p w14:paraId="7A504EB9" w14:textId="01BDEC60" w:rsidR="00131341" w:rsidRDefault="009A37D4" w:rsidP="00976141">
      <w:pPr>
        <w:pStyle w:val="Footer"/>
      </w:pPr>
      <w:bookmarkStart w:id="17" w:name="_Hlk172622842"/>
      <w:r w:rsidRPr="006737D1">
        <w:rPr>
          <w:sz w:val="20"/>
          <w:szCs w:val="20"/>
        </w:rPr>
        <w:t>The department’s</w:t>
      </w:r>
      <w:r w:rsidR="009D555E" w:rsidRPr="006737D1">
        <w:rPr>
          <w:sz w:val="20"/>
          <w:szCs w:val="20"/>
        </w:rPr>
        <w:t xml:space="preserve"> </w:t>
      </w:r>
      <w:r w:rsidRPr="006737D1">
        <w:rPr>
          <w:sz w:val="20"/>
          <w:szCs w:val="20"/>
        </w:rPr>
        <w:t xml:space="preserve">nine </w:t>
      </w:r>
      <w:r w:rsidR="006A7883" w:rsidRPr="006737D1">
        <w:rPr>
          <w:sz w:val="20"/>
          <w:szCs w:val="20"/>
        </w:rPr>
        <w:t xml:space="preserve">Memorandum of Understanding (MoU) agreements </w:t>
      </w:r>
      <w:r w:rsidRPr="006737D1">
        <w:rPr>
          <w:sz w:val="20"/>
          <w:szCs w:val="20"/>
        </w:rPr>
        <w:t xml:space="preserve">which are sub-leased from other Government departments </w:t>
      </w:r>
      <w:r w:rsidR="009D555E" w:rsidRPr="006737D1">
        <w:rPr>
          <w:sz w:val="20"/>
          <w:szCs w:val="20"/>
        </w:rPr>
        <w:t>are excluded from the department’s emissions reporting.</w:t>
      </w:r>
      <w:bookmarkEnd w:id="17"/>
    </w:p>
  </w:footnote>
  <w:footnote w:id="3">
    <w:p w14:paraId="5B4759CA" w14:textId="77777777" w:rsidR="008558E3" w:rsidRDefault="008558E3">
      <w:pPr>
        <w:pStyle w:val="FootnoteText"/>
      </w:pPr>
      <w:r>
        <w:rPr>
          <w:rStyle w:val="FootnoteReference"/>
        </w:rPr>
        <w:footnoteRef/>
      </w:r>
      <w:r>
        <w:t xml:space="preserve"> This includes building heating, cooling and water heating but excludes backup generation, subject to the 2026-27 </w:t>
      </w:r>
      <w:hyperlink r:id="rId1" w:history="1">
        <w:r w:rsidRPr="00B5725E">
          <w:rPr>
            <w:rStyle w:val="Hyperlink"/>
          </w:rPr>
          <w:t>Net Zero in Government Operations Strategy</w:t>
        </w:r>
      </w:hyperlink>
      <w:r>
        <w:t xml:space="preserve"> review.</w:t>
      </w:r>
    </w:p>
  </w:footnote>
  <w:footnote w:id="4">
    <w:p w14:paraId="6E27C82A" w14:textId="2F906EB4" w:rsidR="00E23E6E" w:rsidRDefault="00E23E6E">
      <w:pPr>
        <w:pStyle w:val="FootnoteText"/>
      </w:pPr>
      <w:r>
        <w:rPr>
          <w:rStyle w:val="FootnoteReference"/>
        </w:rPr>
        <w:footnoteRef/>
      </w:r>
      <w:r>
        <w:t xml:space="preserve"> </w:t>
      </w:r>
      <w:hyperlink r:id="rId2" w:history="1">
        <w:r>
          <w:rPr>
            <w:rStyle w:val="Hyperlink"/>
          </w:rPr>
          <w:t>Commonwealth Fleet Vehicle Selection Policy | Department of Finance</w:t>
        </w:r>
      </w:hyperlink>
    </w:p>
  </w:footnote>
  <w:footnote w:id="5">
    <w:p w14:paraId="074D6689" w14:textId="77777777" w:rsidR="00690D82" w:rsidRDefault="00690D82" w:rsidP="003C6258">
      <w:pPr>
        <w:pStyle w:val="FootnoteText"/>
      </w:pPr>
      <w:r>
        <w:rPr>
          <w:rStyle w:val="FootnoteReference"/>
        </w:rPr>
        <w:footnoteRef/>
      </w:r>
      <w:r>
        <w:t xml:space="preserve"> </w:t>
      </w:r>
      <w:hyperlink r:id="rId3" w:history="1">
        <w:r>
          <w:rPr>
            <w:rStyle w:val="Hyperlink"/>
          </w:rPr>
          <w:t>Sustainable Procurement Guide - DCCEEW</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2221"/>
    <w:multiLevelType w:val="hybridMultilevel"/>
    <w:tmpl w:val="DAF466F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5C3B22"/>
    <w:multiLevelType w:val="hybridMultilevel"/>
    <w:tmpl w:val="7E16B89E"/>
    <w:lvl w:ilvl="0" w:tplc="FB78B058">
      <w:start w:val="1"/>
      <w:numFmt w:val="bullet"/>
      <w:lvlText w:val=""/>
      <w:lvlJc w:val="left"/>
      <w:pPr>
        <w:ind w:left="1440" w:hanging="360"/>
      </w:pPr>
      <w:rPr>
        <w:rFonts w:ascii="Symbol" w:hAnsi="Symbol"/>
      </w:rPr>
    </w:lvl>
    <w:lvl w:ilvl="1" w:tplc="98EC027C">
      <w:start w:val="1"/>
      <w:numFmt w:val="bullet"/>
      <w:lvlText w:val=""/>
      <w:lvlJc w:val="left"/>
      <w:pPr>
        <w:ind w:left="1440" w:hanging="360"/>
      </w:pPr>
      <w:rPr>
        <w:rFonts w:ascii="Symbol" w:hAnsi="Symbol"/>
      </w:rPr>
    </w:lvl>
    <w:lvl w:ilvl="2" w:tplc="8856C0EC">
      <w:start w:val="1"/>
      <w:numFmt w:val="bullet"/>
      <w:lvlText w:val=""/>
      <w:lvlJc w:val="left"/>
      <w:pPr>
        <w:ind w:left="1440" w:hanging="360"/>
      </w:pPr>
      <w:rPr>
        <w:rFonts w:ascii="Symbol" w:hAnsi="Symbol"/>
      </w:rPr>
    </w:lvl>
    <w:lvl w:ilvl="3" w:tplc="D848BD8C">
      <w:start w:val="1"/>
      <w:numFmt w:val="bullet"/>
      <w:lvlText w:val=""/>
      <w:lvlJc w:val="left"/>
      <w:pPr>
        <w:ind w:left="1440" w:hanging="360"/>
      </w:pPr>
      <w:rPr>
        <w:rFonts w:ascii="Symbol" w:hAnsi="Symbol"/>
      </w:rPr>
    </w:lvl>
    <w:lvl w:ilvl="4" w:tplc="570CBFBC">
      <w:start w:val="1"/>
      <w:numFmt w:val="bullet"/>
      <w:lvlText w:val=""/>
      <w:lvlJc w:val="left"/>
      <w:pPr>
        <w:ind w:left="1440" w:hanging="360"/>
      </w:pPr>
      <w:rPr>
        <w:rFonts w:ascii="Symbol" w:hAnsi="Symbol"/>
      </w:rPr>
    </w:lvl>
    <w:lvl w:ilvl="5" w:tplc="0CCEA5DE">
      <w:start w:val="1"/>
      <w:numFmt w:val="bullet"/>
      <w:lvlText w:val=""/>
      <w:lvlJc w:val="left"/>
      <w:pPr>
        <w:ind w:left="1440" w:hanging="360"/>
      </w:pPr>
      <w:rPr>
        <w:rFonts w:ascii="Symbol" w:hAnsi="Symbol"/>
      </w:rPr>
    </w:lvl>
    <w:lvl w:ilvl="6" w:tplc="E4901D22">
      <w:start w:val="1"/>
      <w:numFmt w:val="bullet"/>
      <w:lvlText w:val=""/>
      <w:lvlJc w:val="left"/>
      <w:pPr>
        <w:ind w:left="1440" w:hanging="360"/>
      </w:pPr>
      <w:rPr>
        <w:rFonts w:ascii="Symbol" w:hAnsi="Symbol"/>
      </w:rPr>
    </w:lvl>
    <w:lvl w:ilvl="7" w:tplc="FB8E0F0E">
      <w:start w:val="1"/>
      <w:numFmt w:val="bullet"/>
      <w:lvlText w:val=""/>
      <w:lvlJc w:val="left"/>
      <w:pPr>
        <w:ind w:left="1440" w:hanging="360"/>
      </w:pPr>
      <w:rPr>
        <w:rFonts w:ascii="Symbol" w:hAnsi="Symbol"/>
      </w:rPr>
    </w:lvl>
    <w:lvl w:ilvl="8" w:tplc="EE583B0C">
      <w:start w:val="1"/>
      <w:numFmt w:val="bullet"/>
      <w:lvlText w:val=""/>
      <w:lvlJc w:val="left"/>
      <w:pPr>
        <w:ind w:left="1440" w:hanging="360"/>
      </w:pPr>
      <w:rPr>
        <w:rFonts w:ascii="Symbol" w:hAnsi="Symbol"/>
      </w:rPr>
    </w:lvl>
  </w:abstractNum>
  <w:abstractNum w:abstractNumId="2" w15:restartNumberingAfterBreak="0">
    <w:nsid w:val="11AF2C2D"/>
    <w:multiLevelType w:val="singleLevel"/>
    <w:tmpl w:val="99AAA89E"/>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3" w15:restartNumberingAfterBreak="0">
    <w:nsid w:val="2B412A1F"/>
    <w:multiLevelType w:val="hybridMultilevel"/>
    <w:tmpl w:val="22323F72"/>
    <w:lvl w:ilvl="0" w:tplc="83FE111E">
      <w:start w:val="1"/>
      <w:numFmt w:val="bullet"/>
      <w:lvlText w:val=""/>
      <w:lvlJc w:val="left"/>
      <w:pPr>
        <w:ind w:left="1080" w:hanging="360"/>
      </w:pPr>
      <w:rPr>
        <w:rFonts w:ascii="Symbol" w:hAnsi="Symbol"/>
      </w:rPr>
    </w:lvl>
    <w:lvl w:ilvl="1" w:tplc="0ED087FC">
      <w:start w:val="1"/>
      <w:numFmt w:val="bullet"/>
      <w:lvlText w:val=""/>
      <w:lvlJc w:val="left"/>
      <w:pPr>
        <w:ind w:left="1080" w:hanging="360"/>
      </w:pPr>
      <w:rPr>
        <w:rFonts w:ascii="Symbol" w:hAnsi="Symbol"/>
      </w:rPr>
    </w:lvl>
    <w:lvl w:ilvl="2" w:tplc="4C7E01EE">
      <w:start w:val="1"/>
      <w:numFmt w:val="bullet"/>
      <w:lvlText w:val=""/>
      <w:lvlJc w:val="left"/>
      <w:pPr>
        <w:ind w:left="1080" w:hanging="360"/>
      </w:pPr>
      <w:rPr>
        <w:rFonts w:ascii="Symbol" w:hAnsi="Symbol"/>
      </w:rPr>
    </w:lvl>
    <w:lvl w:ilvl="3" w:tplc="58B80A6A">
      <w:start w:val="1"/>
      <w:numFmt w:val="bullet"/>
      <w:lvlText w:val=""/>
      <w:lvlJc w:val="left"/>
      <w:pPr>
        <w:ind w:left="1080" w:hanging="360"/>
      </w:pPr>
      <w:rPr>
        <w:rFonts w:ascii="Symbol" w:hAnsi="Symbol"/>
      </w:rPr>
    </w:lvl>
    <w:lvl w:ilvl="4" w:tplc="FFAC36A6">
      <w:start w:val="1"/>
      <w:numFmt w:val="bullet"/>
      <w:lvlText w:val=""/>
      <w:lvlJc w:val="left"/>
      <w:pPr>
        <w:ind w:left="1080" w:hanging="360"/>
      </w:pPr>
      <w:rPr>
        <w:rFonts w:ascii="Symbol" w:hAnsi="Symbol"/>
      </w:rPr>
    </w:lvl>
    <w:lvl w:ilvl="5" w:tplc="FF7822AC">
      <w:start w:val="1"/>
      <w:numFmt w:val="bullet"/>
      <w:lvlText w:val=""/>
      <w:lvlJc w:val="left"/>
      <w:pPr>
        <w:ind w:left="1080" w:hanging="360"/>
      </w:pPr>
      <w:rPr>
        <w:rFonts w:ascii="Symbol" w:hAnsi="Symbol"/>
      </w:rPr>
    </w:lvl>
    <w:lvl w:ilvl="6" w:tplc="8FCABE66">
      <w:start w:val="1"/>
      <w:numFmt w:val="bullet"/>
      <w:lvlText w:val=""/>
      <w:lvlJc w:val="left"/>
      <w:pPr>
        <w:ind w:left="1080" w:hanging="360"/>
      </w:pPr>
      <w:rPr>
        <w:rFonts w:ascii="Symbol" w:hAnsi="Symbol"/>
      </w:rPr>
    </w:lvl>
    <w:lvl w:ilvl="7" w:tplc="D7CE89E2">
      <w:start w:val="1"/>
      <w:numFmt w:val="bullet"/>
      <w:lvlText w:val=""/>
      <w:lvlJc w:val="left"/>
      <w:pPr>
        <w:ind w:left="1080" w:hanging="360"/>
      </w:pPr>
      <w:rPr>
        <w:rFonts w:ascii="Symbol" w:hAnsi="Symbol"/>
      </w:rPr>
    </w:lvl>
    <w:lvl w:ilvl="8" w:tplc="289A10C6">
      <w:start w:val="1"/>
      <w:numFmt w:val="bullet"/>
      <w:lvlText w:val=""/>
      <w:lvlJc w:val="left"/>
      <w:pPr>
        <w:ind w:left="1080" w:hanging="360"/>
      </w:pPr>
      <w:rPr>
        <w:rFonts w:ascii="Symbol" w:hAnsi="Symbol"/>
      </w:rPr>
    </w:lvl>
  </w:abstractNum>
  <w:abstractNum w:abstractNumId="4"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B04471"/>
    <w:multiLevelType w:val="multilevel"/>
    <w:tmpl w:val="1BBC7A8E"/>
    <w:lvl w:ilvl="0">
      <w:start w:val="1"/>
      <w:numFmt w:val="lowerLetter"/>
      <w:lvlText w:val="%1)"/>
      <w:lvlJc w:val="left"/>
      <w:pPr>
        <w:ind w:left="1142" w:hanging="360"/>
      </w:pPr>
      <w:rPr>
        <w:rFonts w:hint="default"/>
        <w:b w:val="0"/>
        <w:i w:val="0"/>
        <w:sz w:val="20"/>
      </w:rPr>
    </w:lvl>
    <w:lvl w:ilvl="1">
      <w:start w:val="1"/>
      <w:numFmt w:val="lowerRoman"/>
      <w:pStyle w:val="Numberedlistabc"/>
      <w:lvlText w:val="%2."/>
      <w:lvlJc w:val="left"/>
      <w:pPr>
        <w:ind w:left="1865" w:hanging="360"/>
      </w:pPr>
      <w:rPr>
        <w:rFonts w:hint="default"/>
      </w:rPr>
    </w:lvl>
    <w:lvl w:ilvl="2">
      <w:start w:val="1"/>
      <w:numFmt w:val="lowerRoman"/>
      <w:pStyle w:val="Numberedlistii"/>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6" w15:restartNumberingAfterBreak="0">
    <w:nsid w:val="36EB11F6"/>
    <w:multiLevelType w:val="hybridMultilevel"/>
    <w:tmpl w:val="928812FC"/>
    <w:lvl w:ilvl="0" w:tplc="B1C2EB62">
      <w:start w:val="1"/>
      <w:numFmt w:val="decimal"/>
      <w:lvlText w:val="%1."/>
      <w:lvlJc w:val="left"/>
      <w:pPr>
        <w:ind w:left="1440" w:hanging="360"/>
      </w:pPr>
    </w:lvl>
    <w:lvl w:ilvl="1" w:tplc="C01223DA">
      <w:start w:val="1"/>
      <w:numFmt w:val="decimal"/>
      <w:lvlText w:val="%2."/>
      <w:lvlJc w:val="left"/>
      <w:pPr>
        <w:ind w:left="1440" w:hanging="360"/>
      </w:pPr>
    </w:lvl>
    <w:lvl w:ilvl="2" w:tplc="A3C2B3F6">
      <w:start w:val="1"/>
      <w:numFmt w:val="decimal"/>
      <w:lvlText w:val="%3."/>
      <w:lvlJc w:val="left"/>
      <w:pPr>
        <w:ind w:left="1440" w:hanging="360"/>
      </w:pPr>
    </w:lvl>
    <w:lvl w:ilvl="3" w:tplc="690C6492">
      <w:start w:val="1"/>
      <w:numFmt w:val="decimal"/>
      <w:lvlText w:val="%4."/>
      <w:lvlJc w:val="left"/>
      <w:pPr>
        <w:ind w:left="1440" w:hanging="360"/>
      </w:pPr>
    </w:lvl>
    <w:lvl w:ilvl="4" w:tplc="9580F2E0">
      <w:start w:val="1"/>
      <w:numFmt w:val="decimal"/>
      <w:lvlText w:val="%5."/>
      <w:lvlJc w:val="left"/>
      <w:pPr>
        <w:ind w:left="1440" w:hanging="360"/>
      </w:pPr>
    </w:lvl>
    <w:lvl w:ilvl="5" w:tplc="45C4F55A">
      <w:start w:val="1"/>
      <w:numFmt w:val="decimal"/>
      <w:lvlText w:val="%6."/>
      <w:lvlJc w:val="left"/>
      <w:pPr>
        <w:ind w:left="1440" w:hanging="360"/>
      </w:pPr>
    </w:lvl>
    <w:lvl w:ilvl="6" w:tplc="2DF8CBE6">
      <w:start w:val="1"/>
      <w:numFmt w:val="decimal"/>
      <w:lvlText w:val="%7."/>
      <w:lvlJc w:val="left"/>
      <w:pPr>
        <w:ind w:left="1440" w:hanging="360"/>
      </w:pPr>
    </w:lvl>
    <w:lvl w:ilvl="7" w:tplc="EF4A778A">
      <w:start w:val="1"/>
      <w:numFmt w:val="decimal"/>
      <w:lvlText w:val="%8."/>
      <w:lvlJc w:val="left"/>
      <w:pPr>
        <w:ind w:left="1440" w:hanging="360"/>
      </w:pPr>
    </w:lvl>
    <w:lvl w:ilvl="8" w:tplc="8AAC7BEC">
      <w:start w:val="1"/>
      <w:numFmt w:val="decimal"/>
      <w:lvlText w:val="%9."/>
      <w:lvlJc w:val="left"/>
      <w:pPr>
        <w:ind w:left="1440" w:hanging="360"/>
      </w:pPr>
    </w:lvl>
  </w:abstractNum>
  <w:abstractNum w:abstractNumId="7" w15:restartNumberingAfterBreak="0">
    <w:nsid w:val="43037E1F"/>
    <w:multiLevelType w:val="hybridMultilevel"/>
    <w:tmpl w:val="92D68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797198"/>
    <w:multiLevelType w:val="hybridMultilevel"/>
    <w:tmpl w:val="440AAFEC"/>
    <w:lvl w:ilvl="0" w:tplc="9C143852">
      <w:start w:val="1"/>
      <w:numFmt w:val="bullet"/>
      <w:lvlText w:val=""/>
      <w:lvlJc w:val="left"/>
      <w:pPr>
        <w:ind w:left="1340" w:hanging="360"/>
      </w:pPr>
      <w:rPr>
        <w:rFonts w:ascii="Symbol" w:hAnsi="Symbol"/>
      </w:rPr>
    </w:lvl>
    <w:lvl w:ilvl="1" w:tplc="12F8F9FE">
      <w:start w:val="1"/>
      <w:numFmt w:val="bullet"/>
      <w:lvlText w:val=""/>
      <w:lvlJc w:val="left"/>
      <w:pPr>
        <w:ind w:left="1340" w:hanging="360"/>
      </w:pPr>
      <w:rPr>
        <w:rFonts w:ascii="Symbol" w:hAnsi="Symbol"/>
      </w:rPr>
    </w:lvl>
    <w:lvl w:ilvl="2" w:tplc="140C78C0">
      <w:start w:val="1"/>
      <w:numFmt w:val="bullet"/>
      <w:lvlText w:val=""/>
      <w:lvlJc w:val="left"/>
      <w:pPr>
        <w:ind w:left="1340" w:hanging="360"/>
      </w:pPr>
      <w:rPr>
        <w:rFonts w:ascii="Symbol" w:hAnsi="Symbol"/>
      </w:rPr>
    </w:lvl>
    <w:lvl w:ilvl="3" w:tplc="E530E92E">
      <w:start w:val="1"/>
      <w:numFmt w:val="bullet"/>
      <w:lvlText w:val=""/>
      <w:lvlJc w:val="left"/>
      <w:pPr>
        <w:ind w:left="1340" w:hanging="360"/>
      </w:pPr>
      <w:rPr>
        <w:rFonts w:ascii="Symbol" w:hAnsi="Symbol"/>
      </w:rPr>
    </w:lvl>
    <w:lvl w:ilvl="4" w:tplc="39861E96">
      <w:start w:val="1"/>
      <w:numFmt w:val="bullet"/>
      <w:lvlText w:val=""/>
      <w:lvlJc w:val="left"/>
      <w:pPr>
        <w:ind w:left="1340" w:hanging="360"/>
      </w:pPr>
      <w:rPr>
        <w:rFonts w:ascii="Symbol" w:hAnsi="Symbol"/>
      </w:rPr>
    </w:lvl>
    <w:lvl w:ilvl="5" w:tplc="B470DCE8">
      <w:start w:val="1"/>
      <w:numFmt w:val="bullet"/>
      <w:lvlText w:val=""/>
      <w:lvlJc w:val="left"/>
      <w:pPr>
        <w:ind w:left="1340" w:hanging="360"/>
      </w:pPr>
      <w:rPr>
        <w:rFonts w:ascii="Symbol" w:hAnsi="Symbol"/>
      </w:rPr>
    </w:lvl>
    <w:lvl w:ilvl="6" w:tplc="54BE8750">
      <w:start w:val="1"/>
      <w:numFmt w:val="bullet"/>
      <w:lvlText w:val=""/>
      <w:lvlJc w:val="left"/>
      <w:pPr>
        <w:ind w:left="1340" w:hanging="360"/>
      </w:pPr>
      <w:rPr>
        <w:rFonts w:ascii="Symbol" w:hAnsi="Symbol"/>
      </w:rPr>
    </w:lvl>
    <w:lvl w:ilvl="7" w:tplc="85DE25D6">
      <w:start w:val="1"/>
      <w:numFmt w:val="bullet"/>
      <w:lvlText w:val=""/>
      <w:lvlJc w:val="left"/>
      <w:pPr>
        <w:ind w:left="1340" w:hanging="360"/>
      </w:pPr>
      <w:rPr>
        <w:rFonts w:ascii="Symbol" w:hAnsi="Symbol"/>
      </w:rPr>
    </w:lvl>
    <w:lvl w:ilvl="8" w:tplc="E1367E00">
      <w:start w:val="1"/>
      <w:numFmt w:val="bullet"/>
      <w:lvlText w:val=""/>
      <w:lvlJc w:val="left"/>
      <w:pPr>
        <w:ind w:left="1340" w:hanging="360"/>
      </w:pPr>
      <w:rPr>
        <w:rFonts w:ascii="Symbol" w:hAnsi="Symbol"/>
      </w:rPr>
    </w:lvl>
  </w:abstractNum>
  <w:abstractNum w:abstractNumId="9" w15:restartNumberingAfterBreak="0">
    <w:nsid w:val="4F552744"/>
    <w:multiLevelType w:val="multilevel"/>
    <w:tmpl w:val="27985F70"/>
    <w:lvl w:ilvl="0">
      <w:start w:val="1"/>
      <w:numFmt w:val="decimal"/>
      <w:pStyle w:val="Heading2"/>
      <w:lvlText w:val="%1."/>
      <w:lvlJc w:val="left"/>
      <w:pPr>
        <w:ind w:left="502" w:hanging="360"/>
      </w:pPr>
    </w:lvl>
    <w:lvl w:ilvl="1">
      <w:start w:val="1"/>
      <w:numFmt w:val="decimal"/>
      <w:pStyle w:val="Heading3"/>
      <w:lvlText w:val="%1.%2."/>
      <w:lvlJc w:val="left"/>
      <w:pPr>
        <w:ind w:left="1000" w:hanging="432"/>
      </w:pPr>
    </w:lvl>
    <w:lvl w:ilvl="2">
      <w:start w:val="1"/>
      <w:numFmt w:val="decimal"/>
      <w:pStyle w:val="Heading4"/>
      <w:lvlText w:val="%1.%2.%3."/>
      <w:lvlJc w:val="left"/>
      <w:pPr>
        <w:ind w:left="1224" w:hanging="50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5"/>
      <w:lvlText w:val="%1.%2.%3.%4."/>
      <w:lvlJc w:val="left"/>
      <w:pPr>
        <w:ind w:left="1641" w:hanging="648"/>
      </w:pPr>
    </w:lvl>
    <w:lvl w:ilvl="4">
      <w:start w:val="1"/>
      <w:numFmt w:val="decimal"/>
      <w:pStyle w:val="Heading6"/>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544687"/>
    <w:multiLevelType w:val="multilevel"/>
    <w:tmpl w:val="B0E48674"/>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84B10C6"/>
    <w:multiLevelType w:val="hybridMultilevel"/>
    <w:tmpl w:val="844E45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9D20A01"/>
    <w:multiLevelType w:val="hybridMultilevel"/>
    <w:tmpl w:val="F38CF306"/>
    <w:lvl w:ilvl="0" w:tplc="AFC82C4A">
      <w:start w:val="1"/>
      <w:numFmt w:val="bullet"/>
      <w:lvlText w:val=""/>
      <w:lvlJc w:val="left"/>
      <w:pPr>
        <w:ind w:left="1080" w:hanging="360"/>
      </w:pPr>
      <w:rPr>
        <w:rFonts w:ascii="Symbol" w:hAnsi="Symbol"/>
      </w:rPr>
    </w:lvl>
    <w:lvl w:ilvl="1" w:tplc="8418F1B0">
      <w:start w:val="1"/>
      <w:numFmt w:val="bullet"/>
      <w:lvlText w:val=""/>
      <w:lvlJc w:val="left"/>
      <w:pPr>
        <w:ind w:left="1080" w:hanging="360"/>
      </w:pPr>
      <w:rPr>
        <w:rFonts w:ascii="Symbol" w:hAnsi="Symbol"/>
      </w:rPr>
    </w:lvl>
    <w:lvl w:ilvl="2" w:tplc="86FE36FE">
      <w:start w:val="1"/>
      <w:numFmt w:val="bullet"/>
      <w:lvlText w:val=""/>
      <w:lvlJc w:val="left"/>
      <w:pPr>
        <w:ind w:left="1080" w:hanging="360"/>
      </w:pPr>
      <w:rPr>
        <w:rFonts w:ascii="Symbol" w:hAnsi="Symbol"/>
      </w:rPr>
    </w:lvl>
    <w:lvl w:ilvl="3" w:tplc="39281B02">
      <w:start w:val="1"/>
      <w:numFmt w:val="bullet"/>
      <w:lvlText w:val=""/>
      <w:lvlJc w:val="left"/>
      <w:pPr>
        <w:ind w:left="1080" w:hanging="360"/>
      </w:pPr>
      <w:rPr>
        <w:rFonts w:ascii="Symbol" w:hAnsi="Symbol"/>
      </w:rPr>
    </w:lvl>
    <w:lvl w:ilvl="4" w:tplc="5B7C421C">
      <w:start w:val="1"/>
      <w:numFmt w:val="bullet"/>
      <w:lvlText w:val=""/>
      <w:lvlJc w:val="left"/>
      <w:pPr>
        <w:ind w:left="1080" w:hanging="360"/>
      </w:pPr>
      <w:rPr>
        <w:rFonts w:ascii="Symbol" w:hAnsi="Symbol"/>
      </w:rPr>
    </w:lvl>
    <w:lvl w:ilvl="5" w:tplc="A118B5AE">
      <w:start w:val="1"/>
      <w:numFmt w:val="bullet"/>
      <w:lvlText w:val=""/>
      <w:lvlJc w:val="left"/>
      <w:pPr>
        <w:ind w:left="1080" w:hanging="360"/>
      </w:pPr>
      <w:rPr>
        <w:rFonts w:ascii="Symbol" w:hAnsi="Symbol"/>
      </w:rPr>
    </w:lvl>
    <w:lvl w:ilvl="6" w:tplc="60DA1BC8">
      <w:start w:val="1"/>
      <w:numFmt w:val="bullet"/>
      <w:lvlText w:val=""/>
      <w:lvlJc w:val="left"/>
      <w:pPr>
        <w:ind w:left="1080" w:hanging="360"/>
      </w:pPr>
      <w:rPr>
        <w:rFonts w:ascii="Symbol" w:hAnsi="Symbol"/>
      </w:rPr>
    </w:lvl>
    <w:lvl w:ilvl="7" w:tplc="52503564">
      <w:start w:val="1"/>
      <w:numFmt w:val="bullet"/>
      <w:lvlText w:val=""/>
      <w:lvlJc w:val="left"/>
      <w:pPr>
        <w:ind w:left="1080" w:hanging="360"/>
      </w:pPr>
      <w:rPr>
        <w:rFonts w:ascii="Symbol" w:hAnsi="Symbol"/>
      </w:rPr>
    </w:lvl>
    <w:lvl w:ilvl="8" w:tplc="C21C3702">
      <w:start w:val="1"/>
      <w:numFmt w:val="bullet"/>
      <w:lvlText w:val=""/>
      <w:lvlJc w:val="left"/>
      <w:pPr>
        <w:ind w:left="1080" w:hanging="360"/>
      </w:pPr>
      <w:rPr>
        <w:rFonts w:ascii="Symbol" w:hAnsi="Symbol"/>
      </w:rPr>
    </w:lvl>
  </w:abstractNum>
  <w:abstractNum w:abstractNumId="13" w15:restartNumberingAfterBreak="0">
    <w:nsid w:val="5A4F4430"/>
    <w:multiLevelType w:val="multilevel"/>
    <w:tmpl w:val="51D85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F727B"/>
    <w:multiLevelType w:val="multilevel"/>
    <w:tmpl w:val="9FDEB948"/>
    <w:numStyleLink w:val="DSSBulletList"/>
  </w:abstractNum>
  <w:abstractNum w:abstractNumId="15" w15:restartNumberingAfterBreak="0">
    <w:nsid w:val="662E4EB7"/>
    <w:multiLevelType w:val="hybridMultilevel"/>
    <w:tmpl w:val="F3EAF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14C44F5"/>
    <w:multiLevelType w:val="hybridMultilevel"/>
    <w:tmpl w:val="BBF2ECF6"/>
    <w:lvl w:ilvl="0" w:tplc="3EAE0144">
      <w:start w:val="1"/>
      <w:numFmt w:val="bullet"/>
      <w:pStyle w:val="Tablebullet2"/>
      <w:lvlText w:val="―"/>
      <w:lvlJc w:val="left"/>
      <w:pPr>
        <w:ind w:left="1004" w:hanging="360"/>
      </w:pPr>
      <w:rPr>
        <w:rFonts w:ascii="Calibri" w:hAnsi="Calibri" w:hint="default"/>
        <w:color w:val="auto"/>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71790DCD"/>
    <w:multiLevelType w:val="hybridMultilevel"/>
    <w:tmpl w:val="04DCB738"/>
    <w:lvl w:ilvl="0" w:tplc="0C090001">
      <w:start w:val="1"/>
      <w:numFmt w:val="bullet"/>
      <w:lvlText w:val=""/>
      <w:lvlJc w:val="left"/>
      <w:pPr>
        <w:ind w:left="1004" w:hanging="360"/>
      </w:pPr>
      <w:rPr>
        <w:rFonts w:ascii="Symbol" w:hAnsi="Symbol" w:hint="default"/>
        <w:color w:val="auto"/>
        <w:sz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9" w15:restartNumberingAfterBreak="0">
    <w:nsid w:val="76C37078"/>
    <w:multiLevelType w:val="hybridMultilevel"/>
    <w:tmpl w:val="F7B45F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B095791"/>
    <w:multiLevelType w:val="hybridMultilevel"/>
    <w:tmpl w:val="0BAAE7C4"/>
    <w:lvl w:ilvl="0" w:tplc="FB602D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076207"/>
    <w:multiLevelType w:val="hybridMultilevel"/>
    <w:tmpl w:val="C19298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02536175">
    <w:abstractNumId w:val="18"/>
  </w:num>
  <w:num w:numId="2" w16cid:durableId="1769231699">
    <w:abstractNumId w:val="9"/>
  </w:num>
  <w:num w:numId="3" w16cid:durableId="1422482963">
    <w:abstractNumId w:val="10"/>
  </w:num>
  <w:num w:numId="4" w16cid:durableId="1314525174">
    <w:abstractNumId w:val="4"/>
  </w:num>
  <w:num w:numId="5" w16cid:durableId="1822037829">
    <w:abstractNumId w:val="14"/>
  </w:num>
  <w:num w:numId="6" w16cid:durableId="353384724">
    <w:abstractNumId w:val="16"/>
  </w:num>
  <w:num w:numId="7" w16cid:durableId="546645872">
    <w:abstractNumId w:val="2"/>
  </w:num>
  <w:num w:numId="8" w16cid:durableId="672683914">
    <w:abstractNumId w:val="17"/>
  </w:num>
  <w:num w:numId="9" w16cid:durableId="231937881">
    <w:abstractNumId w:val="0"/>
  </w:num>
  <w:num w:numId="10" w16cid:durableId="1216164226">
    <w:abstractNumId w:val="20"/>
  </w:num>
  <w:num w:numId="11" w16cid:durableId="773552090">
    <w:abstractNumId w:val="7"/>
  </w:num>
  <w:num w:numId="12" w16cid:durableId="60687803">
    <w:abstractNumId w:val="13"/>
  </w:num>
  <w:num w:numId="13" w16cid:durableId="310208388">
    <w:abstractNumId w:val="19"/>
  </w:num>
  <w:num w:numId="14" w16cid:durableId="1462109547">
    <w:abstractNumId w:val="21"/>
  </w:num>
  <w:num w:numId="15" w16cid:durableId="2114091478">
    <w:abstractNumId w:val="11"/>
  </w:num>
  <w:num w:numId="16" w16cid:durableId="2066247039">
    <w:abstractNumId w:val="15"/>
  </w:num>
  <w:num w:numId="17" w16cid:durableId="1202746877">
    <w:abstractNumId w:val="5"/>
  </w:num>
  <w:num w:numId="18" w16cid:durableId="1445882315">
    <w:abstractNumId w:val="6"/>
  </w:num>
  <w:num w:numId="19" w16cid:durableId="1416829062">
    <w:abstractNumId w:val="16"/>
  </w:num>
  <w:num w:numId="20" w16cid:durableId="2013099805">
    <w:abstractNumId w:val="9"/>
  </w:num>
  <w:num w:numId="21" w16cid:durableId="2078555726">
    <w:abstractNumId w:val="9"/>
  </w:num>
  <w:num w:numId="22" w16cid:durableId="1839231953">
    <w:abstractNumId w:val="9"/>
  </w:num>
  <w:num w:numId="23" w16cid:durableId="1752315341">
    <w:abstractNumId w:val="12"/>
  </w:num>
  <w:num w:numId="24" w16cid:durableId="402798856">
    <w:abstractNumId w:val="8"/>
  </w:num>
  <w:num w:numId="25" w16cid:durableId="1758164376">
    <w:abstractNumId w:val="3"/>
  </w:num>
  <w:num w:numId="26" w16cid:durableId="13705648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26"/>
    <w:rsid w:val="00000CD4"/>
    <w:rsid w:val="000010D3"/>
    <w:rsid w:val="0000182B"/>
    <w:rsid w:val="000027CE"/>
    <w:rsid w:val="000039B1"/>
    <w:rsid w:val="00010CC7"/>
    <w:rsid w:val="00010FE4"/>
    <w:rsid w:val="00013E6E"/>
    <w:rsid w:val="000140B8"/>
    <w:rsid w:val="0001602D"/>
    <w:rsid w:val="000161AE"/>
    <w:rsid w:val="00016B07"/>
    <w:rsid w:val="00017B82"/>
    <w:rsid w:val="0002024A"/>
    <w:rsid w:val="00020EA9"/>
    <w:rsid w:val="00026DA3"/>
    <w:rsid w:val="000300C7"/>
    <w:rsid w:val="0003080C"/>
    <w:rsid w:val="000312C7"/>
    <w:rsid w:val="00033799"/>
    <w:rsid w:val="000346F4"/>
    <w:rsid w:val="00034FEA"/>
    <w:rsid w:val="000357A7"/>
    <w:rsid w:val="000375C0"/>
    <w:rsid w:val="000413D9"/>
    <w:rsid w:val="000414C7"/>
    <w:rsid w:val="0004186E"/>
    <w:rsid w:val="00042DC7"/>
    <w:rsid w:val="00043AEE"/>
    <w:rsid w:val="00044684"/>
    <w:rsid w:val="00045881"/>
    <w:rsid w:val="0004696A"/>
    <w:rsid w:val="00047215"/>
    <w:rsid w:val="0004795C"/>
    <w:rsid w:val="000527D8"/>
    <w:rsid w:val="00052C05"/>
    <w:rsid w:val="00052CF8"/>
    <w:rsid w:val="00057933"/>
    <w:rsid w:val="000615C6"/>
    <w:rsid w:val="0006275E"/>
    <w:rsid w:val="00063D4A"/>
    <w:rsid w:val="000640FC"/>
    <w:rsid w:val="00064140"/>
    <w:rsid w:val="0006504E"/>
    <w:rsid w:val="00065952"/>
    <w:rsid w:val="00071319"/>
    <w:rsid w:val="00072A5B"/>
    <w:rsid w:val="00074173"/>
    <w:rsid w:val="0007568F"/>
    <w:rsid w:val="00080645"/>
    <w:rsid w:val="00081610"/>
    <w:rsid w:val="0008163B"/>
    <w:rsid w:val="00082288"/>
    <w:rsid w:val="000825F1"/>
    <w:rsid w:val="00082A89"/>
    <w:rsid w:val="00082B54"/>
    <w:rsid w:val="00083743"/>
    <w:rsid w:val="00084B2E"/>
    <w:rsid w:val="000851E0"/>
    <w:rsid w:val="000856D4"/>
    <w:rsid w:val="000858BB"/>
    <w:rsid w:val="000871FF"/>
    <w:rsid w:val="000923DE"/>
    <w:rsid w:val="0009340E"/>
    <w:rsid w:val="00094884"/>
    <w:rsid w:val="00094954"/>
    <w:rsid w:val="00094ACC"/>
    <w:rsid w:val="00096419"/>
    <w:rsid w:val="000964DB"/>
    <w:rsid w:val="0009703B"/>
    <w:rsid w:val="000A1475"/>
    <w:rsid w:val="000A1CC5"/>
    <w:rsid w:val="000A3151"/>
    <w:rsid w:val="000B0F1C"/>
    <w:rsid w:val="000B1494"/>
    <w:rsid w:val="000B2922"/>
    <w:rsid w:val="000B68CE"/>
    <w:rsid w:val="000C18DE"/>
    <w:rsid w:val="000C22DF"/>
    <w:rsid w:val="000C2E08"/>
    <w:rsid w:val="000C4A0F"/>
    <w:rsid w:val="000C4E97"/>
    <w:rsid w:val="000C5AC0"/>
    <w:rsid w:val="000C76B8"/>
    <w:rsid w:val="000C7E9A"/>
    <w:rsid w:val="000D21D1"/>
    <w:rsid w:val="000D22EA"/>
    <w:rsid w:val="000D4F5A"/>
    <w:rsid w:val="000D5965"/>
    <w:rsid w:val="000D623E"/>
    <w:rsid w:val="000D68EE"/>
    <w:rsid w:val="000D7AF6"/>
    <w:rsid w:val="000E018C"/>
    <w:rsid w:val="000E17F9"/>
    <w:rsid w:val="000E2803"/>
    <w:rsid w:val="000E35B4"/>
    <w:rsid w:val="000E7D29"/>
    <w:rsid w:val="000F07B3"/>
    <w:rsid w:val="000F0AD4"/>
    <w:rsid w:val="000F0DD9"/>
    <w:rsid w:val="000F30A4"/>
    <w:rsid w:val="000F389B"/>
    <w:rsid w:val="000F3D0F"/>
    <w:rsid w:val="000F4B4F"/>
    <w:rsid w:val="000F5028"/>
    <w:rsid w:val="000F5F85"/>
    <w:rsid w:val="000F7266"/>
    <w:rsid w:val="000F75FC"/>
    <w:rsid w:val="000F78A3"/>
    <w:rsid w:val="001009CB"/>
    <w:rsid w:val="001058E1"/>
    <w:rsid w:val="001065E1"/>
    <w:rsid w:val="00110A18"/>
    <w:rsid w:val="00110A45"/>
    <w:rsid w:val="00110BE2"/>
    <w:rsid w:val="001118F4"/>
    <w:rsid w:val="001122F2"/>
    <w:rsid w:val="00116B75"/>
    <w:rsid w:val="001204E5"/>
    <w:rsid w:val="001218E9"/>
    <w:rsid w:val="001220FB"/>
    <w:rsid w:val="001221F1"/>
    <w:rsid w:val="0012322A"/>
    <w:rsid w:val="00124E11"/>
    <w:rsid w:val="00131341"/>
    <w:rsid w:val="00131603"/>
    <w:rsid w:val="00131B4D"/>
    <w:rsid w:val="00132F4B"/>
    <w:rsid w:val="001356E6"/>
    <w:rsid w:val="00141249"/>
    <w:rsid w:val="00141768"/>
    <w:rsid w:val="001510D7"/>
    <w:rsid w:val="00153175"/>
    <w:rsid w:val="001547CF"/>
    <w:rsid w:val="001557D7"/>
    <w:rsid w:val="001558BF"/>
    <w:rsid w:val="00161696"/>
    <w:rsid w:val="001616F8"/>
    <w:rsid w:val="00161952"/>
    <w:rsid w:val="001634F9"/>
    <w:rsid w:val="00163804"/>
    <w:rsid w:val="00164DB4"/>
    <w:rsid w:val="001652E0"/>
    <w:rsid w:val="0016620B"/>
    <w:rsid w:val="001669AC"/>
    <w:rsid w:val="00166BB1"/>
    <w:rsid w:val="00170A62"/>
    <w:rsid w:val="0017174E"/>
    <w:rsid w:val="00172301"/>
    <w:rsid w:val="00174459"/>
    <w:rsid w:val="00175A5A"/>
    <w:rsid w:val="00176867"/>
    <w:rsid w:val="00177831"/>
    <w:rsid w:val="00180848"/>
    <w:rsid w:val="00181702"/>
    <w:rsid w:val="001820E7"/>
    <w:rsid w:val="00182C22"/>
    <w:rsid w:val="00183C28"/>
    <w:rsid w:val="001871A2"/>
    <w:rsid w:val="00191EAE"/>
    <w:rsid w:val="001942FC"/>
    <w:rsid w:val="001A38D7"/>
    <w:rsid w:val="001A3F2E"/>
    <w:rsid w:val="001A5998"/>
    <w:rsid w:val="001A7461"/>
    <w:rsid w:val="001B288B"/>
    <w:rsid w:val="001B3CD3"/>
    <w:rsid w:val="001B53D7"/>
    <w:rsid w:val="001B6736"/>
    <w:rsid w:val="001B7095"/>
    <w:rsid w:val="001C0FD2"/>
    <w:rsid w:val="001C3EE1"/>
    <w:rsid w:val="001C61BE"/>
    <w:rsid w:val="001C7B11"/>
    <w:rsid w:val="001D0F6D"/>
    <w:rsid w:val="001D19E2"/>
    <w:rsid w:val="001D4177"/>
    <w:rsid w:val="001D43AC"/>
    <w:rsid w:val="001D53C6"/>
    <w:rsid w:val="001E4143"/>
    <w:rsid w:val="001E61B8"/>
    <w:rsid w:val="001E630D"/>
    <w:rsid w:val="001F147B"/>
    <w:rsid w:val="001F6CDF"/>
    <w:rsid w:val="001F73E7"/>
    <w:rsid w:val="002000FC"/>
    <w:rsid w:val="00200A8F"/>
    <w:rsid w:val="00201326"/>
    <w:rsid w:val="00202D2A"/>
    <w:rsid w:val="00203E87"/>
    <w:rsid w:val="0020627E"/>
    <w:rsid w:val="0020779B"/>
    <w:rsid w:val="00211165"/>
    <w:rsid w:val="00212925"/>
    <w:rsid w:val="00213C63"/>
    <w:rsid w:val="00214FA9"/>
    <w:rsid w:val="00222657"/>
    <w:rsid w:val="00223F10"/>
    <w:rsid w:val="002251C4"/>
    <w:rsid w:val="0023442A"/>
    <w:rsid w:val="002346B5"/>
    <w:rsid w:val="00235ACB"/>
    <w:rsid w:val="00236354"/>
    <w:rsid w:val="002368A0"/>
    <w:rsid w:val="002378FC"/>
    <w:rsid w:val="00240A6E"/>
    <w:rsid w:val="0024240A"/>
    <w:rsid w:val="00242DFB"/>
    <w:rsid w:val="00243792"/>
    <w:rsid w:val="00244D3D"/>
    <w:rsid w:val="0024579F"/>
    <w:rsid w:val="0025013F"/>
    <w:rsid w:val="002508C5"/>
    <w:rsid w:val="00251387"/>
    <w:rsid w:val="00252FDB"/>
    <w:rsid w:val="00256552"/>
    <w:rsid w:val="002630E4"/>
    <w:rsid w:val="0026399A"/>
    <w:rsid w:val="00265829"/>
    <w:rsid w:val="00267EAB"/>
    <w:rsid w:val="00271470"/>
    <w:rsid w:val="00271A06"/>
    <w:rsid w:val="0027274D"/>
    <w:rsid w:val="00275982"/>
    <w:rsid w:val="00275EA9"/>
    <w:rsid w:val="0027601E"/>
    <w:rsid w:val="00277A71"/>
    <w:rsid w:val="00281DFB"/>
    <w:rsid w:val="00282835"/>
    <w:rsid w:val="0028285B"/>
    <w:rsid w:val="00284DF5"/>
    <w:rsid w:val="00292036"/>
    <w:rsid w:val="00292037"/>
    <w:rsid w:val="00293B8D"/>
    <w:rsid w:val="00295686"/>
    <w:rsid w:val="00295934"/>
    <w:rsid w:val="00295D5E"/>
    <w:rsid w:val="00297598"/>
    <w:rsid w:val="002A07A4"/>
    <w:rsid w:val="002A12E5"/>
    <w:rsid w:val="002A1C3C"/>
    <w:rsid w:val="002A3DD5"/>
    <w:rsid w:val="002A4881"/>
    <w:rsid w:val="002A4C95"/>
    <w:rsid w:val="002B0825"/>
    <w:rsid w:val="002B1F96"/>
    <w:rsid w:val="002B27D3"/>
    <w:rsid w:val="002B3CC6"/>
    <w:rsid w:val="002B5005"/>
    <w:rsid w:val="002B6100"/>
    <w:rsid w:val="002B7002"/>
    <w:rsid w:val="002B7387"/>
    <w:rsid w:val="002C3890"/>
    <w:rsid w:val="002C48F9"/>
    <w:rsid w:val="002C49A6"/>
    <w:rsid w:val="002C5B0C"/>
    <w:rsid w:val="002C781E"/>
    <w:rsid w:val="002C79E9"/>
    <w:rsid w:val="002C7D77"/>
    <w:rsid w:val="002C7D96"/>
    <w:rsid w:val="002D1F8D"/>
    <w:rsid w:val="002D232C"/>
    <w:rsid w:val="002D2A4F"/>
    <w:rsid w:val="002D2C6A"/>
    <w:rsid w:val="002D401B"/>
    <w:rsid w:val="002D46DC"/>
    <w:rsid w:val="002D4978"/>
    <w:rsid w:val="002D76D8"/>
    <w:rsid w:val="002E0182"/>
    <w:rsid w:val="002E06D9"/>
    <w:rsid w:val="002E1820"/>
    <w:rsid w:val="002E2151"/>
    <w:rsid w:val="002E29DD"/>
    <w:rsid w:val="002E5107"/>
    <w:rsid w:val="002E67E3"/>
    <w:rsid w:val="002F189C"/>
    <w:rsid w:val="002F1997"/>
    <w:rsid w:val="002F5254"/>
    <w:rsid w:val="002F6DFB"/>
    <w:rsid w:val="002F78A3"/>
    <w:rsid w:val="002F7A37"/>
    <w:rsid w:val="00300E1D"/>
    <w:rsid w:val="00301B54"/>
    <w:rsid w:val="00302539"/>
    <w:rsid w:val="003038EA"/>
    <w:rsid w:val="003050F9"/>
    <w:rsid w:val="00307464"/>
    <w:rsid w:val="0031102B"/>
    <w:rsid w:val="00311FC7"/>
    <w:rsid w:val="0031766E"/>
    <w:rsid w:val="003201B8"/>
    <w:rsid w:val="00324B4F"/>
    <w:rsid w:val="00332472"/>
    <w:rsid w:val="003352BA"/>
    <w:rsid w:val="00335A14"/>
    <w:rsid w:val="00336226"/>
    <w:rsid w:val="00336477"/>
    <w:rsid w:val="00337257"/>
    <w:rsid w:val="003373ED"/>
    <w:rsid w:val="00337926"/>
    <w:rsid w:val="003402EC"/>
    <w:rsid w:val="003403B1"/>
    <w:rsid w:val="00342633"/>
    <w:rsid w:val="00345259"/>
    <w:rsid w:val="003453FF"/>
    <w:rsid w:val="003455F8"/>
    <w:rsid w:val="00347669"/>
    <w:rsid w:val="00347FE0"/>
    <w:rsid w:val="00351E19"/>
    <w:rsid w:val="00353CAA"/>
    <w:rsid w:val="00356601"/>
    <w:rsid w:val="003576E4"/>
    <w:rsid w:val="00361AF8"/>
    <w:rsid w:val="00363D05"/>
    <w:rsid w:val="00364D58"/>
    <w:rsid w:val="00365408"/>
    <w:rsid w:val="00366A48"/>
    <w:rsid w:val="00370E0B"/>
    <w:rsid w:val="00371608"/>
    <w:rsid w:val="00372F41"/>
    <w:rsid w:val="00374C7D"/>
    <w:rsid w:val="0037542B"/>
    <w:rsid w:val="00377E9B"/>
    <w:rsid w:val="0038044C"/>
    <w:rsid w:val="00380B57"/>
    <w:rsid w:val="00387A8F"/>
    <w:rsid w:val="00390146"/>
    <w:rsid w:val="00390972"/>
    <w:rsid w:val="00390D9B"/>
    <w:rsid w:val="00391A10"/>
    <w:rsid w:val="00391E71"/>
    <w:rsid w:val="00396D21"/>
    <w:rsid w:val="003A1470"/>
    <w:rsid w:val="003A18B7"/>
    <w:rsid w:val="003A2B3D"/>
    <w:rsid w:val="003A34FF"/>
    <w:rsid w:val="003A5B85"/>
    <w:rsid w:val="003A6AF9"/>
    <w:rsid w:val="003A70C3"/>
    <w:rsid w:val="003A74DF"/>
    <w:rsid w:val="003B0D19"/>
    <w:rsid w:val="003B1CA7"/>
    <w:rsid w:val="003B2A83"/>
    <w:rsid w:val="003B2BB8"/>
    <w:rsid w:val="003B512F"/>
    <w:rsid w:val="003B5BE6"/>
    <w:rsid w:val="003B6ADC"/>
    <w:rsid w:val="003B6CC3"/>
    <w:rsid w:val="003B7424"/>
    <w:rsid w:val="003C1906"/>
    <w:rsid w:val="003C522F"/>
    <w:rsid w:val="003C6258"/>
    <w:rsid w:val="003D0DA0"/>
    <w:rsid w:val="003D34FF"/>
    <w:rsid w:val="003D393E"/>
    <w:rsid w:val="003E0A57"/>
    <w:rsid w:val="003E1686"/>
    <w:rsid w:val="003E2973"/>
    <w:rsid w:val="003E2B62"/>
    <w:rsid w:val="003E2CD7"/>
    <w:rsid w:val="003E38CD"/>
    <w:rsid w:val="003E4240"/>
    <w:rsid w:val="003E5CFF"/>
    <w:rsid w:val="003E6474"/>
    <w:rsid w:val="003E6F11"/>
    <w:rsid w:val="003E7D91"/>
    <w:rsid w:val="003F1305"/>
    <w:rsid w:val="003F30BF"/>
    <w:rsid w:val="003F5EDA"/>
    <w:rsid w:val="003F7B6A"/>
    <w:rsid w:val="003F7DD7"/>
    <w:rsid w:val="003F7FB5"/>
    <w:rsid w:val="003F7FE1"/>
    <w:rsid w:val="00400C59"/>
    <w:rsid w:val="00401B78"/>
    <w:rsid w:val="00401D00"/>
    <w:rsid w:val="00403055"/>
    <w:rsid w:val="0040659F"/>
    <w:rsid w:val="004067F2"/>
    <w:rsid w:val="0041057F"/>
    <w:rsid w:val="00412CBC"/>
    <w:rsid w:val="00415B6C"/>
    <w:rsid w:val="004162E4"/>
    <w:rsid w:val="004169EC"/>
    <w:rsid w:val="00416BD6"/>
    <w:rsid w:val="004217DC"/>
    <w:rsid w:val="004243F2"/>
    <w:rsid w:val="0042561E"/>
    <w:rsid w:val="00430CB4"/>
    <w:rsid w:val="00433DFA"/>
    <w:rsid w:val="0043416B"/>
    <w:rsid w:val="004354E6"/>
    <w:rsid w:val="00436705"/>
    <w:rsid w:val="00436CD9"/>
    <w:rsid w:val="00437DEF"/>
    <w:rsid w:val="00440CB8"/>
    <w:rsid w:val="00441CFE"/>
    <w:rsid w:val="00442D6B"/>
    <w:rsid w:val="00443315"/>
    <w:rsid w:val="00450131"/>
    <w:rsid w:val="0045531D"/>
    <w:rsid w:val="00455CE9"/>
    <w:rsid w:val="004561E1"/>
    <w:rsid w:val="004566F2"/>
    <w:rsid w:val="00456B79"/>
    <w:rsid w:val="0046088E"/>
    <w:rsid w:val="0046242B"/>
    <w:rsid w:val="00464182"/>
    <w:rsid w:val="00467A93"/>
    <w:rsid w:val="00470BDB"/>
    <w:rsid w:val="00471456"/>
    <w:rsid w:val="0047261D"/>
    <w:rsid w:val="00473ACB"/>
    <w:rsid w:val="00474020"/>
    <w:rsid w:val="00474BB8"/>
    <w:rsid w:val="00477453"/>
    <w:rsid w:val="00481D17"/>
    <w:rsid w:val="004826CA"/>
    <w:rsid w:val="00483B6A"/>
    <w:rsid w:val="00484F46"/>
    <w:rsid w:val="004869DC"/>
    <w:rsid w:val="00490F3B"/>
    <w:rsid w:val="00491EF8"/>
    <w:rsid w:val="00493BB3"/>
    <w:rsid w:val="004948A4"/>
    <w:rsid w:val="004A2151"/>
    <w:rsid w:val="004A2957"/>
    <w:rsid w:val="004A3652"/>
    <w:rsid w:val="004A440D"/>
    <w:rsid w:val="004A70A0"/>
    <w:rsid w:val="004B105C"/>
    <w:rsid w:val="004B2271"/>
    <w:rsid w:val="004B3B7A"/>
    <w:rsid w:val="004B49B3"/>
    <w:rsid w:val="004B54CA"/>
    <w:rsid w:val="004B653B"/>
    <w:rsid w:val="004B76CD"/>
    <w:rsid w:val="004C468D"/>
    <w:rsid w:val="004C500F"/>
    <w:rsid w:val="004C53F5"/>
    <w:rsid w:val="004D5ABB"/>
    <w:rsid w:val="004D5B1E"/>
    <w:rsid w:val="004D750C"/>
    <w:rsid w:val="004E079D"/>
    <w:rsid w:val="004E0B2B"/>
    <w:rsid w:val="004E2BC6"/>
    <w:rsid w:val="004E3834"/>
    <w:rsid w:val="004E4223"/>
    <w:rsid w:val="004E5BD7"/>
    <w:rsid w:val="004E5CBF"/>
    <w:rsid w:val="004E715C"/>
    <w:rsid w:val="004F0C1B"/>
    <w:rsid w:val="004F1263"/>
    <w:rsid w:val="004F2BEF"/>
    <w:rsid w:val="004F77F4"/>
    <w:rsid w:val="0050250E"/>
    <w:rsid w:val="005072B0"/>
    <w:rsid w:val="00510478"/>
    <w:rsid w:val="005115B9"/>
    <w:rsid w:val="00512462"/>
    <w:rsid w:val="00513277"/>
    <w:rsid w:val="00515ED5"/>
    <w:rsid w:val="00517AE4"/>
    <w:rsid w:val="005226D2"/>
    <w:rsid w:val="00524EAA"/>
    <w:rsid w:val="005265DA"/>
    <w:rsid w:val="005268E7"/>
    <w:rsid w:val="00526E05"/>
    <w:rsid w:val="005277EA"/>
    <w:rsid w:val="00530880"/>
    <w:rsid w:val="005312DA"/>
    <w:rsid w:val="00532308"/>
    <w:rsid w:val="00532CB1"/>
    <w:rsid w:val="00537426"/>
    <w:rsid w:val="00541ED9"/>
    <w:rsid w:val="0054713E"/>
    <w:rsid w:val="00552E99"/>
    <w:rsid w:val="005543A8"/>
    <w:rsid w:val="0055547D"/>
    <w:rsid w:val="00555D76"/>
    <w:rsid w:val="0055710A"/>
    <w:rsid w:val="00560277"/>
    <w:rsid w:val="005611CF"/>
    <w:rsid w:val="00561661"/>
    <w:rsid w:val="005632C7"/>
    <w:rsid w:val="00565DF0"/>
    <w:rsid w:val="00566652"/>
    <w:rsid w:val="00566B58"/>
    <w:rsid w:val="00567053"/>
    <w:rsid w:val="00574BCD"/>
    <w:rsid w:val="00574D00"/>
    <w:rsid w:val="00575C83"/>
    <w:rsid w:val="00576797"/>
    <w:rsid w:val="00580136"/>
    <w:rsid w:val="005819CA"/>
    <w:rsid w:val="00582ACA"/>
    <w:rsid w:val="00582C05"/>
    <w:rsid w:val="00582EF1"/>
    <w:rsid w:val="00584210"/>
    <w:rsid w:val="00584FC1"/>
    <w:rsid w:val="00586246"/>
    <w:rsid w:val="005877DC"/>
    <w:rsid w:val="00587D9E"/>
    <w:rsid w:val="0059023E"/>
    <w:rsid w:val="00592568"/>
    <w:rsid w:val="005931BD"/>
    <w:rsid w:val="00596BC6"/>
    <w:rsid w:val="00596C9E"/>
    <w:rsid w:val="00597852"/>
    <w:rsid w:val="005A11FE"/>
    <w:rsid w:val="005A315E"/>
    <w:rsid w:val="005A4946"/>
    <w:rsid w:val="005A661C"/>
    <w:rsid w:val="005A6C36"/>
    <w:rsid w:val="005B06DE"/>
    <w:rsid w:val="005B08A7"/>
    <w:rsid w:val="005B0E7B"/>
    <w:rsid w:val="005B17EF"/>
    <w:rsid w:val="005B24E9"/>
    <w:rsid w:val="005B2901"/>
    <w:rsid w:val="005B529C"/>
    <w:rsid w:val="005B5E60"/>
    <w:rsid w:val="005B631E"/>
    <w:rsid w:val="005C0084"/>
    <w:rsid w:val="005C259E"/>
    <w:rsid w:val="005C27E4"/>
    <w:rsid w:val="005C3AA9"/>
    <w:rsid w:val="005C4AA9"/>
    <w:rsid w:val="005C5B4A"/>
    <w:rsid w:val="005C76E2"/>
    <w:rsid w:val="005D17C7"/>
    <w:rsid w:val="005D4A22"/>
    <w:rsid w:val="005D6069"/>
    <w:rsid w:val="005E1B68"/>
    <w:rsid w:val="005E2021"/>
    <w:rsid w:val="005E490C"/>
    <w:rsid w:val="005E5567"/>
    <w:rsid w:val="005E6C13"/>
    <w:rsid w:val="005F14C5"/>
    <w:rsid w:val="005F2041"/>
    <w:rsid w:val="005F4FFC"/>
    <w:rsid w:val="005F6A11"/>
    <w:rsid w:val="005F6E28"/>
    <w:rsid w:val="005F7B7B"/>
    <w:rsid w:val="006032B9"/>
    <w:rsid w:val="006034A3"/>
    <w:rsid w:val="00604061"/>
    <w:rsid w:val="006043FA"/>
    <w:rsid w:val="00607DF7"/>
    <w:rsid w:val="00610D7A"/>
    <w:rsid w:val="0061132C"/>
    <w:rsid w:val="00612AC8"/>
    <w:rsid w:val="00621041"/>
    <w:rsid w:val="00622D25"/>
    <w:rsid w:val="00623128"/>
    <w:rsid w:val="006232B9"/>
    <w:rsid w:val="0062416D"/>
    <w:rsid w:val="0062605A"/>
    <w:rsid w:val="00631A2C"/>
    <w:rsid w:val="006330D3"/>
    <w:rsid w:val="00636E7B"/>
    <w:rsid w:val="00640D14"/>
    <w:rsid w:val="0064273F"/>
    <w:rsid w:val="00643B20"/>
    <w:rsid w:val="00645718"/>
    <w:rsid w:val="006474CC"/>
    <w:rsid w:val="006509F2"/>
    <w:rsid w:val="00651A02"/>
    <w:rsid w:val="006524C5"/>
    <w:rsid w:val="006538B1"/>
    <w:rsid w:val="00653C3B"/>
    <w:rsid w:val="0065410A"/>
    <w:rsid w:val="00661C57"/>
    <w:rsid w:val="00663F5B"/>
    <w:rsid w:val="006647F2"/>
    <w:rsid w:val="006671CC"/>
    <w:rsid w:val="0067129B"/>
    <w:rsid w:val="006737D1"/>
    <w:rsid w:val="00674CEA"/>
    <w:rsid w:val="00674E2E"/>
    <w:rsid w:val="00675ED0"/>
    <w:rsid w:val="00681977"/>
    <w:rsid w:val="00683FDE"/>
    <w:rsid w:val="006853CC"/>
    <w:rsid w:val="00686716"/>
    <w:rsid w:val="00690D82"/>
    <w:rsid w:val="00692EFC"/>
    <w:rsid w:val="006936F3"/>
    <w:rsid w:val="00693C26"/>
    <w:rsid w:val="00694D93"/>
    <w:rsid w:val="00696132"/>
    <w:rsid w:val="006A1DDF"/>
    <w:rsid w:val="006A2EAF"/>
    <w:rsid w:val="006A4CE7"/>
    <w:rsid w:val="006A596B"/>
    <w:rsid w:val="006A651C"/>
    <w:rsid w:val="006A70AA"/>
    <w:rsid w:val="006A7734"/>
    <w:rsid w:val="006A7883"/>
    <w:rsid w:val="006A7DD3"/>
    <w:rsid w:val="006B0A3B"/>
    <w:rsid w:val="006B0F29"/>
    <w:rsid w:val="006B2D84"/>
    <w:rsid w:val="006B31A1"/>
    <w:rsid w:val="006B3490"/>
    <w:rsid w:val="006B360D"/>
    <w:rsid w:val="006B606A"/>
    <w:rsid w:val="006B638A"/>
    <w:rsid w:val="006B6F57"/>
    <w:rsid w:val="006C1297"/>
    <w:rsid w:val="006C36E0"/>
    <w:rsid w:val="006C47B4"/>
    <w:rsid w:val="006D0096"/>
    <w:rsid w:val="006D0B5B"/>
    <w:rsid w:val="006D0EF4"/>
    <w:rsid w:val="006D209C"/>
    <w:rsid w:val="006D26F4"/>
    <w:rsid w:val="006D2894"/>
    <w:rsid w:val="006D2DA3"/>
    <w:rsid w:val="006D429B"/>
    <w:rsid w:val="006D622A"/>
    <w:rsid w:val="006E2160"/>
    <w:rsid w:val="006E3BD9"/>
    <w:rsid w:val="006E46C3"/>
    <w:rsid w:val="006E4A8C"/>
    <w:rsid w:val="006E5F83"/>
    <w:rsid w:val="006E718B"/>
    <w:rsid w:val="006F25A1"/>
    <w:rsid w:val="006F2944"/>
    <w:rsid w:val="006F3D9C"/>
    <w:rsid w:val="006F48EA"/>
    <w:rsid w:val="006F4B65"/>
    <w:rsid w:val="006F4DCC"/>
    <w:rsid w:val="006F5FE3"/>
    <w:rsid w:val="006F62B2"/>
    <w:rsid w:val="006F63B5"/>
    <w:rsid w:val="006F66C7"/>
    <w:rsid w:val="006F6AA8"/>
    <w:rsid w:val="006F740F"/>
    <w:rsid w:val="007028DF"/>
    <w:rsid w:val="00703ECD"/>
    <w:rsid w:val="007048FC"/>
    <w:rsid w:val="007065F3"/>
    <w:rsid w:val="00706954"/>
    <w:rsid w:val="0071018D"/>
    <w:rsid w:val="00711716"/>
    <w:rsid w:val="00712E0F"/>
    <w:rsid w:val="00721549"/>
    <w:rsid w:val="007239FB"/>
    <w:rsid w:val="00725806"/>
    <w:rsid w:val="00725AAC"/>
    <w:rsid w:val="00725B40"/>
    <w:rsid w:val="00726A95"/>
    <w:rsid w:val="0073025B"/>
    <w:rsid w:val="00731391"/>
    <w:rsid w:val="00731D59"/>
    <w:rsid w:val="007320F2"/>
    <w:rsid w:val="0073258D"/>
    <w:rsid w:val="0073320E"/>
    <w:rsid w:val="007332A7"/>
    <w:rsid w:val="00733949"/>
    <w:rsid w:val="00735405"/>
    <w:rsid w:val="0074022A"/>
    <w:rsid w:val="0074184D"/>
    <w:rsid w:val="00741F7E"/>
    <w:rsid w:val="00743B46"/>
    <w:rsid w:val="00745708"/>
    <w:rsid w:val="00746341"/>
    <w:rsid w:val="007465F2"/>
    <w:rsid w:val="00746A69"/>
    <w:rsid w:val="00747640"/>
    <w:rsid w:val="007479FC"/>
    <w:rsid w:val="0075114B"/>
    <w:rsid w:val="00754B38"/>
    <w:rsid w:val="00756C59"/>
    <w:rsid w:val="0075735F"/>
    <w:rsid w:val="007600CC"/>
    <w:rsid w:val="00762275"/>
    <w:rsid w:val="00764AB0"/>
    <w:rsid w:val="007653C8"/>
    <w:rsid w:val="00765A7C"/>
    <w:rsid w:val="00765BB4"/>
    <w:rsid w:val="007660F6"/>
    <w:rsid w:val="00767D8A"/>
    <w:rsid w:val="0077158E"/>
    <w:rsid w:val="0077400D"/>
    <w:rsid w:val="00775771"/>
    <w:rsid w:val="00775F71"/>
    <w:rsid w:val="0078178F"/>
    <w:rsid w:val="007828E6"/>
    <w:rsid w:val="00784F2E"/>
    <w:rsid w:val="00785261"/>
    <w:rsid w:val="00792BF4"/>
    <w:rsid w:val="007935AC"/>
    <w:rsid w:val="00795CEA"/>
    <w:rsid w:val="007A134A"/>
    <w:rsid w:val="007A32B8"/>
    <w:rsid w:val="007A6F31"/>
    <w:rsid w:val="007A728F"/>
    <w:rsid w:val="007B0256"/>
    <w:rsid w:val="007B0B3C"/>
    <w:rsid w:val="007B1071"/>
    <w:rsid w:val="007B1795"/>
    <w:rsid w:val="007B4B3D"/>
    <w:rsid w:val="007B4DDA"/>
    <w:rsid w:val="007B647A"/>
    <w:rsid w:val="007C010C"/>
    <w:rsid w:val="007C01BD"/>
    <w:rsid w:val="007C0C5D"/>
    <w:rsid w:val="007C3DC9"/>
    <w:rsid w:val="007C4A9D"/>
    <w:rsid w:val="007D1B6D"/>
    <w:rsid w:val="007D1C2F"/>
    <w:rsid w:val="007D1F4D"/>
    <w:rsid w:val="007D2990"/>
    <w:rsid w:val="007D30A2"/>
    <w:rsid w:val="007D4DF7"/>
    <w:rsid w:val="007D4F4A"/>
    <w:rsid w:val="007E1246"/>
    <w:rsid w:val="007E26F5"/>
    <w:rsid w:val="007E2D77"/>
    <w:rsid w:val="007E3959"/>
    <w:rsid w:val="007E39E5"/>
    <w:rsid w:val="007E3B8B"/>
    <w:rsid w:val="007E50BA"/>
    <w:rsid w:val="007E5DE6"/>
    <w:rsid w:val="007E6719"/>
    <w:rsid w:val="007E6AA3"/>
    <w:rsid w:val="007F22AD"/>
    <w:rsid w:val="007F4F19"/>
    <w:rsid w:val="007F7354"/>
    <w:rsid w:val="007F7A3D"/>
    <w:rsid w:val="007F7EC2"/>
    <w:rsid w:val="008028CC"/>
    <w:rsid w:val="0080363D"/>
    <w:rsid w:val="00805832"/>
    <w:rsid w:val="00805985"/>
    <w:rsid w:val="008079AE"/>
    <w:rsid w:val="0081564E"/>
    <w:rsid w:val="00815A31"/>
    <w:rsid w:val="00816F44"/>
    <w:rsid w:val="00817BF8"/>
    <w:rsid w:val="008206F1"/>
    <w:rsid w:val="008211D1"/>
    <w:rsid w:val="00825A93"/>
    <w:rsid w:val="00830DD9"/>
    <w:rsid w:val="00830FBB"/>
    <w:rsid w:val="00831DC8"/>
    <w:rsid w:val="00832431"/>
    <w:rsid w:val="0083367B"/>
    <w:rsid w:val="008336CE"/>
    <w:rsid w:val="00834D12"/>
    <w:rsid w:val="008358AF"/>
    <w:rsid w:val="00837250"/>
    <w:rsid w:val="00837AD5"/>
    <w:rsid w:val="00837F4E"/>
    <w:rsid w:val="00841ABF"/>
    <w:rsid w:val="0084227C"/>
    <w:rsid w:val="00842361"/>
    <w:rsid w:val="00843CA4"/>
    <w:rsid w:val="00846588"/>
    <w:rsid w:val="008468C3"/>
    <w:rsid w:val="00846E9A"/>
    <w:rsid w:val="008474AE"/>
    <w:rsid w:val="0085180B"/>
    <w:rsid w:val="008527E9"/>
    <w:rsid w:val="0085454A"/>
    <w:rsid w:val="008546FF"/>
    <w:rsid w:val="008558E3"/>
    <w:rsid w:val="00855CC1"/>
    <w:rsid w:val="008565DF"/>
    <w:rsid w:val="0085710F"/>
    <w:rsid w:val="0086264E"/>
    <w:rsid w:val="00864202"/>
    <w:rsid w:val="0086420E"/>
    <w:rsid w:val="008658BB"/>
    <w:rsid w:val="00871E57"/>
    <w:rsid w:val="008730E4"/>
    <w:rsid w:val="00874643"/>
    <w:rsid w:val="0087576B"/>
    <w:rsid w:val="00875F74"/>
    <w:rsid w:val="00876CA6"/>
    <w:rsid w:val="00877018"/>
    <w:rsid w:val="00881C73"/>
    <w:rsid w:val="00881F1A"/>
    <w:rsid w:val="00884888"/>
    <w:rsid w:val="00886EDD"/>
    <w:rsid w:val="008875EF"/>
    <w:rsid w:val="00887E4B"/>
    <w:rsid w:val="008916D6"/>
    <w:rsid w:val="0089438B"/>
    <w:rsid w:val="008A0705"/>
    <w:rsid w:val="008A3011"/>
    <w:rsid w:val="008A3C17"/>
    <w:rsid w:val="008A4C91"/>
    <w:rsid w:val="008A6CBC"/>
    <w:rsid w:val="008B2408"/>
    <w:rsid w:val="008B3381"/>
    <w:rsid w:val="008B3DBE"/>
    <w:rsid w:val="008B51ED"/>
    <w:rsid w:val="008B5B9E"/>
    <w:rsid w:val="008B65BC"/>
    <w:rsid w:val="008C17F3"/>
    <w:rsid w:val="008C3726"/>
    <w:rsid w:val="008C3846"/>
    <w:rsid w:val="008C401D"/>
    <w:rsid w:val="008D1462"/>
    <w:rsid w:val="008D499A"/>
    <w:rsid w:val="008D6845"/>
    <w:rsid w:val="008D7184"/>
    <w:rsid w:val="008D7228"/>
    <w:rsid w:val="008D76D4"/>
    <w:rsid w:val="008D793F"/>
    <w:rsid w:val="008D7E58"/>
    <w:rsid w:val="008E01C3"/>
    <w:rsid w:val="008E0C72"/>
    <w:rsid w:val="008E24ED"/>
    <w:rsid w:val="008E4544"/>
    <w:rsid w:val="008F0C93"/>
    <w:rsid w:val="008F0DBC"/>
    <w:rsid w:val="008F3023"/>
    <w:rsid w:val="008F4E95"/>
    <w:rsid w:val="008F5049"/>
    <w:rsid w:val="008F5101"/>
    <w:rsid w:val="00900D57"/>
    <w:rsid w:val="009015EB"/>
    <w:rsid w:val="00901A14"/>
    <w:rsid w:val="00904A3F"/>
    <w:rsid w:val="009058EE"/>
    <w:rsid w:val="00906C10"/>
    <w:rsid w:val="00910E30"/>
    <w:rsid w:val="0091209A"/>
    <w:rsid w:val="00912C82"/>
    <w:rsid w:val="00913614"/>
    <w:rsid w:val="009225F0"/>
    <w:rsid w:val="00923416"/>
    <w:rsid w:val="00925BAE"/>
    <w:rsid w:val="00925D95"/>
    <w:rsid w:val="0092737B"/>
    <w:rsid w:val="0092746F"/>
    <w:rsid w:val="00927D95"/>
    <w:rsid w:val="0093139B"/>
    <w:rsid w:val="0093227F"/>
    <w:rsid w:val="00933E23"/>
    <w:rsid w:val="0093506E"/>
    <w:rsid w:val="00940C99"/>
    <w:rsid w:val="00945019"/>
    <w:rsid w:val="0094563F"/>
    <w:rsid w:val="0094665B"/>
    <w:rsid w:val="00946843"/>
    <w:rsid w:val="009470F4"/>
    <w:rsid w:val="009504E6"/>
    <w:rsid w:val="009539F8"/>
    <w:rsid w:val="00954C8B"/>
    <w:rsid w:val="009556F0"/>
    <w:rsid w:val="00962441"/>
    <w:rsid w:val="0096250F"/>
    <w:rsid w:val="00964419"/>
    <w:rsid w:val="009656A4"/>
    <w:rsid w:val="00967941"/>
    <w:rsid w:val="0096797E"/>
    <w:rsid w:val="00971396"/>
    <w:rsid w:val="00974019"/>
    <w:rsid w:val="00976141"/>
    <w:rsid w:val="00976DE4"/>
    <w:rsid w:val="0097719F"/>
    <w:rsid w:val="009803D8"/>
    <w:rsid w:val="0098104D"/>
    <w:rsid w:val="00981846"/>
    <w:rsid w:val="009821B5"/>
    <w:rsid w:val="0098238D"/>
    <w:rsid w:val="00985811"/>
    <w:rsid w:val="00987714"/>
    <w:rsid w:val="009879BB"/>
    <w:rsid w:val="00987A44"/>
    <w:rsid w:val="009924FE"/>
    <w:rsid w:val="00996BCF"/>
    <w:rsid w:val="00996D17"/>
    <w:rsid w:val="00997AC1"/>
    <w:rsid w:val="00997CC7"/>
    <w:rsid w:val="009A00F2"/>
    <w:rsid w:val="009A37D4"/>
    <w:rsid w:val="009B0474"/>
    <w:rsid w:val="009B048C"/>
    <w:rsid w:val="009B0783"/>
    <w:rsid w:val="009B2985"/>
    <w:rsid w:val="009B5AB3"/>
    <w:rsid w:val="009C1EE9"/>
    <w:rsid w:val="009C301B"/>
    <w:rsid w:val="009C3BF4"/>
    <w:rsid w:val="009C41D8"/>
    <w:rsid w:val="009C7483"/>
    <w:rsid w:val="009D2328"/>
    <w:rsid w:val="009D2DF8"/>
    <w:rsid w:val="009D33AF"/>
    <w:rsid w:val="009D3CCB"/>
    <w:rsid w:val="009D555E"/>
    <w:rsid w:val="009D6FE4"/>
    <w:rsid w:val="009E0146"/>
    <w:rsid w:val="009E0E62"/>
    <w:rsid w:val="009E4A73"/>
    <w:rsid w:val="009E4E22"/>
    <w:rsid w:val="009E4F3C"/>
    <w:rsid w:val="009F0E3B"/>
    <w:rsid w:val="009F1AC1"/>
    <w:rsid w:val="009F3614"/>
    <w:rsid w:val="009F5D82"/>
    <w:rsid w:val="009F7585"/>
    <w:rsid w:val="00A01787"/>
    <w:rsid w:val="00A01B33"/>
    <w:rsid w:val="00A02D28"/>
    <w:rsid w:val="00A031B5"/>
    <w:rsid w:val="00A040E5"/>
    <w:rsid w:val="00A05F0B"/>
    <w:rsid w:val="00A063E4"/>
    <w:rsid w:val="00A11CEB"/>
    <w:rsid w:val="00A13549"/>
    <w:rsid w:val="00A13A6F"/>
    <w:rsid w:val="00A13D46"/>
    <w:rsid w:val="00A1572F"/>
    <w:rsid w:val="00A20436"/>
    <w:rsid w:val="00A228A9"/>
    <w:rsid w:val="00A22F0E"/>
    <w:rsid w:val="00A23FC7"/>
    <w:rsid w:val="00A246D7"/>
    <w:rsid w:val="00A2632D"/>
    <w:rsid w:val="00A27406"/>
    <w:rsid w:val="00A31195"/>
    <w:rsid w:val="00A317DA"/>
    <w:rsid w:val="00A33F21"/>
    <w:rsid w:val="00A35081"/>
    <w:rsid w:val="00A35F2E"/>
    <w:rsid w:val="00A3646B"/>
    <w:rsid w:val="00A36B39"/>
    <w:rsid w:val="00A36B3D"/>
    <w:rsid w:val="00A36C51"/>
    <w:rsid w:val="00A3703F"/>
    <w:rsid w:val="00A43E66"/>
    <w:rsid w:val="00A4442C"/>
    <w:rsid w:val="00A4462B"/>
    <w:rsid w:val="00A457AB"/>
    <w:rsid w:val="00A457B2"/>
    <w:rsid w:val="00A47124"/>
    <w:rsid w:val="00A51AD1"/>
    <w:rsid w:val="00A51E47"/>
    <w:rsid w:val="00A52726"/>
    <w:rsid w:val="00A549C8"/>
    <w:rsid w:val="00A55850"/>
    <w:rsid w:val="00A5636B"/>
    <w:rsid w:val="00A62745"/>
    <w:rsid w:val="00A6536C"/>
    <w:rsid w:val="00A67A7D"/>
    <w:rsid w:val="00A70F00"/>
    <w:rsid w:val="00A71395"/>
    <w:rsid w:val="00A71B4C"/>
    <w:rsid w:val="00A72196"/>
    <w:rsid w:val="00A74769"/>
    <w:rsid w:val="00A75F60"/>
    <w:rsid w:val="00A761EA"/>
    <w:rsid w:val="00A7666C"/>
    <w:rsid w:val="00A76868"/>
    <w:rsid w:val="00A76BC2"/>
    <w:rsid w:val="00A80D92"/>
    <w:rsid w:val="00A80DE0"/>
    <w:rsid w:val="00A818FC"/>
    <w:rsid w:val="00A82CFD"/>
    <w:rsid w:val="00A8320D"/>
    <w:rsid w:val="00A85365"/>
    <w:rsid w:val="00A910A2"/>
    <w:rsid w:val="00A925E9"/>
    <w:rsid w:val="00A9527B"/>
    <w:rsid w:val="00A96C68"/>
    <w:rsid w:val="00AA2A3C"/>
    <w:rsid w:val="00AA33A6"/>
    <w:rsid w:val="00AA4194"/>
    <w:rsid w:val="00AA4C65"/>
    <w:rsid w:val="00AA549A"/>
    <w:rsid w:val="00AA7226"/>
    <w:rsid w:val="00AA7CD2"/>
    <w:rsid w:val="00AB06A5"/>
    <w:rsid w:val="00AB1B09"/>
    <w:rsid w:val="00AB1FA2"/>
    <w:rsid w:val="00AB4124"/>
    <w:rsid w:val="00AB5190"/>
    <w:rsid w:val="00AB6563"/>
    <w:rsid w:val="00AB702C"/>
    <w:rsid w:val="00AB7825"/>
    <w:rsid w:val="00AC23EE"/>
    <w:rsid w:val="00AC343E"/>
    <w:rsid w:val="00AC470B"/>
    <w:rsid w:val="00AC698A"/>
    <w:rsid w:val="00AD0114"/>
    <w:rsid w:val="00AD1D0E"/>
    <w:rsid w:val="00AD21DD"/>
    <w:rsid w:val="00AD4969"/>
    <w:rsid w:val="00AD627F"/>
    <w:rsid w:val="00AD75A9"/>
    <w:rsid w:val="00AE2D83"/>
    <w:rsid w:val="00AE51ED"/>
    <w:rsid w:val="00AE6E35"/>
    <w:rsid w:val="00AF71A6"/>
    <w:rsid w:val="00AF7C78"/>
    <w:rsid w:val="00B00572"/>
    <w:rsid w:val="00B02CD8"/>
    <w:rsid w:val="00B06445"/>
    <w:rsid w:val="00B06816"/>
    <w:rsid w:val="00B10EB1"/>
    <w:rsid w:val="00B112FA"/>
    <w:rsid w:val="00B12874"/>
    <w:rsid w:val="00B14069"/>
    <w:rsid w:val="00B142E3"/>
    <w:rsid w:val="00B16043"/>
    <w:rsid w:val="00B16FB6"/>
    <w:rsid w:val="00B22B9E"/>
    <w:rsid w:val="00B246E8"/>
    <w:rsid w:val="00B25125"/>
    <w:rsid w:val="00B26869"/>
    <w:rsid w:val="00B311A1"/>
    <w:rsid w:val="00B31D33"/>
    <w:rsid w:val="00B32DC3"/>
    <w:rsid w:val="00B36FD4"/>
    <w:rsid w:val="00B37603"/>
    <w:rsid w:val="00B378F7"/>
    <w:rsid w:val="00B413E1"/>
    <w:rsid w:val="00B44F9B"/>
    <w:rsid w:val="00B45DEA"/>
    <w:rsid w:val="00B47DA3"/>
    <w:rsid w:val="00B510E4"/>
    <w:rsid w:val="00B51288"/>
    <w:rsid w:val="00B51563"/>
    <w:rsid w:val="00B53D5D"/>
    <w:rsid w:val="00B53FAB"/>
    <w:rsid w:val="00B54586"/>
    <w:rsid w:val="00B56643"/>
    <w:rsid w:val="00B5725E"/>
    <w:rsid w:val="00B61CBE"/>
    <w:rsid w:val="00B63AA2"/>
    <w:rsid w:val="00B65288"/>
    <w:rsid w:val="00B710FB"/>
    <w:rsid w:val="00B71C5A"/>
    <w:rsid w:val="00B71EDF"/>
    <w:rsid w:val="00B737DA"/>
    <w:rsid w:val="00B741F6"/>
    <w:rsid w:val="00B746DD"/>
    <w:rsid w:val="00B75D15"/>
    <w:rsid w:val="00B772ED"/>
    <w:rsid w:val="00B81B58"/>
    <w:rsid w:val="00B820CD"/>
    <w:rsid w:val="00B83025"/>
    <w:rsid w:val="00B83D75"/>
    <w:rsid w:val="00B842B1"/>
    <w:rsid w:val="00B84BFF"/>
    <w:rsid w:val="00B85379"/>
    <w:rsid w:val="00B85FFB"/>
    <w:rsid w:val="00B9096F"/>
    <w:rsid w:val="00B953D9"/>
    <w:rsid w:val="00B97314"/>
    <w:rsid w:val="00B97A34"/>
    <w:rsid w:val="00BA1585"/>
    <w:rsid w:val="00BA1B45"/>
    <w:rsid w:val="00BA23EE"/>
    <w:rsid w:val="00BA2DB9"/>
    <w:rsid w:val="00BA4615"/>
    <w:rsid w:val="00BA55AB"/>
    <w:rsid w:val="00BA5842"/>
    <w:rsid w:val="00BA6A09"/>
    <w:rsid w:val="00BA7C0F"/>
    <w:rsid w:val="00BB03A8"/>
    <w:rsid w:val="00BB202A"/>
    <w:rsid w:val="00BB20BF"/>
    <w:rsid w:val="00BC04D2"/>
    <w:rsid w:val="00BC0787"/>
    <w:rsid w:val="00BC07C8"/>
    <w:rsid w:val="00BC0A30"/>
    <w:rsid w:val="00BC0DC0"/>
    <w:rsid w:val="00BC0DFE"/>
    <w:rsid w:val="00BC153F"/>
    <w:rsid w:val="00BC26F9"/>
    <w:rsid w:val="00BC2A0F"/>
    <w:rsid w:val="00BC79CD"/>
    <w:rsid w:val="00BC7FFE"/>
    <w:rsid w:val="00BD064B"/>
    <w:rsid w:val="00BD18D1"/>
    <w:rsid w:val="00BD27C2"/>
    <w:rsid w:val="00BD282D"/>
    <w:rsid w:val="00BD3462"/>
    <w:rsid w:val="00BD68D9"/>
    <w:rsid w:val="00BD79C5"/>
    <w:rsid w:val="00BE0A9D"/>
    <w:rsid w:val="00BE0CD7"/>
    <w:rsid w:val="00BE40F4"/>
    <w:rsid w:val="00BE460E"/>
    <w:rsid w:val="00BE4ECE"/>
    <w:rsid w:val="00BE5A66"/>
    <w:rsid w:val="00BE7148"/>
    <w:rsid w:val="00BE778D"/>
    <w:rsid w:val="00BF0FD9"/>
    <w:rsid w:val="00BF2989"/>
    <w:rsid w:val="00BF5DF5"/>
    <w:rsid w:val="00C027B8"/>
    <w:rsid w:val="00C03280"/>
    <w:rsid w:val="00C06431"/>
    <w:rsid w:val="00C103D2"/>
    <w:rsid w:val="00C1095E"/>
    <w:rsid w:val="00C121DC"/>
    <w:rsid w:val="00C1456D"/>
    <w:rsid w:val="00C153AE"/>
    <w:rsid w:val="00C15488"/>
    <w:rsid w:val="00C16CDD"/>
    <w:rsid w:val="00C171CD"/>
    <w:rsid w:val="00C175D2"/>
    <w:rsid w:val="00C17F45"/>
    <w:rsid w:val="00C20915"/>
    <w:rsid w:val="00C233BD"/>
    <w:rsid w:val="00C25604"/>
    <w:rsid w:val="00C300AE"/>
    <w:rsid w:val="00C3085F"/>
    <w:rsid w:val="00C32DB9"/>
    <w:rsid w:val="00C331CD"/>
    <w:rsid w:val="00C355E3"/>
    <w:rsid w:val="00C364F4"/>
    <w:rsid w:val="00C36523"/>
    <w:rsid w:val="00C369C7"/>
    <w:rsid w:val="00C3767F"/>
    <w:rsid w:val="00C4058D"/>
    <w:rsid w:val="00C43252"/>
    <w:rsid w:val="00C438A6"/>
    <w:rsid w:val="00C4508A"/>
    <w:rsid w:val="00C46346"/>
    <w:rsid w:val="00C46437"/>
    <w:rsid w:val="00C47557"/>
    <w:rsid w:val="00C50E23"/>
    <w:rsid w:val="00C51E8D"/>
    <w:rsid w:val="00C550AA"/>
    <w:rsid w:val="00C55DE7"/>
    <w:rsid w:val="00C57001"/>
    <w:rsid w:val="00C60159"/>
    <w:rsid w:val="00C647F9"/>
    <w:rsid w:val="00C71702"/>
    <w:rsid w:val="00C73CEC"/>
    <w:rsid w:val="00C7566F"/>
    <w:rsid w:val="00C76B3D"/>
    <w:rsid w:val="00C868AA"/>
    <w:rsid w:val="00C90A50"/>
    <w:rsid w:val="00C911AF"/>
    <w:rsid w:val="00C95D0A"/>
    <w:rsid w:val="00C96767"/>
    <w:rsid w:val="00CA172A"/>
    <w:rsid w:val="00CA1D4B"/>
    <w:rsid w:val="00CA4345"/>
    <w:rsid w:val="00CA4622"/>
    <w:rsid w:val="00CA5D88"/>
    <w:rsid w:val="00CA7F91"/>
    <w:rsid w:val="00CB09DA"/>
    <w:rsid w:val="00CB2039"/>
    <w:rsid w:val="00CB6036"/>
    <w:rsid w:val="00CB718C"/>
    <w:rsid w:val="00CB74B3"/>
    <w:rsid w:val="00CC4792"/>
    <w:rsid w:val="00CC5457"/>
    <w:rsid w:val="00CC5E45"/>
    <w:rsid w:val="00CC6AD8"/>
    <w:rsid w:val="00CD0E3B"/>
    <w:rsid w:val="00CD13A3"/>
    <w:rsid w:val="00CD16BE"/>
    <w:rsid w:val="00CD30AC"/>
    <w:rsid w:val="00CD3EE2"/>
    <w:rsid w:val="00CE0575"/>
    <w:rsid w:val="00CE154C"/>
    <w:rsid w:val="00CE1CB4"/>
    <w:rsid w:val="00CE29E9"/>
    <w:rsid w:val="00CE2E65"/>
    <w:rsid w:val="00CE3A37"/>
    <w:rsid w:val="00CE4F6D"/>
    <w:rsid w:val="00CE513F"/>
    <w:rsid w:val="00CE5310"/>
    <w:rsid w:val="00CE7037"/>
    <w:rsid w:val="00CE7BE2"/>
    <w:rsid w:val="00CE7C39"/>
    <w:rsid w:val="00CF0523"/>
    <w:rsid w:val="00CF0B69"/>
    <w:rsid w:val="00CF0F58"/>
    <w:rsid w:val="00CF20AA"/>
    <w:rsid w:val="00CF44E8"/>
    <w:rsid w:val="00CF4533"/>
    <w:rsid w:val="00CF484F"/>
    <w:rsid w:val="00CF49A3"/>
    <w:rsid w:val="00D01500"/>
    <w:rsid w:val="00D01B14"/>
    <w:rsid w:val="00D02579"/>
    <w:rsid w:val="00D11FF3"/>
    <w:rsid w:val="00D12278"/>
    <w:rsid w:val="00D125BC"/>
    <w:rsid w:val="00D1270F"/>
    <w:rsid w:val="00D15000"/>
    <w:rsid w:val="00D173F6"/>
    <w:rsid w:val="00D200F0"/>
    <w:rsid w:val="00D22A8A"/>
    <w:rsid w:val="00D32053"/>
    <w:rsid w:val="00D33596"/>
    <w:rsid w:val="00D35D97"/>
    <w:rsid w:val="00D403FF"/>
    <w:rsid w:val="00D40593"/>
    <w:rsid w:val="00D40888"/>
    <w:rsid w:val="00D42D1B"/>
    <w:rsid w:val="00D43CBC"/>
    <w:rsid w:val="00D43D95"/>
    <w:rsid w:val="00D44A89"/>
    <w:rsid w:val="00D47FF0"/>
    <w:rsid w:val="00D5056D"/>
    <w:rsid w:val="00D50CE7"/>
    <w:rsid w:val="00D51601"/>
    <w:rsid w:val="00D52EBC"/>
    <w:rsid w:val="00D561D1"/>
    <w:rsid w:val="00D56CDF"/>
    <w:rsid w:val="00D61845"/>
    <w:rsid w:val="00D6196C"/>
    <w:rsid w:val="00D65437"/>
    <w:rsid w:val="00D66173"/>
    <w:rsid w:val="00D6769E"/>
    <w:rsid w:val="00D67D6B"/>
    <w:rsid w:val="00D71C54"/>
    <w:rsid w:val="00D73D4D"/>
    <w:rsid w:val="00D778BC"/>
    <w:rsid w:val="00D8080B"/>
    <w:rsid w:val="00D83A7C"/>
    <w:rsid w:val="00D83F38"/>
    <w:rsid w:val="00D86E50"/>
    <w:rsid w:val="00D87A9F"/>
    <w:rsid w:val="00D87D5A"/>
    <w:rsid w:val="00D90D3C"/>
    <w:rsid w:val="00D90DA6"/>
    <w:rsid w:val="00D935CA"/>
    <w:rsid w:val="00DA0893"/>
    <w:rsid w:val="00DA1910"/>
    <w:rsid w:val="00DA33DB"/>
    <w:rsid w:val="00DA73F3"/>
    <w:rsid w:val="00DA7A33"/>
    <w:rsid w:val="00DA7A92"/>
    <w:rsid w:val="00DA7B4A"/>
    <w:rsid w:val="00DA7D24"/>
    <w:rsid w:val="00DB012A"/>
    <w:rsid w:val="00DB33E4"/>
    <w:rsid w:val="00DB3AC8"/>
    <w:rsid w:val="00DB5286"/>
    <w:rsid w:val="00DB560D"/>
    <w:rsid w:val="00DB570F"/>
    <w:rsid w:val="00DB6579"/>
    <w:rsid w:val="00DB762D"/>
    <w:rsid w:val="00DB7727"/>
    <w:rsid w:val="00DB7F03"/>
    <w:rsid w:val="00DC1ABA"/>
    <w:rsid w:val="00DC2E8F"/>
    <w:rsid w:val="00DC4112"/>
    <w:rsid w:val="00DC61A0"/>
    <w:rsid w:val="00DD01A7"/>
    <w:rsid w:val="00DD0D25"/>
    <w:rsid w:val="00DD2291"/>
    <w:rsid w:val="00DD23AC"/>
    <w:rsid w:val="00DD376C"/>
    <w:rsid w:val="00DD69F2"/>
    <w:rsid w:val="00DE09D2"/>
    <w:rsid w:val="00DE2CD0"/>
    <w:rsid w:val="00DE494D"/>
    <w:rsid w:val="00DE59AF"/>
    <w:rsid w:val="00DE5C01"/>
    <w:rsid w:val="00DF18B6"/>
    <w:rsid w:val="00DF3C6F"/>
    <w:rsid w:val="00E0011B"/>
    <w:rsid w:val="00E03AD0"/>
    <w:rsid w:val="00E041AA"/>
    <w:rsid w:val="00E06871"/>
    <w:rsid w:val="00E0745C"/>
    <w:rsid w:val="00E103F7"/>
    <w:rsid w:val="00E128D0"/>
    <w:rsid w:val="00E1298B"/>
    <w:rsid w:val="00E13F7B"/>
    <w:rsid w:val="00E14228"/>
    <w:rsid w:val="00E14BBB"/>
    <w:rsid w:val="00E14F09"/>
    <w:rsid w:val="00E15BFD"/>
    <w:rsid w:val="00E16BB9"/>
    <w:rsid w:val="00E17271"/>
    <w:rsid w:val="00E1747B"/>
    <w:rsid w:val="00E20B1F"/>
    <w:rsid w:val="00E20F2B"/>
    <w:rsid w:val="00E23483"/>
    <w:rsid w:val="00E23E6E"/>
    <w:rsid w:val="00E2401D"/>
    <w:rsid w:val="00E24B91"/>
    <w:rsid w:val="00E2671F"/>
    <w:rsid w:val="00E26A54"/>
    <w:rsid w:val="00E2716F"/>
    <w:rsid w:val="00E30C3C"/>
    <w:rsid w:val="00E33385"/>
    <w:rsid w:val="00E337A1"/>
    <w:rsid w:val="00E33AC3"/>
    <w:rsid w:val="00E3494A"/>
    <w:rsid w:val="00E37C7C"/>
    <w:rsid w:val="00E43561"/>
    <w:rsid w:val="00E4501C"/>
    <w:rsid w:val="00E505D4"/>
    <w:rsid w:val="00E50780"/>
    <w:rsid w:val="00E51EF1"/>
    <w:rsid w:val="00E526CF"/>
    <w:rsid w:val="00E52D0F"/>
    <w:rsid w:val="00E57A52"/>
    <w:rsid w:val="00E643E0"/>
    <w:rsid w:val="00E64EDB"/>
    <w:rsid w:val="00E65D34"/>
    <w:rsid w:val="00E668B2"/>
    <w:rsid w:val="00E671FF"/>
    <w:rsid w:val="00E708BB"/>
    <w:rsid w:val="00E715E6"/>
    <w:rsid w:val="00E71C82"/>
    <w:rsid w:val="00E73D77"/>
    <w:rsid w:val="00E74A62"/>
    <w:rsid w:val="00E7539B"/>
    <w:rsid w:val="00E761A2"/>
    <w:rsid w:val="00E76307"/>
    <w:rsid w:val="00E8227B"/>
    <w:rsid w:val="00E82487"/>
    <w:rsid w:val="00E8281A"/>
    <w:rsid w:val="00E82B90"/>
    <w:rsid w:val="00E8389A"/>
    <w:rsid w:val="00E83BB4"/>
    <w:rsid w:val="00E858A7"/>
    <w:rsid w:val="00E86CD8"/>
    <w:rsid w:val="00E86DF6"/>
    <w:rsid w:val="00E90EC1"/>
    <w:rsid w:val="00E91298"/>
    <w:rsid w:val="00E9285A"/>
    <w:rsid w:val="00E92A40"/>
    <w:rsid w:val="00E950DB"/>
    <w:rsid w:val="00E956B6"/>
    <w:rsid w:val="00E9762C"/>
    <w:rsid w:val="00EA218D"/>
    <w:rsid w:val="00EA2AF9"/>
    <w:rsid w:val="00EA44A8"/>
    <w:rsid w:val="00EA550A"/>
    <w:rsid w:val="00EA5C0D"/>
    <w:rsid w:val="00EA66F0"/>
    <w:rsid w:val="00EA6AD1"/>
    <w:rsid w:val="00EB1B50"/>
    <w:rsid w:val="00EB2A67"/>
    <w:rsid w:val="00EB2FDF"/>
    <w:rsid w:val="00EB3032"/>
    <w:rsid w:val="00EC1FB2"/>
    <w:rsid w:val="00EC4DA4"/>
    <w:rsid w:val="00EC6EF0"/>
    <w:rsid w:val="00ED13B4"/>
    <w:rsid w:val="00ED1F91"/>
    <w:rsid w:val="00ED2BE6"/>
    <w:rsid w:val="00ED3FE3"/>
    <w:rsid w:val="00ED50D0"/>
    <w:rsid w:val="00ED5C25"/>
    <w:rsid w:val="00ED7673"/>
    <w:rsid w:val="00EE1688"/>
    <w:rsid w:val="00EE2C7D"/>
    <w:rsid w:val="00EE3393"/>
    <w:rsid w:val="00EE3834"/>
    <w:rsid w:val="00EE3C5D"/>
    <w:rsid w:val="00EE4FC3"/>
    <w:rsid w:val="00EE52F1"/>
    <w:rsid w:val="00EE552E"/>
    <w:rsid w:val="00EE55EF"/>
    <w:rsid w:val="00EE5D6C"/>
    <w:rsid w:val="00EE67D9"/>
    <w:rsid w:val="00EF0FA6"/>
    <w:rsid w:val="00EF129E"/>
    <w:rsid w:val="00EF1315"/>
    <w:rsid w:val="00EF2D72"/>
    <w:rsid w:val="00EF2E1D"/>
    <w:rsid w:val="00F00074"/>
    <w:rsid w:val="00F005A9"/>
    <w:rsid w:val="00F00866"/>
    <w:rsid w:val="00F015B3"/>
    <w:rsid w:val="00F02422"/>
    <w:rsid w:val="00F05331"/>
    <w:rsid w:val="00F068BF"/>
    <w:rsid w:val="00F07D2D"/>
    <w:rsid w:val="00F1023E"/>
    <w:rsid w:val="00F106DA"/>
    <w:rsid w:val="00F10B07"/>
    <w:rsid w:val="00F11678"/>
    <w:rsid w:val="00F11B3A"/>
    <w:rsid w:val="00F148C2"/>
    <w:rsid w:val="00F15AA8"/>
    <w:rsid w:val="00F17243"/>
    <w:rsid w:val="00F212CF"/>
    <w:rsid w:val="00F223E9"/>
    <w:rsid w:val="00F2275E"/>
    <w:rsid w:val="00F23768"/>
    <w:rsid w:val="00F23C2A"/>
    <w:rsid w:val="00F25BE1"/>
    <w:rsid w:val="00F265E0"/>
    <w:rsid w:val="00F30908"/>
    <w:rsid w:val="00F3142E"/>
    <w:rsid w:val="00F3287E"/>
    <w:rsid w:val="00F36A5F"/>
    <w:rsid w:val="00F378F3"/>
    <w:rsid w:val="00F443EB"/>
    <w:rsid w:val="00F45260"/>
    <w:rsid w:val="00F52725"/>
    <w:rsid w:val="00F53ABE"/>
    <w:rsid w:val="00F5442A"/>
    <w:rsid w:val="00F54488"/>
    <w:rsid w:val="00F563F5"/>
    <w:rsid w:val="00F6154D"/>
    <w:rsid w:val="00F62DB6"/>
    <w:rsid w:val="00F671D2"/>
    <w:rsid w:val="00F675D3"/>
    <w:rsid w:val="00F709C6"/>
    <w:rsid w:val="00F72A44"/>
    <w:rsid w:val="00F72DDA"/>
    <w:rsid w:val="00F73031"/>
    <w:rsid w:val="00F74709"/>
    <w:rsid w:val="00F761F1"/>
    <w:rsid w:val="00F77BE4"/>
    <w:rsid w:val="00F80F6E"/>
    <w:rsid w:val="00F85669"/>
    <w:rsid w:val="00F85FC1"/>
    <w:rsid w:val="00F94349"/>
    <w:rsid w:val="00F94914"/>
    <w:rsid w:val="00FA1012"/>
    <w:rsid w:val="00FA3C85"/>
    <w:rsid w:val="00FA4282"/>
    <w:rsid w:val="00FA43E8"/>
    <w:rsid w:val="00FA54F5"/>
    <w:rsid w:val="00FA7130"/>
    <w:rsid w:val="00FA74EB"/>
    <w:rsid w:val="00FB2C92"/>
    <w:rsid w:val="00FB3BBC"/>
    <w:rsid w:val="00FB7435"/>
    <w:rsid w:val="00FC143A"/>
    <w:rsid w:val="00FC1612"/>
    <w:rsid w:val="00FC1DF6"/>
    <w:rsid w:val="00FC2371"/>
    <w:rsid w:val="00FC4969"/>
    <w:rsid w:val="00FC61AF"/>
    <w:rsid w:val="00FD2242"/>
    <w:rsid w:val="00FD41D3"/>
    <w:rsid w:val="00FD477E"/>
    <w:rsid w:val="00FD4A61"/>
    <w:rsid w:val="00FD4AA5"/>
    <w:rsid w:val="00FE26F8"/>
    <w:rsid w:val="00FE2E4E"/>
    <w:rsid w:val="00FE41E7"/>
    <w:rsid w:val="00FE729D"/>
    <w:rsid w:val="00FF148B"/>
    <w:rsid w:val="00FF1757"/>
    <w:rsid w:val="00FF53DA"/>
    <w:rsid w:val="00FF6DEA"/>
    <w:rsid w:val="00FF6E7B"/>
    <w:rsid w:val="00FF7A0B"/>
    <w:rsid w:val="2F9E797F"/>
    <w:rsid w:val="595DD2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E3846"/>
  <w15:docId w15:val="{C6AA6D51-802C-4458-AE29-B394A844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FC"/>
    <w:pPr>
      <w:spacing w:after="200"/>
    </w:pPr>
    <w:rPr>
      <w:spacing w:val="3"/>
      <w:sz w:val="22"/>
    </w:rPr>
  </w:style>
  <w:style w:type="paragraph" w:styleId="Heading1">
    <w:name w:val="heading 1"/>
    <w:basedOn w:val="Normal"/>
    <w:next w:val="Normal"/>
    <w:link w:val="Heading1Char"/>
    <w:uiPriority w:val="9"/>
    <w:qFormat/>
    <w:rsid w:val="005A6C36"/>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64182"/>
    <w:pPr>
      <w:numPr>
        <w:numId w:val="2"/>
      </w:num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Heading2"/>
    <w:next w:val="Normal"/>
    <w:link w:val="Heading3Char"/>
    <w:uiPriority w:val="2"/>
    <w:qFormat/>
    <w:rsid w:val="00464182"/>
    <w:pPr>
      <w:numPr>
        <w:ilvl w:val="1"/>
      </w:numPr>
      <w:spacing w:before="200" w:after="0" w:line="271" w:lineRule="auto"/>
      <w:outlineLvl w:val="2"/>
    </w:pPr>
    <w:rPr>
      <w:bCs w:val="0"/>
      <w:sz w:val="32"/>
    </w:rPr>
  </w:style>
  <w:style w:type="paragraph" w:styleId="Heading4">
    <w:name w:val="heading 4"/>
    <w:basedOn w:val="Heading3"/>
    <w:next w:val="Normal"/>
    <w:link w:val="Heading4Char"/>
    <w:uiPriority w:val="2"/>
    <w:qFormat/>
    <w:rsid w:val="00464182"/>
    <w:pPr>
      <w:numPr>
        <w:ilvl w:val="2"/>
      </w:numPr>
      <w:outlineLvl w:val="3"/>
    </w:pPr>
    <w:rPr>
      <w:bCs/>
      <w:iCs/>
      <w:sz w:val="28"/>
    </w:rPr>
  </w:style>
  <w:style w:type="paragraph" w:styleId="Heading5">
    <w:name w:val="heading 5"/>
    <w:basedOn w:val="Heading4"/>
    <w:next w:val="Normal"/>
    <w:link w:val="Heading5Char"/>
    <w:uiPriority w:val="2"/>
    <w:unhideWhenUsed/>
    <w:qFormat/>
    <w:rsid w:val="00467A93"/>
    <w:pPr>
      <w:numPr>
        <w:ilvl w:val="3"/>
      </w:numPr>
      <w:ind w:left="646" w:hanging="646"/>
      <w:outlineLvl w:val="4"/>
    </w:pPr>
    <w:rPr>
      <w:bCs w:val="0"/>
      <w:color w:val="000000" w:themeColor="text1"/>
    </w:rPr>
  </w:style>
  <w:style w:type="paragraph" w:styleId="Heading6">
    <w:name w:val="heading 6"/>
    <w:basedOn w:val="Heading5"/>
    <w:next w:val="Normal"/>
    <w:link w:val="Heading6Char"/>
    <w:uiPriority w:val="2"/>
    <w:unhideWhenUsed/>
    <w:qFormat/>
    <w:rsid w:val="00467A93"/>
    <w:pPr>
      <w:numPr>
        <w:ilvl w:val="4"/>
      </w:numPr>
      <w:ind w:left="794" w:hanging="794"/>
      <w:outlineLvl w:val="5"/>
    </w:pPr>
    <w:rPr>
      <w:b/>
      <w:bCs/>
      <w:iCs w:val="0"/>
      <w:sz w:val="20"/>
    </w:rPr>
  </w:style>
  <w:style w:type="paragraph" w:styleId="Heading7">
    <w:name w:val="heading 7"/>
    <w:basedOn w:val="Normal"/>
    <w:next w:val="Normal"/>
    <w:link w:val="Heading7Char"/>
    <w:uiPriority w:val="10"/>
    <w:unhideWhenUsed/>
    <w:qFormat/>
    <w:rsid w:val="005A6C36"/>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5A6C36"/>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5A6C36"/>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C36"/>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64182"/>
    <w:rPr>
      <w:rFonts w:asciiTheme="majorHAnsi" w:eastAsiaTheme="majorEastAsia" w:hAnsiTheme="majorHAnsi" w:cstheme="majorBidi"/>
      <w:bCs/>
      <w:color w:val="005A70" w:themeColor="accent1"/>
      <w:spacing w:val="3"/>
      <w:sz w:val="40"/>
      <w:szCs w:val="26"/>
    </w:rPr>
  </w:style>
  <w:style w:type="paragraph" w:styleId="NoSpacing">
    <w:name w:val="No Spacing"/>
    <w:basedOn w:val="Normal"/>
    <w:link w:val="NoSpacingChar"/>
    <w:uiPriority w:val="5"/>
    <w:qFormat/>
    <w:rsid w:val="005A6C36"/>
    <w:pPr>
      <w:spacing w:after="0" w:line="240" w:lineRule="auto"/>
    </w:pPr>
  </w:style>
  <w:style w:type="character" w:customStyle="1" w:styleId="Heading3Char">
    <w:name w:val="Heading 3 Char"/>
    <w:basedOn w:val="DefaultParagraphFont"/>
    <w:link w:val="Heading3"/>
    <w:uiPriority w:val="2"/>
    <w:rsid w:val="00464182"/>
    <w:rPr>
      <w:rFonts w:asciiTheme="majorHAnsi" w:eastAsiaTheme="majorEastAsia" w:hAnsiTheme="majorHAnsi" w:cstheme="majorBidi"/>
      <w:color w:val="005A70" w:themeColor="accent1"/>
      <w:spacing w:val="3"/>
      <w:sz w:val="32"/>
      <w:szCs w:val="26"/>
    </w:rPr>
  </w:style>
  <w:style w:type="character" w:customStyle="1" w:styleId="Heading4Char">
    <w:name w:val="Heading 4 Char"/>
    <w:basedOn w:val="DefaultParagraphFont"/>
    <w:link w:val="Heading4"/>
    <w:uiPriority w:val="2"/>
    <w:rsid w:val="00464182"/>
    <w:rPr>
      <w:rFonts w:asciiTheme="majorHAnsi" w:eastAsiaTheme="majorEastAsia" w:hAnsiTheme="majorHAnsi" w:cstheme="majorBidi"/>
      <w:bCs/>
      <w:iCs/>
      <w:color w:val="005A70" w:themeColor="accent1"/>
      <w:spacing w:val="3"/>
      <w:sz w:val="28"/>
      <w:szCs w:val="26"/>
    </w:rPr>
  </w:style>
  <w:style w:type="character" w:customStyle="1" w:styleId="Heading5Char">
    <w:name w:val="Heading 5 Char"/>
    <w:basedOn w:val="DefaultParagraphFont"/>
    <w:link w:val="Heading5"/>
    <w:uiPriority w:val="2"/>
    <w:rsid w:val="00467A93"/>
    <w:rPr>
      <w:rFonts w:asciiTheme="majorHAnsi" w:eastAsiaTheme="majorEastAsia" w:hAnsiTheme="majorHAnsi" w:cstheme="majorBidi"/>
      <w:iCs/>
      <w:color w:val="000000" w:themeColor="text1"/>
      <w:spacing w:val="3"/>
      <w:sz w:val="28"/>
      <w:szCs w:val="26"/>
    </w:rPr>
  </w:style>
  <w:style w:type="character" w:customStyle="1" w:styleId="Heading6Char">
    <w:name w:val="Heading 6 Char"/>
    <w:basedOn w:val="DefaultParagraphFont"/>
    <w:link w:val="Heading6"/>
    <w:uiPriority w:val="2"/>
    <w:rsid w:val="00467A93"/>
    <w:rPr>
      <w:rFonts w:asciiTheme="majorHAnsi" w:eastAsiaTheme="majorEastAsia" w:hAnsiTheme="majorHAnsi" w:cstheme="majorBidi"/>
      <w:b/>
      <w:bCs/>
      <w:color w:val="000000" w:themeColor="text1"/>
      <w:spacing w:val="3"/>
      <w:sz w:val="20"/>
      <w:szCs w:val="26"/>
    </w:rPr>
  </w:style>
  <w:style w:type="character" w:customStyle="1" w:styleId="Heading7Char">
    <w:name w:val="Heading 7 Char"/>
    <w:basedOn w:val="DefaultParagraphFont"/>
    <w:link w:val="Heading7"/>
    <w:uiPriority w:val="10"/>
    <w:rsid w:val="00DB570F"/>
    <w:rPr>
      <w:rFonts w:eastAsiaTheme="majorEastAsia" w:cstheme="majorBidi"/>
      <w:iCs/>
      <w:spacing w:val="3"/>
      <w:sz w:val="22"/>
    </w:rPr>
  </w:style>
  <w:style w:type="character" w:customStyle="1" w:styleId="Heading8Char">
    <w:name w:val="Heading 8 Char"/>
    <w:basedOn w:val="DefaultParagraphFont"/>
    <w:link w:val="Heading8"/>
    <w:uiPriority w:val="10"/>
    <w:rsid w:val="00DB570F"/>
    <w:rPr>
      <w:rFonts w:eastAsiaTheme="majorEastAsia" w:cstheme="majorBidi"/>
      <w:spacing w:val="3"/>
      <w:sz w:val="22"/>
      <w:szCs w:val="20"/>
    </w:rPr>
  </w:style>
  <w:style w:type="character" w:customStyle="1" w:styleId="Heading9Char">
    <w:name w:val="Heading 9 Char"/>
    <w:basedOn w:val="DefaultParagraphFont"/>
    <w:link w:val="Heading9"/>
    <w:uiPriority w:val="10"/>
    <w:rsid w:val="00DB570F"/>
    <w:rPr>
      <w:rFonts w:eastAsiaTheme="majorEastAsia" w:cstheme="majorBidi"/>
      <w:iCs/>
      <w:spacing w:val="5"/>
      <w:sz w:val="22"/>
      <w:szCs w:val="20"/>
    </w:rPr>
  </w:style>
  <w:style w:type="paragraph" w:styleId="Title">
    <w:name w:val="Title"/>
    <w:basedOn w:val="Normal"/>
    <w:next w:val="Normal"/>
    <w:link w:val="TitleChar"/>
    <w:uiPriority w:val="10"/>
    <w:unhideWhenUsed/>
    <w:qFormat/>
    <w:rsid w:val="005A6C36"/>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5A6C36"/>
    <w:rPr>
      <w:rFonts w:asciiTheme="majorHAnsi" w:eastAsiaTheme="majorEastAsia" w:hAnsiTheme="majorHAnsi" w:cstheme="majorBidi"/>
      <w:color w:val="005A70" w:themeColor="accent1"/>
      <w:spacing w:val="3"/>
      <w:sz w:val="66"/>
      <w:szCs w:val="52"/>
    </w:rPr>
  </w:style>
  <w:style w:type="paragraph" w:styleId="Subtitle">
    <w:name w:val="Subtitle"/>
    <w:basedOn w:val="Normal"/>
    <w:next w:val="Normal"/>
    <w:link w:val="SubtitleChar"/>
    <w:uiPriority w:val="9"/>
    <w:qFormat/>
    <w:rsid w:val="005A6C36"/>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5A6C36"/>
    <w:rPr>
      <w:rFonts w:asciiTheme="majorHAnsi" w:eastAsiaTheme="majorEastAsia" w:hAnsiTheme="majorHAnsi" w:cstheme="majorBidi"/>
      <w:b/>
      <w:iCs/>
      <w:color w:val="000000" w:themeColor="text1"/>
      <w:spacing w:val="6"/>
      <w:sz w:val="32"/>
    </w:rPr>
  </w:style>
  <w:style w:type="character" w:styleId="SubtleEmphasis">
    <w:name w:val="Subtle Emphasis"/>
    <w:uiPriority w:val="19"/>
    <w:qFormat/>
    <w:rsid w:val="005A6C36"/>
    <w:rPr>
      <w:i/>
      <w:iCs/>
    </w:rPr>
  </w:style>
  <w:style w:type="character" w:styleId="Strong">
    <w:name w:val="Strong"/>
    <w:aliases w:val="Bold"/>
    <w:uiPriority w:val="22"/>
    <w:qFormat/>
    <w:rsid w:val="005A6C36"/>
    <w:rPr>
      <w:b/>
      <w:bCs/>
    </w:rPr>
  </w:style>
  <w:style w:type="paragraph" w:styleId="ListParagraph">
    <w:name w:val="List Paragraph"/>
    <w:aliases w:val="AR bullet 1,List Paragraph1,Number Paragraph,Recommendation,List Paragraph11,Bulleted Para,CV text,Dot pt,F5 List Paragraph,FooterText,L,List Paragraph111,List Paragraph2,Medium Grid 1 - Accent 21,NFP GP Bulleted List,Numbered Paragraph"/>
    <w:basedOn w:val="Normal"/>
    <w:link w:val="ListParagraphChar"/>
    <w:uiPriority w:val="34"/>
    <w:qFormat/>
    <w:rsid w:val="00345259"/>
    <w:pPr>
      <w:numPr>
        <w:numId w:val="5"/>
      </w:numPr>
      <w:contextualSpacing/>
    </w:pPr>
  </w:style>
  <w:style w:type="character" w:styleId="Emphasis">
    <w:name w:val="Emphasis"/>
    <w:uiPriority w:val="20"/>
    <w:qFormat/>
    <w:rsid w:val="005A6C36"/>
    <w:rPr>
      <w:b/>
      <w:bCs/>
      <w:i/>
      <w:iCs/>
      <w:spacing w:val="10"/>
      <w:bdr w:val="none" w:sz="0" w:space="0" w:color="auto"/>
      <w:shd w:val="clear" w:color="auto" w:fill="auto"/>
    </w:rPr>
  </w:style>
  <w:style w:type="character" w:styleId="IntenseEmphasis">
    <w:name w:val="Intense Emphasis"/>
    <w:uiPriority w:val="21"/>
    <w:qFormat/>
    <w:rsid w:val="005A6C36"/>
    <w:rPr>
      <w:b/>
      <w:bCs/>
    </w:rPr>
  </w:style>
  <w:style w:type="paragraph" w:customStyle="1" w:styleId="Titlepage">
    <w:name w:val="Title page"/>
    <w:basedOn w:val="Title"/>
    <w:semiHidden/>
    <w:rsid w:val="005A6C36"/>
    <w:pPr>
      <w:spacing w:before="4000"/>
      <w:jc w:val="center"/>
    </w:pPr>
    <w:rPr>
      <w:sz w:val="72"/>
    </w:rPr>
  </w:style>
  <w:style w:type="paragraph" w:styleId="Caption">
    <w:name w:val="caption"/>
    <w:aliases w:val="Caption Table title"/>
    <w:basedOn w:val="Normal"/>
    <w:next w:val="Normal"/>
    <w:uiPriority w:val="35"/>
    <w:unhideWhenUsed/>
    <w:rsid w:val="005A6C36"/>
    <w:pPr>
      <w:spacing w:before="360" w:after="120" w:line="240" w:lineRule="atLeast"/>
    </w:pPr>
    <w:rPr>
      <w:b/>
      <w:bCs/>
      <w:szCs w:val="18"/>
    </w:rPr>
  </w:style>
  <w:style w:type="paragraph" w:styleId="TOCHeading">
    <w:name w:val="TOC Heading"/>
    <w:basedOn w:val="Heading2"/>
    <w:next w:val="Normal"/>
    <w:uiPriority w:val="39"/>
    <w:unhideWhenUsed/>
    <w:qFormat/>
    <w:rsid w:val="001204E5"/>
    <w:pPr>
      <w:numPr>
        <w:numId w:val="0"/>
      </w:numPr>
    </w:pPr>
  </w:style>
  <w:style w:type="character" w:customStyle="1" w:styleId="NoSpacingChar">
    <w:name w:val="No Spacing Char"/>
    <w:basedOn w:val="DefaultParagraphFont"/>
    <w:link w:val="NoSpacing"/>
    <w:uiPriority w:val="5"/>
    <w:rsid w:val="005A6C36"/>
    <w:rPr>
      <w:spacing w:val="3"/>
      <w:sz w:val="22"/>
    </w:rPr>
  </w:style>
  <w:style w:type="table" w:customStyle="1" w:styleId="MACtable">
    <w:name w:val="MAC table"/>
    <w:basedOn w:val="TableNormal"/>
    <w:uiPriority w:val="99"/>
    <w:rsid w:val="005A6C36"/>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qFormat/>
    <w:rsid w:val="005A6C36"/>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5A6C36"/>
    <w:rPr>
      <w:rFonts w:ascii="Georgia" w:hAnsi="Georgia"/>
      <w:color w:val="24596E"/>
      <w:spacing w:val="3"/>
      <w:sz w:val="22"/>
    </w:rPr>
  </w:style>
  <w:style w:type="paragraph" w:styleId="Footer">
    <w:name w:val="footer"/>
    <w:basedOn w:val="Normal"/>
    <w:link w:val="FooterChar"/>
    <w:uiPriority w:val="99"/>
    <w:unhideWhenUsed/>
    <w:qFormat/>
    <w:rsid w:val="005A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C36"/>
    <w:rPr>
      <w:spacing w:val="3"/>
      <w:sz w:val="22"/>
    </w:rPr>
  </w:style>
  <w:style w:type="paragraph" w:styleId="BalloonText">
    <w:name w:val="Balloon Text"/>
    <w:basedOn w:val="Normal"/>
    <w:link w:val="BalloonTextChar"/>
    <w:uiPriority w:val="99"/>
    <w:semiHidden/>
    <w:unhideWhenUsed/>
    <w:rsid w:val="005A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36"/>
    <w:rPr>
      <w:rFonts w:ascii="Tahoma" w:hAnsi="Tahoma" w:cs="Tahoma"/>
      <w:spacing w:val="3"/>
      <w:sz w:val="16"/>
      <w:szCs w:val="16"/>
    </w:rPr>
  </w:style>
  <w:style w:type="paragraph" w:customStyle="1" w:styleId="IntroductionQuote">
    <w:name w:val="Introduction / Quote"/>
    <w:basedOn w:val="Normal"/>
    <w:uiPriority w:val="1"/>
    <w:qFormat/>
    <w:rsid w:val="005A6C36"/>
    <w:pPr>
      <w:spacing w:line="288" w:lineRule="auto"/>
    </w:pPr>
    <w:rPr>
      <w:color w:val="000000" w:themeColor="text1"/>
      <w:sz w:val="28"/>
    </w:rPr>
  </w:style>
  <w:style w:type="paragraph" w:customStyle="1" w:styleId="BlockquoteorPullouttext">
    <w:name w:val="Blockquote or Pullout text"/>
    <w:basedOn w:val="Normal"/>
    <w:next w:val="Normal"/>
    <w:link w:val="BlockquoteorPullouttextChar"/>
    <w:uiPriority w:val="5"/>
    <w:qFormat/>
    <w:rsid w:val="00DB52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DB52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character" w:styleId="Hyperlink">
    <w:name w:val="Hyperlink"/>
    <w:uiPriority w:val="99"/>
    <w:rsid w:val="005A6C36"/>
    <w:rPr>
      <w:rFonts w:asciiTheme="minorHAnsi" w:hAnsiTheme="minorHAnsi"/>
      <w:b w:val="0"/>
      <w:color w:val="0070C0"/>
      <w:u w:val="single"/>
    </w:rPr>
  </w:style>
  <w:style w:type="paragraph" w:styleId="NormalWeb">
    <w:name w:val="Normal (Web)"/>
    <w:basedOn w:val="Normal"/>
    <w:uiPriority w:val="99"/>
    <w:semiHidden/>
    <w:unhideWhenUsed/>
    <w:rsid w:val="005A6C3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875EF"/>
    <w:pPr>
      <w:tabs>
        <w:tab w:val="left" w:pos="400"/>
        <w:tab w:val="right" w:leader="dot" w:pos="10194"/>
      </w:tabs>
      <w:spacing w:after="100"/>
    </w:pPr>
    <w:rPr>
      <w:noProof/>
    </w:rPr>
  </w:style>
  <w:style w:type="paragraph" w:styleId="TOC2">
    <w:name w:val="toc 2"/>
    <w:basedOn w:val="Normal"/>
    <w:next w:val="Normal"/>
    <w:autoRedefine/>
    <w:uiPriority w:val="39"/>
    <w:unhideWhenUsed/>
    <w:rsid w:val="000F0AD4"/>
    <w:pPr>
      <w:tabs>
        <w:tab w:val="left" w:pos="660"/>
        <w:tab w:val="right" w:leader="dot" w:pos="10194"/>
      </w:tabs>
      <w:spacing w:after="100"/>
      <w:ind w:left="660"/>
    </w:pPr>
    <w:rPr>
      <w:noProof/>
    </w:rPr>
  </w:style>
  <w:style w:type="paragraph" w:styleId="TOC3">
    <w:name w:val="toc 3"/>
    <w:basedOn w:val="Normal"/>
    <w:next w:val="Normal"/>
    <w:autoRedefine/>
    <w:uiPriority w:val="39"/>
    <w:unhideWhenUsed/>
    <w:rsid w:val="00A457B2"/>
    <w:pPr>
      <w:tabs>
        <w:tab w:val="left" w:pos="993"/>
        <w:tab w:val="right" w:leader="dot" w:pos="10194"/>
      </w:tabs>
      <w:spacing w:after="100"/>
    </w:pPr>
    <w:rPr>
      <w:noProof/>
    </w:rPr>
  </w:style>
  <w:style w:type="paragraph" w:customStyle="1" w:styleId="Smalltext">
    <w:name w:val="Small text"/>
    <w:basedOn w:val="Normal"/>
    <w:unhideWhenUsed/>
    <w:rsid w:val="005A6C36"/>
    <w:pPr>
      <w:spacing w:after="120" w:line="240" w:lineRule="auto"/>
    </w:pPr>
    <w:rPr>
      <w:sz w:val="12"/>
      <w:szCs w:val="16"/>
      <w:lang w:val="en-US"/>
    </w:rPr>
  </w:style>
  <w:style w:type="table" w:styleId="TableGrid">
    <w:name w:val="Table Grid"/>
    <w:basedOn w:val="TableNormal"/>
    <w:uiPriority w:val="59"/>
    <w:rsid w:val="005A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048F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5A6C36"/>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paragraph" w:customStyle="1" w:styleId="Horizontalrule">
    <w:name w:val="Horizontal rule"/>
    <w:basedOn w:val="Normal"/>
    <w:uiPriority w:val="4"/>
    <w:semiHidden/>
    <w:qFormat/>
    <w:rsid w:val="005A6C36"/>
    <w:pPr>
      <w:pBdr>
        <w:bottom w:val="single" w:sz="24" w:space="1" w:color="005A70" w:themeColor="accent1"/>
      </w:pBdr>
      <w:spacing w:after="0" w:line="240" w:lineRule="auto"/>
    </w:pPr>
    <w:rPr>
      <w:noProof/>
    </w:rPr>
  </w:style>
  <w:style w:type="paragraph" w:customStyle="1" w:styleId="Heading1withsubtitle">
    <w:name w:val="Heading 1 (with subtitle)"/>
    <w:basedOn w:val="Heading1"/>
    <w:next w:val="Subtitle"/>
    <w:uiPriority w:val="9"/>
    <w:qFormat/>
    <w:rsid w:val="005A6C36"/>
    <w:pPr>
      <w:spacing w:after="0"/>
    </w:pPr>
  </w:style>
  <w:style w:type="table" w:styleId="ListTable4-Accent5">
    <w:name w:val="List Table 4 Accent 5"/>
    <w:aliases w:val="DSS - Default striped table"/>
    <w:basedOn w:val="TableNormal"/>
    <w:uiPriority w:val="49"/>
    <w:rsid w:val="001C0FD2"/>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ListBullet">
    <w:name w:val="List Bullet"/>
    <w:basedOn w:val="Normal"/>
    <w:uiPriority w:val="99"/>
    <w:unhideWhenUsed/>
    <w:qFormat/>
    <w:rsid w:val="005A6C36"/>
    <w:pPr>
      <w:tabs>
        <w:tab w:val="left" w:pos="170"/>
      </w:tabs>
      <w:spacing w:before="120" w:after="180" w:line="280" w:lineRule="atLeast"/>
      <w:ind w:left="533" w:hanging="360"/>
    </w:pPr>
    <w:rPr>
      <w:rFonts w:ascii="Arial" w:eastAsia="Times New Roman" w:hAnsi="Arial" w:cs="Times New Roman"/>
      <w:spacing w:val="4"/>
      <w:lang w:eastAsia="en-AU"/>
    </w:rPr>
  </w:style>
  <w:style w:type="paragraph" w:customStyle="1" w:styleId="Tableimagecaption">
    <w:name w:val="Table/image caption"/>
    <w:basedOn w:val="Normal"/>
    <w:next w:val="Normal"/>
    <w:uiPriority w:val="4"/>
    <w:qFormat/>
    <w:rsid w:val="005A6C36"/>
    <w:pPr>
      <w:spacing w:before="120"/>
      <w:contextualSpacing/>
    </w:pPr>
    <w:rPr>
      <w:color w:val="595959" w:themeColor="text1" w:themeTint="A6"/>
      <w:sz w:val="20"/>
    </w:rPr>
  </w:style>
  <w:style w:type="paragraph" w:customStyle="1" w:styleId="TableChartheading">
    <w:name w:val="Table/Chart heading"/>
    <w:basedOn w:val="Caption"/>
    <w:next w:val="Normal"/>
    <w:uiPriority w:val="4"/>
    <w:qFormat/>
    <w:rsid w:val="005A6C36"/>
    <w:pPr>
      <w:spacing w:line="288" w:lineRule="auto"/>
    </w:pPr>
    <w:rPr>
      <w:rFonts w:asciiTheme="majorHAnsi" w:hAnsiTheme="majorHAnsi"/>
    </w:rPr>
  </w:style>
  <w:style w:type="table" w:styleId="TableGridLight">
    <w:name w:val="Grid Table Light"/>
    <w:basedOn w:val="TableNormal"/>
    <w:uiPriority w:val="40"/>
    <w:rsid w:val="005A6C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character" w:styleId="FollowedHyperlink">
    <w:name w:val="FollowedHyperlink"/>
    <w:basedOn w:val="DefaultParagraphFont"/>
    <w:uiPriority w:val="99"/>
    <w:semiHidden/>
    <w:unhideWhenUsed/>
    <w:rsid w:val="005A6C36"/>
    <w:rPr>
      <w:color w:val="000000" w:themeColor="followedHyperlink"/>
      <w:u w:val="single"/>
    </w:rPr>
  </w:style>
  <w:style w:type="table" w:styleId="ListTable3-Accent6">
    <w:name w:val="List Table 3 Accent 6"/>
    <w:basedOn w:val="TableNormal"/>
    <w:uiPriority w:val="48"/>
    <w:rsid w:val="005A6C36"/>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paragraph" w:customStyle="1" w:styleId="Focus-teal">
    <w:name w:val="Focus - teal"/>
    <w:basedOn w:val="Normal"/>
    <w:next w:val="IntroductionQuote"/>
    <w:uiPriority w:val="7"/>
    <w:qFormat/>
    <w:rsid w:val="005A6C36"/>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grey">
    <w:name w:val="Focus - grey"/>
    <w:basedOn w:val="Focus-teal"/>
    <w:next w:val="Normal"/>
    <w:uiPriority w:val="7"/>
    <w:qFormat/>
    <w:rsid w:val="005A6C36"/>
    <w:pPr>
      <w:shd w:val="clear" w:color="auto" w:fill="F2F2F2" w:themeFill="background1" w:themeFillShade="F2"/>
    </w:pPr>
  </w:style>
  <w:style w:type="numbering" w:customStyle="1" w:styleId="BulletsList">
    <w:name w:val="Bullets List"/>
    <w:uiPriority w:val="99"/>
    <w:rsid w:val="005A6C36"/>
    <w:pPr>
      <w:numPr>
        <w:numId w:val="1"/>
      </w:numPr>
    </w:pPr>
  </w:style>
  <w:style w:type="paragraph" w:customStyle="1" w:styleId="Pagenumbers">
    <w:name w:val="Page numbers"/>
    <w:basedOn w:val="Normal"/>
    <w:uiPriority w:val="97"/>
    <w:qFormat/>
    <w:rsid w:val="002C7D96"/>
    <w:rPr>
      <w:noProof/>
      <w:color w:val="005A70" w:themeColor="accent1"/>
      <w:sz w:val="18"/>
      <w:szCs w:val="18"/>
      <w:lang w:eastAsia="en-AU"/>
    </w:rPr>
  </w:style>
  <w:style w:type="paragraph" w:customStyle="1" w:styleId="Crestwithrule">
    <w:name w:val="Crest with rule"/>
    <w:basedOn w:val="Horizontalrule"/>
    <w:uiPriority w:val="99"/>
    <w:qFormat/>
    <w:rsid w:val="005A6C36"/>
    <w:pPr>
      <w:pBdr>
        <w:bottom w:val="single" w:sz="24" w:space="1" w:color="00B0B9" w:themeColor="accent2"/>
      </w:pBdr>
      <w:ind w:right="-425" w:hanging="284"/>
    </w:pPr>
  </w:style>
  <w:style w:type="paragraph" w:customStyle="1" w:styleId="Focus-warning">
    <w:name w:val="Focus - warning"/>
    <w:basedOn w:val="Focus-teal"/>
    <w:next w:val="Normal"/>
    <w:uiPriority w:val="7"/>
    <w:qFormat/>
    <w:rsid w:val="005A6C36"/>
    <w:pPr>
      <w:shd w:val="clear" w:color="auto" w:fill="FDF7DB"/>
    </w:pPr>
  </w:style>
  <w:style w:type="paragraph" w:customStyle="1" w:styleId="Focus-error">
    <w:name w:val="Focus - error"/>
    <w:basedOn w:val="Focus-teal"/>
    <w:next w:val="Smalltext"/>
    <w:uiPriority w:val="7"/>
    <w:qFormat/>
    <w:rsid w:val="005A6C36"/>
    <w:pPr>
      <w:shd w:val="clear" w:color="auto" w:fill="FFEFEF"/>
    </w:pPr>
  </w:style>
  <w:style w:type="paragraph" w:customStyle="1" w:styleId="PageNumber1">
    <w:name w:val="Page Number1"/>
    <w:basedOn w:val="Normal"/>
    <w:uiPriority w:val="1"/>
    <w:semiHidden/>
    <w:unhideWhenUsed/>
    <w:qFormat/>
    <w:rsid w:val="0009703B"/>
    <w:rPr>
      <w:color w:val="005A70" w:themeColor="accent1"/>
      <w:sz w:val="18"/>
    </w:rPr>
  </w:style>
  <w:style w:type="table" w:styleId="GridTable4">
    <w:name w:val="Grid Table 4"/>
    <w:basedOn w:val="TableNormal"/>
    <w:uiPriority w:val="49"/>
    <w:rsid w:val="005A6C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5A6C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detailed">
    <w:name w:val="Table text - detailed"/>
    <w:basedOn w:val="NoSpacing"/>
    <w:uiPriority w:val="4"/>
    <w:qFormat/>
    <w:rsid w:val="001C0FD2"/>
    <w:pPr>
      <w:spacing w:line="312" w:lineRule="auto"/>
    </w:pPr>
  </w:style>
  <w:style w:type="character" w:styleId="CommentReference">
    <w:name w:val="annotation reference"/>
    <w:basedOn w:val="DefaultParagraphFont"/>
    <w:uiPriority w:val="99"/>
    <w:semiHidden/>
    <w:unhideWhenUsed/>
    <w:rsid w:val="00AE6E35"/>
    <w:rPr>
      <w:sz w:val="16"/>
      <w:szCs w:val="16"/>
    </w:rPr>
  </w:style>
  <w:style w:type="paragraph" w:styleId="CommentText">
    <w:name w:val="annotation text"/>
    <w:basedOn w:val="Normal"/>
    <w:link w:val="CommentTextChar"/>
    <w:uiPriority w:val="99"/>
    <w:unhideWhenUsed/>
    <w:rsid w:val="00AE6E35"/>
    <w:pPr>
      <w:spacing w:line="240" w:lineRule="auto"/>
    </w:pPr>
    <w:rPr>
      <w:sz w:val="20"/>
      <w:szCs w:val="20"/>
    </w:rPr>
  </w:style>
  <w:style w:type="character" w:customStyle="1" w:styleId="CommentTextChar">
    <w:name w:val="Comment Text Char"/>
    <w:basedOn w:val="DefaultParagraphFont"/>
    <w:link w:val="CommentText"/>
    <w:uiPriority w:val="99"/>
    <w:rsid w:val="00AE6E35"/>
    <w:rPr>
      <w:spacing w:val="3"/>
      <w:sz w:val="20"/>
      <w:szCs w:val="20"/>
    </w:rPr>
  </w:style>
  <w:style w:type="paragraph" w:styleId="CommentSubject">
    <w:name w:val="annotation subject"/>
    <w:basedOn w:val="CommentText"/>
    <w:next w:val="CommentText"/>
    <w:link w:val="CommentSubjectChar"/>
    <w:uiPriority w:val="99"/>
    <w:semiHidden/>
    <w:unhideWhenUsed/>
    <w:rsid w:val="00AE6E35"/>
    <w:rPr>
      <w:b/>
      <w:bCs/>
    </w:rPr>
  </w:style>
  <w:style w:type="character" w:customStyle="1" w:styleId="CommentSubjectChar">
    <w:name w:val="Comment Subject Char"/>
    <w:basedOn w:val="CommentTextChar"/>
    <w:link w:val="CommentSubject"/>
    <w:uiPriority w:val="99"/>
    <w:semiHidden/>
    <w:rsid w:val="00AE6E35"/>
    <w:rPr>
      <w:b/>
      <w:bCs/>
      <w:spacing w:val="3"/>
      <w:sz w:val="20"/>
      <w:szCs w:val="20"/>
    </w:rPr>
  </w:style>
  <w:style w:type="paragraph" w:styleId="Revision">
    <w:name w:val="Revision"/>
    <w:hidden/>
    <w:uiPriority w:val="99"/>
    <w:semiHidden/>
    <w:rsid w:val="00575C83"/>
    <w:pPr>
      <w:spacing w:after="0" w:line="240" w:lineRule="auto"/>
    </w:pPr>
    <w:rPr>
      <w:spacing w:val="3"/>
      <w:sz w:val="22"/>
    </w:rPr>
  </w:style>
  <w:style w:type="paragraph" w:styleId="ListNumber">
    <w:name w:val="List Number"/>
    <w:basedOn w:val="Normal"/>
    <w:uiPriority w:val="99"/>
    <w:unhideWhenUsed/>
    <w:qFormat/>
    <w:rsid w:val="00345259"/>
    <w:pPr>
      <w:numPr>
        <w:numId w:val="3"/>
      </w:numPr>
      <w:contextualSpacing/>
    </w:pPr>
  </w:style>
  <w:style w:type="numbering" w:customStyle="1" w:styleId="DSSBulletList">
    <w:name w:val="DSS Bullet List"/>
    <w:uiPriority w:val="99"/>
    <w:rsid w:val="00345259"/>
    <w:pPr>
      <w:numPr>
        <w:numId w:val="4"/>
      </w:numPr>
    </w:pPr>
  </w:style>
  <w:style w:type="paragraph" w:customStyle="1" w:styleId="BodyText1">
    <w:name w:val="Body Text 1"/>
    <w:link w:val="BodyText1Char"/>
    <w:autoRedefine/>
    <w:uiPriority w:val="2"/>
    <w:qFormat/>
    <w:rsid w:val="006E46C3"/>
    <w:pPr>
      <w:spacing w:before="120" w:after="120" w:line="276" w:lineRule="auto"/>
    </w:pPr>
    <w:rPr>
      <w:sz w:val="22"/>
      <w:szCs w:val="22"/>
    </w:rPr>
  </w:style>
  <w:style w:type="paragraph" w:customStyle="1" w:styleId="Bodybullet1">
    <w:name w:val="Body bullet 1"/>
    <w:autoRedefine/>
    <w:uiPriority w:val="2"/>
    <w:qFormat/>
    <w:rsid w:val="00D65437"/>
    <w:pPr>
      <w:spacing w:before="120" w:after="120" w:line="276" w:lineRule="auto"/>
    </w:pPr>
    <w:rPr>
      <w:b/>
      <w:bCs/>
      <w:color w:val="454545" w:themeColor="text2"/>
      <w:sz w:val="22"/>
      <w:szCs w:val="22"/>
      <w14:numSpacing w14:val="tabular"/>
    </w:rPr>
  </w:style>
  <w:style w:type="paragraph" w:customStyle="1" w:styleId="Tablebodytext">
    <w:name w:val="Table body text"/>
    <w:autoRedefine/>
    <w:uiPriority w:val="12"/>
    <w:qFormat/>
    <w:rsid w:val="00131603"/>
    <w:pPr>
      <w:tabs>
        <w:tab w:val="left" w:pos="2108"/>
      </w:tabs>
      <w:spacing w:before="60" w:after="60" w:line="240" w:lineRule="auto"/>
      <w:jc w:val="center"/>
    </w:pPr>
    <w:rPr>
      <w:rFonts w:ascii="Arial" w:hAnsi="Arial"/>
      <w:bCs/>
      <w:sz w:val="20"/>
      <w:szCs w:val="20"/>
    </w:rPr>
  </w:style>
  <w:style w:type="paragraph" w:customStyle="1" w:styleId="Tablebullet2">
    <w:name w:val="Table bullet 2"/>
    <w:next w:val="BodyText1"/>
    <w:autoRedefine/>
    <w:uiPriority w:val="12"/>
    <w:qFormat/>
    <w:rsid w:val="00082B54"/>
    <w:pPr>
      <w:numPr>
        <w:numId w:val="6"/>
      </w:numPr>
      <w:spacing w:before="40" w:after="40" w:line="240" w:lineRule="auto"/>
    </w:pPr>
    <w:rPr>
      <w:sz w:val="18"/>
      <w:szCs w:val="22"/>
    </w:rPr>
  </w:style>
  <w:style w:type="character" w:customStyle="1" w:styleId="ListParagraphChar">
    <w:name w:val="List Paragraph Char"/>
    <w:aliases w:val="AR bullet 1 Char,List Paragraph1 Char,Number Paragraph Char,Recommendation Char,List Paragraph11 Char,Bulleted Para Char,CV text Char,Dot pt Char,F5 List Paragraph Char,FooterText Char,L Char,List Paragraph111 Char"/>
    <w:basedOn w:val="DefaultParagraphFont"/>
    <w:link w:val="ListParagraph"/>
    <w:uiPriority w:val="34"/>
    <w:qFormat/>
    <w:locked/>
    <w:rsid w:val="00082B54"/>
    <w:rPr>
      <w:spacing w:val="3"/>
      <w:sz w:val="22"/>
    </w:rPr>
  </w:style>
  <w:style w:type="table" w:styleId="GridTable4-Accent2">
    <w:name w:val="Grid Table 4 Accent 2"/>
    <w:basedOn w:val="TableNormal"/>
    <w:uiPriority w:val="49"/>
    <w:rsid w:val="00082B54"/>
    <w:pPr>
      <w:spacing w:after="0" w:line="240" w:lineRule="auto"/>
    </w:pPr>
    <w:rPr>
      <w:sz w:val="22"/>
      <w:szCs w:val="22"/>
    </w:rPr>
    <w:tblPr>
      <w:tblStyleRowBandSize w:val="1"/>
      <w:tblStyleColBandSize w:val="1"/>
      <w:tblBorders>
        <w:top w:val="single" w:sz="4" w:space="0" w:color="3CF5FF" w:themeColor="accent2" w:themeTint="99"/>
        <w:left w:val="single" w:sz="4" w:space="0" w:color="3CF5FF" w:themeColor="accent2" w:themeTint="99"/>
        <w:bottom w:val="single" w:sz="4" w:space="0" w:color="3CF5FF" w:themeColor="accent2" w:themeTint="99"/>
        <w:right w:val="single" w:sz="4" w:space="0" w:color="3CF5FF" w:themeColor="accent2" w:themeTint="99"/>
        <w:insideH w:val="single" w:sz="4" w:space="0" w:color="3CF5FF" w:themeColor="accent2" w:themeTint="99"/>
        <w:insideV w:val="single" w:sz="4" w:space="0" w:color="3CF5FF" w:themeColor="accent2" w:themeTint="99"/>
      </w:tblBorders>
    </w:tblPr>
    <w:tblStylePr w:type="firstRow">
      <w:rPr>
        <w:b/>
        <w:bCs/>
        <w:color w:val="FFFFFF" w:themeColor="background1"/>
      </w:rPr>
      <w:tblPr/>
      <w:tcPr>
        <w:tcBorders>
          <w:top w:val="single" w:sz="4" w:space="0" w:color="00B0B9" w:themeColor="accent2"/>
          <w:left w:val="single" w:sz="4" w:space="0" w:color="00B0B9" w:themeColor="accent2"/>
          <w:bottom w:val="single" w:sz="4" w:space="0" w:color="00B0B9" w:themeColor="accent2"/>
          <w:right w:val="single" w:sz="4" w:space="0" w:color="00B0B9" w:themeColor="accent2"/>
          <w:insideH w:val="nil"/>
          <w:insideV w:val="nil"/>
        </w:tcBorders>
        <w:shd w:val="clear" w:color="auto" w:fill="00B0B9" w:themeFill="accent2"/>
      </w:tcPr>
    </w:tblStylePr>
    <w:tblStylePr w:type="lastRow">
      <w:rPr>
        <w:b/>
        <w:bCs/>
      </w:rPr>
      <w:tblPr/>
      <w:tcPr>
        <w:tcBorders>
          <w:top w:val="double" w:sz="4" w:space="0" w:color="00B0B9" w:themeColor="accent2"/>
        </w:tcBorders>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paragraph" w:customStyle="1" w:styleId="Bullet2ndlevel">
    <w:name w:val="Bullet 2nd level"/>
    <w:basedOn w:val="Normal"/>
    <w:autoRedefine/>
    <w:uiPriority w:val="2"/>
    <w:qFormat/>
    <w:rsid w:val="007E50BA"/>
    <w:pPr>
      <w:numPr>
        <w:numId w:val="7"/>
      </w:numPr>
      <w:tabs>
        <w:tab w:val="clear" w:pos="340"/>
      </w:tabs>
      <w:spacing w:before="120" w:after="120" w:line="240" w:lineRule="auto"/>
      <w:ind w:left="624" w:hanging="284"/>
    </w:pPr>
    <w:rPr>
      <w:rFonts w:cs="Arial"/>
      <w:spacing w:val="0"/>
      <w:szCs w:val="22"/>
    </w:rPr>
  </w:style>
  <w:style w:type="table" w:styleId="ListTable4-Accent2">
    <w:name w:val="List Table 4 Accent 2"/>
    <w:basedOn w:val="TableNormal"/>
    <w:uiPriority w:val="49"/>
    <w:rsid w:val="007E50BA"/>
    <w:pPr>
      <w:spacing w:after="0" w:line="240" w:lineRule="auto"/>
    </w:pPr>
    <w:rPr>
      <w:sz w:val="22"/>
      <w:szCs w:val="22"/>
    </w:rPr>
    <w:tblPr>
      <w:tblStyleRowBandSize w:val="1"/>
      <w:tblStyleColBandSize w:val="1"/>
      <w:tblBorders>
        <w:top w:val="single" w:sz="4" w:space="0" w:color="3CF5FF" w:themeColor="accent2" w:themeTint="99"/>
        <w:left w:val="single" w:sz="4" w:space="0" w:color="3CF5FF" w:themeColor="accent2" w:themeTint="99"/>
        <w:bottom w:val="single" w:sz="4" w:space="0" w:color="3CF5FF" w:themeColor="accent2" w:themeTint="99"/>
        <w:right w:val="single" w:sz="4" w:space="0" w:color="3CF5FF" w:themeColor="accent2" w:themeTint="99"/>
        <w:insideH w:val="single" w:sz="4" w:space="0" w:color="3CF5FF" w:themeColor="accent2" w:themeTint="99"/>
      </w:tblBorders>
    </w:tblPr>
    <w:tblStylePr w:type="firstRow">
      <w:rPr>
        <w:b/>
        <w:bCs/>
        <w:color w:val="FFFFFF" w:themeColor="background1"/>
      </w:rPr>
      <w:tblPr/>
      <w:tcPr>
        <w:tcBorders>
          <w:top w:val="single" w:sz="4" w:space="0" w:color="00B0B9" w:themeColor="accent2"/>
          <w:left w:val="single" w:sz="4" w:space="0" w:color="00B0B9" w:themeColor="accent2"/>
          <w:bottom w:val="single" w:sz="4" w:space="0" w:color="00B0B9" w:themeColor="accent2"/>
          <w:right w:val="single" w:sz="4" w:space="0" w:color="00B0B9" w:themeColor="accent2"/>
          <w:insideH w:val="nil"/>
        </w:tcBorders>
        <w:shd w:val="clear" w:color="auto" w:fill="00B0B9" w:themeFill="accent2"/>
      </w:tcPr>
    </w:tblStylePr>
    <w:tblStylePr w:type="lastRow">
      <w:rPr>
        <w:b/>
        <w:bCs/>
      </w:rPr>
      <w:tblPr/>
      <w:tcPr>
        <w:tcBorders>
          <w:top w:val="double" w:sz="4" w:space="0" w:color="3CF5FF" w:themeColor="accent2" w:themeTint="99"/>
        </w:tcBorders>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table" w:styleId="GridTable2-Accent2">
    <w:name w:val="Grid Table 2 Accent 2"/>
    <w:basedOn w:val="TableNormal"/>
    <w:uiPriority w:val="47"/>
    <w:rsid w:val="001B53D7"/>
    <w:pPr>
      <w:spacing w:after="0" w:line="240" w:lineRule="auto"/>
    </w:pPr>
    <w:rPr>
      <w:sz w:val="22"/>
      <w:szCs w:val="22"/>
    </w:rPr>
    <w:tblPr>
      <w:tblStyleRowBandSize w:val="1"/>
      <w:tblStyleColBandSize w:val="1"/>
      <w:tblBorders>
        <w:top w:val="single" w:sz="2" w:space="0" w:color="3CF5FF" w:themeColor="accent2" w:themeTint="99"/>
        <w:bottom w:val="single" w:sz="2" w:space="0" w:color="3CF5FF" w:themeColor="accent2" w:themeTint="99"/>
        <w:insideH w:val="single" w:sz="2" w:space="0" w:color="3CF5FF" w:themeColor="accent2" w:themeTint="99"/>
        <w:insideV w:val="single" w:sz="2" w:space="0" w:color="3CF5FF" w:themeColor="accent2" w:themeTint="99"/>
      </w:tblBorders>
    </w:tblPr>
    <w:tblStylePr w:type="firstRow">
      <w:rPr>
        <w:b/>
        <w:bCs/>
      </w:rPr>
      <w:tblPr/>
      <w:tcPr>
        <w:tcBorders>
          <w:top w:val="nil"/>
          <w:bottom w:val="single" w:sz="12" w:space="0" w:color="3CF5FF" w:themeColor="accent2" w:themeTint="99"/>
          <w:insideH w:val="nil"/>
          <w:insideV w:val="nil"/>
        </w:tcBorders>
        <w:shd w:val="clear" w:color="auto" w:fill="FFFFFF" w:themeFill="background1"/>
      </w:tcPr>
    </w:tblStylePr>
    <w:tblStylePr w:type="lastRow">
      <w:rPr>
        <w:b/>
        <w:bCs/>
      </w:rPr>
      <w:tblPr/>
      <w:tcPr>
        <w:tcBorders>
          <w:top w:val="double" w:sz="2" w:space="0" w:color="3CF5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character" w:styleId="UnresolvedMention">
    <w:name w:val="Unresolved Mention"/>
    <w:basedOn w:val="DefaultParagraphFont"/>
    <w:uiPriority w:val="99"/>
    <w:semiHidden/>
    <w:unhideWhenUsed/>
    <w:rsid w:val="00CF44E8"/>
    <w:rPr>
      <w:color w:val="605E5C"/>
      <w:shd w:val="clear" w:color="auto" w:fill="E1DFDD"/>
    </w:rPr>
  </w:style>
  <w:style w:type="paragraph" w:styleId="FootnoteText">
    <w:name w:val="footnote text"/>
    <w:basedOn w:val="Normal"/>
    <w:link w:val="FootnoteTextChar"/>
    <w:uiPriority w:val="99"/>
    <w:semiHidden/>
    <w:unhideWhenUsed/>
    <w:rsid w:val="00153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175"/>
    <w:rPr>
      <w:spacing w:val="3"/>
      <w:sz w:val="20"/>
      <w:szCs w:val="20"/>
    </w:rPr>
  </w:style>
  <w:style w:type="character" w:styleId="FootnoteReference">
    <w:name w:val="footnote reference"/>
    <w:basedOn w:val="DefaultParagraphFont"/>
    <w:uiPriority w:val="99"/>
    <w:semiHidden/>
    <w:unhideWhenUsed/>
    <w:rsid w:val="00153175"/>
    <w:rPr>
      <w:vertAlign w:val="superscript"/>
    </w:rPr>
  </w:style>
  <w:style w:type="paragraph" w:customStyle="1" w:styleId="pf0">
    <w:name w:val="pf0"/>
    <w:basedOn w:val="Normal"/>
    <w:rsid w:val="00F11678"/>
    <w:pPr>
      <w:spacing w:before="100" w:beforeAutospacing="1" w:after="100" w:afterAutospacing="1" w:line="240" w:lineRule="auto"/>
    </w:pPr>
    <w:rPr>
      <w:rFonts w:ascii="Times New Roman" w:eastAsia="Times New Roman" w:hAnsi="Times New Roman" w:cs="Times New Roman"/>
      <w:spacing w:val="0"/>
      <w:sz w:val="24"/>
      <w:lang w:eastAsia="en-AU"/>
    </w:rPr>
  </w:style>
  <w:style w:type="character" w:customStyle="1" w:styleId="cf01">
    <w:name w:val="cf01"/>
    <w:basedOn w:val="DefaultParagraphFont"/>
    <w:rsid w:val="00F11678"/>
    <w:rPr>
      <w:rFonts w:ascii="Segoe UI" w:hAnsi="Segoe UI" w:cs="Segoe UI" w:hint="default"/>
      <w:sz w:val="18"/>
      <w:szCs w:val="18"/>
    </w:rPr>
  </w:style>
  <w:style w:type="character" w:customStyle="1" w:styleId="NormalmorespaceChar">
    <w:name w:val="Normal (more space) Char"/>
    <w:basedOn w:val="DefaultParagraphFont"/>
    <w:link w:val="Normalmorespace"/>
    <w:locked/>
    <w:rsid w:val="001356E6"/>
    <w:rPr>
      <w:rFonts w:ascii="Arial" w:eastAsia="Times New Roman" w:hAnsi="Arial" w:cs="Times New Roman"/>
      <w:color w:val="000000" w:themeColor="text1"/>
      <w:sz w:val="20"/>
      <w:szCs w:val="20"/>
      <w:lang w:eastAsia="en-AU"/>
    </w:rPr>
  </w:style>
  <w:style w:type="paragraph" w:customStyle="1" w:styleId="Normalmorespace">
    <w:name w:val="Normal (more space)"/>
    <w:basedOn w:val="Normal"/>
    <w:link w:val="NormalmorespaceChar"/>
    <w:qFormat/>
    <w:rsid w:val="001356E6"/>
    <w:pPr>
      <w:suppressAutoHyphens/>
      <w:spacing w:before="120" w:after="120" w:line="256" w:lineRule="auto"/>
    </w:pPr>
    <w:rPr>
      <w:rFonts w:ascii="Arial" w:eastAsia="Times New Roman" w:hAnsi="Arial" w:cs="Times New Roman"/>
      <w:color w:val="000000" w:themeColor="text1"/>
      <w:spacing w:val="0"/>
      <w:sz w:val="20"/>
      <w:szCs w:val="20"/>
      <w:lang w:eastAsia="en-AU"/>
    </w:rPr>
  </w:style>
  <w:style w:type="paragraph" w:customStyle="1" w:styleId="pf1">
    <w:name w:val="pf1"/>
    <w:basedOn w:val="Normal"/>
    <w:rsid w:val="00390146"/>
    <w:pPr>
      <w:spacing w:before="100" w:beforeAutospacing="1" w:after="100" w:afterAutospacing="1" w:line="240" w:lineRule="auto"/>
      <w:ind w:left="720"/>
    </w:pPr>
    <w:rPr>
      <w:rFonts w:ascii="Times New Roman" w:eastAsia="Times New Roman" w:hAnsi="Times New Roman" w:cs="Times New Roman"/>
      <w:spacing w:val="0"/>
      <w:sz w:val="24"/>
      <w:lang w:eastAsia="en-AU"/>
    </w:rPr>
  </w:style>
  <w:style w:type="paragraph" w:customStyle="1" w:styleId="pf2">
    <w:name w:val="pf2"/>
    <w:basedOn w:val="Normal"/>
    <w:rsid w:val="00390146"/>
    <w:pPr>
      <w:spacing w:before="100" w:beforeAutospacing="1" w:after="100" w:afterAutospacing="1" w:line="240" w:lineRule="auto"/>
      <w:ind w:left="1440"/>
    </w:pPr>
    <w:rPr>
      <w:rFonts w:ascii="Times New Roman" w:eastAsia="Times New Roman" w:hAnsi="Times New Roman" w:cs="Times New Roman"/>
      <w:spacing w:val="0"/>
      <w:sz w:val="24"/>
      <w:lang w:eastAsia="en-AU"/>
    </w:rPr>
  </w:style>
  <w:style w:type="character" w:customStyle="1" w:styleId="cf11">
    <w:name w:val="cf11"/>
    <w:basedOn w:val="DefaultParagraphFont"/>
    <w:rsid w:val="00390146"/>
    <w:rPr>
      <w:rFonts w:ascii="Segoe UI" w:hAnsi="Segoe UI" w:cs="Segoe UI" w:hint="default"/>
      <w:color w:val="454545"/>
      <w:sz w:val="18"/>
      <w:szCs w:val="18"/>
    </w:rPr>
  </w:style>
  <w:style w:type="character" w:customStyle="1" w:styleId="BodyText1Char">
    <w:name w:val="Body Text 1 Char"/>
    <w:basedOn w:val="DefaultParagraphFont"/>
    <w:link w:val="BodyText1"/>
    <w:uiPriority w:val="2"/>
    <w:rsid w:val="006E46C3"/>
    <w:rPr>
      <w:sz w:val="22"/>
      <w:szCs w:val="22"/>
    </w:rPr>
  </w:style>
  <w:style w:type="paragraph" w:customStyle="1" w:styleId="Numberedlistabc">
    <w:name w:val="Numbered list_abc"/>
    <w:autoRedefine/>
    <w:uiPriority w:val="9"/>
    <w:qFormat/>
    <w:rsid w:val="00B12874"/>
    <w:pPr>
      <w:numPr>
        <w:ilvl w:val="1"/>
        <w:numId w:val="17"/>
      </w:numPr>
      <w:spacing w:before="120" w:after="120" w:line="240" w:lineRule="auto"/>
    </w:pPr>
    <w:rPr>
      <w:sz w:val="22"/>
      <w:szCs w:val="22"/>
    </w:rPr>
  </w:style>
  <w:style w:type="paragraph" w:customStyle="1" w:styleId="Numberedlistii">
    <w:name w:val="Numbered list_ii"/>
    <w:autoRedefine/>
    <w:uiPriority w:val="9"/>
    <w:qFormat/>
    <w:rsid w:val="00B12874"/>
    <w:pPr>
      <w:numPr>
        <w:ilvl w:val="2"/>
        <w:numId w:val="17"/>
      </w:numPr>
      <w:spacing w:before="120" w:after="120"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9949">
      <w:bodyDiv w:val="1"/>
      <w:marLeft w:val="0"/>
      <w:marRight w:val="0"/>
      <w:marTop w:val="0"/>
      <w:marBottom w:val="0"/>
      <w:divBdr>
        <w:top w:val="none" w:sz="0" w:space="0" w:color="auto"/>
        <w:left w:val="none" w:sz="0" w:space="0" w:color="auto"/>
        <w:bottom w:val="none" w:sz="0" w:space="0" w:color="auto"/>
        <w:right w:val="none" w:sz="0" w:space="0" w:color="auto"/>
      </w:divBdr>
    </w:div>
    <w:div w:id="154298951">
      <w:bodyDiv w:val="1"/>
      <w:marLeft w:val="0"/>
      <w:marRight w:val="0"/>
      <w:marTop w:val="0"/>
      <w:marBottom w:val="0"/>
      <w:divBdr>
        <w:top w:val="none" w:sz="0" w:space="0" w:color="auto"/>
        <w:left w:val="none" w:sz="0" w:space="0" w:color="auto"/>
        <w:bottom w:val="none" w:sz="0" w:space="0" w:color="auto"/>
        <w:right w:val="none" w:sz="0" w:space="0" w:color="auto"/>
      </w:divBdr>
    </w:div>
    <w:div w:id="193813271">
      <w:bodyDiv w:val="1"/>
      <w:marLeft w:val="0"/>
      <w:marRight w:val="0"/>
      <w:marTop w:val="0"/>
      <w:marBottom w:val="0"/>
      <w:divBdr>
        <w:top w:val="none" w:sz="0" w:space="0" w:color="auto"/>
        <w:left w:val="none" w:sz="0" w:space="0" w:color="auto"/>
        <w:bottom w:val="none" w:sz="0" w:space="0" w:color="auto"/>
        <w:right w:val="none" w:sz="0" w:space="0" w:color="auto"/>
      </w:divBdr>
    </w:div>
    <w:div w:id="196434252">
      <w:bodyDiv w:val="1"/>
      <w:marLeft w:val="0"/>
      <w:marRight w:val="0"/>
      <w:marTop w:val="0"/>
      <w:marBottom w:val="0"/>
      <w:divBdr>
        <w:top w:val="none" w:sz="0" w:space="0" w:color="auto"/>
        <w:left w:val="none" w:sz="0" w:space="0" w:color="auto"/>
        <w:bottom w:val="none" w:sz="0" w:space="0" w:color="auto"/>
        <w:right w:val="none" w:sz="0" w:space="0" w:color="auto"/>
      </w:divBdr>
    </w:div>
    <w:div w:id="230427338">
      <w:bodyDiv w:val="1"/>
      <w:marLeft w:val="0"/>
      <w:marRight w:val="0"/>
      <w:marTop w:val="0"/>
      <w:marBottom w:val="0"/>
      <w:divBdr>
        <w:top w:val="none" w:sz="0" w:space="0" w:color="auto"/>
        <w:left w:val="none" w:sz="0" w:space="0" w:color="auto"/>
        <w:bottom w:val="none" w:sz="0" w:space="0" w:color="auto"/>
        <w:right w:val="none" w:sz="0" w:space="0" w:color="auto"/>
      </w:divBdr>
    </w:div>
    <w:div w:id="292759550">
      <w:bodyDiv w:val="1"/>
      <w:marLeft w:val="0"/>
      <w:marRight w:val="0"/>
      <w:marTop w:val="0"/>
      <w:marBottom w:val="0"/>
      <w:divBdr>
        <w:top w:val="none" w:sz="0" w:space="0" w:color="auto"/>
        <w:left w:val="none" w:sz="0" w:space="0" w:color="auto"/>
        <w:bottom w:val="none" w:sz="0" w:space="0" w:color="auto"/>
        <w:right w:val="none" w:sz="0" w:space="0" w:color="auto"/>
      </w:divBdr>
    </w:div>
    <w:div w:id="306976821">
      <w:bodyDiv w:val="1"/>
      <w:marLeft w:val="0"/>
      <w:marRight w:val="0"/>
      <w:marTop w:val="0"/>
      <w:marBottom w:val="0"/>
      <w:divBdr>
        <w:top w:val="none" w:sz="0" w:space="0" w:color="auto"/>
        <w:left w:val="none" w:sz="0" w:space="0" w:color="auto"/>
        <w:bottom w:val="none" w:sz="0" w:space="0" w:color="auto"/>
        <w:right w:val="none" w:sz="0" w:space="0" w:color="auto"/>
      </w:divBdr>
    </w:div>
    <w:div w:id="402411064">
      <w:bodyDiv w:val="1"/>
      <w:marLeft w:val="0"/>
      <w:marRight w:val="0"/>
      <w:marTop w:val="0"/>
      <w:marBottom w:val="0"/>
      <w:divBdr>
        <w:top w:val="none" w:sz="0" w:space="0" w:color="auto"/>
        <w:left w:val="none" w:sz="0" w:space="0" w:color="auto"/>
        <w:bottom w:val="none" w:sz="0" w:space="0" w:color="auto"/>
        <w:right w:val="none" w:sz="0" w:space="0" w:color="auto"/>
      </w:divBdr>
    </w:div>
    <w:div w:id="438988084">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58826949">
      <w:bodyDiv w:val="1"/>
      <w:marLeft w:val="0"/>
      <w:marRight w:val="0"/>
      <w:marTop w:val="0"/>
      <w:marBottom w:val="0"/>
      <w:divBdr>
        <w:top w:val="none" w:sz="0" w:space="0" w:color="auto"/>
        <w:left w:val="none" w:sz="0" w:space="0" w:color="auto"/>
        <w:bottom w:val="none" w:sz="0" w:space="0" w:color="auto"/>
        <w:right w:val="none" w:sz="0" w:space="0" w:color="auto"/>
      </w:divBdr>
    </w:div>
    <w:div w:id="621349603">
      <w:bodyDiv w:val="1"/>
      <w:marLeft w:val="0"/>
      <w:marRight w:val="0"/>
      <w:marTop w:val="0"/>
      <w:marBottom w:val="0"/>
      <w:divBdr>
        <w:top w:val="none" w:sz="0" w:space="0" w:color="auto"/>
        <w:left w:val="none" w:sz="0" w:space="0" w:color="auto"/>
        <w:bottom w:val="none" w:sz="0" w:space="0" w:color="auto"/>
        <w:right w:val="none" w:sz="0" w:space="0" w:color="auto"/>
      </w:divBdr>
    </w:div>
    <w:div w:id="679896956">
      <w:bodyDiv w:val="1"/>
      <w:marLeft w:val="0"/>
      <w:marRight w:val="0"/>
      <w:marTop w:val="0"/>
      <w:marBottom w:val="0"/>
      <w:divBdr>
        <w:top w:val="none" w:sz="0" w:space="0" w:color="auto"/>
        <w:left w:val="none" w:sz="0" w:space="0" w:color="auto"/>
        <w:bottom w:val="none" w:sz="0" w:space="0" w:color="auto"/>
        <w:right w:val="none" w:sz="0" w:space="0" w:color="auto"/>
      </w:divBdr>
    </w:div>
    <w:div w:id="687291148">
      <w:bodyDiv w:val="1"/>
      <w:marLeft w:val="0"/>
      <w:marRight w:val="0"/>
      <w:marTop w:val="0"/>
      <w:marBottom w:val="0"/>
      <w:divBdr>
        <w:top w:val="none" w:sz="0" w:space="0" w:color="auto"/>
        <w:left w:val="none" w:sz="0" w:space="0" w:color="auto"/>
        <w:bottom w:val="none" w:sz="0" w:space="0" w:color="auto"/>
        <w:right w:val="none" w:sz="0" w:space="0" w:color="auto"/>
      </w:divBdr>
    </w:div>
    <w:div w:id="693992639">
      <w:bodyDiv w:val="1"/>
      <w:marLeft w:val="0"/>
      <w:marRight w:val="0"/>
      <w:marTop w:val="0"/>
      <w:marBottom w:val="0"/>
      <w:divBdr>
        <w:top w:val="none" w:sz="0" w:space="0" w:color="auto"/>
        <w:left w:val="none" w:sz="0" w:space="0" w:color="auto"/>
        <w:bottom w:val="none" w:sz="0" w:space="0" w:color="auto"/>
        <w:right w:val="none" w:sz="0" w:space="0" w:color="auto"/>
      </w:divBdr>
    </w:div>
    <w:div w:id="705907916">
      <w:bodyDiv w:val="1"/>
      <w:marLeft w:val="0"/>
      <w:marRight w:val="0"/>
      <w:marTop w:val="0"/>
      <w:marBottom w:val="0"/>
      <w:divBdr>
        <w:top w:val="none" w:sz="0" w:space="0" w:color="auto"/>
        <w:left w:val="none" w:sz="0" w:space="0" w:color="auto"/>
        <w:bottom w:val="none" w:sz="0" w:space="0" w:color="auto"/>
        <w:right w:val="none" w:sz="0" w:space="0" w:color="auto"/>
      </w:divBdr>
    </w:div>
    <w:div w:id="801769137">
      <w:bodyDiv w:val="1"/>
      <w:marLeft w:val="0"/>
      <w:marRight w:val="0"/>
      <w:marTop w:val="0"/>
      <w:marBottom w:val="0"/>
      <w:divBdr>
        <w:top w:val="none" w:sz="0" w:space="0" w:color="auto"/>
        <w:left w:val="none" w:sz="0" w:space="0" w:color="auto"/>
        <w:bottom w:val="none" w:sz="0" w:space="0" w:color="auto"/>
        <w:right w:val="none" w:sz="0" w:space="0" w:color="auto"/>
      </w:divBdr>
    </w:div>
    <w:div w:id="823400609">
      <w:bodyDiv w:val="1"/>
      <w:marLeft w:val="0"/>
      <w:marRight w:val="0"/>
      <w:marTop w:val="0"/>
      <w:marBottom w:val="0"/>
      <w:divBdr>
        <w:top w:val="none" w:sz="0" w:space="0" w:color="auto"/>
        <w:left w:val="none" w:sz="0" w:space="0" w:color="auto"/>
        <w:bottom w:val="none" w:sz="0" w:space="0" w:color="auto"/>
        <w:right w:val="none" w:sz="0" w:space="0" w:color="auto"/>
      </w:divBdr>
    </w:div>
    <w:div w:id="840436131">
      <w:bodyDiv w:val="1"/>
      <w:marLeft w:val="0"/>
      <w:marRight w:val="0"/>
      <w:marTop w:val="0"/>
      <w:marBottom w:val="0"/>
      <w:divBdr>
        <w:top w:val="none" w:sz="0" w:space="0" w:color="auto"/>
        <w:left w:val="none" w:sz="0" w:space="0" w:color="auto"/>
        <w:bottom w:val="none" w:sz="0" w:space="0" w:color="auto"/>
        <w:right w:val="none" w:sz="0" w:space="0" w:color="auto"/>
      </w:divBdr>
    </w:div>
    <w:div w:id="922689209">
      <w:bodyDiv w:val="1"/>
      <w:marLeft w:val="0"/>
      <w:marRight w:val="0"/>
      <w:marTop w:val="0"/>
      <w:marBottom w:val="0"/>
      <w:divBdr>
        <w:top w:val="none" w:sz="0" w:space="0" w:color="auto"/>
        <w:left w:val="none" w:sz="0" w:space="0" w:color="auto"/>
        <w:bottom w:val="none" w:sz="0" w:space="0" w:color="auto"/>
        <w:right w:val="none" w:sz="0" w:space="0" w:color="auto"/>
      </w:divBdr>
    </w:div>
    <w:div w:id="968823989">
      <w:bodyDiv w:val="1"/>
      <w:marLeft w:val="0"/>
      <w:marRight w:val="0"/>
      <w:marTop w:val="0"/>
      <w:marBottom w:val="0"/>
      <w:divBdr>
        <w:top w:val="none" w:sz="0" w:space="0" w:color="auto"/>
        <w:left w:val="none" w:sz="0" w:space="0" w:color="auto"/>
        <w:bottom w:val="none" w:sz="0" w:space="0" w:color="auto"/>
        <w:right w:val="none" w:sz="0" w:space="0" w:color="auto"/>
      </w:divBdr>
    </w:div>
    <w:div w:id="1097362348">
      <w:bodyDiv w:val="1"/>
      <w:marLeft w:val="0"/>
      <w:marRight w:val="0"/>
      <w:marTop w:val="0"/>
      <w:marBottom w:val="0"/>
      <w:divBdr>
        <w:top w:val="none" w:sz="0" w:space="0" w:color="auto"/>
        <w:left w:val="none" w:sz="0" w:space="0" w:color="auto"/>
        <w:bottom w:val="none" w:sz="0" w:space="0" w:color="auto"/>
        <w:right w:val="none" w:sz="0" w:space="0" w:color="auto"/>
      </w:divBdr>
    </w:div>
    <w:div w:id="1122387347">
      <w:bodyDiv w:val="1"/>
      <w:marLeft w:val="0"/>
      <w:marRight w:val="0"/>
      <w:marTop w:val="0"/>
      <w:marBottom w:val="0"/>
      <w:divBdr>
        <w:top w:val="none" w:sz="0" w:space="0" w:color="auto"/>
        <w:left w:val="none" w:sz="0" w:space="0" w:color="auto"/>
        <w:bottom w:val="none" w:sz="0" w:space="0" w:color="auto"/>
        <w:right w:val="none" w:sz="0" w:space="0" w:color="auto"/>
      </w:divBdr>
    </w:div>
    <w:div w:id="1183397318">
      <w:bodyDiv w:val="1"/>
      <w:marLeft w:val="0"/>
      <w:marRight w:val="0"/>
      <w:marTop w:val="0"/>
      <w:marBottom w:val="0"/>
      <w:divBdr>
        <w:top w:val="none" w:sz="0" w:space="0" w:color="auto"/>
        <w:left w:val="none" w:sz="0" w:space="0" w:color="auto"/>
        <w:bottom w:val="none" w:sz="0" w:space="0" w:color="auto"/>
        <w:right w:val="none" w:sz="0" w:space="0" w:color="auto"/>
      </w:divBdr>
    </w:div>
    <w:div w:id="1211727120">
      <w:bodyDiv w:val="1"/>
      <w:marLeft w:val="0"/>
      <w:marRight w:val="0"/>
      <w:marTop w:val="0"/>
      <w:marBottom w:val="0"/>
      <w:divBdr>
        <w:top w:val="none" w:sz="0" w:space="0" w:color="auto"/>
        <w:left w:val="none" w:sz="0" w:space="0" w:color="auto"/>
        <w:bottom w:val="none" w:sz="0" w:space="0" w:color="auto"/>
        <w:right w:val="none" w:sz="0" w:space="0" w:color="auto"/>
      </w:divBdr>
    </w:div>
    <w:div w:id="1261646364">
      <w:bodyDiv w:val="1"/>
      <w:marLeft w:val="0"/>
      <w:marRight w:val="0"/>
      <w:marTop w:val="0"/>
      <w:marBottom w:val="0"/>
      <w:divBdr>
        <w:top w:val="none" w:sz="0" w:space="0" w:color="auto"/>
        <w:left w:val="none" w:sz="0" w:space="0" w:color="auto"/>
        <w:bottom w:val="none" w:sz="0" w:space="0" w:color="auto"/>
        <w:right w:val="none" w:sz="0" w:space="0" w:color="auto"/>
      </w:divBdr>
    </w:div>
    <w:div w:id="1288046777">
      <w:bodyDiv w:val="1"/>
      <w:marLeft w:val="0"/>
      <w:marRight w:val="0"/>
      <w:marTop w:val="0"/>
      <w:marBottom w:val="0"/>
      <w:divBdr>
        <w:top w:val="none" w:sz="0" w:space="0" w:color="auto"/>
        <w:left w:val="none" w:sz="0" w:space="0" w:color="auto"/>
        <w:bottom w:val="none" w:sz="0" w:space="0" w:color="auto"/>
        <w:right w:val="none" w:sz="0" w:space="0" w:color="auto"/>
      </w:divBdr>
    </w:div>
    <w:div w:id="1447457885">
      <w:bodyDiv w:val="1"/>
      <w:marLeft w:val="0"/>
      <w:marRight w:val="0"/>
      <w:marTop w:val="0"/>
      <w:marBottom w:val="0"/>
      <w:divBdr>
        <w:top w:val="none" w:sz="0" w:space="0" w:color="auto"/>
        <w:left w:val="none" w:sz="0" w:space="0" w:color="auto"/>
        <w:bottom w:val="none" w:sz="0" w:space="0" w:color="auto"/>
        <w:right w:val="none" w:sz="0" w:space="0" w:color="auto"/>
      </w:divBdr>
    </w:div>
    <w:div w:id="1512452510">
      <w:bodyDiv w:val="1"/>
      <w:marLeft w:val="0"/>
      <w:marRight w:val="0"/>
      <w:marTop w:val="0"/>
      <w:marBottom w:val="0"/>
      <w:divBdr>
        <w:top w:val="none" w:sz="0" w:space="0" w:color="auto"/>
        <w:left w:val="none" w:sz="0" w:space="0" w:color="auto"/>
        <w:bottom w:val="none" w:sz="0" w:space="0" w:color="auto"/>
        <w:right w:val="none" w:sz="0" w:space="0" w:color="auto"/>
      </w:divBdr>
    </w:div>
    <w:div w:id="1562668702">
      <w:bodyDiv w:val="1"/>
      <w:marLeft w:val="0"/>
      <w:marRight w:val="0"/>
      <w:marTop w:val="0"/>
      <w:marBottom w:val="0"/>
      <w:divBdr>
        <w:top w:val="none" w:sz="0" w:space="0" w:color="auto"/>
        <w:left w:val="none" w:sz="0" w:space="0" w:color="auto"/>
        <w:bottom w:val="none" w:sz="0" w:space="0" w:color="auto"/>
        <w:right w:val="none" w:sz="0" w:space="0" w:color="auto"/>
      </w:divBdr>
    </w:div>
    <w:div w:id="1598709816">
      <w:bodyDiv w:val="1"/>
      <w:marLeft w:val="0"/>
      <w:marRight w:val="0"/>
      <w:marTop w:val="0"/>
      <w:marBottom w:val="0"/>
      <w:divBdr>
        <w:top w:val="none" w:sz="0" w:space="0" w:color="auto"/>
        <w:left w:val="none" w:sz="0" w:space="0" w:color="auto"/>
        <w:bottom w:val="none" w:sz="0" w:space="0" w:color="auto"/>
        <w:right w:val="none" w:sz="0" w:space="0" w:color="auto"/>
      </w:divBdr>
    </w:div>
    <w:div w:id="1783764968">
      <w:bodyDiv w:val="1"/>
      <w:marLeft w:val="0"/>
      <w:marRight w:val="0"/>
      <w:marTop w:val="0"/>
      <w:marBottom w:val="0"/>
      <w:divBdr>
        <w:top w:val="none" w:sz="0" w:space="0" w:color="auto"/>
        <w:left w:val="none" w:sz="0" w:space="0" w:color="auto"/>
        <w:bottom w:val="none" w:sz="0" w:space="0" w:color="auto"/>
        <w:right w:val="none" w:sz="0" w:space="0" w:color="auto"/>
      </w:divBdr>
    </w:div>
    <w:div w:id="2054304201">
      <w:bodyDiv w:val="1"/>
      <w:marLeft w:val="0"/>
      <w:marRight w:val="0"/>
      <w:marTop w:val="0"/>
      <w:marBottom w:val="0"/>
      <w:divBdr>
        <w:top w:val="none" w:sz="0" w:space="0" w:color="auto"/>
        <w:left w:val="none" w:sz="0" w:space="0" w:color="auto"/>
        <w:bottom w:val="none" w:sz="0" w:space="0" w:color="auto"/>
        <w:right w:val="none" w:sz="0" w:space="0" w:color="auto"/>
      </w:divBdr>
    </w:div>
    <w:div w:id="20587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gov.au/government/managing-commonwealth-resources/annual-reports-non-corporate-commonwealth-entities-rmg-135"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inance.gov.au/sites/default/files/2023-11/Net_Zero_Government_Operations_Strategy.pdf" TargetMode="External"/><Relationship Id="rId7" Type="http://schemas.openxmlformats.org/officeDocument/2006/relationships/settings" Target="settings.xml"/><Relationship Id="rId12" Type="http://schemas.openxmlformats.org/officeDocument/2006/relationships/hyperlink" Target="https://www.legislation.gov.au/C2004A00485/latest/text/2" TargetMode="External"/><Relationship Id="rId17" Type="http://schemas.openxmlformats.org/officeDocument/2006/relationships/hyperlink" Target="https://www.dss.gov.au/about-the-department/publications-articles/corporate-publications/annual-repor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nance.gov.au/government/climate-action-government-operations/australian-government-emissions-reporting" TargetMode="External"/><Relationship Id="rId20" Type="http://schemas.openxmlformats.org/officeDocument/2006/relationships/hyperlink" Target="https://www.finance.gov.au/government/climate-action-government-operations/aps-net-zero-emissions-20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inance.gov.au/government/climate-action-government-operations/commonwealth-climate-disclosure-pilo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government/climate-action-government-operations/aps-net-zero-emissions-2030" TargetMode="External"/><Relationship Id="rId22" Type="http://schemas.openxmlformats.org/officeDocument/2006/relationships/hyperlink" Target="mailto:netzero@dss.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dcceew.gov.au/environment/protection/waste/sustainable-procurement/sustainable-procurement-guide" TargetMode="External"/><Relationship Id="rId2" Type="http://schemas.openxmlformats.org/officeDocument/2006/relationships/hyperlink" Target="https://www.finance.gov.au/government/procurement/vehicle-leasing-fleet-management/commonwealth-fleet-vehicle-selection-policy" TargetMode="External"/><Relationship Id="rId1" Type="http://schemas.openxmlformats.org/officeDocument/2006/relationships/hyperlink" Target="https://www.finance.gov.au/government/climate-action-government-operations/aps-net-zero-emissions-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20A4%20Policy%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34B942B-7D0A-4412-A1C8-A9D9462C0F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15C6A4245B3C45846A8756F935115C" ma:contentTypeVersion="" ma:contentTypeDescription="PDMS Document Site Content Type" ma:contentTypeScope="" ma:versionID="51e2b07d193b3a656e7addc6cbaec3b1">
  <xsd:schema xmlns:xsd="http://www.w3.org/2001/XMLSchema" xmlns:xs="http://www.w3.org/2001/XMLSchema" xmlns:p="http://schemas.microsoft.com/office/2006/metadata/properties" xmlns:ns2="A34B942B-7D0A-4412-A1C8-A9D9462C0F5F" targetNamespace="http://schemas.microsoft.com/office/2006/metadata/properties" ma:root="true" ma:fieldsID="66616be8e0cdfa2293fbfa4a7b86700c" ns2:_="">
    <xsd:import namespace="A34B942B-7D0A-4412-A1C8-A9D9462C0F5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B942B-7D0A-4412-A1C8-A9D9462C0F5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C7FF0805-8667-45D7-95D9-44969E3FC5C2}">
  <ds:schemaRefs>
    <ds:schemaRef ds:uri="http://schemas.openxmlformats.org/officeDocument/2006/bibliography"/>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A34B942B-7D0A-4412-A1C8-A9D9462C0F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C152C0E-9C5B-4C7E-81DB-9DC1F8EAB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B942B-7D0A-4412-A1C8-A9D9462C0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 A4 Policy Template.dotx</Template>
  <TotalTime>0</TotalTime>
  <Pages>13</Pages>
  <Words>2280</Words>
  <Characters>13785</Characters>
  <Application>Microsoft Office Word</Application>
  <DocSecurity>4</DocSecurity>
  <Lines>447</Lines>
  <Paragraphs>265</Paragraphs>
  <ScaleCrop>false</ScaleCrop>
  <HeadingPairs>
    <vt:vector size="2" baseType="variant">
      <vt:variant>
        <vt:lpstr>Title</vt:lpstr>
      </vt:variant>
      <vt:variant>
        <vt:i4>1</vt:i4>
      </vt:variant>
    </vt:vector>
  </HeadingPairs>
  <TitlesOfParts>
    <vt:vector size="1" baseType="lpstr">
      <vt:lpstr>DSS Policy Template</vt:lpstr>
    </vt:vector>
  </TitlesOfParts>
  <Company>Department of Social Services</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Social Services Emissions Reduction Plan</dc:title>
  <dc:creator>LEY, Sian</dc:creator>
  <cp:keywords>[SEC=OFFICIAL]</cp:keywords>
  <cp:lastModifiedBy>Vicky MILLER</cp:lastModifiedBy>
  <cp:revision>2</cp:revision>
  <cp:lastPrinted>2024-07-19T06:47:00Z</cp:lastPrinted>
  <dcterms:created xsi:type="dcterms:W3CDTF">2024-08-08T02:18:00Z</dcterms:created>
  <dcterms:modified xsi:type="dcterms:W3CDTF">2024-08-08T02:18:00Z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2024-03-07T03:01:32Z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831EAD46C54F6E7D19644DE6D530EF8D</vt:lpwstr>
  </property>
  <property fmtid="{D5CDD505-2E9C-101B-9397-08002B2CF9AE}" pid="21" name="PM_Hash_Salt">
    <vt:lpwstr>4F9FBFC30FC3761C057F0E28618E4CB4</vt:lpwstr>
  </property>
  <property fmtid="{D5CDD505-2E9C-101B-9397-08002B2CF9AE}" pid="22" name="PM_Hash_SHA1">
    <vt:lpwstr>292FC76EEA6AA2D1F912E18A9D9AF3838F23AC30</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0x010100266966F133664895A6EE3632470D45F5004815C6A4245B3C45846A8756F935115C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2024-03-07T03:01:32Z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290a4e40154e4f879eb0a41f4bca70cd</vt:lpwstr>
  </property>
  <property fmtid="{D5CDD505-2E9C-101B-9397-08002B2CF9AE}" pid="35" name="MSIP_Label_eb34d90b-fc41-464d-af60-f74d721d0790_ContentBits">
    <vt:lpwstr>0</vt:lpwstr>
  </property>
  <property fmtid="{D5CDD505-2E9C-101B-9397-08002B2CF9AE}" pid="36" name="PMHMAC">
    <vt:lpwstr>v=2022.1;a=SHA256;h=18BC2A78B1867F8E9B834F3CCC19FECA2DBB03A4447015B79CC25C10C6F2B50D</vt:lpwstr>
  </property>
  <property fmtid="{D5CDD505-2E9C-101B-9397-08002B2CF9AE}" pid="37" name="PMUuid">
    <vt:lpwstr>v=2022.2;d=gov.au;g=46DD6D7C-8107-577B-BC6E-F348953B2E44</vt:lpwstr>
  </property>
</Properties>
</file>