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E7" w:rsidRDefault="001777E7" w:rsidP="001777E7">
      <w:pPr>
        <w:pStyle w:val="Header"/>
        <w:tabs>
          <w:tab w:val="clear" w:pos="4153"/>
          <w:tab w:val="clear" w:pos="8306"/>
          <w:tab w:val="right" w:pos="9639"/>
        </w:tabs>
        <w:spacing w:after="0"/>
        <w:contextualSpacing w:val="0"/>
        <w:jc w:val="right"/>
        <w:rPr>
          <w:rFonts w:ascii="Arial" w:hAnsi="Arial"/>
          <w:noProof/>
          <w:color w:val="auto"/>
        </w:rPr>
      </w:pPr>
      <w:bookmarkStart w:id="0" w:name="_GoBack"/>
      <w:bookmarkEnd w:id="0"/>
      <w:r w:rsidRPr="00901FB7">
        <w:rPr>
          <w:rFonts w:ascii="Arial" w:hAnsi="Arial"/>
          <w:noProof/>
          <w:color w:val="auto"/>
        </w:rPr>
        <w:t>Dat</w:t>
      </w:r>
      <w:r>
        <w:rPr>
          <w:rFonts w:ascii="Arial" w:hAnsi="Arial"/>
          <w:noProof/>
          <w:color w:val="auto"/>
        </w:rPr>
        <w:t>a highlight: No. 4/201</w:t>
      </w:r>
      <w:r w:rsidR="004F3F0F">
        <w:rPr>
          <w:rFonts w:ascii="Arial" w:hAnsi="Arial"/>
          <w:noProof/>
          <w:color w:val="auto"/>
        </w:rPr>
        <w:t>6</w:t>
      </w:r>
    </w:p>
    <w:p w:rsidR="001777E7" w:rsidRPr="00A4771E" w:rsidRDefault="001777E7" w:rsidP="001777E7">
      <w:pPr>
        <w:pStyle w:val="Header"/>
        <w:tabs>
          <w:tab w:val="clear" w:pos="4153"/>
          <w:tab w:val="clear" w:pos="8306"/>
          <w:tab w:val="right" w:pos="9639"/>
        </w:tabs>
        <w:spacing w:after="0"/>
        <w:contextualSpacing w:val="0"/>
        <w:jc w:val="right"/>
        <w:rPr>
          <w:rFonts w:ascii="Arial" w:hAnsi="Arial"/>
          <w:noProof/>
          <w:color w:val="auto"/>
        </w:rPr>
      </w:pPr>
    </w:p>
    <w:p w:rsidR="001777E7" w:rsidRPr="00A4771E" w:rsidRDefault="001777E7" w:rsidP="001777E7">
      <w:pPr>
        <w:pStyle w:val="Title"/>
        <w:pBdr>
          <w:bottom w:val="none" w:sz="0" w:space="0" w:color="auto"/>
        </w:pBdr>
        <w:spacing w:after="0"/>
        <w:outlineLvl w:val="0"/>
        <w:rPr>
          <w:rFonts w:ascii="Georgia" w:eastAsia="Times New Roman" w:hAnsi="Georgia" w:cs="Arial"/>
          <w:b/>
          <w:bCs/>
          <w:color w:val="500778"/>
          <w:spacing w:val="-4"/>
          <w:kern w:val="28"/>
          <w:sz w:val="32"/>
          <w:szCs w:val="32"/>
        </w:rPr>
      </w:pPr>
      <w:r w:rsidRPr="00A4771E">
        <w:rPr>
          <w:rFonts w:ascii="Georgia" w:eastAsia="Times New Roman" w:hAnsi="Georgia" w:cs="Arial"/>
          <w:b/>
          <w:bCs/>
          <w:color w:val="500778"/>
          <w:spacing w:val="-4"/>
          <w:kern w:val="28"/>
          <w:sz w:val="32"/>
          <w:szCs w:val="32"/>
        </w:rPr>
        <w:t>Strengths and problems in Indigenous children’s communities</w:t>
      </w:r>
    </w:p>
    <w:p w:rsidR="001777E7" w:rsidRPr="00A4771E" w:rsidRDefault="001777E7" w:rsidP="001777E7">
      <w:pPr>
        <w:spacing w:after="0" w:line="276" w:lineRule="auto"/>
        <w:jc w:val="both"/>
        <w:rPr>
          <w:color w:val="500778"/>
        </w:rPr>
      </w:pPr>
      <w:r w:rsidRPr="00A4771E">
        <w:rPr>
          <w:color w:val="500778"/>
        </w:rPr>
        <w:t>Deborah Kikkawa</w:t>
      </w:r>
    </w:p>
    <w:p w:rsidR="001777E7" w:rsidRPr="008371F5" w:rsidRDefault="001777E7" w:rsidP="001777E7">
      <w:pPr>
        <w:spacing w:before="0" w:after="0" w:line="240" w:lineRule="auto"/>
        <w:jc w:val="both"/>
      </w:pPr>
    </w:p>
    <w:p w:rsidR="001777E7" w:rsidRDefault="001777E7" w:rsidP="001777E7">
      <w:pPr>
        <w:spacing w:before="0" w:after="0" w:line="240" w:lineRule="auto"/>
        <w:jc w:val="both"/>
      </w:pPr>
      <w:r>
        <w:t xml:space="preserve">In 2012 (Wave 5) of </w:t>
      </w:r>
      <w:r w:rsidRPr="007A6D0C">
        <w:rPr>
          <w:i/>
        </w:rPr>
        <w:t>Footprints in Time</w:t>
      </w:r>
      <w:r>
        <w:t xml:space="preserve">: </w:t>
      </w:r>
      <w:r w:rsidR="00DC5450">
        <w:t>T</w:t>
      </w:r>
      <w:r>
        <w:t xml:space="preserve">he Longitudinal Study of Indigenous Children (LSIC) primary carers were asked about their level of satisfaction with various aspects of their lives including the neighbourhood in which they lived and feeling part of their community. The majority of primary carers were satisfied, with average scores of 8.1 and 7.6 out of 10 respectively. Nearly 55 per cent rated their satisfaction with their neighbourhood as nine or ten and just over 46 per cent rated their satisfaction with feeling part of the community as a nine or ten. </w:t>
      </w:r>
    </w:p>
    <w:p w:rsidR="001777E7" w:rsidRDefault="001777E7" w:rsidP="001777E7">
      <w:pPr>
        <w:spacing w:before="0" w:after="0" w:line="240" w:lineRule="auto"/>
        <w:jc w:val="both"/>
      </w:pPr>
    </w:p>
    <w:p w:rsidR="001777E7" w:rsidRDefault="001777E7" w:rsidP="001777E7">
      <w:pPr>
        <w:spacing w:before="0" w:after="0" w:line="240" w:lineRule="auto"/>
        <w:jc w:val="both"/>
      </w:pPr>
      <w:r>
        <w:t xml:space="preserve">In 2013 (Wave 6) primary carers were re-asked whether they thought their communities were safe, had places for children to play and were good for young children. Wave 6 responses are similar to those in previous waves. </w:t>
      </w:r>
    </w:p>
    <w:p w:rsidR="001777E7" w:rsidRPr="00A4771E" w:rsidRDefault="001777E7" w:rsidP="001777E7">
      <w:pPr>
        <w:spacing w:before="0" w:after="0" w:line="240" w:lineRule="auto"/>
        <w:jc w:val="both"/>
      </w:pPr>
    </w:p>
    <w:p w:rsidR="001777E7" w:rsidRPr="008371F5" w:rsidRDefault="001777E7" w:rsidP="001777E7">
      <w:pPr>
        <w:spacing w:before="0" w:after="0" w:line="240" w:lineRule="auto"/>
        <w:rPr>
          <w:b/>
        </w:rPr>
      </w:pPr>
      <w:r w:rsidRPr="008371F5">
        <w:rPr>
          <w:b/>
        </w:rPr>
        <w:t xml:space="preserve">Table 1: Characteristics of </w:t>
      </w:r>
      <w:r>
        <w:rPr>
          <w:b/>
        </w:rPr>
        <w:t xml:space="preserve">LSIC </w:t>
      </w:r>
      <w:r w:rsidRPr="008371F5">
        <w:rPr>
          <w:b/>
        </w:rPr>
        <w:t xml:space="preserve">communities in </w:t>
      </w:r>
      <w:r>
        <w:rPr>
          <w:b/>
        </w:rPr>
        <w:t>W</w:t>
      </w:r>
      <w:r w:rsidRPr="008371F5">
        <w:rPr>
          <w:b/>
        </w:rPr>
        <w:t>ave 6, per cent</w:t>
      </w:r>
    </w:p>
    <w:tbl>
      <w:tblPr>
        <w:tblStyle w:val="TableGrid"/>
        <w:tblW w:w="0" w:type="auto"/>
        <w:shd w:val="clear" w:color="auto" w:fill="FFFF00"/>
        <w:tblLook w:val="04A0" w:firstRow="1" w:lastRow="0" w:firstColumn="1" w:lastColumn="0" w:noHBand="0" w:noVBand="1"/>
        <w:tblCaption w:val="Characteristics of communities in Wave 6 in percent"/>
        <w:tblDescription w:val="This table shows, in percentages, the responses from respondents when asked if their community was considered to be a good community for little kids, whether it was a good place to stay or if it was a safe community."/>
      </w:tblPr>
      <w:tblGrid>
        <w:gridCol w:w="4395"/>
        <w:gridCol w:w="1984"/>
        <w:gridCol w:w="1701"/>
        <w:gridCol w:w="1418"/>
      </w:tblGrid>
      <w:tr w:rsidR="001777E7" w:rsidTr="007A0169">
        <w:trPr>
          <w:trHeight w:val="612"/>
          <w:tblHeader/>
        </w:trPr>
        <w:tc>
          <w:tcPr>
            <w:tcW w:w="4395" w:type="dxa"/>
            <w:shd w:val="clear" w:color="auto" w:fill="005A70"/>
          </w:tcPr>
          <w:p w:rsidR="001777E7" w:rsidRPr="007A0169" w:rsidRDefault="001777E7" w:rsidP="00042D46">
            <w:pPr>
              <w:spacing w:before="0" w:after="0"/>
              <w:jc w:val="both"/>
              <w:rPr>
                <w:b/>
                <w:color w:val="FFFFFF" w:themeColor="background1"/>
              </w:rPr>
            </w:pPr>
            <w:r w:rsidRPr="007A0169">
              <w:rPr>
                <w:b/>
                <w:color w:val="FFFFFF" w:themeColor="background1"/>
              </w:rPr>
              <w:t>Response</w:t>
            </w:r>
          </w:p>
        </w:tc>
        <w:tc>
          <w:tcPr>
            <w:tcW w:w="1984" w:type="dxa"/>
            <w:shd w:val="clear" w:color="auto" w:fill="005A70"/>
          </w:tcPr>
          <w:p w:rsidR="001777E7" w:rsidRPr="007A0169" w:rsidRDefault="001777E7" w:rsidP="00042D46">
            <w:pPr>
              <w:spacing w:before="0" w:after="0"/>
              <w:rPr>
                <w:b/>
                <w:color w:val="FFFFFF" w:themeColor="background1"/>
              </w:rPr>
            </w:pPr>
            <w:r w:rsidRPr="007A0169">
              <w:rPr>
                <w:b/>
                <w:color w:val="FFFFFF" w:themeColor="background1"/>
              </w:rPr>
              <w:t>Good community for little kids</w:t>
            </w:r>
          </w:p>
        </w:tc>
        <w:tc>
          <w:tcPr>
            <w:tcW w:w="1701" w:type="dxa"/>
            <w:shd w:val="clear" w:color="auto" w:fill="005A70"/>
          </w:tcPr>
          <w:p w:rsidR="001777E7" w:rsidRPr="007A0169" w:rsidRDefault="001777E7" w:rsidP="00042D46">
            <w:pPr>
              <w:spacing w:before="0" w:after="0"/>
              <w:rPr>
                <w:b/>
                <w:color w:val="FFFFFF" w:themeColor="background1"/>
              </w:rPr>
            </w:pPr>
            <w:r w:rsidRPr="007A0169">
              <w:rPr>
                <w:b/>
                <w:color w:val="FFFFFF" w:themeColor="background1"/>
              </w:rPr>
              <w:t>Good places to play</w:t>
            </w:r>
          </w:p>
        </w:tc>
        <w:tc>
          <w:tcPr>
            <w:tcW w:w="1418" w:type="dxa"/>
            <w:shd w:val="clear" w:color="auto" w:fill="005A70"/>
          </w:tcPr>
          <w:p w:rsidR="001777E7" w:rsidRPr="007A0169" w:rsidRDefault="001777E7" w:rsidP="00042D46">
            <w:pPr>
              <w:spacing w:before="0" w:after="0"/>
              <w:rPr>
                <w:b/>
                <w:color w:val="FFFFFF" w:themeColor="background1"/>
              </w:rPr>
            </w:pPr>
            <w:r w:rsidRPr="007A0169">
              <w:rPr>
                <w:b/>
                <w:color w:val="FFFFFF" w:themeColor="background1"/>
              </w:rPr>
              <w:t>Safe community</w:t>
            </w:r>
          </w:p>
        </w:tc>
      </w:tr>
      <w:tr w:rsidR="001777E7" w:rsidTr="007A0169">
        <w:trPr>
          <w:trHeight w:val="283"/>
        </w:trPr>
        <w:tc>
          <w:tcPr>
            <w:tcW w:w="4395" w:type="dxa"/>
            <w:shd w:val="clear" w:color="auto" w:fill="auto"/>
            <w:vAlign w:val="center"/>
          </w:tcPr>
          <w:p w:rsidR="001777E7" w:rsidRDefault="001777E7" w:rsidP="00042D46">
            <w:pPr>
              <w:spacing w:before="0" w:after="0"/>
            </w:pPr>
            <w:r>
              <w:t>Very good / lots of places / very safe</w:t>
            </w:r>
          </w:p>
        </w:tc>
        <w:tc>
          <w:tcPr>
            <w:tcW w:w="1984" w:type="dxa"/>
            <w:shd w:val="clear" w:color="auto" w:fill="auto"/>
            <w:vAlign w:val="center"/>
          </w:tcPr>
          <w:p w:rsidR="001777E7" w:rsidRDefault="001777E7" w:rsidP="00042D46">
            <w:pPr>
              <w:spacing w:before="0" w:after="0"/>
            </w:pPr>
            <w:r>
              <w:t>35.2</w:t>
            </w:r>
          </w:p>
        </w:tc>
        <w:tc>
          <w:tcPr>
            <w:tcW w:w="1701" w:type="dxa"/>
            <w:shd w:val="clear" w:color="auto" w:fill="auto"/>
            <w:vAlign w:val="center"/>
          </w:tcPr>
          <w:p w:rsidR="001777E7" w:rsidRDefault="001777E7" w:rsidP="00042D46">
            <w:pPr>
              <w:spacing w:before="0" w:after="0"/>
            </w:pPr>
            <w:r>
              <w:t>23.0</w:t>
            </w:r>
          </w:p>
        </w:tc>
        <w:tc>
          <w:tcPr>
            <w:tcW w:w="1418" w:type="dxa"/>
            <w:shd w:val="clear" w:color="auto" w:fill="auto"/>
            <w:vAlign w:val="center"/>
          </w:tcPr>
          <w:p w:rsidR="001777E7" w:rsidRDefault="001777E7" w:rsidP="00042D46">
            <w:pPr>
              <w:spacing w:before="0" w:after="0"/>
            </w:pPr>
            <w:r>
              <w:t>20.2</w:t>
            </w:r>
          </w:p>
        </w:tc>
      </w:tr>
      <w:tr w:rsidR="001777E7" w:rsidTr="007A0169">
        <w:trPr>
          <w:trHeight w:val="283"/>
        </w:trPr>
        <w:tc>
          <w:tcPr>
            <w:tcW w:w="4395" w:type="dxa"/>
            <w:shd w:val="clear" w:color="auto" w:fill="auto"/>
            <w:vAlign w:val="center"/>
          </w:tcPr>
          <w:p w:rsidR="001777E7" w:rsidRDefault="001777E7" w:rsidP="00042D46">
            <w:pPr>
              <w:spacing w:before="0" w:after="0"/>
            </w:pPr>
            <w:r>
              <w:t>Good / Few place that are good / quite safe</w:t>
            </w:r>
          </w:p>
        </w:tc>
        <w:tc>
          <w:tcPr>
            <w:tcW w:w="1984" w:type="dxa"/>
            <w:shd w:val="clear" w:color="auto" w:fill="auto"/>
            <w:vAlign w:val="center"/>
          </w:tcPr>
          <w:p w:rsidR="001777E7" w:rsidRDefault="001777E7" w:rsidP="00042D46">
            <w:pPr>
              <w:spacing w:before="0" w:after="0"/>
            </w:pPr>
            <w:r>
              <w:t>34.0</w:t>
            </w:r>
          </w:p>
        </w:tc>
        <w:tc>
          <w:tcPr>
            <w:tcW w:w="1701" w:type="dxa"/>
            <w:shd w:val="clear" w:color="auto" w:fill="auto"/>
            <w:vAlign w:val="center"/>
          </w:tcPr>
          <w:p w:rsidR="001777E7" w:rsidRDefault="001777E7" w:rsidP="00042D46">
            <w:pPr>
              <w:spacing w:before="0" w:after="0"/>
            </w:pPr>
            <w:r>
              <w:t>28.7</w:t>
            </w:r>
          </w:p>
        </w:tc>
        <w:tc>
          <w:tcPr>
            <w:tcW w:w="1418" w:type="dxa"/>
            <w:shd w:val="clear" w:color="auto" w:fill="auto"/>
            <w:vAlign w:val="center"/>
          </w:tcPr>
          <w:p w:rsidR="001777E7" w:rsidRDefault="001777E7" w:rsidP="00042D46">
            <w:pPr>
              <w:spacing w:before="0" w:after="0"/>
            </w:pPr>
            <w:r>
              <w:t>41.0</w:t>
            </w:r>
          </w:p>
        </w:tc>
      </w:tr>
      <w:tr w:rsidR="001777E7" w:rsidTr="007A0169">
        <w:trPr>
          <w:trHeight w:val="283"/>
        </w:trPr>
        <w:tc>
          <w:tcPr>
            <w:tcW w:w="4395" w:type="dxa"/>
            <w:shd w:val="clear" w:color="auto" w:fill="auto"/>
            <w:vAlign w:val="center"/>
          </w:tcPr>
          <w:p w:rsidR="001777E7" w:rsidRDefault="001777E7" w:rsidP="00042D46">
            <w:pPr>
              <w:spacing w:before="0" w:after="0"/>
            </w:pPr>
            <w:r>
              <w:t>Okay / some places are good / okay</w:t>
            </w:r>
          </w:p>
        </w:tc>
        <w:tc>
          <w:tcPr>
            <w:tcW w:w="1984" w:type="dxa"/>
            <w:shd w:val="clear" w:color="auto" w:fill="auto"/>
            <w:vAlign w:val="center"/>
          </w:tcPr>
          <w:p w:rsidR="001777E7" w:rsidRDefault="001777E7" w:rsidP="00042D46">
            <w:pPr>
              <w:spacing w:before="0" w:after="0"/>
            </w:pPr>
            <w:r>
              <w:t>19.6</w:t>
            </w:r>
          </w:p>
        </w:tc>
        <w:tc>
          <w:tcPr>
            <w:tcW w:w="1701" w:type="dxa"/>
            <w:shd w:val="clear" w:color="auto" w:fill="auto"/>
            <w:vAlign w:val="center"/>
          </w:tcPr>
          <w:p w:rsidR="001777E7" w:rsidRDefault="001777E7" w:rsidP="00042D46">
            <w:pPr>
              <w:spacing w:before="0" w:after="0"/>
            </w:pPr>
            <w:r>
              <w:t>26.5</w:t>
            </w:r>
          </w:p>
        </w:tc>
        <w:tc>
          <w:tcPr>
            <w:tcW w:w="1418" w:type="dxa"/>
            <w:shd w:val="clear" w:color="auto" w:fill="auto"/>
            <w:vAlign w:val="center"/>
          </w:tcPr>
          <w:p w:rsidR="001777E7" w:rsidRDefault="001777E7" w:rsidP="00042D46">
            <w:pPr>
              <w:spacing w:before="0" w:after="0"/>
            </w:pPr>
            <w:r>
              <w:t>27.0</w:t>
            </w:r>
          </w:p>
        </w:tc>
      </w:tr>
      <w:tr w:rsidR="001777E7" w:rsidTr="007A0169">
        <w:trPr>
          <w:trHeight w:val="283"/>
        </w:trPr>
        <w:tc>
          <w:tcPr>
            <w:tcW w:w="4395" w:type="dxa"/>
            <w:shd w:val="clear" w:color="auto" w:fill="auto"/>
            <w:vAlign w:val="center"/>
          </w:tcPr>
          <w:p w:rsidR="001777E7" w:rsidRDefault="001777E7" w:rsidP="00042D46">
            <w:pPr>
              <w:spacing w:before="0" w:after="0"/>
            </w:pPr>
            <w:r>
              <w:t>Not so good / not many / not very safe</w:t>
            </w:r>
          </w:p>
        </w:tc>
        <w:tc>
          <w:tcPr>
            <w:tcW w:w="1984" w:type="dxa"/>
            <w:shd w:val="clear" w:color="auto" w:fill="auto"/>
            <w:vAlign w:val="center"/>
          </w:tcPr>
          <w:p w:rsidR="001777E7" w:rsidRDefault="001777E7" w:rsidP="00042D46">
            <w:pPr>
              <w:spacing w:before="0" w:after="0"/>
            </w:pPr>
            <w:r>
              <w:t>8.6</w:t>
            </w:r>
          </w:p>
        </w:tc>
        <w:tc>
          <w:tcPr>
            <w:tcW w:w="1701" w:type="dxa"/>
            <w:shd w:val="clear" w:color="auto" w:fill="auto"/>
            <w:vAlign w:val="center"/>
          </w:tcPr>
          <w:p w:rsidR="001777E7" w:rsidRDefault="001777E7" w:rsidP="00042D46">
            <w:pPr>
              <w:spacing w:before="0" w:after="0"/>
            </w:pPr>
            <w:r>
              <w:t>16.2</w:t>
            </w:r>
          </w:p>
        </w:tc>
        <w:tc>
          <w:tcPr>
            <w:tcW w:w="1418" w:type="dxa"/>
            <w:shd w:val="clear" w:color="auto" w:fill="auto"/>
            <w:vAlign w:val="center"/>
          </w:tcPr>
          <w:p w:rsidR="001777E7" w:rsidRDefault="001777E7" w:rsidP="00042D46">
            <w:pPr>
              <w:spacing w:before="0" w:after="0"/>
            </w:pPr>
            <w:r>
              <w:t>10.5</w:t>
            </w:r>
          </w:p>
        </w:tc>
      </w:tr>
      <w:tr w:rsidR="001777E7" w:rsidTr="007A0169">
        <w:trPr>
          <w:trHeight w:val="283"/>
        </w:trPr>
        <w:tc>
          <w:tcPr>
            <w:tcW w:w="4395" w:type="dxa"/>
            <w:shd w:val="clear" w:color="auto" w:fill="auto"/>
            <w:vAlign w:val="center"/>
          </w:tcPr>
          <w:p w:rsidR="001777E7" w:rsidRDefault="001777E7" w:rsidP="00042D46">
            <w:pPr>
              <w:spacing w:before="0" w:after="0"/>
            </w:pPr>
            <w:r>
              <w:t>Really bad / none / dangerous</w:t>
            </w:r>
          </w:p>
        </w:tc>
        <w:tc>
          <w:tcPr>
            <w:tcW w:w="1984" w:type="dxa"/>
            <w:shd w:val="clear" w:color="auto" w:fill="auto"/>
            <w:vAlign w:val="center"/>
          </w:tcPr>
          <w:p w:rsidR="001777E7" w:rsidRDefault="001777E7" w:rsidP="00042D46">
            <w:pPr>
              <w:spacing w:before="0" w:after="0"/>
            </w:pPr>
            <w:r>
              <w:t>2.6</w:t>
            </w:r>
          </w:p>
        </w:tc>
        <w:tc>
          <w:tcPr>
            <w:tcW w:w="1701" w:type="dxa"/>
            <w:shd w:val="clear" w:color="auto" w:fill="auto"/>
            <w:vAlign w:val="center"/>
          </w:tcPr>
          <w:p w:rsidR="001777E7" w:rsidRDefault="001777E7" w:rsidP="00042D46">
            <w:pPr>
              <w:spacing w:before="0" w:after="0"/>
            </w:pPr>
            <w:r>
              <w:t>5.6</w:t>
            </w:r>
          </w:p>
        </w:tc>
        <w:tc>
          <w:tcPr>
            <w:tcW w:w="1418" w:type="dxa"/>
            <w:shd w:val="clear" w:color="auto" w:fill="auto"/>
            <w:vAlign w:val="center"/>
          </w:tcPr>
          <w:p w:rsidR="001777E7" w:rsidRDefault="001777E7" w:rsidP="00042D46">
            <w:pPr>
              <w:spacing w:before="0" w:after="0"/>
            </w:pPr>
            <w:r>
              <w:t>1.2</w:t>
            </w:r>
          </w:p>
        </w:tc>
      </w:tr>
    </w:tbl>
    <w:p w:rsidR="001777E7" w:rsidRDefault="001777E7" w:rsidP="001777E7">
      <w:pPr>
        <w:spacing w:before="0" w:after="0" w:line="240" w:lineRule="auto"/>
      </w:pPr>
    </w:p>
    <w:p w:rsidR="001777E7" w:rsidRDefault="001777E7" w:rsidP="001777E7">
      <w:pPr>
        <w:spacing w:before="0" w:after="0" w:line="240" w:lineRule="auto"/>
        <w:jc w:val="both"/>
      </w:pPr>
      <w:r>
        <w:t>While most primary carers were satisfied that their community was a good place for young children, fewer agree</w:t>
      </w:r>
      <w:r w:rsidR="00DC5450">
        <w:t>d</w:t>
      </w:r>
      <w:r>
        <w:t xml:space="preserve"> that the</w:t>
      </w:r>
      <w:r w:rsidR="00DC5450">
        <w:t>ir</w:t>
      </w:r>
      <w:r>
        <w:t xml:space="preserve"> communit</w:t>
      </w:r>
      <w:r w:rsidR="00DC5450">
        <w:t>y</w:t>
      </w:r>
      <w:r>
        <w:t xml:space="preserve"> w</w:t>
      </w:r>
      <w:r w:rsidR="00DC5450">
        <w:t>as</w:t>
      </w:r>
      <w:r>
        <w:t xml:space="preserve"> safe and even fewer thought their communit</w:t>
      </w:r>
      <w:r w:rsidR="00DC5450">
        <w:t>y</w:t>
      </w:r>
      <w:r>
        <w:t xml:space="preserve"> w</w:t>
      </w:r>
      <w:r w:rsidR="00DC5450">
        <w:t>as</w:t>
      </w:r>
      <w:r>
        <w:t xml:space="preserve"> well provided with good places to play. </w:t>
      </w:r>
    </w:p>
    <w:p w:rsidR="001777E7" w:rsidRDefault="001777E7" w:rsidP="001777E7">
      <w:pPr>
        <w:spacing w:before="0" w:after="0" w:line="240" w:lineRule="auto"/>
        <w:jc w:val="both"/>
      </w:pPr>
    </w:p>
    <w:p w:rsidR="001777E7" w:rsidRDefault="001777E7" w:rsidP="001777E7">
      <w:pPr>
        <w:spacing w:before="0" w:after="0" w:line="240" w:lineRule="auto"/>
        <w:jc w:val="both"/>
      </w:pPr>
      <w:r>
        <w:t xml:space="preserve">Primary carers were also invited to tell us about the strengths of the neighbourhood in which they lived. </w:t>
      </w:r>
      <w:r w:rsidRPr="00685E96">
        <w:t xml:space="preserve">Aspects commonly mentioned were family and friends, </w:t>
      </w:r>
      <w:r w:rsidR="002C66D3">
        <w:t xml:space="preserve">neighbours, </w:t>
      </w:r>
      <w:r w:rsidR="002C66D3" w:rsidRPr="00685E96">
        <w:t>safety</w:t>
      </w:r>
      <w:r w:rsidR="002C66D3">
        <w:t xml:space="preserve"> and</w:t>
      </w:r>
      <w:r w:rsidR="002C66D3" w:rsidRPr="00685E96">
        <w:t xml:space="preserve"> </w:t>
      </w:r>
      <w:r w:rsidRPr="00685E96">
        <w:t>proximity to amenities such as shops, schools, parks</w:t>
      </w:r>
      <w:r w:rsidR="002C66D3">
        <w:t xml:space="preserve"> and</w:t>
      </w:r>
      <w:r w:rsidR="00DC5450">
        <w:t xml:space="preserve"> </w:t>
      </w:r>
      <w:r w:rsidRPr="00685E96">
        <w:t>transport. The most commonly mentioned aspect of</w:t>
      </w:r>
      <w:r w:rsidR="00DC5450">
        <w:t xml:space="preserve"> a carer’s</w:t>
      </w:r>
      <w:r w:rsidRPr="00685E96">
        <w:t xml:space="preserve"> neighbourhood was that </w:t>
      </w:r>
      <w:r w:rsidR="00DC5450">
        <w:t>it was</w:t>
      </w:r>
      <w:r w:rsidRPr="00685E96">
        <w:t xml:space="preserve"> quiet. Some respondents specified that they liked being with other Indigenous people or that they were currently living in the area in which they had grown up. However, </w:t>
      </w:r>
      <w:r>
        <w:t xml:space="preserve">not everyone agrees about what is desirable; some like having family nearby and others prefer a bit of distance. </w:t>
      </w:r>
      <w:r w:rsidRPr="00685E96">
        <w:t xml:space="preserve">Equally, while some people enjoyed interaction with their neighbours others preferred to be left alone. </w:t>
      </w:r>
      <w:r w:rsidR="00DC5450">
        <w:t>Most</w:t>
      </w:r>
      <w:r w:rsidRPr="00685E96">
        <w:t xml:space="preserve"> people </w:t>
      </w:r>
      <w:r>
        <w:t>said</w:t>
      </w:r>
      <w:r w:rsidRPr="00685E96">
        <w:t xml:space="preserve"> something positive about their neighbourhood but a small number </w:t>
      </w:r>
      <w:r>
        <w:t xml:space="preserve">(2.2 per cent) </w:t>
      </w:r>
      <w:r w:rsidRPr="00685E96">
        <w:t xml:space="preserve">could </w:t>
      </w:r>
      <w:r>
        <w:t>not think of anything positive at the time or commented on the lack of a negative characteristic rather than providing a positive attribute.</w:t>
      </w:r>
      <w:r w:rsidRPr="00685E96">
        <w:t xml:space="preserve"> </w:t>
      </w:r>
    </w:p>
    <w:p w:rsidR="001777E7" w:rsidRDefault="001777E7" w:rsidP="001777E7">
      <w:pPr>
        <w:spacing w:before="0" w:after="0" w:line="240" w:lineRule="auto"/>
        <w:jc w:val="both"/>
      </w:pPr>
    </w:p>
    <w:p w:rsidR="004F3F0F" w:rsidRDefault="001777E7" w:rsidP="001777E7">
      <w:pPr>
        <w:jc w:val="both"/>
      </w:pPr>
      <w:r>
        <w:t>In Wave 6 LSIC asked about the perceived prevalence of 19 different problems in communities. Primary carers were asked whether each was a very big problem in their community (happening all the time), a big problem (happens a lot of the time), a small problem (happens a bit of the time), or not a problem. To analyse the data, responses were grouped into two</w:t>
      </w:r>
      <w:r w:rsidR="00DC5450">
        <w:t>,</w:t>
      </w:r>
      <w:r>
        <w:t xml:space="preserve"> combining the first two</w:t>
      </w:r>
      <w:r w:rsidR="00F2424A">
        <w:t xml:space="preserve"> (very big</w:t>
      </w:r>
      <w:r w:rsidR="007F25B5">
        <w:t>/big problem)</w:t>
      </w:r>
      <w:r>
        <w:t xml:space="preserve"> and second two</w:t>
      </w:r>
      <w:r w:rsidR="007F25B5">
        <w:t xml:space="preserve"> (small/no problem) </w:t>
      </w:r>
      <w:r>
        <w:t>categories. Primary carers who answered that they d</w:t>
      </w:r>
      <w:r w:rsidR="007F25B5">
        <w:t>id</w:t>
      </w:r>
      <w:r>
        <w:t xml:space="preserve">n’t know were included in the second category on the basis that if they are unaware of </w:t>
      </w:r>
      <w:r w:rsidR="007F25B5">
        <w:t>a</w:t>
      </w:r>
      <w:r>
        <w:t xml:space="preserve"> problem it is unlikely to be having an impact on their life. </w:t>
      </w:r>
    </w:p>
    <w:p w:rsidR="006C08D3" w:rsidRDefault="001777E7" w:rsidP="007A0169">
      <w:pPr>
        <w:spacing w:after="0" w:line="120" w:lineRule="atLeast"/>
        <w:jc w:val="both"/>
      </w:pPr>
      <w:r>
        <w:t xml:space="preserve">Overall, the five problems of concern to the greatest number of families are dangerous driving, people drinking too much, children being out at night, children not going to school and drug taking. However, these problems were not experienced by primary carers in all communities to the same extent. Table 2 also shows how the </w:t>
      </w:r>
      <w:r>
        <w:lastRenderedPageBreak/>
        <w:t xml:space="preserve">prevalence of each of the problems reported changes with the level of relative isolation. </w:t>
      </w:r>
      <w:r w:rsidR="008E1B36">
        <w:t xml:space="preserve">Many of the problems were significantly more likely to occur in remote areas. </w:t>
      </w:r>
    </w:p>
    <w:p w:rsidR="006C08D3" w:rsidRPr="007A0169" w:rsidRDefault="006C08D3" w:rsidP="007A0169">
      <w:pPr>
        <w:spacing w:after="0" w:line="120" w:lineRule="atLeast"/>
        <w:jc w:val="both"/>
        <w:rPr>
          <w:sz w:val="4"/>
          <w:szCs w:val="4"/>
        </w:rPr>
      </w:pPr>
    </w:p>
    <w:p w:rsidR="001777E7" w:rsidRPr="008371F5" w:rsidRDefault="001777E7" w:rsidP="007A0169">
      <w:pPr>
        <w:spacing w:before="0" w:after="0"/>
        <w:jc w:val="both"/>
        <w:rPr>
          <w:b/>
        </w:rPr>
      </w:pPr>
      <w:r w:rsidRPr="008371F5">
        <w:rPr>
          <w:b/>
        </w:rPr>
        <w:t>Table 2: Percentage of primary carers reporting problems</w:t>
      </w:r>
      <w:r w:rsidR="004F3F0F">
        <w:rPr>
          <w:b/>
        </w:rPr>
        <w:t xml:space="preserve"> as big or very big</w:t>
      </w:r>
      <w:r w:rsidRPr="008371F5">
        <w:rPr>
          <w:b/>
        </w:rPr>
        <w:t xml:space="preserve"> in their community by level of relative isolation  </w:t>
      </w:r>
    </w:p>
    <w:tbl>
      <w:tblPr>
        <w:tblStyle w:val="MediumShading2-Accent6"/>
        <w:tblW w:w="8877" w:type="dxa"/>
        <w:jc w:val="center"/>
        <w:shd w:val="clear" w:color="auto" w:fill="FFFF00"/>
        <w:tblLayout w:type="fixed"/>
        <w:tblLook w:val="04A0" w:firstRow="1" w:lastRow="0" w:firstColumn="1" w:lastColumn="0" w:noHBand="0" w:noVBand="1"/>
        <w:tblCaption w:val="Percentage of primary carers reporting problems in their community by level of relative isolation"/>
        <w:tblDescription w:val="This table lists 19 types of reported problems. The percentage scores of occurance of these problems are shown in the levels of relative isolation which are urban, low, moderate and high/extreme."/>
      </w:tblPr>
      <w:tblGrid>
        <w:gridCol w:w="3252"/>
        <w:gridCol w:w="1406"/>
        <w:gridCol w:w="1406"/>
        <w:gridCol w:w="1406"/>
        <w:gridCol w:w="1407"/>
      </w:tblGrid>
      <w:tr w:rsidR="008E1B36" w:rsidRPr="00017ED6" w:rsidTr="00152B6E">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100" w:firstRow="0" w:lastRow="0" w:firstColumn="1" w:lastColumn="0" w:oddVBand="0" w:evenVBand="0" w:oddHBand="0" w:evenHBand="0" w:firstRowFirstColumn="1" w:firstRowLastColumn="0" w:lastRowFirstColumn="0" w:lastRowLastColumn="0"/>
            <w:tcW w:w="3252" w:type="dxa"/>
            <w:tcBorders>
              <w:top w:val="single" w:sz="4" w:space="0" w:color="auto"/>
              <w:left w:val="single" w:sz="4" w:space="0" w:color="auto"/>
              <w:bottom w:val="single" w:sz="4" w:space="0" w:color="auto"/>
              <w:right w:val="single" w:sz="4" w:space="0" w:color="auto"/>
            </w:tcBorders>
            <w:shd w:val="clear" w:color="auto" w:fill="005A70"/>
          </w:tcPr>
          <w:p w:rsidR="008E1B36" w:rsidRPr="007A0169" w:rsidRDefault="008E1B36" w:rsidP="00042D46">
            <w:pPr>
              <w:rPr>
                <w:szCs w:val="20"/>
              </w:rPr>
            </w:pPr>
            <w:r w:rsidRPr="007A0169">
              <w:rPr>
                <w:szCs w:val="20"/>
              </w:rPr>
              <w:t>Type of problem</w:t>
            </w:r>
          </w:p>
        </w:tc>
        <w:tc>
          <w:tcPr>
            <w:tcW w:w="1406" w:type="dxa"/>
            <w:tcBorders>
              <w:top w:val="single" w:sz="4" w:space="0" w:color="auto"/>
              <w:left w:val="single" w:sz="4" w:space="0" w:color="auto"/>
              <w:bottom w:val="single" w:sz="4" w:space="0" w:color="auto"/>
              <w:right w:val="single" w:sz="4" w:space="0" w:color="auto"/>
            </w:tcBorders>
            <w:shd w:val="clear" w:color="auto" w:fill="005A70"/>
          </w:tcPr>
          <w:p w:rsidR="008E1B36" w:rsidRPr="007A0169" w:rsidRDefault="008E1B36" w:rsidP="008E1B36">
            <w:pPr>
              <w:jc w:val="center"/>
              <w:cnfStyle w:val="100000000000" w:firstRow="1" w:lastRow="0" w:firstColumn="0" w:lastColumn="0" w:oddVBand="0" w:evenVBand="0" w:oddHBand="0" w:evenHBand="0" w:firstRowFirstColumn="0" w:firstRowLastColumn="0" w:lastRowFirstColumn="0" w:lastRowLastColumn="0"/>
              <w:rPr>
                <w:szCs w:val="20"/>
              </w:rPr>
            </w:pPr>
            <w:r w:rsidRPr="007A0169">
              <w:rPr>
                <w:szCs w:val="20"/>
              </w:rPr>
              <w:t>No isolation (Urban)</w:t>
            </w:r>
          </w:p>
          <w:p w:rsidR="008E1B36" w:rsidRPr="007A0169" w:rsidRDefault="008E1B36" w:rsidP="008E1B36">
            <w:pPr>
              <w:jc w:val="center"/>
              <w:cnfStyle w:val="100000000000" w:firstRow="1" w:lastRow="0" w:firstColumn="0" w:lastColumn="0" w:oddVBand="0" w:evenVBand="0" w:oddHBand="0" w:evenHBand="0" w:firstRowFirstColumn="0" w:firstRowLastColumn="0" w:lastRowFirstColumn="0" w:lastRowLastColumn="0"/>
              <w:rPr>
                <w:szCs w:val="20"/>
              </w:rPr>
            </w:pPr>
            <w:r w:rsidRPr="007A0169">
              <w:rPr>
                <w:szCs w:val="20"/>
              </w:rPr>
              <w:t>n=344</w:t>
            </w:r>
          </w:p>
        </w:tc>
        <w:tc>
          <w:tcPr>
            <w:tcW w:w="1406" w:type="dxa"/>
            <w:tcBorders>
              <w:top w:val="single" w:sz="4" w:space="0" w:color="auto"/>
              <w:left w:val="single" w:sz="4" w:space="0" w:color="auto"/>
              <w:bottom w:val="single" w:sz="4" w:space="0" w:color="auto"/>
              <w:right w:val="single" w:sz="4" w:space="0" w:color="auto"/>
            </w:tcBorders>
            <w:shd w:val="clear" w:color="auto" w:fill="005A70"/>
          </w:tcPr>
          <w:p w:rsidR="008E1B36" w:rsidRPr="007A0169" w:rsidRDefault="008E1B36" w:rsidP="008E1B36">
            <w:pPr>
              <w:jc w:val="center"/>
              <w:cnfStyle w:val="100000000000" w:firstRow="1" w:lastRow="0" w:firstColumn="0" w:lastColumn="0" w:oddVBand="0" w:evenVBand="0" w:oddHBand="0" w:evenHBand="0" w:firstRowFirstColumn="0" w:firstRowLastColumn="0" w:lastRowFirstColumn="0" w:lastRowLastColumn="0"/>
              <w:rPr>
                <w:szCs w:val="20"/>
              </w:rPr>
            </w:pPr>
            <w:r w:rsidRPr="007A0169">
              <w:rPr>
                <w:szCs w:val="20"/>
              </w:rPr>
              <w:t>Low isolation</w:t>
            </w:r>
          </w:p>
          <w:p w:rsidR="008E1B36" w:rsidRPr="007A0169" w:rsidRDefault="008E1B36" w:rsidP="008E1B36">
            <w:pPr>
              <w:jc w:val="center"/>
              <w:cnfStyle w:val="100000000000" w:firstRow="1" w:lastRow="0" w:firstColumn="0" w:lastColumn="0" w:oddVBand="0" w:evenVBand="0" w:oddHBand="0" w:evenHBand="0" w:firstRowFirstColumn="0" w:firstRowLastColumn="0" w:lastRowFirstColumn="0" w:lastRowLastColumn="0"/>
              <w:rPr>
                <w:szCs w:val="20"/>
              </w:rPr>
            </w:pPr>
            <w:r w:rsidRPr="007A0169">
              <w:rPr>
                <w:szCs w:val="20"/>
              </w:rPr>
              <w:t>n=628</w:t>
            </w:r>
          </w:p>
        </w:tc>
        <w:tc>
          <w:tcPr>
            <w:tcW w:w="1406" w:type="dxa"/>
            <w:tcBorders>
              <w:top w:val="single" w:sz="4" w:space="0" w:color="auto"/>
              <w:left w:val="single" w:sz="4" w:space="0" w:color="auto"/>
              <w:bottom w:val="single" w:sz="4" w:space="0" w:color="auto"/>
              <w:right w:val="single" w:sz="4" w:space="0" w:color="auto"/>
            </w:tcBorders>
            <w:shd w:val="clear" w:color="auto" w:fill="005A70"/>
          </w:tcPr>
          <w:p w:rsidR="008E1B36" w:rsidRPr="007A0169" w:rsidRDefault="008E1B36" w:rsidP="008E1B36">
            <w:pPr>
              <w:jc w:val="center"/>
              <w:cnfStyle w:val="100000000000" w:firstRow="1" w:lastRow="0" w:firstColumn="0" w:lastColumn="0" w:oddVBand="0" w:evenVBand="0" w:oddHBand="0" w:evenHBand="0" w:firstRowFirstColumn="0" w:firstRowLastColumn="0" w:lastRowFirstColumn="0" w:lastRowLastColumn="0"/>
              <w:rPr>
                <w:szCs w:val="20"/>
              </w:rPr>
            </w:pPr>
            <w:r w:rsidRPr="007A0169">
              <w:rPr>
                <w:szCs w:val="20"/>
              </w:rPr>
              <w:t>Moderate, high or extreme isolation</w:t>
            </w:r>
          </w:p>
          <w:p w:rsidR="008E1B36" w:rsidRPr="007A0169" w:rsidRDefault="008E1B36" w:rsidP="008E1B36">
            <w:pPr>
              <w:jc w:val="center"/>
              <w:cnfStyle w:val="100000000000" w:firstRow="1" w:lastRow="0" w:firstColumn="0" w:lastColumn="0" w:oddVBand="0" w:evenVBand="0" w:oddHBand="0" w:evenHBand="0" w:firstRowFirstColumn="0" w:firstRowLastColumn="0" w:lastRowFirstColumn="0" w:lastRowLastColumn="0"/>
              <w:rPr>
                <w:szCs w:val="20"/>
              </w:rPr>
            </w:pPr>
            <w:r w:rsidRPr="007A0169">
              <w:rPr>
                <w:szCs w:val="20"/>
              </w:rPr>
              <w:t>n=265</w:t>
            </w:r>
          </w:p>
        </w:tc>
        <w:tc>
          <w:tcPr>
            <w:tcW w:w="1407" w:type="dxa"/>
            <w:tcBorders>
              <w:top w:val="single" w:sz="4" w:space="0" w:color="auto"/>
              <w:left w:val="single" w:sz="4" w:space="0" w:color="auto"/>
              <w:bottom w:val="single" w:sz="4" w:space="0" w:color="auto"/>
              <w:right w:val="single" w:sz="4" w:space="0" w:color="auto"/>
            </w:tcBorders>
            <w:shd w:val="clear" w:color="auto" w:fill="005A70"/>
          </w:tcPr>
          <w:p w:rsidR="008E1B36" w:rsidRPr="007A0169" w:rsidRDefault="008E1B36" w:rsidP="008E1B36">
            <w:pPr>
              <w:jc w:val="center"/>
              <w:cnfStyle w:val="100000000000" w:firstRow="1" w:lastRow="0" w:firstColumn="0" w:lastColumn="0" w:oddVBand="0" w:evenVBand="0" w:oddHBand="0" w:evenHBand="0" w:firstRowFirstColumn="0" w:firstRowLastColumn="0" w:lastRowFirstColumn="0" w:lastRowLastColumn="0"/>
              <w:rPr>
                <w:szCs w:val="20"/>
              </w:rPr>
            </w:pPr>
            <w:r w:rsidRPr="007A0169">
              <w:rPr>
                <w:szCs w:val="20"/>
              </w:rPr>
              <w:t>Total</w:t>
            </w:r>
          </w:p>
          <w:p w:rsidR="008E1B36" w:rsidRPr="007A0169" w:rsidRDefault="008E1B36" w:rsidP="008E1B36">
            <w:pPr>
              <w:jc w:val="center"/>
              <w:cnfStyle w:val="100000000000" w:firstRow="1" w:lastRow="0" w:firstColumn="0" w:lastColumn="0" w:oddVBand="0" w:evenVBand="0" w:oddHBand="0" w:evenHBand="0" w:firstRowFirstColumn="0" w:firstRowLastColumn="0" w:lastRowFirstColumn="0" w:lastRowLastColumn="0"/>
              <w:rPr>
                <w:szCs w:val="20"/>
              </w:rPr>
            </w:pPr>
            <w:r w:rsidRPr="007A0169">
              <w:rPr>
                <w:szCs w:val="20"/>
              </w:rPr>
              <w:t>n=1237</w:t>
            </w:r>
          </w:p>
        </w:tc>
      </w:tr>
      <w:tr w:rsidR="008E1B36" w:rsidRPr="00017ED6" w:rsidTr="007A0169">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top w:val="single" w:sz="4" w:space="0" w:color="auto"/>
              <w:left w:val="single" w:sz="4" w:space="0" w:color="auto"/>
              <w:right w:val="single" w:sz="4" w:space="0" w:color="auto"/>
            </w:tcBorders>
            <w:shd w:val="clear" w:color="auto" w:fill="auto"/>
            <w:vAlign w:val="center"/>
          </w:tcPr>
          <w:p w:rsidR="008E1B36" w:rsidRPr="00017ED6" w:rsidRDefault="008E1B36">
            <w:pPr>
              <w:spacing w:before="0" w:after="0" w:line="360" w:lineRule="auto"/>
              <w:rPr>
                <w:b w:val="0"/>
                <w:color w:val="auto"/>
                <w:sz w:val="18"/>
                <w:szCs w:val="18"/>
              </w:rPr>
            </w:pPr>
            <w:r>
              <w:rPr>
                <w:b w:val="0"/>
                <w:color w:val="auto"/>
                <w:sz w:val="18"/>
                <w:szCs w:val="18"/>
              </w:rPr>
              <w:t>Dangerous driving</w:t>
            </w:r>
            <w:r w:rsidRPr="00017ED6">
              <w:rPr>
                <w:b w:val="0"/>
                <w:color w:val="auto"/>
                <w:sz w:val="18"/>
                <w:szCs w:val="18"/>
              </w:rPr>
              <w:t xml:space="preserve"> </w:t>
            </w:r>
            <w:r>
              <w:rPr>
                <w:b w:val="0"/>
                <w:color w:val="auto"/>
                <w:sz w:val="18"/>
                <w:szCs w:val="18"/>
              </w:rPr>
              <w:t>*</w:t>
            </w:r>
          </w:p>
        </w:tc>
        <w:tc>
          <w:tcPr>
            <w:tcW w:w="1406" w:type="dxa"/>
            <w:tcBorders>
              <w:top w:val="single" w:sz="4" w:space="0" w:color="auto"/>
              <w:left w:val="single" w:sz="4" w:space="0" w:color="auto"/>
              <w:right w:val="single" w:sz="4" w:space="0" w:color="auto"/>
            </w:tcBorders>
            <w:shd w:val="clear" w:color="auto" w:fill="auto"/>
            <w:vAlign w:val="center"/>
          </w:tcPr>
          <w:p w:rsidR="008E1B36" w:rsidRPr="00017ED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30.2</w:t>
            </w:r>
          </w:p>
        </w:tc>
        <w:tc>
          <w:tcPr>
            <w:tcW w:w="1406" w:type="dxa"/>
            <w:tcBorders>
              <w:top w:val="single" w:sz="4" w:space="0" w:color="auto"/>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33.0</w:t>
            </w:r>
          </w:p>
        </w:tc>
        <w:tc>
          <w:tcPr>
            <w:tcW w:w="1406" w:type="dxa"/>
            <w:tcBorders>
              <w:top w:val="single" w:sz="4" w:space="0" w:color="auto"/>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40.0</w:t>
            </w:r>
          </w:p>
        </w:tc>
        <w:tc>
          <w:tcPr>
            <w:tcW w:w="1407" w:type="dxa"/>
            <w:tcBorders>
              <w:top w:val="single" w:sz="4" w:space="0" w:color="auto"/>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4F7BD6">
              <w:rPr>
                <w:sz w:val="18"/>
                <w:szCs w:val="18"/>
              </w:rPr>
              <w:t>33.7</w:t>
            </w:r>
          </w:p>
        </w:tc>
      </w:tr>
      <w:tr w:rsidR="008E1B36" w:rsidRPr="00017ED6" w:rsidTr="007A0169">
        <w:trPr>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left w:val="single" w:sz="4" w:space="0" w:color="auto"/>
              <w:right w:val="single" w:sz="4" w:space="0" w:color="auto"/>
            </w:tcBorders>
            <w:shd w:val="clear" w:color="auto" w:fill="auto"/>
            <w:vAlign w:val="center"/>
          </w:tcPr>
          <w:p w:rsidR="008E1B36" w:rsidRPr="00017ED6" w:rsidRDefault="008E1B36">
            <w:pPr>
              <w:spacing w:before="0" w:after="0" w:line="360" w:lineRule="auto"/>
              <w:rPr>
                <w:b w:val="0"/>
                <w:color w:val="auto"/>
                <w:sz w:val="18"/>
                <w:szCs w:val="18"/>
              </w:rPr>
            </w:pPr>
            <w:r>
              <w:rPr>
                <w:b w:val="0"/>
                <w:color w:val="auto"/>
                <w:sz w:val="18"/>
                <w:szCs w:val="18"/>
              </w:rPr>
              <w:t>Break-ins, robbery or theft</w:t>
            </w:r>
          </w:p>
        </w:tc>
        <w:tc>
          <w:tcPr>
            <w:tcW w:w="1406" w:type="dxa"/>
            <w:tcBorders>
              <w:left w:val="single" w:sz="4" w:space="0" w:color="auto"/>
              <w:right w:val="single" w:sz="4" w:space="0" w:color="auto"/>
            </w:tcBorders>
            <w:shd w:val="clear" w:color="auto" w:fill="auto"/>
            <w:vAlign w:val="center"/>
          </w:tcPr>
          <w:p w:rsidR="008E1B36" w:rsidRPr="00017ED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18.9</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22.1</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22.6</w:t>
            </w:r>
          </w:p>
        </w:tc>
        <w:tc>
          <w:tcPr>
            <w:tcW w:w="1407"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4F7BD6">
              <w:rPr>
                <w:sz w:val="18"/>
                <w:szCs w:val="18"/>
              </w:rPr>
              <w:t>21.3</w:t>
            </w:r>
          </w:p>
        </w:tc>
      </w:tr>
      <w:tr w:rsidR="008E1B36" w:rsidRPr="00017ED6" w:rsidTr="007A0169">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left w:val="single" w:sz="4" w:space="0" w:color="auto"/>
              <w:right w:val="single" w:sz="4" w:space="0" w:color="auto"/>
            </w:tcBorders>
            <w:shd w:val="clear" w:color="auto" w:fill="auto"/>
            <w:vAlign w:val="center"/>
          </w:tcPr>
          <w:p w:rsidR="008E1B36" w:rsidRPr="00017ED6" w:rsidRDefault="008E1B36">
            <w:pPr>
              <w:spacing w:before="0" w:after="0" w:line="360" w:lineRule="auto"/>
              <w:rPr>
                <w:b w:val="0"/>
                <w:color w:val="auto"/>
                <w:sz w:val="18"/>
                <w:szCs w:val="18"/>
              </w:rPr>
            </w:pPr>
            <w:r>
              <w:rPr>
                <w:b w:val="0"/>
                <w:color w:val="auto"/>
                <w:sz w:val="18"/>
                <w:szCs w:val="18"/>
              </w:rPr>
              <w:t>Pollution and sewerage *</w:t>
            </w:r>
          </w:p>
        </w:tc>
        <w:tc>
          <w:tcPr>
            <w:tcW w:w="1406" w:type="dxa"/>
            <w:tcBorders>
              <w:left w:val="single" w:sz="4" w:space="0" w:color="auto"/>
              <w:bottom w:val="nil"/>
              <w:right w:val="single" w:sz="4" w:space="0" w:color="auto"/>
            </w:tcBorders>
            <w:shd w:val="clear" w:color="auto" w:fill="auto"/>
            <w:vAlign w:val="center"/>
          </w:tcPr>
          <w:p w:rsidR="008E1B36" w:rsidRPr="00017ED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2.3</w:t>
            </w:r>
          </w:p>
        </w:tc>
        <w:tc>
          <w:tcPr>
            <w:tcW w:w="1406" w:type="dxa"/>
            <w:tcBorders>
              <w:left w:val="single" w:sz="4" w:space="0" w:color="auto"/>
              <w:bottom w:val="nil"/>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3.0</w:t>
            </w:r>
          </w:p>
        </w:tc>
        <w:tc>
          <w:tcPr>
            <w:tcW w:w="1406" w:type="dxa"/>
            <w:tcBorders>
              <w:left w:val="single" w:sz="4" w:space="0" w:color="auto"/>
              <w:bottom w:val="nil"/>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9.8</w:t>
            </w:r>
          </w:p>
        </w:tc>
        <w:tc>
          <w:tcPr>
            <w:tcW w:w="1407" w:type="dxa"/>
            <w:tcBorders>
              <w:left w:val="single" w:sz="4" w:space="0" w:color="auto"/>
              <w:bottom w:val="nil"/>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4F7BD6">
              <w:rPr>
                <w:sz w:val="18"/>
                <w:szCs w:val="18"/>
              </w:rPr>
              <w:t>4.3</w:t>
            </w:r>
          </w:p>
        </w:tc>
      </w:tr>
      <w:tr w:rsidR="008E1B36" w:rsidRPr="00017ED6" w:rsidTr="007A0169">
        <w:trPr>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top w:val="nil"/>
              <w:left w:val="single" w:sz="4" w:space="0" w:color="auto"/>
              <w:bottom w:val="single" w:sz="4" w:space="0" w:color="auto"/>
              <w:right w:val="single" w:sz="4" w:space="0" w:color="auto"/>
            </w:tcBorders>
            <w:shd w:val="clear" w:color="auto" w:fill="auto"/>
            <w:vAlign w:val="center"/>
          </w:tcPr>
          <w:p w:rsidR="008E1B36" w:rsidRPr="00F41F03" w:rsidRDefault="008E1B36">
            <w:pPr>
              <w:spacing w:before="0" w:after="0" w:line="360" w:lineRule="auto"/>
              <w:rPr>
                <w:b w:val="0"/>
                <w:color w:val="auto"/>
                <w:sz w:val="18"/>
                <w:szCs w:val="18"/>
              </w:rPr>
            </w:pPr>
            <w:r w:rsidRPr="00F41F03">
              <w:rPr>
                <w:b w:val="0"/>
                <w:color w:val="auto"/>
                <w:sz w:val="18"/>
                <w:szCs w:val="18"/>
              </w:rPr>
              <w:t xml:space="preserve">Graffiti and vandalism </w:t>
            </w:r>
            <w:r>
              <w:rPr>
                <w:b w:val="0"/>
                <w:color w:val="auto"/>
                <w:sz w:val="18"/>
                <w:szCs w:val="18"/>
              </w:rPr>
              <w:t>*</w:t>
            </w:r>
          </w:p>
        </w:tc>
        <w:tc>
          <w:tcPr>
            <w:tcW w:w="1406" w:type="dxa"/>
            <w:tcBorders>
              <w:top w:val="nil"/>
              <w:left w:val="single" w:sz="4" w:space="0" w:color="auto"/>
              <w:bottom w:val="single" w:sz="4" w:space="0" w:color="auto"/>
              <w:right w:val="single" w:sz="4" w:space="0" w:color="auto"/>
            </w:tcBorders>
            <w:shd w:val="clear" w:color="auto" w:fill="auto"/>
            <w:vAlign w:val="center"/>
          </w:tcPr>
          <w:p w:rsidR="008E1B36" w:rsidRPr="00F41F03"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F41F03">
              <w:rPr>
                <w:sz w:val="18"/>
                <w:szCs w:val="18"/>
              </w:rPr>
              <w:t>16.0</w:t>
            </w:r>
          </w:p>
        </w:tc>
        <w:tc>
          <w:tcPr>
            <w:tcW w:w="1406" w:type="dxa"/>
            <w:tcBorders>
              <w:top w:val="nil"/>
              <w:left w:val="single" w:sz="4" w:space="0" w:color="auto"/>
              <w:bottom w:val="single" w:sz="4" w:space="0" w:color="auto"/>
              <w:right w:val="single" w:sz="4" w:space="0" w:color="auto"/>
            </w:tcBorders>
            <w:shd w:val="clear" w:color="auto" w:fill="auto"/>
            <w:vAlign w:val="center"/>
          </w:tcPr>
          <w:p w:rsidR="008E1B36" w:rsidRPr="00F41F03"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F41F03">
              <w:rPr>
                <w:sz w:val="18"/>
                <w:szCs w:val="18"/>
              </w:rPr>
              <w:t>12.3</w:t>
            </w:r>
          </w:p>
        </w:tc>
        <w:tc>
          <w:tcPr>
            <w:tcW w:w="1406" w:type="dxa"/>
            <w:tcBorders>
              <w:top w:val="nil"/>
              <w:left w:val="single" w:sz="4" w:space="0" w:color="auto"/>
              <w:bottom w:val="single" w:sz="4" w:space="0" w:color="auto"/>
              <w:right w:val="single" w:sz="4" w:space="0" w:color="auto"/>
            </w:tcBorders>
            <w:shd w:val="clear" w:color="auto" w:fill="auto"/>
            <w:vAlign w:val="center"/>
          </w:tcPr>
          <w:p w:rsidR="008E1B36" w:rsidRPr="00F41F03"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20.8</w:t>
            </w:r>
          </w:p>
        </w:tc>
        <w:tc>
          <w:tcPr>
            <w:tcW w:w="1407" w:type="dxa"/>
            <w:tcBorders>
              <w:top w:val="nil"/>
              <w:left w:val="single" w:sz="4" w:space="0" w:color="auto"/>
              <w:bottom w:val="single" w:sz="4" w:space="0" w:color="auto"/>
              <w:right w:val="single" w:sz="4" w:space="0" w:color="auto"/>
            </w:tcBorders>
            <w:shd w:val="clear" w:color="auto" w:fill="auto"/>
            <w:vAlign w:val="center"/>
          </w:tcPr>
          <w:p w:rsidR="008E1B36" w:rsidRPr="00F41F03"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F41F03">
              <w:rPr>
                <w:sz w:val="18"/>
                <w:szCs w:val="18"/>
              </w:rPr>
              <w:t>15.1</w:t>
            </w:r>
          </w:p>
        </w:tc>
      </w:tr>
      <w:tr w:rsidR="008E1B36" w:rsidRPr="00017ED6" w:rsidTr="007A0169">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top w:val="single" w:sz="4" w:space="0" w:color="auto"/>
              <w:left w:val="single" w:sz="4" w:space="0" w:color="auto"/>
              <w:right w:val="single" w:sz="4" w:space="0" w:color="auto"/>
            </w:tcBorders>
            <w:shd w:val="clear" w:color="auto" w:fill="auto"/>
            <w:vAlign w:val="center"/>
          </w:tcPr>
          <w:p w:rsidR="008E1B36" w:rsidRPr="00017ED6" w:rsidRDefault="008E1B36">
            <w:pPr>
              <w:spacing w:before="0" w:after="0" w:line="360" w:lineRule="auto"/>
              <w:rPr>
                <w:b w:val="0"/>
                <w:color w:val="auto"/>
                <w:sz w:val="18"/>
                <w:szCs w:val="18"/>
              </w:rPr>
            </w:pPr>
            <w:r>
              <w:rPr>
                <w:b w:val="0"/>
                <w:color w:val="auto"/>
                <w:sz w:val="18"/>
                <w:szCs w:val="18"/>
              </w:rPr>
              <w:t>Drinking too much grog *</w:t>
            </w:r>
          </w:p>
        </w:tc>
        <w:tc>
          <w:tcPr>
            <w:tcW w:w="1406" w:type="dxa"/>
            <w:tcBorders>
              <w:top w:val="single" w:sz="4" w:space="0" w:color="auto"/>
              <w:left w:val="single" w:sz="4" w:space="0" w:color="auto"/>
              <w:right w:val="single" w:sz="4" w:space="0" w:color="auto"/>
            </w:tcBorders>
            <w:shd w:val="clear" w:color="auto" w:fill="auto"/>
            <w:vAlign w:val="center"/>
          </w:tcPr>
          <w:p w:rsidR="008E1B36" w:rsidRPr="00017ED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14.8</w:t>
            </w:r>
          </w:p>
        </w:tc>
        <w:tc>
          <w:tcPr>
            <w:tcW w:w="1406" w:type="dxa"/>
            <w:tcBorders>
              <w:top w:val="single" w:sz="4" w:space="0" w:color="auto"/>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28.8</w:t>
            </w:r>
          </w:p>
        </w:tc>
        <w:tc>
          <w:tcPr>
            <w:tcW w:w="1406" w:type="dxa"/>
            <w:tcBorders>
              <w:top w:val="single" w:sz="4" w:space="0" w:color="auto"/>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52.5</w:t>
            </w:r>
          </w:p>
        </w:tc>
        <w:tc>
          <w:tcPr>
            <w:tcW w:w="1407" w:type="dxa"/>
            <w:tcBorders>
              <w:top w:val="single" w:sz="4" w:space="0" w:color="auto"/>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4F7BD6">
              <w:rPr>
                <w:sz w:val="18"/>
                <w:szCs w:val="18"/>
              </w:rPr>
              <w:t>30.0</w:t>
            </w:r>
          </w:p>
        </w:tc>
      </w:tr>
      <w:tr w:rsidR="008E1B36" w:rsidRPr="00017ED6" w:rsidTr="007A0169">
        <w:trPr>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left w:val="single" w:sz="4" w:space="0" w:color="auto"/>
              <w:right w:val="single" w:sz="4" w:space="0" w:color="auto"/>
            </w:tcBorders>
            <w:shd w:val="clear" w:color="auto" w:fill="auto"/>
            <w:vAlign w:val="center"/>
          </w:tcPr>
          <w:p w:rsidR="008E1B36" w:rsidRPr="00017ED6" w:rsidRDefault="008E1B36">
            <w:pPr>
              <w:spacing w:before="0" w:after="0" w:line="360" w:lineRule="auto"/>
              <w:rPr>
                <w:b w:val="0"/>
                <w:color w:val="auto"/>
                <w:sz w:val="18"/>
                <w:szCs w:val="18"/>
              </w:rPr>
            </w:pPr>
            <w:r>
              <w:rPr>
                <w:b w:val="0"/>
                <w:color w:val="auto"/>
                <w:sz w:val="18"/>
                <w:szCs w:val="18"/>
              </w:rPr>
              <w:t>Drug taking *</w:t>
            </w:r>
          </w:p>
        </w:tc>
        <w:tc>
          <w:tcPr>
            <w:tcW w:w="1406" w:type="dxa"/>
            <w:tcBorders>
              <w:left w:val="single" w:sz="4" w:space="0" w:color="auto"/>
              <w:right w:val="single" w:sz="4" w:space="0" w:color="auto"/>
            </w:tcBorders>
            <w:shd w:val="clear" w:color="auto" w:fill="auto"/>
            <w:vAlign w:val="center"/>
          </w:tcPr>
          <w:p w:rsidR="008E1B36" w:rsidRPr="00017ED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18.0</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26.0</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37.4</w:t>
            </w:r>
          </w:p>
        </w:tc>
        <w:tc>
          <w:tcPr>
            <w:tcW w:w="1407"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4F7BD6">
              <w:rPr>
                <w:sz w:val="18"/>
                <w:szCs w:val="18"/>
              </w:rPr>
              <w:t>26.2</w:t>
            </w:r>
          </w:p>
        </w:tc>
      </w:tr>
      <w:tr w:rsidR="008E1B36" w:rsidRPr="00017ED6" w:rsidTr="007A0169">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left w:val="single" w:sz="4" w:space="0" w:color="auto"/>
              <w:right w:val="single" w:sz="4" w:space="0" w:color="auto"/>
            </w:tcBorders>
            <w:shd w:val="clear" w:color="auto" w:fill="auto"/>
            <w:vAlign w:val="center"/>
          </w:tcPr>
          <w:p w:rsidR="008E1B36" w:rsidRPr="00017ED6" w:rsidRDefault="008E1B36">
            <w:pPr>
              <w:spacing w:before="0" w:after="0" w:line="360" w:lineRule="auto"/>
              <w:rPr>
                <w:b w:val="0"/>
                <w:color w:val="auto"/>
                <w:sz w:val="18"/>
                <w:szCs w:val="18"/>
              </w:rPr>
            </w:pPr>
            <w:r>
              <w:rPr>
                <w:b w:val="0"/>
                <w:color w:val="auto"/>
                <w:sz w:val="18"/>
                <w:szCs w:val="18"/>
              </w:rPr>
              <w:t>Drug dealing</w:t>
            </w:r>
          </w:p>
        </w:tc>
        <w:tc>
          <w:tcPr>
            <w:tcW w:w="1406" w:type="dxa"/>
            <w:tcBorders>
              <w:left w:val="single" w:sz="4" w:space="0" w:color="auto"/>
              <w:bottom w:val="nil"/>
              <w:right w:val="single" w:sz="4" w:space="0" w:color="auto"/>
            </w:tcBorders>
            <w:shd w:val="clear" w:color="auto" w:fill="auto"/>
            <w:vAlign w:val="center"/>
          </w:tcPr>
          <w:p w:rsidR="008E1B36" w:rsidRPr="00017ED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17.7</w:t>
            </w:r>
          </w:p>
        </w:tc>
        <w:tc>
          <w:tcPr>
            <w:tcW w:w="1406" w:type="dxa"/>
            <w:tcBorders>
              <w:left w:val="single" w:sz="4" w:space="0" w:color="auto"/>
              <w:bottom w:val="nil"/>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22.1</w:t>
            </w:r>
          </w:p>
        </w:tc>
        <w:tc>
          <w:tcPr>
            <w:tcW w:w="1406" w:type="dxa"/>
            <w:tcBorders>
              <w:left w:val="single" w:sz="4" w:space="0" w:color="auto"/>
              <w:bottom w:val="nil"/>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24.2</w:t>
            </w:r>
          </w:p>
        </w:tc>
        <w:tc>
          <w:tcPr>
            <w:tcW w:w="1407" w:type="dxa"/>
            <w:tcBorders>
              <w:left w:val="single" w:sz="4" w:space="0" w:color="auto"/>
              <w:bottom w:val="nil"/>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4F7BD6">
              <w:rPr>
                <w:sz w:val="18"/>
                <w:szCs w:val="18"/>
              </w:rPr>
              <w:t>21.3</w:t>
            </w:r>
          </w:p>
        </w:tc>
      </w:tr>
      <w:tr w:rsidR="008E1B36" w:rsidRPr="00FB68B3" w:rsidTr="007A0169">
        <w:trPr>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top w:val="nil"/>
              <w:left w:val="single" w:sz="4" w:space="0" w:color="auto"/>
              <w:bottom w:val="single" w:sz="4" w:space="0" w:color="auto"/>
              <w:right w:val="single" w:sz="4" w:space="0" w:color="auto"/>
            </w:tcBorders>
            <w:shd w:val="clear" w:color="auto" w:fill="auto"/>
            <w:vAlign w:val="center"/>
          </w:tcPr>
          <w:p w:rsidR="008E1B36" w:rsidRPr="00FB68B3" w:rsidRDefault="008E1B36">
            <w:pPr>
              <w:spacing w:before="0" w:after="0" w:line="360" w:lineRule="auto"/>
              <w:rPr>
                <w:b w:val="0"/>
                <w:color w:val="auto"/>
                <w:sz w:val="18"/>
                <w:szCs w:val="18"/>
              </w:rPr>
            </w:pPr>
            <w:r w:rsidRPr="00FB68B3">
              <w:rPr>
                <w:b w:val="0"/>
                <w:color w:val="auto"/>
                <w:sz w:val="18"/>
                <w:szCs w:val="18"/>
              </w:rPr>
              <w:t>Too much sniffing</w:t>
            </w:r>
            <w:r>
              <w:rPr>
                <w:b w:val="0"/>
                <w:color w:val="auto"/>
                <w:sz w:val="18"/>
                <w:szCs w:val="18"/>
              </w:rPr>
              <w:t xml:space="preserve"> *</w:t>
            </w:r>
          </w:p>
        </w:tc>
        <w:tc>
          <w:tcPr>
            <w:tcW w:w="1406" w:type="dxa"/>
            <w:tcBorders>
              <w:top w:val="nil"/>
              <w:left w:val="single" w:sz="4" w:space="0" w:color="auto"/>
              <w:bottom w:val="single" w:sz="4" w:space="0" w:color="auto"/>
              <w:right w:val="single" w:sz="4" w:space="0" w:color="auto"/>
            </w:tcBorders>
            <w:shd w:val="clear" w:color="auto" w:fill="auto"/>
            <w:vAlign w:val="center"/>
          </w:tcPr>
          <w:p w:rsidR="008E1B36" w:rsidRPr="00FB68B3"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6.1</w:t>
            </w:r>
          </w:p>
        </w:tc>
        <w:tc>
          <w:tcPr>
            <w:tcW w:w="1406" w:type="dxa"/>
            <w:tcBorders>
              <w:top w:val="nil"/>
              <w:left w:val="single" w:sz="4" w:space="0" w:color="auto"/>
              <w:bottom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2.4</w:t>
            </w:r>
          </w:p>
        </w:tc>
        <w:tc>
          <w:tcPr>
            <w:tcW w:w="1406" w:type="dxa"/>
            <w:tcBorders>
              <w:top w:val="nil"/>
              <w:left w:val="single" w:sz="4" w:space="0" w:color="auto"/>
              <w:bottom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8.7</w:t>
            </w:r>
          </w:p>
        </w:tc>
        <w:tc>
          <w:tcPr>
            <w:tcW w:w="1407" w:type="dxa"/>
            <w:tcBorders>
              <w:top w:val="nil"/>
              <w:left w:val="single" w:sz="4" w:space="0" w:color="auto"/>
              <w:bottom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4F7BD6">
              <w:rPr>
                <w:sz w:val="18"/>
                <w:szCs w:val="18"/>
              </w:rPr>
              <w:t>4.8</w:t>
            </w:r>
          </w:p>
        </w:tc>
      </w:tr>
      <w:tr w:rsidR="008E1B36" w:rsidRPr="00FB68B3" w:rsidTr="007A0169">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top w:val="single" w:sz="4" w:space="0" w:color="auto"/>
              <w:left w:val="single" w:sz="4" w:space="0" w:color="auto"/>
              <w:right w:val="single" w:sz="4" w:space="0" w:color="auto"/>
            </w:tcBorders>
            <w:shd w:val="clear" w:color="auto" w:fill="auto"/>
            <w:vAlign w:val="center"/>
          </w:tcPr>
          <w:p w:rsidR="008E1B36" w:rsidRPr="00FB68B3" w:rsidRDefault="008E1B36">
            <w:pPr>
              <w:spacing w:before="0" w:after="0" w:line="360" w:lineRule="auto"/>
              <w:rPr>
                <w:b w:val="0"/>
                <w:color w:val="auto"/>
                <w:sz w:val="18"/>
                <w:szCs w:val="18"/>
              </w:rPr>
            </w:pPr>
            <w:r w:rsidRPr="00FB68B3">
              <w:rPr>
                <w:b w:val="0"/>
                <w:color w:val="auto"/>
                <w:sz w:val="18"/>
                <w:szCs w:val="18"/>
              </w:rPr>
              <w:t>Gangs</w:t>
            </w:r>
          </w:p>
        </w:tc>
        <w:tc>
          <w:tcPr>
            <w:tcW w:w="1406" w:type="dxa"/>
            <w:tcBorders>
              <w:top w:val="single" w:sz="4" w:space="0" w:color="auto"/>
              <w:left w:val="single" w:sz="4" w:space="0" w:color="auto"/>
              <w:right w:val="single" w:sz="4" w:space="0" w:color="auto"/>
            </w:tcBorders>
            <w:shd w:val="clear" w:color="auto" w:fill="auto"/>
            <w:vAlign w:val="center"/>
          </w:tcPr>
          <w:p w:rsidR="008E1B36" w:rsidRPr="00FB68B3"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5.5</w:t>
            </w:r>
          </w:p>
        </w:tc>
        <w:tc>
          <w:tcPr>
            <w:tcW w:w="1406" w:type="dxa"/>
            <w:tcBorders>
              <w:top w:val="single" w:sz="4" w:space="0" w:color="auto"/>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6.4</w:t>
            </w:r>
          </w:p>
        </w:tc>
        <w:tc>
          <w:tcPr>
            <w:tcW w:w="1406" w:type="dxa"/>
            <w:tcBorders>
              <w:top w:val="single" w:sz="4" w:space="0" w:color="auto"/>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9.1</w:t>
            </w:r>
          </w:p>
        </w:tc>
        <w:tc>
          <w:tcPr>
            <w:tcW w:w="1407" w:type="dxa"/>
            <w:tcBorders>
              <w:top w:val="single" w:sz="4" w:space="0" w:color="auto"/>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4F7BD6">
              <w:rPr>
                <w:sz w:val="18"/>
                <w:szCs w:val="18"/>
              </w:rPr>
              <w:t>6.7</w:t>
            </w:r>
          </w:p>
        </w:tc>
      </w:tr>
      <w:tr w:rsidR="008E1B36" w:rsidRPr="00FB68B3" w:rsidTr="007A0169">
        <w:trPr>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left w:val="single" w:sz="4" w:space="0" w:color="auto"/>
              <w:right w:val="single" w:sz="4" w:space="0" w:color="auto"/>
            </w:tcBorders>
            <w:shd w:val="clear" w:color="auto" w:fill="auto"/>
            <w:vAlign w:val="center"/>
          </w:tcPr>
          <w:p w:rsidR="008E1B36" w:rsidRPr="00FB68B3" w:rsidRDefault="008E1B36">
            <w:pPr>
              <w:spacing w:before="0" w:after="0" w:line="360" w:lineRule="auto"/>
              <w:rPr>
                <w:b w:val="0"/>
                <w:color w:val="auto"/>
                <w:sz w:val="18"/>
                <w:szCs w:val="18"/>
              </w:rPr>
            </w:pPr>
            <w:r w:rsidRPr="00FB68B3">
              <w:rPr>
                <w:b w:val="0"/>
                <w:color w:val="auto"/>
                <w:sz w:val="18"/>
                <w:szCs w:val="18"/>
              </w:rPr>
              <w:t>Racially</w:t>
            </w:r>
            <w:r>
              <w:rPr>
                <w:b w:val="0"/>
                <w:color w:val="auto"/>
                <w:sz w:val="18"/>
                <w:szCs w:val="18"/>
              </w:rPr>
              <w:t xml:space="preserve"> </w:t>
            </w:r>
            <w:r w:rsidRPr="00FB68B3">
              <w:rPr>
                <w:b w:val="0"/>
                <w:color w:val="auto"/>
                <w:sz w:val="18"/>
                <w:szCs w:val="18"/>
              </w:rPr>
              <w:t>motivated violence</w:t>
            </w:r>
          </w:p>
        </w:tc>
        <w:tc>
          <w:tcPr>
            <w:tcW w:w="1406" w:type="dxa"/>
            <w:tcBorders>
              <w:left w:val="single" w:sz="4" w:space="0" w:color="auto"/>
              <w:right w:val="single" w:sz="4" w:space="0" w:color="auto"/>
            </w:tcBorders>
            <w:shd w:val="clear" w:color="auto" w:fill="auto"/>
            <w:vAlign w:val="center"/>
          </w:tcPr>
          <w:p w:rsidR="008E1B36" w:rsidRPr="00FB68B3"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5.5</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5.9</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2.3</w:t>
            </w:r>
          </w:p>
        </w:tc>
        <w:tc>
          <w:tcPr>
            <w:tcW w:w="1407"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4F7BD6">
              <w:rPr>
                <w:sz w:val="18"/>
                <w:szCs w:val="18"/>
              </w:rPr>
              <w:t>5.0</w:t>
            </w:r>
          </w:p>
        </w:tc>
      </w:tr>
      <w:tr w:rsidR="008E1B36" w:rsidRPr="00FB68B3" w:rsidTr="007A0169">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left w:val="single" w:sz="4" w:space="0" w:color="auto"/>
              <w:right w:val="single" w:sz="4" w:space="0" w:color="auto"/>
            </w:tcBorders>
            <w:shd w:val="clear" w:color="auto" w:fill="auto"/>
            <w:vAlign w:val="center"/>
          </w:tcPr>
          <w:p w:rsidR="008E1B36" w:rsidRPr="00FB68B3" w:rsidRDefault="008E1B36">
            <w:pPr>
              <w:spacing w:before="0" w:after="0" w:line="360" w:lineRule="auto"/>
              <w:rPr>
                <w:b w:val="0"/>
                <w:color w:val="auto"/>
                <w:sz w:val="18"/>
                <w:szCs w:val="18"/>
              </w:rPr>
            </w:pPr>
            <w:r w:rsidRPr="00FB68B3">
              <w:rPr>
                <w:b w:val="0"/>
                <w:color w:val="auto"/>
                <w:sz w:val="18"/>
                <w:szCs w:val="18"/>
              </w:rPr>
              <w:t>Payback</w:t>
            </w:r>
          </w:p>
        </w:tc>
        <w:tc>
          <w:tcPr>
            <w:tcW w:w="1406" w:type="dxa"/>
            <w:tcBorders>
              <w:left w:val="single" w:sz="4" w:space="0" w:color="auto"/>
              <w:right w:val="single" w:sz="4" w:space="0" w:color="auto"/>
            </w:tcBorders>
            <w:shd w:val="clear" w:color="auto" w:fill="auto"/>
            <w:vAlign w:val="center"/>
          </w:tcPr>
          <w:p w:rsidR="008E1B36" w:rsidRPr="00FB68B3"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4.9</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8.6</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6.1</w:t>
            </w:r>
          </w:p>
        </w:tc>
        <w:tc>
          <w:tcPr>
            <w:tcW w:w="1407"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4F7BD6">
              <w:rPr>
                <w:sz w:val="18"/>
                <w:szCs w:val="18"/>
              </w:rPr>
              <w:t>7.0</w:t>
            </w:r>
          </w:p>
        </w:tc>
      </w:tr>
      <w:tr w:rsidR="008E1B36" w:rsidRPr="00FB68B3" w:rsidTr="007A0169">
        <w:trPr>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left w:val="single" w:sz="4" w:space="0" w:color="auto"/>
              <w:right w:val="single" w:sz="4" w:space="0" w:color="auto"/>
            </w:tcBorders>
            <w:shd w:val="clear" w:color="auto" w:fill="auto"/>
            <w:vAlign w:val="center"/>
          </w:tcPr>
          <w:p w:rsidR="008E1B36" w:rsidRPr="00FB68B3" w:rsidRDefault="008E1B36">
            <w:pPr>
              <w:spacing w:before="0" w:after="0" w:line="360" w:lineRule="auto"/>
              <w:rPr>
                <w:b w:val="0"/>
                <w:color w:val="auto"/>
                <w:sz w:val="18"/>
                <w:szCs w:val="18"/>
              </w:rPr>
            </w:pPr>
            <w:r w:rsidRPr="00FB68B3">
              <w:rPr>
                <w:b w:val="0"/>
                <w:color w:val="auto"/>
                <w:sz w:val="18"/>
                <w:szCs w:val="18"/>
              </w:rPr>
              <w:t>Family violence</w:t>
            </w:r>
            <w:r>
              <w:rPr>
                <w:b w:val="0"/>
                <w:color w:val="auto"/>
                <w:sz w:val="18"/>
                <w:szCs w:val="18"/>
              </w:rPr>
              <w:t xml:space="preserve"> *</w:t>
            </w:r>
          </w:p>
        </w:tc>
        <w:tc>
          <w:tcPr>
            <w:tcW w:w="1406" w:type="dxa"/>
            <w:tcBorders>
              <w:left w:val="single" w:sz="4" w:space="0" w:color="auto"/>
              <w:right w:val="single" w:sz="4" w:space="0" w:color="auto"/>
            </w:tcBorders>
            <w:shd w:val="clear" w:color="auto" w:fill="auto"/>
            <w:vAlign w:val="center"/>
          </w:tcPr>
          <w:p w:rsidR="008E1B36" w:rsidRPr="00FB68B3"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7.0</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12.9</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27.2</w:t>
            </w:r>
          </w:p>
        </w:tc>
        <w:tc>
          <w:tcPr>
            <w:tcW w:w="1407"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4F7BD6">
              <w:rPr>
                <w:sz w:val="18"/>
                <w:szCs w:val="18"/>
              </w:rPr>
              <w:t>14.3</w:t>
            </w:r>
          </w:p>
        </w:tc>
      </w:tr>
      <w:tr w:rsidR="008E1B36" w:rsidRPr="00FB68B3" w:rsidTr="007A0169">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left w:val="single" w:sz="4" w:space="0" w:color="auto"/>
              <w:right w:val="single" w:sz="4" w:space="0" w:color="auto"/>
            </w:tcBorders>
            <w:shd w:val="clear" w:color="auto" w:fill="auto"/>
            <w:vAlign w:val="center"/>
          </w:tcPr>
          <w:p w:rsidR="008E1B36" w:rsidRPr="00FB68B3" w:rsidRDefault="008E1B36">
            <w:pPr>
              <w:spacing w:before="0" w:after="0" w:line="360" w:lineRule="auto"/>
              <w:rPr>
                <w:b w:val="0"/>
                <w:color w:val="auto"/>
                <w:sz w:val="18"/>
                <w:szCs w:val="18"/>
              </w:rPr>
            </w:pPr>
            <w:r w:rsidRPr="00FB68B3">
              <w:rPr>
                <w:b w:val="0"/>
                <w:color w:val="auto"/>
                <w:sz w:val="18"/>
                <w:szCs w:val="18"/>
              </w:rPr>
              <w:t>Young people fighting</w:t>
            </w:r>
            <w:r>
              <w:rPr>
                <w:b w:val="0"/>
                <w:color w:val="auto"/>
                <w:sz w:val="18"/>
                <w:szCs w:val="18"/>
              </w:rPr>
              <w:t xml:space="preserve"> *</w:t>
            </w:r>
          </w:p>
        </w:tc>
        <w:tc>
          <w:tcPr>
            <w:tcW w:w="1406" w:type="dxa"/>
            <w:tcBorders>
              <w:left w:val="single" w:sz="4" w:space="0" w:color="auto"/>
              <w:right w:val="single" w:sz="4" w:space="0" w:color="auto"/>
            </w:tcBorders>
            <w:shd w:val="clear" w:color="auto" w:fill="auto"/>
            <w:vAlign w:val="center"/>
          </w:tcPr>
          <w:p w:rsidR="008E1B36" w:rsidRPr="00FB68B3"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11.3</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16.4</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31.7</w:t>
            </w:r>
          </w:p>
        </w:tc>
        <w:tc>
          <w:tcPr>
            <w:tcW w:w="1407"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4F7BD6">
              <w:rPr>
                <w:sz w:val="18"/>
                <w:szCs w:val="18"/>
              </w:rPr>
              <w:t>18.3</w:t>
            </w:r>
          </w:p>
        </w:tc>
      </w:tr>
      <w:tr w:rsidR="008E1B36" w:rsidRPr="00FB68B3" w:rsidTr="007A0169">
        <w:trPr>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left w:val="single" w:sz="4" w:space="0" w:color="auto"/>
              <w:right w:val="single" w:sz="4" w:space="0" w:color="auto"/>
            </w:tcBorders>
            <w:shd w:val="clear" w:color="auto" w:fill="auto"/>
            <w:vAlign w:val="center"/>
          </w:tcPr>
          <w:p w:rsidR="008E1B36" w:rsidRPr="00FB68B3" w:rsidRDefault="008E1B36">
            <w:pPr>
              <w:spacing w:before="0" w:after="0" w:line="360" w:lineRule="auto"/>
              <w:rPr>
                <w:b w:val="0"/>
                <w:color w:val="auto"/>
                <w:sz w:val="18"/>
                <w:szCs w:val="18"/>
              </w:rPr>
            </w:pPr>
            <w:r w:rsidRPr="00FB68B3">
              <w:rPr>
                <w:b w:val="0"/>
                <w:color w:val="auto"/>
                <w:sz w:val="18"/>
                <w:szCs w:val="18"/>
              </w:rPr>
              <w:t>Adults hurting kids</w:t>
            </w:r>
            <w:r>
              <w:rPr>
                <w:b w:val="0"/>
                <w:color w:val="auto"/>
                <w:sz w:val="18"/>
                <w:szCs w:val="18"/>
              </w:rPr>
              <w:t xml:space="preserve"> *</w:t>
            </w:r>
          </w:p>
        </w:tc>
        <w:tc>
          <w:tcPr>
            <w:tcW w:w="1406" w:type="dxa"/>
            <w:tcBorders>
              <w:left w:val="single" w:sz="4" w:space="0" w:color="auto"/>
              <w:bottom w:val="nil"/>
              <w:right w:val="single" w:sz="4" w:space="0" w:color="auto"/>
            </w:tcBorders>
            <w:shd w:val="clear" w:color="auto" w:fill="auto"/>
            <w:vAlign w:val="center"/>
          </w:tcPr>
          <w:p w:rsidR="008E1B36" w:rsidRPr="00FB68B3"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2.9</w:t>
            </w:r>
          </w:p>
        </w:tc>
        <w:tc>
          <w:tcPr>
            <w:tcW w:w="1406" w:type="dxa"/>
            <w:tcBorders>
              <w:left w:val="single" w:sz="4" w:space="0" w:color="auto"/>
              <w:bottom w:val="nil"/>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4.6</w:t>
            </w:r>
          </w:p>
        </w:tc>
        <w:tc>
          <w:tcPr>
            <w:tcW w:w="1406" w:type="dxa"/>
            <w:tcBorders>
              <w:left w:val="single" w:sz="4" w:space="0" w:color="auto"/>
              <w:bottom w:val="nil"/>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14.0</w:t>
            </w:r>
          </w:p>
        </w:tc>
        <w:tc>
          <w:tcPr>
            <w:tcW w:w="1407" w:type="dxa"/>
            <w:tcBorders>
              <w:left w:val="single" w:sz="4" w:space="0" w:color="auto"/>
              <w:bottom w:val="nil"/>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4F7BD6">
              <w:rPr>
                <w:sz w:val="18"/>
                <w:szCs w:val="18"/>
              </w:rPr>
              <w:t>6.1</w:t>
            </w:r>
          </w:p>
        </w:tc>
      </w:tr>
      <w:tr w:rsidR="006C08D3" w:rsidRPr="00FB68B3" w:rsidTr="006C08D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top w:val="nil"/>
              <w:left w:val="single" w:sz="4" w:space="0" w:color="auto"/>
              <w:bottom w:val="single" w:sz="4" w:space="0" w:color="auto"/>
              <w:right w:val="single" w:sz="4" w:space="0" w:color="auto"/>
            </w:tcBorders>
            <w:shd w:val="clear" w:color="auto" w:fill="auto"/>
            <w:vAlign w:val="center"/>
          </w:tcPr>
          <w:p w:rsidR="008E1B36" w:rsidRPr="00FB68B3" w:rsidRDefault="008E1B36">
            <w:pPr>
              <w:spacing w:before="0" w:after="0" w:line="360" w:lineRule="auto"/>
              <w:rPr>
                <w:b w:val="0"/>
                <w:color w:val="auto"/>
                <w:sz w:val="18"/>
                <w:szCs w:val="18"/>
              </w:rPr>
            </w:pPr>
            <w:r w:rsidRPr="00FB68B3">
              <w:rPr>
                <w:b w:val="0"/>
                <w:color w:val="auto"/>
                <w:sz w:val="18"/>
                <w:szCs w:val="18"/>
              </w:rPr>
              <w:t>Younger people hurting older people</w:t>
            </w:r>
            <w:r>
              <w:rPr>
                <w:b w:val="0"/>
                <w:color w:val="auto"/>
                <w:sz w:val="18"/>
                <w:szCs w:val="18"/>
              </w:rPr>
              <w:t xml:space="preserve"> *</w:t>
            </w:r>
          </w:p>
        </w:tc>
        <w:tc>
          <w:tcPr>
            <w:tcW w:w="1406" w:type="dxa"/>
            <w:tcBorders>
              <w:top w:val="nil"/>
              <w:left w:val="single" w:sz="4" w:space="0" w:color="auto"/>
              <w:bottom w:val="single" w:sz="4" w:space="0" w:color="auto"/>
              <w:right w:val="single" w:sz="4" w:space="0" w:color="auto"/>
            </w:tcBorders>
            <w:shd w:val="clear" w:color="auto" w:fill="auto"/>
            <w:vAlign w:val="center"/>
          </w:tcPr>
          <w:p w:rsidR="008E1B36" w:rsidRPr="00FB68B3"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5.2</w:t>
            </w:r>
          </w:p>
        </w:tc>
        <w:tc>
          <w:tcPr>
            <w:tcW w:w="1406" w:type="dxa"/>
            <w:tcBorders>
              <w:top w:val="nil"/>
              <w:left w:val="single" w:sz="4" w:space="0" w:color="auto"/>
              <w:bottom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7.2</w:t>
            </w:r>
          </w:p>
        </w:tc>
        <w:tc>
          <w:tcPr>
            <w:tcW w:w="1406" w:type="dxa"/>
            <w:tcBorders>
              <w:top w:val="nil"/>
              <w:left w:val="single" w:sz="4" w:space="0" w:color="auto"/>
              <w:bottom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13.6</w:t>
            </w:r>
          </w:p>
        </w:tc>
        <w:tc>
          <w:tcPr>
            <w:tcW w:w="1407" w:type="dxa"/>
            <w:tcBorders>
              <w:top w:val="nil"/>
              <w:left w:val="single" w:sz="4" w:space="0" w:color="auto"/>
              <w:bottom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4F7BD6">
              <w:rPr>
                <w:sz w:val="18"/>
                <w:szCs w:val="18"/>
              </w:rPr>
              <w:t>8.0</w:t>
            </w:r>
          </w:p>
        </w:tc>
      </w:tr>
      <w:tr w:rsidR="008E1B36" w:rsidRPr="00FB68B3" w:rsidTr="007A0169">
        <w:trPr>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top w:val="single" w:sz="4" w:space="0" w:color="auto"/>
              <w:left w:val="single" w:sz="4" w:space="0" w:color="auto"/>
              <w:right w:val="single" w:sz="4" w:space="0" w:color="auto"/>
            </w:tcBorders>
            <w:shd w:val="clear" w:color="auto" w:fill="auto"/>
            <w:vAlign w:val="center"/>
          </w:tcPr>
          <w:p w:rsidR="008E1B36" w:rsidRPr="00FB68B3" w:rsidRDefault="008E1B36">
            <w:pPr>
              <w:spacing w:before="0" w:after="0" w:line="360" w:lineRule="auto"/>
              <w:rPr>
                <w:b w:val="0"/>
                <w:color w:val="auto"/>
                <w:sz w:val="18"/>
                <w:szCs w:val="18"/>
              </w:rPr>
            </w:pPr>
            <w:r w:rsidRPr="00FB68B3">
              <w:rPr>
                <w:b w:val="0"/>
                <w:color w:val="auto"/>
                <w:sz w:val="18"/>
                <w:szCs w:val="18"/>
              </w:rPr>
              <w:t>Pressure to support others</w:t>
            </w:r>
            <w:r>
              <w:rPr>
                <w:b w:val="0"/>
                <w:color w:val="auto"/>
                <w:sz w:val="18"/>
                <w:szCs w:val="18"/>
              </w:rPr>
              <w:t xml:space="preserve"> *</w:t>
            </w:r>
          </w:p>
        </w:tc>
        <w:tc>
          <w:tcPr>
            <w:tcW w:w="1406" w:type="dxa"/>
            <w:tcBorders>
              <w:top w:val="single" w:sz="4" w:space="0" w:color="auto"/>
              <w:left w:val="single" w:sz="4" w:space="0" w:color="auto"/>
              <w:right w:val="single" w:sz="4" w:space="0" w:color="auto"/>
            </w:tcBorders>
            <w:shd w:val="clear" w:color="auto" w:fill="auto"/>
            <w:vAlign w:val="center"/>
          </w:tcPr>
          <w:p w:rsidR="008E1B36" w:rsidRPr="00FB68B3"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4.4</w:t>
            </w:r>
          </w:p>
        </w:tc>
        <w:tc>
          <w:tcPr>
            <w:tcW w:w="1406" w:type="dxa"/>
            <w:tcBorders>
              <w:top w:val="single" w:sz="4" w:space="0" w:color="auto"/>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8.4</w:t>
            </w:r>
          </w:p>
        </w:tc>
        <w:tc>
          <w:tcPr>
            <w:tcW w:w="1406" w:type="dxa"/>
            <w:tcBorders>
              <w:top w:val="single" w:sz="4" w:space="0" w:color="auto"/>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26.0</w:t>
            </w:r>
          </w:p>
        </w:tc>
        <w:tc>
          <w:tcPr>
            <w:tcW w:w="1407" w:type="dxa"/>
            <w:tcBorders>
              <w:top w:val="single" w:sz="4" w:space="0" w:color="auto"/>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4F7BD6">
              <w:rPr>
                <w:sz w:val="18"/>
                <w:szCs w:val="18"/>
              </w:rPr>
              <w:t>11.1</w:t>
            </w:r>
          </w:p>
        </w:tc>
      </w:tr>
      <w:tr w:rsidR="008E1B36" w:rsidRPr="00FB68B3" w:rsidTr="007A0169">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left w:val="single" w:sz="4" w:space="0" w:color="auto"/>
              <w:right w:val="single" w:sz="4" w:space="0" w:color="auto"/>
            </w:tcBorders>
            <w:shd w:val="clear" w:color="auto" w:fill="auto"/>
            <w:vAlign w:val="center"/>
          </w:tcPr>
          <w:p w:rsidR="008E1B36" w:rsidRPr="00FB68B3" w:rsidRDefault="008E1B36">
            <w:pPr>
              <w:spacing w:before="0" w:after="0" w:line="360" w:lineRule="auto"/>
              <w:rPr>
                <w:b w:val="0"/>
                <w:color w:val="auto"/>
                <w:sz w:val="18"/>
                <w:szCs w:val="18"/>
              </w:rPr>
            </w:pPr>
            <w:r w:rsidRPr="00FB68B3">
              <w:rPr>
                <w:b w:val="0"/>
                <w:color w:val="auto"/>
                <w:sz w:val="18"/>
                <w:szCs w:val="18"/>
              </w:rPr>
              <w:t>Kids being out at night</w:t>
            </w:r>
            <w:r>
              <w:rPr>
                <w:b w:val="0"/>
                <w:color w:val="auto"/>
                <w:sz w:val="18"/>
                <w:szCs w:val="18"/>
              </w:rPr>
              <w:t xml:space="preserve"> *</w:t>
            </w:r>
          </w:p>
        </w:tc>
        <w:tc>
          <w:tcPr>
            <w:tcW w:w="1406" w:type="dxa"/>
            <w:tcBorders>
              <w:left w:val="single" w:sz="4" w:space="0" w:color="auto"/>
              <w:right w:val="single" w:sz="4" w:space="0" w:color="auto"/>
            </w:tcBorders>
            <w:shd w:val="clear" w:color="auto" w:fill="auto"/>
            <w:vAlign w:val="center"/>
          </w:tcPr>
          <w:p w:rsidR="008E1B36" w:rsidRPr="00FB68B3"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18.3</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29.9</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46.4</w:t>
            </w:r>
          </w:p>
        </w:tc>
        <w:tc>
          <w:tcPr>
            <w:tcW w:w="1407"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4F7BD6">
              <w:rPr>
                <w:sz w:val="18"/>
                <w:szCs w:val="18"/>
              </w:rPr>
              <w:t>30.2</w:t>
            </w:r>
          </w:p>
        </w:tc>
      </w:tr>
      <w:tr w:rsidR="008E1B36" w:rsidRPr="00FB68B3" w:rsidTr="007A0169">
        <w:trPr>
          <w:trHeight w:val="80"/>
          <w:jc w:val="center"/>
        </w:trPr>
        <w:tc>
          <w:tcPr>
            <w:cnfStyle w:val="001000000000" w:firstRow="0" w:lastRow="0" w:firstColumn="1" w:lastColumn="0" w:oddVBand="0" w:evenVBand="0" w:oddHBand="0" w:evenHBand="0" w:firstRowFirstColumn="0" w:firstRowLastColumn="0" w:lastRowFirstColumn="0" w:lastRowLastColumn="0"/>
            <w:tcW w:w="3252" w:type="dxa"/>
            <w:tcBorders>
              <w:left w:val="single" w:sz="4" w:space="0" w:color="auto"/>
              <w:right w:val="single" w:sz="4" w:space="0" w:color="auto"/>
            </w:tcBorders>
            <w:shd w:val="clear" w:color="auto" w:fill="auto"/>
            <w:vAlign w:val="center"/>
          </w:tcPr>
          <w:p w:rsidR="008E1B36" w:rsidRPr="00FB68B3" w:rsidRDefault="008E1B36">
            <w:pPr>
              <w:spacing w:before="0" w:after="0" w:line="360" w:lineRule="auto"/>
              <w:rPr>
                <w:b w:val="0"/>
                <w:color w:val="auto"/>
                <w:sz w:val="18"/>
                <w:szCs w:val="18"/>
              </w:rPr>
            </w:pPr>
            <w:r w:rsidRPr="00FB68B3">
              <w:rPr>
                <w:b w:val="0"/>
                <w:color w:val="auto"/>
                <w:sz w:val="18"/>
                <w:szCs w:val="18"/>
              </w:rPr>
              <w:t>Kids not going to school</w:t>
            </w:r>
            <w:r>
              <w:rPr>
                <w:b w:val="0"/>
                <w:color w:val="auto"/>
                <w:sz w:val="18"/>
                <w:szCs w:val="18"/>
              </w:rPr>
              <w:t xml:space="preserve"> *</w:t>
            </w:r>
          </w:p>
        </w:tc>
        <w:tc>
          <w:tcPr>
            <w:tcW w:w="1406" w:type="dxa"/>
            <w:tcBorders>
              <w:left w:val="single" w:sz="4" w:space="0" w:color="auto"/>
              <w:right w:val="single" w:sz="4" w:space="0" w:color="auto"/>
            </w:tcBorders>
            <w:shd w:val="clear" w:color="auto" w:fill="auto"/>
            <w:vAlign w:val="center"/>
          </w:tcPr>
          <w:p w:rsidR="008E1B36" w:rsidRPr="00FB68B3"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15.1</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26.9</w:t>
            </w:r>
          </w:p>
        </w:tc>
        <w:tc>
          <w:tcPr>
            <w:tcW w:w="1406"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40.8</w:t>
            </w:r>
          </w:p>
        </w:tc>
        <w:tc>
          <w:tcPr>
            <w:tcW w:w="1407" w:type="dxa"/>
            <w:tcBorders>
              <w:left w:val="single" w:sz="4" w:space="0" w:color="auto"/>
              <w:right w:val="single" w:sz="4" w:space="0" w:color="auto"/>
            </w:tcBorders>
            <w:shd w:val="clear" w:color="auto" w:fill="auto"/>
            <w:vAlign w:val="center"/>
          </w:tcPr>
          <w:p w:rsidR="008E1B36" w:rsidRDefault="008E1B36" w:rsidP="007A0169">
            <w:pPr>
              <w:spacing w:before="0" w:after="0" w:line="360" w:lineRule="auto"/>
              <w:cnfStyle w:val="000000000000" w:firstRow="0" w:lastRow="0" w:firstColumn="0" w:lastColumn="0" w:oddVBand="0" w:evenVBand="0" w:oddHBand="0" w:evenHBand="0" w:firstRowFirstColumn="0" w:firstRowLastColumn="0" w:lastRowFirstColumn="0" w:lastRowLastColumn="0"/>
              <w:rPr>
                <w:sz w:val="18"/>
                <w:szCs w:val="18"/>
              </w:rPr>
            </w:pPr>
            <w:r w:rsidRPr="004F7BD6">
              <w:rPr>
                <w:sz w:val="18"/>
                <w:szCs w:val="18"/>
              </w:rPr>
              <w:t>26.6</w:t>
            </w:r>
          </w:p>
        </w:tc>
      </w:tr>
      <w:tr w:rsidR="006C08D3" w:rsidRPr="00FB68B3" w:rsidTr="007A0169">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252" w:type="dxa"/>
            <w:tcBorders>
              <w:left w:val="single" w:sz="4" w:space="0" w:color="auto"/>
              <w:right w:val="single" w:sz="4" w:space="0" w:color="auto"/>
            </w:tcBorders>
            <w:shd w:val="clear" w:color="auto" w:fill="auto"/>
            <w:vAlign w:val="center"/>
          </w:tcPr>
          <w:p w:rsidR="008E1B36" w:rsidRPr="00FB68B3" w:rsidRDefault="008E1B36">
            <w:pPr>
              <w:spacing w:before="0" w:after="0" w:line="360" w:lineRule="auto"/>
              <w:rPr>
                <w:b w:val="0"/>
                <w:color w:val="auto"/>
                <w:sz w:val="18"/>
                <w:szCs w:val="18"/>
              </w:rPr>
            </w:pPr>
            <w:r w:rsidRPr="00FB68B3">
              <w:rPr>
                <w:b w:val="0"/>
                <w:color w:val="auto"/>
                <w:sz w:val="18"/>
                <w:szCs w:val="18"/>
              </w:rPr>
              <w:t>Cyber bullying</w:t>
            </w:r>
            <w:r>
              <w:rPr>
                <w:b w:val="0"/>
                <w:color w:val="auto"/>
                <w:sz w:val="18"/>
                <w:szCs w:val="18"/>
              </w:rPr>
              <w:t xml:space="preserve">  *</w:t>
            </w:r>
          </w:p>
        </w:tc>
        <w:tc>
          <w:tcPr>
            <w:tcW w:w="1406" w:type="dxa"/>
            <w:tcBorders>
              <w:left w:val="single" w:sz="4" w:space="0" w:color="auto"/>
              <w:bottom w:val="single" w:sz="18" w:space="0" w:color="auto"/>
              <w:right w:val="single" w:sz="4" w:space="0" w:color="auto"/>
            </w:tcBorders>
            <w:shd w:val="clear" w:color="auto" w:fill="auto"/>
            <w:vAlign w:val="center"/>
          </w:tcPr>
          <w:p w:rsidR="008E1B36" w:rsidRPr="00FB68B3"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10.8</w:t>
            </w:r>
          </w:p>
        </w:tc>
        <w:tc>
          <w:tcPr>
            <w:tcW w:w="1406" w:type="dxa"/>
            <w:tcBorders>
              <w:left w:val="single" w:sz="4" w:space="0" w:color="auto"/>
              <w:bottom w:val="single" w:sz="18"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21.8</w:t>
            </w:r>
          </w:p>
        </w:tc>
        <w:tc>
          <w:tcPr>
            <w:tcW w:w="1406" w:type="dxa"/>
            <w:tcBorders>
              <w:left w:val="single" w:sz="4" w:space="0" w:color="auto"/>
              <w:bottom w:val="single" w:sz="18"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29.1</w:t>
            </w:r>
          </w:p>
        </w:tc>
        <w:tc>
          <w:tcPr>
            <w:tcW w:w="1407" w:type="dxa"/>
            <w:tcBorders>
              <w:left w:val="single" w:sz="4" w:space="0" w:color="auto"/>
              <w:bottom w:val="single" w:sz="18" w:space="0" w:color="auto"/>
              <w:right w:val="single" w:sz="4" w:space="0" w:color="auto"/>
            </w:tcBorders>
            <w:shd w:val="clear" w:color="auto" w:fill="auto"/>
            <w:vAlign w:val="center"/>
          </w:tcPr>
          <w:p w:rsidR="008E1B36" w:rsidRDefault="008E1B36" w:rsidP="007A0169">
            <w:pPr>
              <w:spacing w:before="0" w:after="0" w:line="360" w:lineRule="auto"/>
              <w:cnfStyle w:val="000000100000" w:firstRow="0" w:lastRow="0" w:firstColumn="0" w:lastColumn="0" w:oddVBand="0" w:evenVBand="0" w:oddHBand="1" w:evenHBand="0" w:firstRowFirstColumn="0" w:firstRowLastColumn="0" w:lastRowFirstColumn="0" w:lastRowLastColumn="0"/>
              <w:rPr>
                <w:sz w:val="18"/>
                <w:szCs w:val="18"/>
              </w:rPr>
            </w:pPr>
            <w:r w:rsidRPr="004F7BD6">
              <w:rPr>
                <w:sz w:val="18"/>
                <w:szCs w:val="18"/>
              </w:rPr>
              <w:t>20.3</w:t>
            </w:r>
          </w:p>
        </w:tc>
      </w:tr>
    </w:tbl>
    <w:p w:rsidR="001777E7" w:rsidRDefault="001777E7" w:rsidP="001777E7">
      <w:pPr>
        <w:spacing w:before="0" w:after="0" w:line="240" w:lineRule="auto"/>
      </w:pPr>
    </w:p>
    <w:p w:rsidR="008D2419" w:rsidRDefault="008D2419" w:rsidP="008D2419">
      <w:r>
        <w:t xml:space="preserve">The number of different neighbourhood problems </w:t>
      </w:r>
      <w:r w:rsidR="00A447AF">
        <w:t>primary care</w:t>
      </w:r>
      <w:r w:rsidR="00F2424A">
        <w:t xml:space="preserve">rs experience </w:t>
      </w:r>
      <w:r>
        <w:t>has a significant negative impact</w:t>
      </w:r>
      <w:r w:rsidR="002C66D3">
        <w:t xml:space="preserve"> on</w:t>
      </w:r>
      <w:r>
        <w:t xml:space="preserve"> </w:t>
      </w:r>
      <w:r w:rsidR="00F2424A">
        <w:t>their satisfaction with their</w:t>
      </w:r>
      <w:r>
        <w:t xml:space="preserve"> neighbourhood</w:t>
      </w:r>
      <w:r>
        <w:rPr>
          <w:rStyle w:val="FootnoteReference"/>
        </w:rPr>
        <w:footnoteReference w:id="1"/>
      </w:r>
      <w:r>
        <w:t xml:space="preserve">. Having one or more problems in the neighbourhood is related to significantly lower overall life satisfaction, compared to </w:t>
      </w:r>
      <w:r w:rsidR="00F2424A">
        <w:t>people with</w:t>
      </w:r>
      <w:r>
        <w:t xml:space="preserve"> no perceived problems in the neighbourhood</w:t>
      </w:r>
      <w:r>
        <w:rPr>
          <w:rStyle w:val="FootnoteReference"/>
        </w:rPr>
        <w:footnoteReference w:id="2"/>
      </w:r>
      <w:r>
        <w:t xml:space="preserve">. </w:t>
      </w:r>
    </w:p>
    <w:p w:rsidR="001777E7" w:rsidRPr="004316C9" w:rsidRDefault="001777E7" w:rsidP="001777E7">
      <w:pPr>
        <w:spacing w:before="0" w:after="0" w:line="240" w:lineRule="auto"/>
        <w:rPr>
          <w:sz w:val="16"/>
          <w:szCs w:val="16"/>
        </w:rPr>
      </w:pPr>
    </w:p>
    <w:p w:rsidR="001777E7" w:rsidRPr="00A4771E" w:rsidRDefault="001777E7" w:rsidP="001777E7">
      <w:pPr>
        <w:spacing w:before="0" w:line="240" w:lineRule="auto"/>
        <w:rPr>
          <w:rFonts w:ascii="Georgia" w:hAnsi="Georgia" w:cs="Arial"/>
          <w:iCs/>
          <w:color w:val="500778"/>
          <w:sz w:val="28"/>
          <w:szCs w:val="28"/>
        </w:rPr>
      </w:pPr>
      <w:r w:rsidRPr="008371F5">
        <w:rPr>
          <w:rFonts w:ascii="Georgia" w:hAnsi="Georgia" w:cs="Arial"/>
          <w:iCs/>
          <w:color w:val="500778"/>
          <w:sz w:val="28"/>
          <w:szCs w:val="28"/>
        </w:rPr>
        <w:t>Key Statistics</w:t>
      </w:r>
    </w:p>
    <w:p w:rsidR="001777E7" w:rsidRPr="008371F5" w:rsidRDefault="001777E7" w:rsidP="001777E7">
      <w:pPr>
        <w:pStyle w:val="ListParagraph"/>
        <w:numPr>
          <w:ilvl w:val="0"/>
          <w:numId w:val="1"/>
        </w:numPr>
        <w:spacing w:before="0" w:after="0" w:line="240" w:lineRule="auto"/>
        <w:rPr>
          <w:b/>
        </w:rPr>
      </w:pPr>
      <w:r w:rsidRPr="008371F5">
        <w:rPr>
          <w:b/>
        </w:rPr>
        <w:t xml:space="preserve">8.1 out of </w:t>
      </w:r>
      <w:r w:rsidR="00F2424A">
        <w:rPr>
          <w:b/>
        </w:rPr>
        <w:t>10</w:t>
      </w:r>
      <w:r w:rsidR="00F2424A" w:rsidRPr="008371F5">
        <w:rPr>
          <w:b/>
        </w:rPr>
        <w:t xml:space="preserve"> </w:t>
      </w:r>
      <w:r w:rsidRPr="008371F5">
        <w:rPr>
          <w:b/>
        </w:rPr>
        <w:t xml:space="preserve">– the average level of satisfaction </w:t>
      </w:r>
      <w:r>
        <w:rPr>
          <w:b/>
        </w:rPr>
        <w:t>LSIC primary carers</w:t>
      </w:r>
      <w:r w:rsidRPr="008371F5">
        <w:rPr>
          <w:b/>
        </w:rPr>
        <w:t xml:space="preserve"> feel </w:t>
      </w:r>
      <w:r w:rsidR="00F2424A">
        <w:rPr>
          <w:b/>
        </w:rPr>
        <w:t>with</w:t>
      </w:r>
      <w:r w:rsidR="00F2424A" w:rsidRPr="008371F5">
        <w:rPr>
          <w:b/>
        </w:rPr>
        <w:t xml:space="preserve"> </w:t>
      </w:r>
      <w:r w:rsidRPr="008371F5">
        <w:rPr>
          <w:b/>
        </w:rPr>
        <w:t>the community in which they live.</w:t>
      </w:r>
    </w:p>
    <w:p w:rsidR="001777E7" w:rsidRDefault="001777E7" w:rsidP="001777E7">
      <w:pPr>
        <w:pStyle w:val="ListParagraph"/>
        <w:numPr>
          <w:ilvl w:val="0"/>
          <w:numId w:val="1"/>
        </w:numPr>
        <w:spacing w:before="0" w:after="0" w:line="240" w:lineRule="auto"/>
        <w:ind w:left="714" w:hanging="357"/>
        <w:rPr>
          <w:b/>
        </w:rPr>
      </w:pPr>
      <w:r w:rsidRPr="008371F5">
        <w:rPr>
          <w:b/>
        </w:rPr>
        <w:t>26.6</w:t>
      </w:r>
      <w:r w:rsidR="00F2424A">
        <w:rPr>
          <w:b/>
        </w:rPr>
        <w:t xml:space="preserve"> per cent</w:t>
      </w:r>
      <w:r w:rsidRPr="008371F5">
        <w:rPr>
          <w:b/>
        </w:rPr>
        <w:t xml:space="preserve"> – the proportion of primary carers who reported a problem with children not going to school in their community. </w:t>
      </w:r>
    </w:p>
    <w:p w:rsidR="001777E7" w:rsidRPr="00A4771E" w:rsidRDefault="001777E7" w:rsidP="001777E7">
      <w:pPr>
        <w:pStyle w:val="ListParagraph"/>
        <w:numPr>
          <w:ilvl w:val="0"/>
          <w:numId w:val="1"/>
        </w:numPr>
        <w:spacing w:before="0" w:after="0" w:line="240" w:lineRule="auto"/>
        <w:ind w:left="714" w:hanging="357"/>
        <w:rPr>
          <w:rStyle w:val="BookTitle"/>
          <w:b/>
          <w:i w:val="0"/>
          <w:iCs w:val="0"/>
          <w:smallCaps w:val="0"/>
          <w:spacing w:val="0"/>
        </w:rPr>
      </w:pPr>
      <w:r w:rsidRPr="008371F5">
        <w:rPr>
          <w:b/>
        </w:rPr>
        <w:t>61.2</w:t>
      </w:r>
      <w:r w:rsidR="00F2424A">
        <w:rPr>
          <w:b/>
        </w:rPr>
        <w:t xml:space="preserve"> per cent</w:t>
      </w:r>
      <w:r w:rsidRPr="008371F5">
        <w:rPr>
          <w:b/>
        </w:rPr>
        <w:t xml:space="preserve"> – the proportion of primary carers who reported feeling that their neighbourhood is very or quite safe.</w:t>
      </w:r>
    </w:p>
    <w:p w:rsidR="007B0256" w:rsidRPr="005C3AA9" w:rsidRDefault="007B0256" w:rsidP="004B54CA">
      <w:pPr>
        <w:rPr>
          <w:rStyle w:val="BookTitle"/>
          <w:i w:val="0"/>
          <w:iCs w:val="0"/>
          <w:smallCaps w:val="0"/>
          <w:spacing w:val="0"/>
        </w:rPr>
      </w:pPr>
    </w:p>
    <w:sectPr w:rsidR="007B0256" w:rsidRPr="005C3AA9" w:rsidSect="00A4771E">
      <w:footerReference w:type="default" r:id="rId8"/>
      <w:headerReference w:type="first" r:id="rId9"/>
      <w:footerReference w:type="first" r:id="rId10"/>
      <w:pgSz w:w="11906" w:h="16838" w:code="9"/>
      <w:pgMar w:top="1245" w:right="1080" w:bottom="1440" w:left="1080" w:header="0" w:footer="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9D" w:rsidRDefault="00447D9D" w:rsidP="008D2419">
      <w:pPr>
        <w:spacing w:before="0" w:after="0" w:line="240" w:lineRule="auto"/>
      </w:pPr>
      <w:r>
        <w:separator/>
      </w:r>
    </w:p>
  </w:endnote>
  <w:endnote w:type="continuationSeparator" w:id="0">
    <w:p w:rsidR="00447D9D" w:rsidRDefault="00447D9D" w:rsidP="008D24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1E" w:rsidRDefault="00F91944" w:rsidP="00A4771E">
    <w:pPr>
      <w:pStyle w:val="Footer"/>
      <w:tabs>
        <w:tab w:val="clear" w:pos="10433"/>
        <w:tab w:val="right" w:pos="9639"/>
      </w:tabs>
      <w:ind w:left="108"/>
      <w:rPr>
        <w:rFonts w:asciiTheme="minorHAnsi" w:hAnsiTheme="minorHAnsi" w:cstheme="minorHAnsi"/>
        <w:color w:val="000000" w:themeColor="text1"/>
        <w:sz w:val="16"/>
        <w:szCs w:val="16"/>
      </w:rPr>
    </w:pPr>
  </w:p>
  <w:p w:rsidR="00A4771E" w:rsidRDefault="00F91944" w:rsidP="00A4771E">
    <w:pPr>
      <w:pStyle w:val="Footer"/>
      <w:tabs>
        <w:tab w:val="clear" w:pos="10433"/>
        <w:tab w:val="right" w:pos="9639"/>
      </w:tabs>
      <w:ind w:left="108"/>
      <w:rPr>
        <w:rFonts w:asciiTheme="minorHAnsi" w:hAnsiTheme="minorHAnsi" w:cstheme="minorHAnsi"/>
        <w:color w:val="000000" w:themeColor="text1"/>
        <w:sz w:val="16"/>
        <w:szCs w:val="16"/>
      </w:rPr>
    </w:pPr>
  </w:p>
  <w:p w:rsidR="00A4771E" w:rsidRDefault="00F91944" w:rsidP="00A4771E">
    <w:pPr>
      <w:pStyle w:val="Footer"/>
      <w:tabs>
        <w:tab w:val="clear" w:pos="10433"/>
        <w:tab w:val="right" w:pos="9639"/>
      </w:tabs>
      <w:ind w:left="108"/>
      <w:rPr>
        <w:rFonts w:asciiTheme="minorHAnsi" w:hAnsiTheme="minorHAnsi" w:cstheme="minorHAnsi"/>
        <w:color w:val="000000" w:themeColor="text1"/>
        <w:sz w:val="16"/>
        <w:szCs w:val="16"/>
      </w:rPr>
    </w:pPr>
  </w:p>
  <w:p w:rsidR="00A06C77" w:rsidRPr="00A4771E" w:rsidRDefault="00447D9D" w:rsidP="00A4771E">
    <w:pPr>
      <w:pStyle w:val="Footer"/>
      <w:tabs>
        <w:tab w:val="clear" w:pos="10433"/>
        <w:tab w:val="right" w:pos="9639"/>
      </w:tabs>
      <w:ind w:left="108"/>
      <w:rPr>
        <w:rFonts w:asciiTheme="minorHAnsi" w:hAnsiTheme="minorHAnsi" w:cstheme="minorHAnsi"/>
        <w:color w:val="000000" w:themeColor="text1"/>
        <w:sz w:val="16"/>
        <w:szCs w:val="16"/>
      </w:rPr>
    </w:pPr>
    <w:r w:rsidRPr="00E148D1">
      <w:rPr>
        <w:rFonts w:asciiTheme="minorHAnsi" w:hAnsiTheme="minorHAnsi" w:cstheme="minorHAnsi"/>
        <w:color w:val="000000" w:themeColor="text1"/>
        <w:sz w:val="16"/>
        <w:szCs w:val="16"/>
      </w:rPr>
      <w:t xml:space="preserve">For queries regarding this research, please email </w:t>
    </w:r>
    <w:hyperlink r:id="rId1" w:history="1">
      <w:r w:rsidRPr="00E148D1">
        <w:rPr>
          <w:rStyle w:val="Hyperlink"/>
          <w:rFonts w:asciiTheme="minorHAnsi" w:eastAsiaTheme="majorEastAsia" w:hAnsiTheme="minorHAnsi" w:cstheme="minorHAnsi"/>
          <w:color w:val="000000" w:themeColor="text1"/>
          <w:sz w:val="16"/>
          <w:szCs w:val="16"/>
        </w:rPr>
        <w:t>NCLD@dss.gov.au</w:t>
      </w:r>
    </w:hyperlink>
    <w:r w:rsidRPr="00E148D1">
      <w:rPr>
        <w:rFonts w:asciiTheme="minorHAnsi" w:hAnsiTheme="minorHAnsi" w:cstheme="minorHAnsi"/>
        <w:color w:val="000000" w:themeColor="text1"/>
        <w:sz w:val="16"/>
        <w:szCs w:val="16"/>
      </w:rPr>
      <w:t>.</w:t>
    </w:r>
    <w:r w:rsidRPr="00E148D1">
      <w:rPr>
        <w:rFonts w:asciiTheme="minorHAnsi" w:hAnsiTheme="minorHAnsi" w:cstheme="minorHAnsi"/>
        <w:color w:val="000000" w:themeColor="text1"/>
        <w:sz w:val="16"/>
        <w:szCs w:val="16"/>
      </w:rPr>
      <w:tab/>
      <w:t xml:space="preserve">Page </w:t>
    </w:r>
    <w:r w:rsidRPr="00E148D1">
      <w:rPr>
        <w:rFonts w:asciiTheme="minorHAnsi" w:hAnsiTheme="minorHAnsi" w:cstheme="minorHAnsi"/>
        <w:b/>
        <w:color w:val="000000" w:themeColor="text1"/>
        <w:sz w:val="16"/>
        <w:szCs w:val="16"/>
      </w:rPr>
      <w:fldChar w:fldCharType="begin"/>
    </w:r>
    <w:r w:rsidRPr="00E148D1">
      <w:rPr>
        <w:rFonts w:asciiTheme="minorHAnsi" w:hAnsiTheme="minorHAnsi" w:cstheme="minorHAnsi"/>
        <w:b/>
        <w:color w:val="000000" w:themeColor="text1"/>
        <w:sz w:val="16"/>
        <w:szCs w:val="16"/>
      </w:rPr>
      <w:instrText xml:space="preserve"> PAGE  \* Arabic  \* MERGEFORMAT </w:instrText>
    </w:r>
    <w:r w:rsidRPr="00E148D1">
      <w:rPr>
        <w:rFonts w:asciiTheme="minorHAnsi" w:hAnsiTheme="minorHAnsi" w:cstheme="minorHAnsi"/>
        <w:b/>
        <w:color w:val="000000" w:themeColor="text1"/>
        <w:sz w:val="16"/>
        <w:szCs w:val="16"/>
      </w:rPr>
      <w:fldChar w:fldCharType="separate"/>
    </w:r>
    <w:r w:rsidR="00F91944">
      <w:rPr>
        <w:rFonts w:asciiTheme="minorHAnsi" w:hAnsiTheme="minorHAnsi" w:cstheme="minorHAnsi"/>
        <w:b/>
        <w:noProof/>
        <w:color w:val="000000" w:themeColor="text1"/>
        <w:sz w:val="16"/>
        <w:szCs w:val="16"/>
      </w:rPr>
      <w:t>2</w:t>
    </w:r>
    <w:r w:rsidRPr="00E148D1">
      <w:rPr>
        <w:rFonts w:asciiTheme="minorHAnsi" w:hAnsiTheme="minorHAnsi" w:cstheme="minorHAnsi"/>
        <w:b/>
        <w:color w:val="000000" w:themeColor="text1"/>
        <w:sz w:val="16"/>
        <w:szCs w:val="16"/>
      </w:rPr>
      <w:fldChar w:fldCharType="end"/>
    </w:r>
    <w:r w:rsidRPr="00E148D1">
      <w:rPr>
        <w:rFonts w:asciiTheme="minorHAnsi" w:hAnsiTheme="minorHAnsi" w:cstheme="minorHAnsi"/>
        <w:color w:val="000000" w:themeColor="text1"/>
        <w:sz w:val="16"/>
        <w:szCs w:val="16"/>
      </w:rPr>
      <w:t xml:space="preserve"> of </w:t>
    </w:r>
    <w:r w:rsidRPr="00E148D1">
      <w:rPr>
        <w:rFonts w:asciiTheme="minorHAnsi" w:hAnsiTheme="minorHAnsi" w:cstheme="minorHAnsi"/>
        <w:b/>
        <w:color w:val="000000" w:themeColor="text1"/>
        <w:sz w:val="16"/>
        <w:szCs w:val="16"/>
      </w:rPr>
      <w:fldChar w:fldCharType="begin"/>
    </w:r>
    <w:r w:rsidRPr="00E148D1">
      <w:rPr>
        <w:rFonts w:asciiTheme="minorHAnsi" w:hAnsiTheme="minorHAnsi" w:cstheme="minorHAnsi"/>
        <w:b/>
        <w:color w:val="000000" w:themeColor="text1"/>
        <w:sz w:val="16"/>
        <w:szCs w:val="16"/>
      </w:rPr>
      <w:instrText xml:space="preserve"> NUMPAGES  \* Arabic  \* MERGEFORMAT </w:instrText>
    </w:r>
    <w:r w:rsidRPr="00E148D1">
      <w:rPr>
        <w:rFonts w:asciiTheme="minorHAnsi" w:hAnsiTheme="minorHAnsi" w:cstheme="minorHAnsi"/>
        <w:b/>
        <w:color w:val="000000" w:themeColor="text1"/>
        <w:sz w:val="16"/>
        <w:szCs w:val="16"/>
      </w:rPr>
      <w:fldChar w:fldCharType="separate"/>
    </w:r>
    <w:r w:rsidR="00F91944">
      <w:rPr>
        <w:rFonts w:asciiTheme="minorHAnsi" w:hAnsiTheme="minorHAnsi" w:cstheme="minorHAnsi"/>
        <w:b/>
        <w:noProof/>
        <w:color w:val="000000" w:themeColor="text1"/>
        <w:sz w:val="16"/>
        <w:szCs w:val="16"/>
      </w:rPr>
      <w:t>2</w:t>
    </w:r>
    <w:r w:rsidRPr="00E148D1">
      <w:rPr>
        <w:rFonts w:asciiTheme="minorHAnsi" w:hAnsiTheme="minorHAnsi" w:cstheme="minorHAnsi"/>
        <w:b/>
        <w:color w:val="000000" w:themeColor="text1"/>
        <w:sz w:val="16"/>
        <w:szCs w:val="16"/>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1E" w:rsidRDefault="00447D9D" w:rsidP="00A4771E">
    <w:pPr>
      <w:pStyle w:val="Footer"/>
      <w:tabs>
        <w:tab w:val="clear" w:pos="10433"/>
        <w:tab w:val="right" w:pos="9639"/>
      </w:tabs>
      <w:ind w:left="108"/>
      <w:rPr>
        <w:rFonts w:asciiTheme="minorHAnsi" w:hAnsiTheme="minorHAnsi" w:cstheme="minorHAnsi"/>
        <w:b/>
        <w:color w:val="000000" w:themeColor="text1"/>
        <w:sz w:val="16"/>
        <w:szCs w:val="16"/>
      </w:rPr>
    </w:pPr>
    <w:r w:rsidRPr="00E148D1">
      <w:rPr>
        <w:rFonts w:asciiTheme="minorHAnsi" w:hAnsiTheme="minorHAnsi" w:cstheme="minorHAnsi"/>
        <w:color w:val="000000" w:themeColor="text1"/>
        <w:sz w:val="16"/>
        <w:szCs w:val="16"/>
      </w:rPr>
      <w:t xml:space="preserve">For queries regarding this research, please email </w:t>
    </w:r>
    <w:hyperlink r:id="rId1" w:history="1">
      <w:r w:rsidRPr="00E148D1">
        <w:rPr>
          <w:rStyle w:val="Hyperlink"/>
          <w:rFonts w:asciiTheme="minorHAnsi" w:eastAsiaTheme="majorEastAsia" w:hAnsiTheme="minorHAnsi" w:cstheme="minorHAnsi"/>
          <w:color w:val="000000" w:themeColor="text1"/>
          <w:sz w:val="16"/>
          <w:szCs w:val="16"/>
        </w:rPr>
        <w:t>NCLD@dss.gov.au</w:t>
      </w:r>
    </w:hyperlink>
    <w:r w:rsidRPr="00E148D1">
      <w:rPr>
        <w:rFonts w:asciiTheme="minorHAnsi" w:hAnsiTheme="minorHAnsi" w:cstheme="minorHAnsi"/>
        <w:color w:val="000000" w:themeColor="text1"/>
        <w:sz w:val="16"/>
        <w:szCs w:val="16"/>
      </w:rPr>
      <w:t>.</w:t>
    </w:r>
    <w:r w:rsidRPr="00E148D1">
      <w:rPr>
        <w:rFonts w:asciiTheme="minorHAnsi" w:hAnsiTheme="minorHAnsi" w:cstheme="minorHAnsi"/>
        <w:color w:val="000000" w:themeColor="text1"/>
        <w:sz w:val="16"/>
        <w:szCs w:val="16"/>
      </w:rPr>
      <w:tab/>
      <w:t xml:space="preserve">Page </w:t>
    </w:r>
    <w:r w:rsidRPr="00E148D1">
      <w:rPr>
        <w:rFonts w:asciiTheme="minorHAnsi" w:hAnsiTheme="minorHAnsi" w:cstheme="minorHAnsi"/>
        <w:b/>
        <w:color w:val="000000" w:themeColor="text1"/>
        <w:sz w:val="16"/>
        <w:szCs w:val="16"/>
      </w:rPr>
      <w:fldChar w:fldCharType="begin"/>
    </w:r>
    <w:r w:rsidRPr="00E148D1">
      <w:rPr>
        <w:rFonts w:asciiTheme="minorHAnsi" w:hAnsiTheme="minorHAnsi" w:cstheme="minorHAnsi"/>
        <w:b/>
        <w:color w:val="000000" w:themeColor="text1"/>
        <w:sz w:val="16"/>
        <w:szCs w:val="16"/>
      </w:rPr>
      <w:instrText xml:space="preserve"> PAGE  \* Arabic  \* MERGEFORMAT </w:instrText>
    </w:r>
    <w:r w:rsidRPr="00E148D1">
      <w:rPr>
        <w:rFonts w:asciiTheme="minorHAnsi" w:hAnsiTheme="minorHAnsi" w:cstheme="minorHAnsi"/>
        <w:b/>
        <w:color w:val="000000" w:themeColor="text1"/>
        <w:sz w:val="16"/>
        <w:szCs w:val="16"/>
      </w:rPr>
      <w:fldChar w:fldCharType="separate"/>
    </w:r>
    <w:r w:rsidR="00F91944">
      <w:rPr>
        <w:rFonts w:asciiTheme="minorHAnsi" w:hAnsiTheme="minorHAnsi" w:cstheme="minorHAnsi"/>
        <w:b/>
        <w:noProof/>
        <w:color w:val="000000" w:themeColor="text1"/>
        <w:sz w:val="16"/>
        <w:szCs w:val="16"/>
      </w:rPr>
      <w:t>1</w:t>
    </w:r>
    <w:r w:rsidRPr="00E148D1">
      <w:rPr>
        <w:rFonts w:asciiTheme="minorHAnsi" w:hAnsiTheme="minorHAnsi" w:cstheme="minorHAnsi"/>
        <w:b/>
        <w:color w:val="000000" w:themeColor="text1"/>
        <w:sz w:val="16"/>
        <w:szCs w:val="16"/>
      </w:rPr>
      <w:fldChar w:fldCharType="end"/>
    </w:r>
    <w:r w:rsidRPr="00E148D1">
      <w:rPr>
        <w:rFonts w:asciiTheme="minorHAnsi" w:hAnsiTheme="minorHAnsi" w:cstheme="minorHAnsi"/>
        <w:color w:val="000000" w:themeColor="text1"/>
        <w:sz w:val="16"/>
        <w:szCs w:val="16"/>
      </w:rPr>
      <w:t xml:space="preserve"> of </w:t>
    </w:r>
    <w:r w:rsidRPr="00E148D1">
      <w:rPr>
        <w:rFonts w:asciiTheme="minorHAnsi" w:hAnsiTheme="minorHAnsi" w:cstheme="minorHAnsi"/>
        <w:b/>
        <w:color w:val="000000" w:themeColor="text1"/>
        <w:sz w:val="16"/>
        <w:szCs w:val="16"/>
      </w:rPr>
      <w:fldChar w:fldCharType="begin"/>
    </w:r>
    <w:r w:rsidRPr="00E148D1">
      <w:rPr>
        <w:rFonts w:asciiTheme="minorHAnsi" w:hAnsiTheme="minorHAnsi" w:cstheme="minorHAnsi"/>
        <w:b/>
        <w:color w:val="000000" w:themeColor="text1"/>
        <w:sz w:val="16"/>
        <w:szCs w:val="16"/>
      </w:rPr>
      <w:instrText xml:space="preserve"> NUMPAGES  \* Arabic  \* MERGEFORMAT </w:instrText>
    </w:r>
    <w:r w:rsidRPr="00E148D1">
      <w:rPr>
        <w:rFonts w:asciiTheme="minorHAnsi" w:hAnsiTheme="minorHAnsi" w:cstheme="minorHAnsi"/>
        <w:b/>
        <w:color w:val="000000" w:themeColor="text1"/>
        <w:sz w:val="16"/>
        <w:szCs w:val="16"/>
      </w:rPr>
      <w:fldChar w:fldCharType="separate"/>
    </w:r>
    <w:r w:rsidR="00F91944">
      <w:rPr>
        <w:rFonts w:asciiTheme="minorHAnsi" w:hAnsiTheme="minorHAnsi" w:cstheme="minorHAnsi"/>
        <w:b/>
        <w:noProof/>
        <w:color w:val="000000" w:themeColor="text1"/>
        <w:sz w:val="16"/>
        <w:szCs w:val="16"/>
      </w:rPr>
      <w:t>2</w:t>
    </w:r>
    <w:r w:rsidRPr="00E148D1">
      <w:rPr>
        <w:rFonts w:asciiTheme="minorHAnsi" w:hAnsiTheme="minorHAnsi" w:cstheme="minorHAnsi"/>
        <w:b/>
        <w:color w:val="000000" w:themeColor="text1"/>
        <w:sz w:val="16"/>
        <w:szCs w:val="16"/>
      </w:rPr>
      <w:fldChar w:fldCharType="end"/>
    </w:r>
  </w:p>
  <w:p w:rsidR="00A4771E" w:rsidRPr="00A4771E" w:rsidRDefault="00F91944" w:rsidP="00A4771E">
    <w:pPr>
      <w:pStyle w:val="Footer"/>
      <w:tabs>
        <w:tab w:val="clear" w:pos="10433"/>
        <w:tab w:val="right" w:pos="9639"/>
      </w:tabs>
      <w:ind w:left="108"/>
      <w:rPr>
        <w:rFonts w:asciiTheme="minorHAnsi" w:hAnsiTheme="minorHAnsi" w:cstheme="minorHAnsi"/>
        <w:color w:val="000000" w:themeColor="text1"/>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9D" w:rsidRDefault="00447D9D" w:rsidP="008D2419">
      <w:pPr>
        <w:spacing w:before="0" w:after="0" w:line="240" w:lineRule="auto"/>
      </w:pPr>
      <w:r>
        <w:separator/>
      </w:r>
    </w:p>
  </w:footnote>
  <w:footnote w:type="continuationSeparator" w:id="0">
    <w:p w:rsidR="00447D9D" w:rsidRDefault="00447D9D" w:rsidP="008D2419">
      <w:pPr>
        <w:spacing w:before="0" w:after="0" w:line="240" w:lineRule="auto"/>
      </w:pPr>
      <w:r>
        <w:continuationSeparator/>
      </w:r>
    </w:p>
  </w:footnote>
  <w:footnote w:id="1">
    <w:p w:rsidR="008D2419" w:rsidRDefault="008D2419" w:rsidP="008D2419">
      <w:pPr>
        <w:pStyle w:val="FootnoteText"/>
      </w:pPr>
      <w:r>
        <w:rPr>
          <w:rStyle w:val="FootnoteReference"/>
        </w:rPr>
        <w:footnoteRef/>
      </w:r>
      <w:r>
        <w:t xml:space="preserve"> </w:t>
      </w:r>
      <w:proofErr w:type="gramStart"/>
      <w:r>
        <w:t>In a bivariate regression.</w:t>
      </w:r>
      <w:proofErr w:type="gramEnd"/>
      <w:r>
        <w:t xml:space="preserve"> </w:t>
      </w:r>
    </w:p>
  </w:footnote>
  <w:footnote w:id="2">
    <w:p w:rsidR="008D2419" w:rsidRDefault="008D2419" w:rsidP="008D2419">
      <w:pPr>
        <w:pStyle w:val="FootnoteText"/>
      </w:pPr>
      <w:r>
        <w:rPr>
          <w:rStyle w:val="FootnoteReference"/>
        </w:rPr>
        <w:footnoteRef/>
      </w:r>
      <w:r>
        <w:t xml:space="preserve"> </w:t>
      </w:r>
      <w:proofErr w:type="gramStart"/>
      <w:r>
        <w:t>In a bivariate regression.</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CF" w:rsidRDefault="00F91944" w:rsidP="005A65CF">
    <w:pPr>
      <w:pStyle w:val="Header"/>
      <w:spacing w:after="120"/>
      <w:rPr>
        <w:noProof/>
      </w:rPr>
    </w:pPr>
  </w:p>
  <w:p w:rsidR="00A4771E" w:rsidRDefault="00447D9D" w:rsidP="00A4771E">
    <w:pPr>
      <w:pStyle w:val="Header"/>
      <w:spacing w:after="120"/>
      <w:rPr>
        <w:noProof/>
      </w:rPr>
    </w:pPr>
    <w:r>
      <w:rPr>
        <w:noProof/>
      </w:rPr>
      <w:drawing>
        <wp:anchor distT="0" distB="0" distL="114300" distR="114300" simplePos="0" relativeHeight="251659264" behindDoc="1" locked="0" layoutInCell="1" allowOverlap="1" wp14:anchorId="29DF390C" wp14:editId="739C5CEB">
          <wp:simplePos x="0" y="0"/>
          <wp:positionH relativeFrom="column">
            <wp:posOffset>4456430</wp:posOffset>
          </wp:positionH>
          <wp:positionV relativeFrom="paragraph">
            <wp:posOffset>480431</wp:posOffset>
          </wp:positionV>
          <wp:extent cx="1666875" cy="762000"/>
          <wp:effectExtent l="0" t="0" r="9525"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6875" cy="762000"/>
                  </a:xfrm>
                  <a:prstGeom prst="rect">
                    <a:avLst/>
                  </a:prstGeom>
                  <a:noFill/>
                </pic:spPr>
              </pic:pic>
            </a:graphicData>
          </a:graphic>
          <wp14:sizeRelH relativeFrom="margin">
            <wp14:pctWidth>0</wp14:pctWidth>
          </wp14:sizeRelH>
          <wp14:sizeRelV relativeFrom="margin">
            <wp14:pctHeight>0</wp14:pctHeight>
          </wp14:sizeRelV>
        </wp:anchor>
      </w:drawing>
    </w:r>
    <w:r w:rsidRPr="00360B93">
      <w:rPr>
        <w:noProof/>
      </w:rPr>
      <w:drawing>
        <wp:inline distT="0" distB="0" distL="0" distR="0" wp14:anchorId="50A5A239" wp14:editId="7D4D5279">
          <wp:extent cx="2313940" cy="616585"/>
          <wp:effectExtent l="0" t="0" r="0" b="0"/>
          <wp:docPr id="6" name="Picture 20" descr="Australian Government, Department of Social Services logo"/>
          <wp:cNvGraphicFramePr/>
          <a:graphic xmlns:a="http://schemas.openxmlformats.org/drawingml/2006/main">
            <a:graphicData uri="http://schemas.openxmlformats.org/drawingml/2006/picture">
              <pic:pic xmlns:pic="http://schemas.openxmlformats.org/drawingml/2006/picture">
                <pic:nvPicPr>
                  <pic:cNvPr id="21" name="Picture 20" descr="Australian Government, Department of Social Services logo"/>
                  <pic:cNvPicPr/>
                </pic:nvPicPr>
                <pic:blipFill rotWithShape="1">
                  <a:blip r:embed="rId2" cstate="print">
                    <a:extLst>
                      <a:ext uri="{28A0092B-C50C-407E-A947-70E740481C1C}">
                        <a14:useLocalDpi xmlns:a14="http://schemas.microsoft.com/office/drawing/2010/main" val="0"/>
                      </a:ext>
                    </a:extLst>
                  </a:blip>
                  <a:srcRect l="6380" r="57907" b="50000"/>
                  <a:stretch/>
                </pic:blipFill>
                <pic:spPr>
                  <a:xfrm>
                    <a:off x="0" y="0"/>
                    <a:ext cx="2313940" cy="616585"/>
                  </a:xfrm>
                  <a:prstGeom prst="rect">
                    <a:avLst/>
                  </a:prstGeom>
                </pic:spPr>
              </pic:pic>
            </a:graphicData>
          </a:graphic>
        </wp:inline>
      </w:drawing>
    </w:r>
  </w:p>
  <w:p w:rsidR="00A4771E" w:rsidRDefault="00F91944" w:rsidP="00A4771E">
    <w:pPr>
      <w:rPr>
        <w:noProof/>
      </w:rPr>
    </w:pPr>
  </w:p>
  <w:p w:rsidR="00A4771E" w:rsidRPr="00901FB7" w:rsidRDefault="00F91944" w:rsidP="00A4771E">
    <w:pPr>
      <w:pStyle w:val="Header"/>
      <w:tabs>
        <w:tab w:val="clear" w:pos="4153"/>
        <w:tab w:val="clear" w:pos="8306"/>
        <w:tab w:val="right" w:pos="9639"/>
      </w:tabs>
      <w:spacing w:after="0"/>
      <w:contextualSpacing w:val="0"/>
      <w:rPr>
        <w:noProof/>
        <w:color w:val="FFFFFF" w:themeColor="background1"/>
      </w:rPr>
    </w:pPr>
  </w:p>
  <w:p w:rsidR="00A4771E" w:rsidRPr="00A4771E" w:rsidRDefault="00447D9D" w:rsidP="00A4771E">
    <w:pPr>
      <w:pStyle w:val="Header"/>
      <w:tabs>
        <w:tab w:val="right" w:pos="9639"/>
      </w:tabs>
      <w:rPr>
        <w:noProof/>
        <w:color w:val="7030A0"/>
        <w:sz w:val="28"/>
        <w:szCs w:val="28"/>
      </w:rPr>
    </w:pPr>
    <w:r w:rsidRPr="00A4771E">
      <w:rPr>
        <w:b/>
        <w:bCs/>
        <w:noProof/>
        <w:color w:val="7030A0"/>
        <w:sz w:val="28"/>
        <w:szCs w:val="28"/>
      </w:rPr>
      <w:t>National Centre for Longitudinal Data</w:t>
    </w:r>
  </w:p>
  <w:p w:rsidR="005A65CF" w:rsidRPr="00A4771E" w:rsidRDefault="00447D9D" w:rsidP="00A4771E">
    <w:pPr>
      <w:pStyle w:val="Header"/>
      <w:tabs>
        <w:tab w:val="clear" w:pos="4153"/>
        <w:tab w:val="clear" w:pos="8306"/>
        <w:tab w:val="right" w:pos="9639"/>
      </w:tabs>
      <w:spacing w:after="0"/>
      <w:contextualSpacing w:val="0"/>
      <w:rPr>
        <w:rFonts w:ascii="Arial" w:hAnsi="Arial"/>
        <w:noProof/>
        <w:color w:val="auto"/>
      </w:rPr>
    </w:pPr>
    <w:r w:rsidRPr="00901FB7">
      <w:rPr>
        <w:noProof/>
        <w:color w:val="FFFFFF" w:themeColor="background1"/>
      </w:rPr>
      <mc:AlternateContent>
        <mc:Choice Requires="wps">
          <w:drawing>
            <wp:anchor distT="0" distB="0" distL="114300" distR="114300" simplePos="0" relativeHeight="251660288" behindDoc="0" locked="0" layoutInCell="1" allowOverlap="1" wp14:anchorId="613731BA" wp14:editId="1D7B8D01">
              <wp:simplePos x="0" y="0"/>
              <wp:positionH relativeFrom="column">
                <wp:posOffset>-16192</wp:posOffset>
              </wp:positionH>
              <wp:positionV relativeFrom="paragraph">
                <wp:posOffset>8890</wp:posOffset>
              </wp:positionV>
              <wp:extent cx="6248400" cy="0"/>
              <wp:effectExtent l="0" t="0" r="19050" b="19050"/>
              <wp:wrapNone/>
              <wp:docPr id="5" name="Straight Connector 4" descr="decorative"/>
              <wp:cNvGraphicFramePr/>
              <a:graphic xmlns:a="http://schemas.openxmlformats.org/drawingml/2006/main">
                <a:graphicData uri="http://schemas.microsoft.com/office/word/2010/wordprocessingShape">
                  <wps:wsp>
                    <wps:cNvCnPr/>
                    <wps:spPr>
                      <a:xfrm>
                        <a:off x="0" y="0"/>
                        <a:ext cx="6248400" cy="0"/>
                      </a:xfrm>
                      <a:prstGeom prst="line">
                        <a:avLst/>
                      </a:prstGeom>
                      <a:ln w="19050">
                        <a:solidFill>
                          <a:srgbClr val="5007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alt="decorativ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7pt" to="49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" strokecolor="#500778" strokeweight="1.5pt"/>
          </w:pict>
        </mc:Fallback>
      </mc:AlternateContent>
    </w:r>
    <w:r w:rsidRPr="00901FB7">
      <w:rPr>
        <w:noProof/>
        <w:color w:val="FFFFFF" w:themeColor="background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C4673"/>
    <w:multiLevelType w:val="hybridMultilevel"/>
    <w:tmpl w:val="B7B4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E7"/>
    <w:rsid w:val="00152B6E"/>
    <w:rsid w:val="001777E7"/>
    <w:rsid w:val="001E630D"/>
    <w:rsid w:val="002C66D3"/>
    <w:rsid w:val="003B2BB8"/>
    <w:rsid w:val="003B7CBA"/>
    <w:rsid w:val="003D34FF"/>
    <w:rsid w:val="00447D9D"/>
    <w:rsid w:val="004B54CA"/>
    <w:rsid w:val="004E5CBF"/>
    <w:rsid w:val="004F3F0F"/>
    <w:rsid w:val="00576D4A"/>
    <w:rsid w:val="005C3AA9"/>
    <w:rsid w:val="006A4CE7"/>
    <w:rsid w:val="006C08D3"/>
    <w:rsid w:val="00785261"/>
    <w:rsid w:val="007A0169"/>
    <w:rsid w:val="007B0256"/>
    <w:rsid w:val="007F25B5"/>
    <w:rsid w:val="008D2419"/>
    <w:rsid w:val="008E1B36"/>
    <w:rsid w:val="008E50C6"/>
    <w:rsid w:val="009225F0"/>
    <w:rsid w:val="00A447AF"/>
    <w:rsid w:val="00BA2DB9"/>
    <w:rsid w:val="00BE7148"/>
    <w:rsid w:val="00C60692"/>
    <w:rsid w:val="00D848EB"/>
    <w:rsid w:val="00DC5450"/>
    <w:rsid w:val="00F2424A"/>
    <w:rsid w:val="00F33377"/>
    <w:rsid w:val="00F91944"/>
    <w:rsid w:val="00FF0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7E7"/>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99"/>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rsid w:val="001777E7"/>
    <w:pPr>
      <w:tabs>
        <w:tab w:val="center" w:pos="4153"/>
        <w:tab w:val="right" w:pos="8306"/>
      </w:tabs>
      <w:spacing w:before="0" w:after="737" w:line="240" w:lineRule="auto"/>
      <w:contextualSpacing/>
    </w:pPr>
    <w:rPr>
      <w:rFonts w:ascii="Georgia" w:hAnsi="Georgia"/>
      <w:color w:val="A6192E"/>
    </w:rPr>
  </w:style>
  <w:style w:type="character" w:customStyle="1" w:styleId="HeaderChar">
    <w:name w:val="Header Char"/>
    <w:basedOn w:val="DefaultParagraphFont"/>
    <w:link w:val="Header"/>
    <w:uiPriority w:val="99"/>
    <w:rsid w:val="001777E7"/>
    <w:rPr>
      <w:rFonts w:ascii="Georgia" w:eastAsia="Times New Roman" w:hAnsi="Georgia" w:cs="Times New Roman"/>
      <w:color w:val="A6192E"/>
      <w:sz w:val="20"/>
      <w:szCs w:val="24"/>
      <w:lang w:eastAsia="en-AU"/>
    </w:rPr>
  </w:style>
  <w:style w:type="paragraph" w:styleId="Footer">
    <w:name w:val="footer"/>
    <w:basedOn w:val="Normal"/>
    <w:link w:val="FooterChar"/>
    <w:rsid w:val="001777E7"/>
    <w:pPr>
      <w:tabs>
        <w:tab w:val="right" w:pos="10433"/>
      </w:tabs>
      <w:spacing w:before="0" w:after="0" w:line="240" w:lineRule="auto"/>
    </w:pPr>
    <w:rPr>
      <w:rFonts w:ascii="Georgia" w:hAnsi="Georgia"/>
      <w:color w:val="A6192E"/>
    </w:rPr>
  </w:style>
  <w:style w:type="character" w:customStyle="1" w:styleId="FooterChar">
    <w:name w:val="Footer Char"/>
    <w:basedOn w:val="DefaultParagraphFont"/>
    <w:link w:val="Footer"/>
    <w:rsid w:val="001777E7"/>
    <w:rPr>
      <w:rFonts w:ascii="Georgia" w:eastAsia="Times New Roman" w:hAnsi="Georgia" w:cs="Times New Roman"/>
      <w:color w:val="A6192E"/>
      <w:sz w:val="20"/>
      <w:szCs w:val="24"/>
      <w:lang w:eastAsia="en-AU"/>
    </w:rPr>
  </w:style>
  <w:style w:type="table" w:styleId="TableGrid">
    <w:name w:val="Table Grid"/>
    <w:basedOn w:val="TableNormal"/>
    <w:uiPriority w:val="59"/>
    <w:rsid w:val="001777E7"/>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1777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rsid w:val="001777E7"/>
    <w:rPr>
      <w:b/>
      <w:color w:val="auto"/>
      <w:u w:val="none"/>
    </w:rPr>
  </w:style>
  <w:style w:type="paragraph" w:styleId="BalloonText">
    <w:name w:val="Balloon Text"/>
    <w:basedOn w:val="Normal"/>
    <w:link w:val="BalloonTextChar"/>
    <w:uiPriority w:val="99"/>
    <w:semiHidden/>
    <w:unhideWhenUsed/>
    <w:rsid w:val="001777E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7E7"/>
    <w:rPr>
      <w:rFonts w:ascii="Tahoma" w:eastAsia="Times New Roman" w:hAnsi="Tahoma" w:cs="Tahoma"/>
      <w:sz w:val="16"/>
      <w:szCs w:val="16"/>
      <w:lang w:eastAsia="en-AU"/>
    </w:rPr>
  </w:style>
  <w:style w:type="paragraph" w:styleId="FootnoteText">
    <w:name w:val="footnote text"/>
    <w:basedOn w:val="Normal"/>
    <w:link w:val="FootnoteTextChar"/>
    <w:uiPriority w:val="99"/>
    <w:unhideWhenUsed/>
    <w:rsid w:val="008D2419"/>
    <w:pPr>
      <w:spacing w:before="0" w:after="0" w:line="240" w:lineRule="auto"/>
    </w:pPr>
    <w:rPr>
      <w:rFonts w:eastAsiaTheme="minorHAnsi" w:cstheme="minorBidi"/>
      <w:szCs w:val="20"/>
      <w:lang w:eastAsia="en-US"/>
    </w:rPr>
  </w:style>
  <w:style w:type="character" w:customStyle="1" w:styleId="FootnoteTextChar">
    <w:name w:val="Footnote Text Char"/>
    <w:basedOn w:val="DefaultParagraphFont"/>
    <w:link w:val="FootnoteText"/>
    <w:uiPriority w:val="99"/>
    <w:rsid w:val="008D2419"/>
    <w:rPr>
      <w:rFonts w:ascii="Arial" w:hAnsi="Arial"/>
      <w:sz w:val="20"/>
      <w:szCs w:val="20"/>
    </w:rPr>
  </w:style>
  <w:style w:type="character" w:styleId="FootnoteReference">
    <w:name w:val="footnote reference"/>
    <w:basedOn w:val="DefaultParagraphFont"/>
    <w:uiPriority w:val="99"/>
    <w:unhideWhenUsed/>
    <w:rsid w:val="008D2419"/>
    <w:rPr>
      <w:vertAlign w:val="superscript"/>
    </w:rPr>
  </w:style>
  <w:style w:type="paragraph" w:styleId="Revision">
    <w:name w:val="Revision"/>
    <w:hidden/>
    <w:uiPriority w:val="99"/>
    <w:semiHidden/>
    <w:rsid w:val="00DC5450"/>
    <w:pPr>
      <w:spacing w:after="0" w:line="240" w:lineRule="auto"/>
    </w:pPr>
    <w:rPr>
      <w:rFonts w:ascii="Arial" w:eastAsia="Times New Roman" w:hAnsi="Arial"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7E7"/>
    <w:pPr>
      <w:spacing w:before="120" w:after="12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99"/>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rsid w:val="001777E7"/>
    <w:pPr>
      <w:tabs>
        <w:tab w:val="center" w:pos="4153"/>
        <w:tab w:val="right" w:pos="8306"/>
      </w:tabs>
      <w:spacing w:before="0" w:after="737" w:line="240" w:lineRule="auto"/>
      <w:contextualSpacing/>
    </w:pPr>
    <w:rPr>
      <w:rFonts w:ascii="Georgia" w:hAnsi="Georgia"/>
      <w:color w:val="A6192E"/>
    </w:rPr>
  </w:style>
  <w:style w:type="character" w:customStyle="1" w:styleId="HeaderChar">
    <w:name w:val="Header Char"/>
    <w:basedOn w:val="DefaultParagraphFont"/>
    <w:link w:val="Header"/>
    <w:uiPriority w:val="99"/>
    <w:rsid w:val="001777E7"/>
    <w:rPr>
      <w:rFonts w:ascii="Georgia" w:eastAsia="Times New Roman" w:hAnsi="Georgia" w:cs="Times New Roman"/>
      <w:color w:val="A6192E"/>
      <w:sz w:val="20"/>
      <w:szCs w:val="24"/>
      <w:lang w:eastAsia="en-AU"/>
    </w:rPr>
  </w:style>
  <w:style w:type="paragraph" w:styleId="Footer">
    <w:name w:val="footer"/>
    <w:basedOn w:val="Normal"/>
    <w:link w:val="FooterChar"/>
    <w:rsid w:val="001777E7"/>
    <w:pPr>
      <w:tabs>
        <w:tab w:val="right" w:pos="10433"/>
      </w:tabs>
      <w:spacing w:before="0" w:after="0" w:line="240" w:lineRule="auto"/>
    </w:pPr>
    <w:rPr>
      <w:rFonts w:ascii="Georgia" w:hAnsi="Georgia"/>
      <w:color w:val="A6192E"/>
    </w:rPr>
  </w:style>
  <w:style w:type="character" w:customStyle="1" w:styleId="FooterChar">
    <w:name w:val="Footer Char"/>
    <w:basedOn w:val="DefaultParagraphFont"/>
    <w:link w:val="Footer"/>
    <w:rsid w:val="001777E7"/>
    <w:rPr>
      <w:rFonts w:ascii="Georgia" w:eastAsia="Times New Roman" w:hAnsi="Georgia" w:cs="Times New Roman"/>
      <w:color w:val="A6192E"/>
      <w:sz w:val="20"/>
      <w:szCs w:val="24"/>
      <w:lang w:eastAsia="en-AU"/>
    </w:rPr>
  </w:style>
  <w:style w:type="table" w:styleId="TableGrid">
    <w:name w:val="Table Grid"/>
    <w:basedOn w:val="TableNormal"/>
    <w:uiPriority w:val="59"/>
    <w:rsid w:val="001777E7"/>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1777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rsid w:val="001777E7"/>
    <w:rPr>
      <w:b/>
      <w:color w:val="auto"/>
      <w:u w:val="none"/>
    </w:rPr>
  </w:style>
  <w:style w:type="paragraph" w:styleId="BalloonText">
    <w:name w:val="Balloon Text"/>
    <w:basedOn w:val="Normal"/>
    <w:link w:val="BalloonTextChar"/>
    <w:uiPriority w:val="99"/>
    <w:semiHidden/>
    <w:unhideWhenUsed/>
    <w:rsid w:val="001777E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7E7"/>
    <w:rPr>
      <w:rFonts w:ascii="Tahoma" w:eastAsia="Times New Roman" w:hAnsi="Tahoma" w:cs="Tahoma"/>
      <w:sz w:val="16"/>
      <w:szCs w:val="16"/>
      <w:lang w:eastAsia="en-AU"/>
    </w:rPr>
  </w:style>
  <w:style w:type="paragraph" w:styleId="FootnoteText">
    <w:name w:val="footnote text"/>
    <w:basedOn w:val="Normal"/>
    <w:link w:val="FootnoteTextChar"/>
    <w:uiPriority w:val="99"/>
    <w:unhideWhenUsed/>
    <w:rsid w:val="008D2419"/>
    <w:pPr>
      <w:spacing w:before="0" w:after="0" w:line="240" w:lineRule="auto"/>
    </w:pPr>
    <w:rPr>
      <w:rFonts w:eastAsiaTheme="minorHAnsi" w:cstheme="minorBidi"/>
      <w:szCs w:val="20"/>
      <w:lang w:eastAsia="en-US"/>
    </w:rPr>
  </w:style>
  <w:style w:type="character" w:customStyle="1" w:styleId="FootnoteTextChar">
    <w:name w:val="Footnote Text Char"/>
    <w:basedOn w:val="DefaultParagraphFont"/>
    <w:link w:val="FootnoteText"/>
    <w:uiPriority w:val="99"/>
    <w:rsid w:val="008D2419"/>
    <w:rPr>
      <w:rFonts w:ascii="Arial" w:hAnsi="Arial"/>
      <w:sz w:val="20"/>
      <w:szCs w:val="20"/>
    </w:rPr>
  </w:style>
  <w:style w:type="character" w:styleId="FootnoteReference">
    <w:name w:val="footnote reference"/>
    <w:basedOn w:val="DefaultParagraphFont"/>
    <w:uiPriority w:val="99"/>
    <w:unhideWhenUsed/>
    <w:rsid w:val="008D2419"/>
    <w:rPr>
      <w:vertAlign w:val="superscript"/>
    </w:rPr>
  </w:style>
  <w:style w:type="paragraph" w:styleId="Revision">
    <w:name w:val="Revision"/>
    <w:hidden/>
    <w:uiPriority w:val="99"/>
    <w:semiHidden/>
    <w:rsid w:val="00DC5450"/>
    <w:pPr>
      <w:spacing w:after="0" w:line="240" w:lineRule="auto"/>
    </w:pPr>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CLD@dss.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CLD@ds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Strengths and problems in Indigenous children’s communities</vt:lpstr>
    </vt:vector>
  </TitlesOfParts>
  <Company>FaHCSIA</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Strengths and problems in Indigenous children’s communities</dc:title>
  <dc:subject>Strengths and problems in Indigenous children’s communities</dc:subject>
  <dc:creator>Department of Social Services</dc:creator>
  <cp:keywords>National Centre for Longitudinal Data, Department of Social Services, Australian Government, Research, longitudinal data, Strengths and problems in Indigenous children’s communities, Footprints in Time, Longitudinal Study of Indigenous Children, LSIC, Wave 6, statistics</cp:keywords>
  <cp:lastModifiedBy>CIFUENTES, Karen</cp:lastModifiedBy>
  <cp:revision>2</cp:revision>
  <cp:lastPrinted>2016-08-09T02:05:00Z</cp:lastPrinted>
  <dcterms:created xsi:type="dcterms:W3CDTF">2016-08-16T01:02:00Z</dcterms:created>
  <dcterms:modified xsi:type="dcterms:W3CDTF">2016-08-16T01:02:00Z</dcterms:modified>
  <cp:category>Publication</cp:category>
</cp:coreProperties>
</file>