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53777" w14:textId="6342B0F2" w:rsidR="000420F9" w:rsidRPr="004D404F" w:rsidRDefault="000420F9" w:rsidP="000420F9">
      <w:pPr>
        <w:pStyle w:val="Title"/>
        <w:jc w:val="left"/>
      </w:pPr>
      <w:bookmarkStart w:id="0" w:name="_GoBack"/>
      <w:bookmarkEnd w:id="0"/>
      <w:r w:rsidRPr="2A73AA60">
        <w:t>First Action Plan</w:t>
      </w:r>
      <w:r>
        <w:br/>
      </w:r>
      <w:r w:rsidRPr="2A73AA60">
        <w:t>2023</w:t>
      </w:r>
      <w:r>
        <w:t>–</w:t>
      </w:r>
      <w:r w:rsidRPr="2A73AA60">
        <w:t>2027</w:t>
      </w:r>
    </w:p>
    <w:p w14:paraId="73758F85" w14:textId="6B17DFD9" w:rsidR="0064690C" w:rsidRPr="000420F9" w:rsidRDefault="0064690C" w:rsidP="000420F9">
      <w:pPr>
        <w:rPr>
          <w:b/>
          <w:bCs/>
          <w:sz w:val="44"/>
          <w:szCs w:val="44"/>
        </w:rPr>
      </w:pPr>
      <w:r w:rsidRPr="000420F9">
        <w:rPr>
          <w:b/>
          <w:bCs/>
          <w:sz w:val="44"/>
          <w:szCs w:val="44"/>
        </w:rPr>
        <w:t>Na</w:t>
      </w:r>
      <w:r w:rsidR="00FF3BD9" w:rsidRPr="000420F9">
        <w:rPr>
          <w:b/>
          <w:bCs/>
          <w:sz w:val="44"/>
          <w:szCs w:val="44"/>
        </w:rPr>
        <w:t>tional Plan to End Violence against Women and Children</w:t>
      </w:r>
      <w:r w:rsidR="000420F9">
        <w:rPr>
          <w:b/>
          <w:bCs/>
          <w:sz w:val="44"/>
          <w:szCs w:val="44"/>
        </w:rPr>
        <w:t xml:space="preserve"> </w:t>
      </w:r>
      <w:r w:rsidR="00FF3BD9" w:rsidRPr="000420F9">
        <w:rPr>
          <w:b/>
          <w:bCs/>
          <w:sz w:val="44"/>
          <w:szCs w:val="44"/>
        </w:rPr>
        <w:t>2022</w:t>
      </w:r>
      <w:r w:rsidR="00C51ECF" w:rsidRPr="000420F9">
        <w:rPr>
          <w:b/>
          <w:bCs/>
          <w:sz w:val="44"/>
          <w:szCs w:val="44"/>
        </w:rPr>
        <w:t>–</w:t>
      </w:r>
      <w:r w:rsidR="00FF3BD9" w:rsidRPr="000420F9">
        <w:rPr>
          <w:b/>
          <w:bCs/>
          <w:sz w:val="44"/>
          <w:szCs w:val="44"/>
        </w:rPr>
        <w:t>2032</w:t>
      </w:r>
    </w:p>
    <w:p w14:paraId="07A7E2FA" w14:textId="59AC111F" w:rsidR="00FF3BD9" w:rsidRDefault="00FF3BD9" w:rsidP="00FF3BD9">
      <w:r>
        <w:br w:type="page"/>
      </w:r>
    </w:p>
    <w:p w14:paraId="35A7A5FD" w14:textId="108B2B81" w:rsidR="005B21FA" w:rsidRPr="00996B20" w:rsidRDefault="005B21FA" w:rsidP="005B21FA">
      <w:pPr>
        <w:rPr>
          <w:b/>
          <w:bCs/>
        </w:rPr>
      </w:pPr>
      <w:r w:rsidRPr="00996B20">
        <w:rPr>
          <w:b/>
          <w:bCs/>
        </w:rPr>
        <w:lastRenderedPageBreak/>
        <w:t>© Commonwealth of Australia 2023</w:t>
      </w:r>
    </w:p>
    <w:p w14:paraId="7B97AD41" w14:textId="4610A371" w:rsidR="005B21FA" w:rsidRDefault="005B21FA" w:rsidP="005B21FA">
      <w:r w:rsidRPr="00996B20">
        <w:rPr>
          <w:b/>
          <w:bCs/>
        </w:rPr>
        <w:t>ISBN:</w:t>
      </w:r>
      <w:r>
        <w:t xml:space="preserve"> 978-1-920851-67-5</w:t>
      </w:r>
    </w:p>
    <w:p w14:paraId="105DE223" w14:textId="6914C8A9" w:rsidR="005B21FA" w:rsidRDefault="005B21FA" w:rsidP="005B21FA">
      <w:r>
        <w:t xml:space="preserve">This document </w:t>
      </w:r>
      <w:r w:rsidRPr="005B21FA">
        <w:rPr>
          <w:i/>
        </w:rPr>
        <w:t>First Action Plan</w:t>
      </w:r>
      <w:r>
        <w:t xml:space="preserve"> &amp; </w:t>
      </w:r>
      <w:r w:rsidRPr="005B21FA">
        <w:rPr>
          <w:i/>
        </w:rPr>
        <w:t>Outcomes Framework</w:t>
      </w:r>
      <w:r>
        <w:t xml:space="preserve"> 2023–2027 is licensed under the Creative Commons Attribution</w:t>
      </w:r>
    </w:p>
    <w:p w14:paraId="279CE6F5" w14:textId="3FB90076" w:rsidR="005B21FA" w:rsidRDefault="005B21FA" w:rsidP="005B21FA">
      <w:r w:rsidRPr="00996B20">
        <w:rPr>
          <w:b/>
          <w:bCs/>
        </w:rPr>
        <w:t xml:space="preserve">4.0 International Licence: </w:t>
      </w:r>
      <w:hyperlink r:id="rId12" w:history="1">
        <w:r w:rsidRPr="00114BE9">
          <w:rPr>
            <w:rStyle w:val="Hyperlink"/>
          </w:rPr>
          <w:t>https://creativecommons.org/licenses/by/4.0/legalcode</w:t>
        </w:r>
      </w:hyperlink>
    </w:p>
    <w:p w14:paraId="0C16C1FE" w14:textId="587A9FF7" w:rsidR="005B21FA" w:rsidRPr="00905E85" w:rsidRDefault="005B21FA" w:rsidP="005B21FA">
      <w:pPr>
        <w:rPr>
          <w:rFonts w:cs="Arial"/>
        </w:rPr>
      </w:pPr>
      <w:r w:rsidRPr="00996B20">
        <w:rPr>
          <w:rFonts w:cs="Arial"/>
          <w:b/>
          <w:bCs/>
        </w:rPr>
        <w:t xml:space="preserve">Licence URL: </w:t>
      </w:r>
      <w:hyperlink r:id="rId13" w:history="1">
        <w:r w:rsidRPr="00905E85">
          <w:rPr>
            <w:rStyle w:val="Hyperlink"/>
            <w:rFonts w:cs="Arial"/>
          </w:rPr>
          <w:t>https://creativecommons.org/licenses/by/4.0/legalcode</w:t>
        </w:r>
      </w:hyperlink>
    </w:p>
    <w:p w14:paraId="086939AB" w14:textId="075B0D02" w:rsidR="005B21FA" w:rsidRPr="00905E85" w:rsidRDefault="005B21FA" w:rsidP="005B21FA">
      <w:pPr>
        <w:rPr>
          <w:rFonts w:cs="Arial"/>
        </w:rPr>
      </w:pPr>
      <w:r w:rsidRPr="00996B20">
        <w:rPr>
          <w:rFonts w:cs="Arial"/>
          <w:b/>
          <w:bCs/>
        </w:rPr>
        <w:t>Please attribute:</w:t>
      </w:r>
      <w:r w:rsidRPr="00905E85">
        <w:rPr>
          <w:rFonts w:cs="Arial"/>
        </w:rPr>
        <w:t xml:space="preserve"> © Commonwealth of Australia (Department of Social Services) 2023</w:t>
      </w:r>
    </w:p>
    <w:p w14:paraId="1F454E89" w14:textId="47D61915" w:rsidR="005B21FA" w:rsidRPr="00905E85" w:rsidRDefault="005B21FA" w:rsidP="005B21FA">
      <w:pPr>
        <w:rPr>
          <w:rFonts w:cs="Arial"/>
        </w:rPr>
      </w:pPr>
      <w:r w:rsidRPr="00996B20">
        <w:rPr>
          <w:rFonts w:cs="Arial"/>
          <w:b/>
          <w:bCs/>
        </w:rPr>
        <w:t xml:space="preserve">Report design: </w:t>
      </w:r>
      <w:r w:rsidRPr="00905E85">
        <w:rPr>
          <w:rFonts w:cs="Arial"/>
        </w:rPr>
        <w:t>Dreamtime Creative</w:t>
      </w:r>
    </w:p>
    <w:p w14:paraId="2880463E" w14:textId="4B0EA8DE" w:rsidR="00905E85" w:rsidRPr="00996B20" w:rsidRDefault="00905E85" w:rsidP="00905E85">
      <w:pPr>
        <w:rPr>
          <w:rFonts w:cs="Arial"/>
          <w:b/>
          <w:bCs/>
        </w:rPr>
      </w:pPr>
      <w:r w:rsidRPr="00996B20">
        <w:rPr>
          <w:rFonts w:cs="Arial"/>
          <w:b/>
          <w:bCs/>
        </w:rPr>
        <w:t>Notice:</w:t>
      </w:r>
    </w:p>
    <w:p w14:paraId="5C1374C4" w14:textId="0C712DC2" w:rsidR="00905E85" w:rsidRPr="00905E85" w:rsidRDefault="00905E85" w:rsidP="00905E85">
      <w:pPr>
        <w:pStyle w:val="ListParagraph"/>
        <w:numPr>
          <w:ilvl w:val="0"/>
          <w:numId w:val="21"/>
        </w:numPr>
        <w:spacing w:before="160"/>
        <w:rPr>
          <w:rFonts w:cs="Arial"/>
          <w:lang w:val="en-US"/>
        </w:rPr>
      </w:pPr>
      <w:r w:rsidRPr="00905E85">
        <w:rPr>
          <w:rFonts w:cs="Arial"/>
          <w:lang w:val="en-US"/>
        </w:rPr>
        <w:t>If you create a derivative of this document, the Department of Social Services requests the following notice be placed on your derivative: Based on Commonwealth of Australia (Department of Social Services) data.</w:t>
      </w:r>
    </w:p>
    <w:p w14:paraId="71735E8A" w14:textId="6CF52E89" w:rsidR="00905E85" w:rsidRPr="00905E85" w:rsidRDefault="00905E85" w:rsidP="00905E85">
      <w:pPr>
        <w:pStyle w:val="ListParagraph"/>
        <w:numPr>
          <w:ilvl w:val="0"/>
          <w:numId w:val="21"/>
        </w:numPr>
        <w:spacing w:before="160"/>
        <w:rPr>
          <w:rFonts w:cs="Arial"/>
          <w:lang w:val="en-US"/>
        </w:rPr>
      </w:pPr>
      <w:r w:rsidRPr="00905E85">
        <w:rPr>
          <w:rFonts w:cs="Arial"/>
          <w:lang w:val="en-US"/>
        </w:rPr>
        <w:t>Enquiries regarding this licence or any other use of this document are welcome.</w:t>
      </w:r>
    </w:p>
    <w:p w14:paraId="71FEBE14" w14:textId="15072D6A" w:rsidR="00905E85" w:rsidRPr="00905E85" w:rsidRDefault="00905E85" w:rsidP="00905E85">
      <w:pPr>
        <w:pStyle w:val="ListParagraph"/>
        <w:rPr>
          <w:rFonts w:cs="Arial"/>
        </w:rPr>
      </w:pPr>
      <w:r w:rsidRPr="00905E85">
        <w:rPr>
          <w:rFonts w:cs="Arial"/>
          <w:b/>
        </w:rPr>
        <w:t>Please contact:</w:t>
      </w:r>
      <w:r w:rsidRPr="00905E85">
        <w:rPr>
          <w:rFonts w:cs="Arial"/>
        </w:rPr>
        <w:t xml:space="preserve"> Branch Manager, Communication Services Branch, Department of Social Services.</w:t>
      </w:r>
    </w:p>
    <w:p w14:paraId="54CEFF79" w14:textId="4F6607DC" w:rsidR="00905E85" w:rsidRPr="00905E85" w:rsidRDefault="00905E85" w:rsidP="00905E85">
      <w:pPr>
        <w:pStyle w:val="ListParagraph"/>
        <w:rPr>
          <w:rFonts w:cs="Arial"/>
        </w:rPr>
      </w:pPr>
      <w:r w:rsidRPr="00905E85">
        <w:rPr>
          <w:rFonts w:cs="Arial"/>
          <w:b/>
        </w:rPr>
        <w:t>Phone:</w:t>
      </w:r>
      <w:r w:rsidRPr="00905E85">
        <w:rPr>
          <w:rFonts w:cs="Arial"/>
        </w:rPr>
        <w:t xml:space="preserve"> 1300 653 227</w:t>
      </w:r>
    </w:p>
    <w:p w14:paraId="242BA8B0" w14:textId="18486049" w:rsidR="00905E85" w:rsidRPr="00DC3CD1" w:rsidRDefault="00905E85" w:rsidP="00905E85">
      <w:pPr>
        <w:pStyle w:val="ListParagraph"/>
        <w:rPr>
          <w:rFonts w:cs="Arial"/>
          <w:lang w:val="en-IN"/>
        </w:rPr>
      </w:pPr>
      <w:r w:rsidRPr="00DC3CD1">
        <w:rPr>
          <w:rFonts w:cs="Arial"/>
          <w:b/>
          <w:lang w:val="en-IN"/>
        </w:rPr>
        <w:t>Email:</w:t>
      </w:r>
      <w:r w:rsidRPr="00DC3CD1">
        <w:rPr>
          <w:rFonts w:cs="Arial"/>
          <w:lang w:val="en-IN"/>
        </w:rPr>
        <w:t xml:space="preserve"> </w:t>
      </w:r>
      <w:hyperlink r:id="rId14" w:history="1">
        <w:r w:rsidRPr="00DC3CD1">
          <w:rPr>
            <w:rStyle w:val="Hyperlink"/>
            <w:rFonts w:cs="Arial"/>
            <w:lang w:val="en-IN"/>
          </w:rPr>
          <w:t>communication@dss.gov.au</w:t>
        </w:r>
      </w:hyperlink>
    </w:p>
    <w:p w14:paraId="4FA37B67" w14:textId="2BA2906F" w:rsidR="00996B20" w:rsidRDefault="00905E85" w:rsidP="00905E85">
      <w:r w:rsidRPr="00905E85">
        <w:rPr>
          <w:rFonts w:cs="Arial"/>
        </w:rPr>
        <w:t>Notice identifying other material or rights in this publication: Certain images and photographs (as marked) – not licensed under Creative Commons</w:t>
      </w:r>
    </w:p>
    <w:p w14:paraId="72AFC63A" w14:textId="54C9753D" w:rsidR="00FF3BD9" w:rsidRDefault="00FF3BD9" w:rsidP="00905E85">
      <w:r>
        <w:br w:type="page"/>
      </w:r>
    </w:p>
    <w:sdt>
      <w:sdtPr>
        <w:rPr>
          <w:rFonts w:eastAsiaTheme="minorHAnsi" w:cstheme="minorBidi"/>
          <w:b w:val="0"/>
          <w:bCs w:val="0"/>
          <w:sz w:val="22"/>
          <w:szCs w:val="22"/>
          <w:lang w:bidi="ar-SA"/>
        </w:rPr>
        <w:id w:val="-441759245"/>
        <w:docPartObj>
          <w:docPartGallery w:val="Table of Contents"/>
          <w:docPartUnique/>
        </w:docPartObj>
      </w:sdtPr>
      <w:sdtEndPr>
        <w:rPr>
          <w:noProof/>
        </w:rPr>
      </w:sdtEndPr>
      <w:sdtContent>
        <w:p w14:paraId="5C54A68A" w14:textId="77777777" w:rsidR="00FF3BD9" w:rsidRDefault="00FF3BD9" w:rsidP="00FF3BD9">
          <w:pPr>
            <w:pStyle w:val="TOCHeading"/>
          </w:pPr>
          <w:r>
            <w:t>Contents</w:t>
          </w:r>
        </w:p>
        <w:p w14:paraId="3BAC4C5F" w14:textId="6919E380" w:rsidR="0090623E" w:rsidRDefault="00DC3CD1">
          <w:pPr>
            <w:pStyle w:val="TOC1"/>
            <w:tabs>
              <w:tab w:val="right" w:leader="dot" w:pos="9019"/>
            </w:tabs>
            <w:rPr>
              <w:rFonts w:asciiTheme="minorHAnsi" w:eastAsiaTheme="minorEastAsia" w:hAnsiTheme="minorHAnsi"/>
              <w:noProof/>
              <w:kern w:val="2"/>
              <w:sz w:val="24"/>
              <w:szCs w:val="24"/>
              <w:lang w:eastAsia="en-GB"/>
              <w14:ligatures w14:val="standardContextual"/>
            </w:rPr>
          </w:pPr>
          <w:r>
            <w:fldChar w:fldCharType="begin"/>
          </w:r>
          <w:r>
            <w:instrText xml:space="preserve"> TOC \o "2-2" \h \z \t "Heading 1,1" </w:instrText>
          </w:r>
          <w:r>
            <w:fldChar w:fldCharType="separate"/>
          </w:r>
          <w:hyperlink w:anchor="_Toc144909125" w:history="1">
            <w:r w:rsidR="0090623E" w:rsidRPr="00966B9A">
              <w:rPr>
                <w:rStyle w:val="Hyperlink"/>
                <w:noProof/>
              </w:rPr>
              <w:t>Introduction</w:t>
            </w:r>
            <w:r w:rsidR="0090623E">
              <w:rPr>
                <w:noProof/>
                <w:webHidden/>
              </w:rPr>
              <w:tab/>
            </w:r>
            <w:r w:rsidR="0090623E">
              <w:rPr>
                <w:noProof/>
                <w:webHidden/>
              </w:rPr>
              <w:fldChar w:fldCharType="begin"/>
            </w:r>
            <w:r w:rsidR="0090623E">
              <w:rPr>
                <w:noProof/>
                <w:webHidden/>
              </w:rPr>
              <w:instrText xml:space="preserve"> PAGEREF _Toc144909125 \h </w:instrText>
            </w:r>
            <w:r w:rsidR="0090623E">
              <w:rPr>
                <w:noProof/>
                <w:webHidden/>
              </w:rPr>
            </w:r>
            <w:r w:rsidR="0090623E">
              <w:rPr>
                <w:noProof/>
                <w:webHidden/>
              </w:rPr>
              <w:fldChar w:fldCharType="separate"/>
            </w:r>
            <w:r w:rsidR="0090623E">
              <w:rPr>
                <w:noProof/>
                <w:webHidden/>
              </w:rPr>
              <w:t>14</w:t>
            </w:r>
            <w:r w:rsidR="0090623E">
              <w:rPr>
                <w:noProof/>
                <w:webHidden/>
              </w:rPr>
              <w:fldChar w:fldCharType="end"/>
            </w:r>
          </w:hyperlink>
        </w:p>
        <w:p w14:paraId="5BFA9E91" w14:textId="330EB2D9" w:rsidR="0090623E" w:rsidRDefault="00E32E71">
          <w:pPr>
            <w:pStyle w:val="TOC2"/>
            <w:rPr>
              <w:rFonts w:asciiTheme="minorHAnsi" w:eastAsiaTheme="minorEastAsia" w:hAnsiTheme="minorHAnsi"/>
              <w:noProof/>
              <w:kern w:val="2"/>
              <w:sz w:val="24"/>
              <w:szCs w:val="24"/>
              <w:lang w:eastAsia="en-GB"/>
              <w14:ligatures w14:val="standardContextual"/>
            </w:rPr>
          </w:pPr>
          <w:hyperlink w:anchor="_Toc144909126" w:history="1">
            <w:r w:rsidR="0090623E" w:rsidRPr="00966B9A">
              <w:rPr>
                <w:rStyle w:val="Hyperlink"/>
                <w:noProof/>
              </w:rPr>
              <w:t>Implementing the National Plan</w:t>
            </w:r>
            <w:r w:rsidR="0090623E">
              <w:rPr>
                <w:noProof/>
                <w:webHidden/>
              </w:rPr>
              <w:tab/>
            </w:r>
            <w:r w:rsidR="0090623E">
              <w:rPr>
                <w:noProof/>
                <w:webHidden/>
              </w:rPr>
              <w:fldChar w:fldCharType="begin"/>
            </w:r>
            <w:r w:rsidR="0090623E">
              <w:rPr>
                <w:noProof/>
                <w:webHidden/>
              </w:rPr>
              <w:instrText xml:space="preserve"> PAGEREF _Toc144909126 \h </w:instrText>
            </w:r>
            <w:r w:rsidR="0090623E">
              <w:rPr>
                <w:noProof/>
                <w:webHidden/>
              </w:rPr>
            </w:r>
            <w:r w:rsidR="0090623E">
              <w:rPr>
                <w:noProof/>
                <w:webHidden/>
              </w:rPr>
              <w:fldChar w:fldCharType="separate"/>
            </w:r>
            <w:r w:rsidR="0090623E">
              <w:rPr>
                <w:noProof/>
                <w:webHidden/>
              </w:rPr>
              <w:t>16</w:t>
            </w:r>
            <w:r w:rsidR="0090623E">
              <w:rPr>
                <w:noProof/>
                <w:webHidden/>
              </w:rPr>
              <w:fldChar w:fldCharType="end"/>
            </w:r>
          </w:hyperlink>
        </w:p>
        <w:p w14:paraId="38A21A83" w14:textId="17895926" w:rsidR="0090623E" w:rsidRDefault="00E32E71">
          <w:pPr>
            <w:pStyle w:val="TOC1"/>
            <w:tabs>
              <w:tab w:val="right" w:leader="dot" w:pos="9019"/>
            </w:tabs>
            <w:rPr>
              <w:rFonts w:asciiTheme="minorHAnsi" w:eastAsiaTheme="minorEastAsia" w:hAnsiTheme="minorHAnsi"/>
              <w:noProof/>
              <w:kern w:val="2"/>
              <w:sz w:val="24"/>
              <w:szCs w:val="24"/>
              <w:lang w:eastAsia="en-GB"/>
              <w14:ligatures w14:val="standardContextual"/>
            </w:rPr>
          </w:pPr>
          <w:hyperlink w:anchor="_Toc144909127" w:history="1">
            <w:r w:rsidR="0090623E" w:rsidRPr="00966B9A">
              <w:rPr>
                <w:rStyle w:val="Hyperlink"/>
                <w:noProof/>
              </w:rPr>
              <w:t>Summary of Actions</w:t>
            </w:r>
            <w:r w:rsidR="0090623E">
              <w:rPr>
                <w:noProof/>
                <w:webHidden/>
              </w:rPr>
              <w:tab/>
            </w:r>
            <w:r w:rsidR="0090623E">
              <w:rPr>
                <w:noProof/>
                <w:webHidden/>
              </w:rPr>
              <w:fldChar w:fldCharType="begin"/>
            </w:r>
            <w:r w:rsidR="0090623E">
              <w:rPr>
                <w:noProof/>
                <w:webHidden/>
              </w:rPr>
              <w:instrText xml:space="preserve"> PAGEREF _Toc144909127 \h </w:instrText>
            </w:r>
            <w:r w:rsidR="0090623E">
              <w:rPr>
                <w:noProof/>
                <w:webHidden/>
              </w:rPr>
            </w:r>
            <w:r w:rsidR="0090623E">
              <w:rPr>
                <w:noProof/>
                <w:webHidden/>
              </w:rPr>
              <w:fldChar w:fldCharType="separate"/>
            </w:r>
            <w:r w:rsidR="0090623E">
              <w:rPr>
                <w:noProof/>
                <w:webHidden/>
              </w:rPr>
              <w:t>17</w:t>
            </w:r>
            <w:r w:rsidR="0090623E">
              <w:rPr>
                <w:noProof/>
                <w:webHidden/>
              </w:rPr>
              <w:fldChar w:fldCharType="end"/>
            </w:r>
          </w:hyperlink>
        </w:p>
        <w:p w14:paraId="3DDFD467" w14:textId="58633889" w:rsidR="0090623E" w:rsidRDefault="00E32E71">
          <w:pPr>
            <w:pStyle w:val="TOC1"/>
            <w:tabs>
              <w:tab w:val="right" w:leader="dot" w:pos="9019"/>
            </w:tabs>
            <w:rPr>
              <w:rFonts w:asciiTheme="minorHAnsi" w:eastAsiaTheme="minorEastAsia" w:hAnsiTheme="minorHAnsi"/>
              <w:noProof/>
              <w:kern w:val="2"/>
              <w:sz w:val="24"/>
              <w:szCs w:val="24"/>
              <w:lang w:eastAsia="en-GB"/>
              <w14:ligatures w14:val="standardContextual"/>
            </w:rPr>
          </w:pPr>
          <w:hyperlink w:anchor="_Toc144909128" w:history="1">
            <w:r w:rsidR="0090623E" w:rsidRPr="00966B9A">
              <w:rPr>
                <w:rStyle w:val="Hyperlink"/>
                <w:noProof/>
              </w:rPr>
              <w:t>How the Action Plan was developed</w:t>
            </w:r>
            <w:r w:rsidR="0090623E">
              <w:rPr>
                <w:noProof/>
                <w:webHidden/>
              </w:rPr>
              <w:tab/>
            </w:r>
            <w:r w:rsidR="0090623E">
              <w:rPr>
                <w:noProof/>
                <w:webHidden/>
              </w:rPr>
              <w:fldChar w:fldCharType="begin"/>
            </w:r>
            <w:r w:rsidR="0090623E">
              <w:rPr>
                <w:noProof/>
                <w:webHidden/>
              </w:rPr>
              <w:instrText xml:space="preserve"> PAGEREF _Toc144909128 \h </w:instrText>
            </w:r>
            <w:r w:rsidR="0090623E">
              <w:rPr>
                <w:noProof/>
                <w:webHidden/>
              </w:rPr>
            </w:r>
            <w:r w:rsidR="0090623E">
              <w:rPr>
                <w:noProof/>
                <w:webHidden/>
              </w:rPr>
              <w:fldChar w:fldCharType="separate"/>
            </w:r>
            <w:r w:rsidR="0090623E">
              <w:rPr>
                <w:noProof/>
                <w:webHidden/>
              </w:rPr>
              <w:t>18</w:t>
            </w:r>
            <w:r w:rsidR="0090623E">
              <w:rPr>
                <w:noProof/>
                <w:webHidden/>
              </w:rPr>
              <w:fldChar w:fldCharType="end"/>
            </w:r>
          </w:hyperlink>
        </w:p>
        <w:p w14:paraId="4EE451D4" w14:textId="15083ED5" w:rsidR="0090623E" w:rsidRDefault="00E32E71">
          <w:pPr>
            <w:pStyle w:val="TOC2"/>
            <w:rPr>
              <w:rFonts w:asciiTheme="minorHAnsi" w:eastAsiaTheme="minorEastAsia" w:hAnsiTheme="minorHAnsi"/>
              <w:noProof/>
              <w:kern w:val="2"/>
              <w:sz w:val="24"/>
              <w:szCs w:val="24"/>
              <w:lang w:eastAsia="en-GB"/>
              <w14:ligatures w14:val="standardContextual"/>
            </w:rPr>
          </w:pPr>
          <w:hyperlink w:anchor="_Toc144909129" w:history="1">
            <w:r w:rsidR="0090623E" w:rsidRPr="00966B9A">
              <w:rPr>
                <w:rStyle w:val="Hyperlink"/>
                <w:noProof/>
              </w:rPr>
              <w:t>Delivering outcomes against the National Plan</w:t>
            </w:r>
            <w:r w:rsidR="0090623E">
              <w:rPr>
                <w:noProof/>
                <w:webHidden/>
              </w:rPr>
              <w:tab/>
            </w:r>
            <w:r w:rsidR="0090623E">
              <w:rPr>
                <w:noProof/>
                <w:webHidden/>
              </w:rPr>
              <w:fldChar w:fldCharType="begin"/>
            </w:r>
            <w:r w:rsidR="0090623E">
              <w:rPr>
                <w:noProof/>
                <w:webHidden/>
              </w:rPr>
              <w:instrText xml:space="preserve"> PAGEREF _Toc144909129 \h </w:instrText>
            </w:r>
            <w:r w:rsidR="0090623E">
              <w:rPr>
                <w:noProof/>
                <w:webHidden/>
              </w:rPr>
            </w:r>
            <w:r w:rsidR="0090623E">
              <w:rPr>
                <w:noProof/>
                <w:webHidden/>
              </w:rPr>
              <w:fldChar w:fldCharType="separate"/>
            </w:r>
            <w:r w:rsidR="0090623E">
              <w:rPr>
                <w:noProof/>
                <w:webHidden/>
              </w:rPr>
              <w:t>18</w:t>
            </w:r>
            <w:r w:rsidR="0090623E">
              <w:rPr>
                <w:noProof/>
                <w:webHidden/>
              </w:rPr>
              <w:fldChar w:fldCharType="end"/>
            </w:r>
          </w:hyperlink>
        </w:p>
        <w:p w14:paraId="282406C3" w14:textId="3FC20331" w:rsidR="0090623E" w:rsidRDefault="00E32E71">
          <w:pPr>
            <w:pStyle w:val="TOC2"/>
            <w:rPr>
              <w:rFonts w:asciiTheme="minorHAnsi" w:eastAsiaTheme="minorEastAsia" w:hAnsiTheme="minorHAnsi"/>
              <w:noProof/>
              <w:kern w:val="2"/>
              <w:sz w:val="24"/>
              <w:szCs w:val="24"/>
              <w:lang w:eastAsia="en-GB"/>
              <w14:ligatures w14:val="standardContextual"/>
            </w:rPr>
          </w:pPr>
          <w:hyperlink w:anchor="_Toc144909130" w:history="1">
            <w:r w:rsidR="0090623E" w:rsidRPr="00966B9A">
              <w:rPr>
                <w:rStyle w:val="Hyperlink"/>
                <w:noProof/>
              </w:rPr>
              <w:t>Drawing on diverse expertise</w:t>
            </w:r>
            <w:r w:rsidR="0090623E">
              <w:rPr>
                <w:noProof/>
                <w:webHidden/>
              </w:rPr>
              <w:tab/>
            </w:r>
            <w:r w:rsidR="0090623E">
              <w:rPr>
                <w:noProof/>
                <w:webHidden/>
              </w:rPr>
              <w:fldChar w:fldCharType="begin"/>
            </w:r>
            <w:r w:rsidR="0090623E">
              <w:rPr>
                <w:noProof/>
                <w:webHidden/>
              </w:rPr>
              <w:instrText xml:space="preserve"> PAGEREF _Toc144909130 \h </w:instrText>
            </w:r>
            <w:r w:rsidR="0090623E">
              <w:rPr>
                <w:noProof/>
                <w:webHidden/>
              </w:rPr>
            </w:r>
            <w:r w:rsidR="0090623E">
              <w:rPr>
                <w:noProof/>
                <w:webHidden/>
              </w:rPr>
              <w:fldChar w:fldCharType="separate"/>
            </w:r>
            <w:r w:rsidR="0090623E">
              <w:rPr>
                <w:noProof/>
                <w:webHidden/>
              </w:rPr>
              <w:t>18</w:t>
            </w:r>
            <w:r w:rsidR="0090623E">
              <w:rPr>
                <w:noProof/>
                <w:webHidden/>
              </w:rPr>
              <w:fldChar w:fldCharType="end"/>
            </w:r>
          </w:hyperlink>
        </w:p>
        <w:p w14:paraId="09242B07" w14:textId="3BFA6ACC" w:rsidR="0090623E" w:rsidRDefault="00E32E71">
          <w:pPr>
            <w:pStyle w:val="TOC1"/>
            <w:tabs>
              <w:tab w:val="right" w:leader="dot" w:pos="9019"/>
            </w:tabs>
            <w:rPr>
              <w:rFonts w:asciiTheme="minorHAnsi" w:eastAsiaTheme="minorEastAsia" w:hAnsiTheme="minorHAnsi"/>
              <w:noProof/>
              <w:kern w:val="2"/>
              <w:sz w:val="24"/>
              <w:szCs w:val="24"/>
              <w:lang w:eastAsia="en-GB"/>
              <w14:ligatures w14:val="standardContextual"/>
            </w:rPr>
          </w:pPr>
          <w:hyperlink w:anchor="_Toc144909131" w:history="1">
            <w:r w:rsidR="0090623E" w:rsidRPr="00966B9A">
              <w:rPr>
                <w:rStyle w:val="Hyperlink"/>
                <w:noProof/>
              </w:rPr>
              <w:t>Collective action for change</w:t>
            </w:r>
            <w:r w:rsidR="0090623E">
              <w:rPr>
                <w:noProof/>
                <w:webHidden/>
              </w:rPr>
              <w:tab/>
            </w:r>
            <w:r w:rsidR="0090623E">
              <w:rPr>
                <w:noProof/>
                <w:webHidden/>
              </w:rPr>
              <w:fldChar w:fldCharType="begin"/>
            </w:r>
            <w:r w:rsidR="0090623E">
              <w:rPr>
                <w:noProof/>
                <w:webHidden/>
              </w:rPr>
              <w:instrText xml:space="preserve"> PAGEREF _Toc144909131 \h </w:instrText>
            </w:r>
            <w:r w:rsidR="0090623E">
              <w:rPr>
                <w:noProof/>
                <w:webHidden/>
              </w:rPr>
            </w:r>
            <w:r w:rsidR="0090623E">
              <w:rPr>
                <w:noProof/>
                <w:webHidden/>
              </w:rPr>
              <w:fldChar w:fldCharType="separate"/>
            </w:r>
            <w:r w:rsidR="0090623E">
              <w:rPr>
                <w:noProof/>
                <w:webHidden/>
              </w:rPr>
              <w:t>20</w:t>
            </w:r>
            <w:r w:rsidR="0090623E">
              <w:rPr>
                <w:noProof/>
                <w:webHidden/>
              </w:rPr>
              <w:fldChar w:fldCharType="end"/>
            </w:r>
          </w:hyperlink>
        </w:p>
        <w:p w14:paraId="4B936A42" w14:textId="5905DA4A" w:rsidR="0090623E" w:rsidRDefault="00E32E71">
          <w:pPr>
            <w:pStyle w:val="TOC2"/>
            <w:rPr>
              <w:rFonts w:asciiTheme="minorHAnsi" w:eastAsiaTheme="minorEastAsia" w:hAnsiTheme="minorHAnsi"/>
              <w:noProof/>
              <w:kern w:val="2"/>
              <w:sz w:val="24"/>
              <w:szCs w:val="24"/>
              <w:lang w:eastAsia="en-GB"/>
              <w14:ligatures w14:val="standardContextual"/>
            </w:rPr>
          </w:pPr>
          <w:hyperlink w:anchor="_Toc144909132" w:history="1">
            <w:r w:rsidR="0090623E" w:rsidRPr="00966B9A">
              <w:rPr>
                <w:rStyle w:val="Hyperlink"/>
                <w:rFonts w:eastAsia="Arial"/>
                <w:noProof/>
              </w:rPr>
              <w:t>The roles of governments</w:t>
            </w:r>
            <w:r w:rsidR="0090623E">
              <w:rPr>
                <w:noProof/>
                <w:webHidden/>
              </w:rPr>
              <w:tab/>
            </w:r>
            <w:r w:rsidR="0090623E">
              <w:rPr>
                <w:noProof/>
                <w:webHidden/>
              </w:rPr>
              <w:fldChar w:fldCharType="begin"/>
            </w:r>
            <w:r w:rsidR="0090623E">
              <w:rPr>
                <w:noProof/>
                <w:webHidden/>
              </w:rPr>
              <w:instrText xml:space="preserve"> PAGEREF _Toc144909132 \h </w:instrText>
            </w:r>
            <w:r w:rsidR="0090623E">
              <w:rPr>
                <w:noProof/>
                <w:webHidden/>
              </w:rPr>
            </w:r>
            <w:r w:rsidR="0090623E">
              <w:rPr>
                <w:noProof/>
                <w:webHidden/>
              </w:rPr>
              <w:fldChar w:fldCharType="separate"/>
            </w:r>
            <w:r w:rsidR="0090623E">
              <w:rPr>
                <w:noProof/>
                <w:webHidden/>
              </w:rPr>
              <w:t>22</w:t>
            </w:r>
            <w:r w:rsidR="0090623E">
              <w:rPr>
                <w:noProof/>
                <w:webHidden/>
              </w:rPr>
              <w:fldChar w:fldCharType="end"/>
            </w:r>
          </w:hyperlink>
        </w:p>
        <w:p w14:paraId="71604116" w14:textId="0243D71C" w:rsidR="0090623E" w:rsidRDefault="00E32E71">
          <w:pPr>
            <w:pStyle w:val="TOC1"/>
            <w:tabs>
              <w:tab w:val="right" w:leader="dot" w:pos="9019"/>
            </w:tabs>
            <w:rPr>
              <w:rFonts w:asciiTheme="minorHAnsi" w:eastAsiaTheme="minorEastAsia" w:hAnsiTheme="minorHAnsi"/>
              <w:noProof/>
              <w:kern w:val="2"/>
              <w:sz w:val="24"/>
              <w:szCs w:val="24"/>
              <w:lang w:eastAsia="en-GB"/>
              <w14:ligatures w14:val="standardContextual"/>
            </w:rPr>
          </w:pPr>
          <w:hyperlink w:anchor="_Toc144909133" w:history="1">
            <w:r w:rsidR="0090623E" w:rsidRPr="00966B9A">
              <w:rPr>
                <w:rStyle w:val="Hyperlink"/>
                <w:rFonts w:eastAsia="Arial"/>
                <w:noProof/>
              </w:rPr>
              <w:t>Actions to drive change</w:t>
            </w:r>
            <w:r w:rsidR="0090623E">
              <w:rPr>
                <w:noProof/>
                <w:webHidden/>
              </w:rPr>
              <w:tab/>
            </w:r>
            <w:r w:rsidR="0090623E">
              <w:rPr>
                <w:noProof/>
                <w:webHidden/>
              </w:rPr>
              <w:fldChar w:fldCharType="begin"/>
            </w:r>
            <w:r w:rsidR="0090623E">
              <w:rPr>
                <w:noProof/>
                <w:webHidden/>
              </w:rPr>
              <w:instrText xml:space="preserve"> PAGEREF _Toc144909133 \h </w:instrText>
            </w:r>
            <w:r w:rsidR="0090623E">
              <w:rPr>
                <w:noProof/>
                <w:webHidden/>
              </w:rPr>
            </w:r>
            <w:r w:rsidR="0090623E">
              <w:rPr>
                <w:noProof/>
                <w:webHidden/>
              </w:rPr>
              <w:fldChar w:fldCharType="separate"/>
            </w:r>
            <w:r w:rsidR="0090623E">
              <w:rPr>
                <w:noProof/>
                <w:webHidden/>
              </w:rPr>
              <w:t>25</w:t>
            </w:r>
            <w:r w:rsidR="0090623E">
              <w:rPr>
                <w:noProof/>
                <w:webHidden/>
              </w:rPr>
              <w:fldChar w:fldCharType="end"/>
            </w:r>
          </w:hyperlink>
        </w:p>
        <w:p w14:paraId="14ADE467" w14:textId="21D04103" w:rsidR="0090623E" w:rsidRDefault="00E32E71">
          <w:pPr>
            <w:pStyle w:val="TOC1"/>
            <w:tabs>
              <w:tab w:val="right" w:leader="dot" w:pos="9019"/>
            </w:tabs>
            <w:rPr>
              <w:rFonts w:asciiTheme="minorHAnsi" w:eastAsiaTheme="minorEastAsia" w:hAnsiTheme="minorHAnsi"/>
              <w:noProof/>
              <w:kern w:val="2"/>
              <w:sz w:val="24"/>
              <w:szCs w:val="24"/>
              <w:lang w:eastAsia="en-GB"/>
              <w14:ligatures w14:val="standardContextual"/>
            </w:rPr>
          </w:pPr>
          <w:hyperlink w:anchor="_Toc144909134" w:history="1">
            <w:r w:rsidR="0090623E" w:rsidRPr="00966B9A">
              <w:rPr>
                <w:rStyle w:val="Hyperlink"/>
                <w:noProof/>
              </w:rPr>
              <w:t>Action 1</w:t>
            </w:r>
            <w:r w:rsidR="0090623E">
              <w:rPr>
                <w:noProof/>
                <w:webHidden/>
              </w:rPr>
              <w:tab/>
            </w:r>
            <w:r w:rsidR="0090623E">
              <w:rPr>
                <w:noProof/>
                <w:webHidden/>
              </w:rPr>
              <w:fldChar w:fldCharType="begin"/>
            </w:r>
            <w:r w:rsidR="0090623E">
              <w:rPr>
                <w:noProof/>
                <w:webHidden/>
              </w:rPr>
              <w:instrText xml:space="preserve"> PAGEREF _Toc144909134 \h </w:instrText>
            </w:r>
            <w:r w:rsidR="0090623E">
              <w:rPr>
                <w:noProof/>
                <w:webHidden/>
              </w:rPr>
            </w:r>
            <w:r w:rsidR="0090623E">
              <w:rPr>
                <w:noProof/>
                <w:webHidden/>
              </w:rPr>
              <w:fldChar w:fldCharType="separate"/>
            </w:r>
            <w:r w:rsidR="0090623E">
              <w:rPr>
                <w:noProof/>
                <w:webHidden/>
              </w:rPr>
              <w:t>26</w:t>
            </w:r>
            <w:r w:rsidR="0090623E">
              <w:rPr>
                <w:noProof/>
                <w:webHidden/>
              </w:rPr>
              <w:fldChar w:fldCharType="end"/>
            </w:r>
          </w:hyperlink>
        </w:p>
        <w:p w14:paraId="6E1FFD2F" w14:textId="2CB384E8" w:rsidR="0090623E" w:rsidRDefault="00E32E71">
          <w:pPr>
            <w:pStyle w:val="TOC2"/>
            <w:rPr>
              <w:rFonts w:asciiTheme="minorHAnsi" w:eastAsiaTheme="minorEastAsia" w:hAnsiTheme="minorHAnsi"/>
              <w:noProof/>
              <w:kern w:val="2"/>
              <w:sz w:val="24"/>
              <w:szCs w:val="24"/>
              <w:lang w:eastAsia="en-GB"/>
              <w14:ligatures w14:val="standardContextual"/>
            </w:rPr>
          </w:pPr>
          <w:hyperlink w:anchor="_Toc144909135" w:history="1">
            <w:r w:rsidR="0090623E" w:rsidRPr="00966B9A">
              <w:rPr>
                <w:rStyle w:val="Hyperlink"/>
                <w:noProof/>
              </w:rPr>
              <w:t>Advance gender equality and address the drivers of all forms of gender-based violence, including through initiatives aimed to improve community attitudes and norms toward family, domestic, and sexual violence.</w:t>
            </w:r>
            <w:r w:rsidR="0090623E">
              <w:rPr>
                <w:noProof/>
                <w:webHidden/>
              </w:rPr>
              <w:tab/>
            </w:r>
            <w:r w:rsidR="0090623E">
              <w:rPr>
                <w:noProof/>
                <w:webHidden/>
              </w:rPr>
              <w:fldChar w:fldCharType="begin"/>
            </w:r>
            <w:r w:rsidR="0090623E">
              <w:rPr>
                <w:noProof/>
                <w:webHidden/>
              </w:rPr>
              <w:instrText xml:space="preserve"> PAGEREF _Toc144909135 \h </w:instrText>
            </w:r>
            <w:r w:rsidR="0090623E">
              <w:rPr>
                <w:noProof/>
                <w:webHidden/>
              </w:rPr>
            </w:r>
            <w:r w:rsidR="0090623E">
              <w:rPr>
                <w:noProof/>
                <w:webHidden/>
              </w:rPr>
              <w:fldChar w:fldCharType="separate"/>
            </w:r>
            <w:r w:rsidR="0090623E">
              <w:rPr>
                <w:noProof/>
                <w:webHidden/>
              </w:rPr>
              <w:t>26</w:t>
            </w:r>
            <w:r w:rsidR="0090623E">
              <w:rPr>
                <w:noProof/>
                <w:webHidden/>
              </w:rPr>
              <w:fldChar w:fldCharType="end"/>
            </w:r>
          </w:hyperlink>
        </w:p>
        <w:p w14:paraId="5C40F600" w14:textId="2BCD8C05" w:rsidR="0090623E" w:rsidRDefault="00E32E71">
          <w:pPr>
            <w:pStyle w:val="TOC1"/>
            <w:tabs>
              <w:tab w:val="right" w:leader="dot" w:pos="9019"/>
            </w:tabs>
            <w:rPr>
              <w:rFonts w:asciiTheme="minorHAnsi" w:eastAsiaTheme="minorEastAsia" w:hAnsiTheme="minorHAnsi"/>
              <w:noProof/>
              <w:kern w:val="2"/>
              <w:sz w:val="24"/>
              <w:szCs w:val="24"/>
              <w:lang w:eastAsia="en-GB"/>
              <w14:ligatures w14:val="standardContextual"/>
            </w:rPr>
          </w:pPr>
          <w:hyperlink w:anchor="_Toc144909136" w:history="1">
            <w:r w:rsidR="0090623E" w:rsidRPr="00966B9A">
              <w:rPr>
                <w:rStyle w:val="Hyperlink"/>
                <w:noProof/>
              </w:rPr>
              <w:t>Action 2</w:t>
            </w:r>
            <w:r w:rsidR="0090623E">
              <w:rPr>
                <w:noProof/>
                <w:webHidden/>
              </w:rPr>
              <w:tab/>
            </w:r>
            <w:r w:rsidR="0090623E">
              <w:rPr>
                <w:noProof/>
                <w:webHidden/>
              </w:rPr>
              <w:fldChar w:fldCharType="begin"/>
            </w:r>
            <w:r w:rsidR="0090623E">
              <w:rPr>
                <w:noProof/>
                <w:webHidden/>
              </w:rPr>
              <w:instrText xml:space="preserve"> PAGEREF _Toc144909136 \h </w:instrText>
            </w:r>
            <w:r w:rsidR="0090623E">
              <w:rPr>
                <w:noProof/>
                <w:webHidden/>
              </w:rPr>
            </w:r>
            <w:r w:rsidR="0090623E">
              <w:rPr>
                <w:noProof/>
                <w:webHidden/>
              </w:rPr>
              <w:fldChar w:fldCharType="separate"/>
            </w:r>
            <w:r w:rsidR="0090623E">
              <w:rPr>
                <w:noProof/>
                <w:webHidden/>
              </w:rPr>
              <w:t>28</w:t>
            </w:r>
            <w:r w:rsidR="0090623E">
              <w:rPr>
                <w:noProof/>
                <w:webHidden/>
              </w:rPr>
              <w:fldChar w:fldCharType="end"/>
            </w:r>
          </w:hyperlink>
        </w:p>
        <w:p w14:paraId="432A367E" w14:textId="672451C8" w:rsidR="0090623E" w:rsidRDefault="00E32E71">
          <w:pPr>
            <w:pStyle w:val="TOC2"/>
            <w:rPr>
              <w:rFonts w:asciiTheme="minorHAnsi" w:eastAsiaTheme="minorEastAsia" w:hAnsiTheme="minorHAnsi"/>
              <w:noProof/>
              <w:kern w:val="2"/>
              <w:sz w:val="24"/>
              <w:szCs w:val="24"/>
              <w:lang w:eastAsia="en-GB"/>
              <w14:ligatures w14:val="standardContextual"/>
            </w:rPr>
          </w:pPr>
          <w:hyperlink w:anchor="_Toc144909137" w:history="1">
            <w:r w:rsidR="0090623E" w:rsidRPr="00966B9A">
              <w:rPr>
                <w:rStyle w:val="Hyperlink"/>
                <w:noProof/>
              </w:rPr>
              <w:t>Improve the national evidence base by working towards consistent terminology and monitoring and evaluation frameworks, and by strengthening collection and sharing of data and evidence.</w:t>
            </w:r>
            <w:r w:rsidR="0090623E">
              <w:rPr>
                <w:noProof/>
                <w:webHidden/>
              </w:rPr>
              <w:tab/>
            </w:r>
            <w:r w:rsidR="0090623E">
              <w:rPr>
                <w:noProof/>
                <w:webHidden/>
              </w:rPr>
              <w:fldChar w:fldCharType="begin"/>
            </w:r>
            <w:r w:rsidR="0090623E">
              <w:rPr>
                <w:noProof/>
                <w:webHidden/>
              </w:rPr>
              <w:instrText xml:space="preserve"> PAGEREF _Toc144909137 \h </w:instrText>
            </w:r>
            <w:r w:rsidR="0090623E">
              <w:rPr>
                <w:noProof/>
                <w:webHidden/>
              </w:rPr>
            </w:r>
            <w:r w:rsidR="0090623E">
              <w:rPr>
                <w:noProof/>
                <w:webHidden/>
              </w:rPr>
              <w:fldChar w:fldCharType="separate"/>
            </w:r>
            <w:r w:rsidR="0090623E">
              <w:rPr>
                <w:noProof/>
                <w:webHidden/>
              </w:rPr>
              <w:t>28</w:t>
            </w:r>
            <w:r w:rsidR="0090623E">
              <w:rPr>
                <w:noProof/>
                <w:webHidden/>
              </w:rPr>
              <w:fldChar w:fldCharType="end"/>
            </w:r>
          </w:hyperlink>
        </w:p>
        <w:p w14:paraId="4579471B" w14:textId="0E91F9A3" w:rsidR="0090623E" w:rsidRDefault="00E32E71">
          <w:pPr>
            <w:pStyle w:val="TOC1"/>
            <w:tabs>
              <w:tab w:val="right" w:leader="dot" w:pos="9019"/>
            </w:tabs>
            <w:rPr>
              <w:rFonts w:asciiTheme="minorHAnsi" w:eastAsiaTheme="minorEastAsia" w:hAnsiTheme="minorHAnsi"/>
              <w:noProof/>
              <w:kern w:val="2"/>
              <w:sz w:val="24"/>
              <w:szCs w:val="24"/>
              <w:lang w:eastAsia="en-GB"/>
              <w14:ligatures w14:val="standardContextual"/>
            </w:rPr>
          </w:pPr>
          <w:hyperlink w:anchor="_Toc144909138" w:history="1">
            <w:r w:rsidR="0090623E" w:rsidRPr="00966B9A">
              <w:rPr>
                <w:rStyle w:val="Hyperlink"/>
                <w:noProof/>
              </w:rPr>
              <w:t>Action 3</w:t>
            </w:r>
            <w:r w:rsidR="0090623E">
              <w:rPr>
                <w:noProof/>
                <w:webHidden/>
              </w:rPr>
              <w:tab/>
            </w:r>
            <w:r w:rsidR="0090623E">
              <w:rPr>
                <w:noProof/>
                <w:webHidden/>
              </w:rPr>
              <w:fldChar w:fldCharType="begin"/>
            </w:r>
            <w:r w:rsidR="0090623E">
              <w:rPr>
                <w:noProof/>
                <w:webHidden/>
              </w:rPr>
              <w:instrText xml:space="preserve"> PAGEREF _Toc144909138 \h </w:instrText>
            </w:r>
            <w:r w:rsidR="0090623E">
              <w:rPr>
                <w:noProof/>
                <w:webHidden/>
              </w:rPr>
            </w:r>
            <w:r w:rsidR="0090623E">
              <w:rPr>
                <w:noProof/>
                <w:webHidden/>
              </w:rPr>
              <w:fldChar w:fldCharType="separate"/>
            </w:r>
            <w:r w:rsidR="0090623E">
              <w:rPr>
                <w:noProof/>
                <w:webHidden/>
              </w:rPr>
              <w:t>30</w:t>
            </w:r>
            <w:r w:rsidR="0090623E">
              <w:rPr>
                <w:noProof/>
                <w:webHidden/>
              </w:rPr>
              <w:fldChar w:fldCharType="end"/>
            </w:r>
          </w:hyperlink>
        </w:p>
        <w:p w14:paraId="58A9ADA6" w14:textId="084857F6" w:rsidR="0090623E" w:rsidRDefault="00E32E71">
          <w:pPr>
            <w:pStyle w:val="TOC2"/>
            <w:rPr>
              <w:rFonts w:asciiTheme="minorHAnsi" w:eastAsiaTheme="minorEastAsia" w:hAnsiTheme="minorHAnsi"/>
              <w:noProof/>
              <w:kern w:val="2"/>
              <w:sz w:val="24"/>
              <w:szCs w:val="24"/>
              <w:lang w:eastAsia="en-GB"/>
              <w14:ligatures w14:val="standardContextual"/>
            </w:rPr>
          </w:pPr>
          <w:hyperlink w:anchor="_Toc144909139" w:history="1">
            <w:r w:rsidR="0090623E" w:rsidRPr="00966B9A">
              <w:rPr>
                <w:rStyle w:val="Hyperlink"/>
                <w:noProof/>
              </w:rPr>
              <w:t>Increase and strengthen the capability of mainstream and specialist workforces to deliver quality services, activities and programs across the four domains, including those that are tailored to respond to the unique experiences of all victim-survivors.</w:t>
            </w:r>
            <w:r w:rsidR="0090623E">
              <w:rPr>
                <w:noProof/>
                <w:webHidden/>
              </w:rPr>
              <w:tab/>
            </w:r>
            <w:r w:rsidR="0090623E">
              <w:rPr>
                <w:noProof/>
                <w:webHidden/>
              </w:rPr>
              <w:fldChar w:fldCharType="begin"/>
            </w:r>
            <w:r w:rsidR="0090623E">
              <w:rPr>
                <w:noProof/>
                <w:webHidden/>
              </w:rPr>
              <w:instrText xml:space="preserve"> PAGEREF _Toc144909139 \h </w:instrText>
            </w:r>
            <w:r w:rsidR="0090623E">
              <w:rPr>
                <w:noProof/>
                <w:webHidden/>
              </w:rPr>
            </w:r>
            <w:r w:rsidR="0090623E">
              <w:rPr>
                <w:noProof/>
                <w:webHidden/>
              </w:rPr>
              <w:fldChar w:fldCharType="separate"/>
            </w:r>
            <w:r w:rsidR="0090623E">
              <w:rPr>
                <w:noProof/>
                <w:webHidden/>
              </w:rPr>
              <w:t>30</w:t>
            </w:r>
            <w:r w:rsidR="0090623E">
              <w:rPr>
                <w:noProof/>
                <w:webHidden/>
              </w:rPr>
              <w:fldChar w:fldCharType="end"/>
            </w:r>
          </w:hyperlink>
        </w:p>
        <w:p w14:paraId="0077A727" w14:textId="073642F7" w:rsidR="0090623E" w:rsidRDefault="00E32E71">
          <w:pPr>
            <w:pStyle w:val="TOC1"/>
            <w:tabs>
              <w:tab w:val="right" w:leader="dot" w:pos="9019"/>
            </w:tabs>
            <w:rPr>
              <w:rFonts w:asciiTheme="minorHAnsi" w:eastAsiaTheme="minorEastAsia" w:hAnsiTheme="minorHAnsi"/>
              <w:noProof/>
              <w:kern w:val="2"/>
              <w:sz w:val="24"/>
              <w:szCs w:val="24"/>
              <w:lang w:eastAsia="en-GB"/>
              <w14:ligatures w14:val="standardContextual"/>
            </w:rPr>
          </w:pPr>
          <w:hyperlink w:anchor="_Toc144909140" w:history="1">
            <w:r w:rsidR="0090623E" w:rsidRPr="00966B9A">
              <w:rPr>
                <w:rStyle w:val="Hyperlink"/>
                <w:noProof/>
              </w:rPr>
              <w:t>Action 4</w:t>
            </w:r>
            <w:r w:rsidR="0090623E">
              <w:rPr>
                <w:noProof/>
                <w:webHidden/>
              </w:rPr>
              <w:tab/>
            </w:r>
            <w:r w:rsidR="0090623E">
              <w:rPr>
                <w:noProof/>
                <w:webHidden/>
              </w:rPr>
              <w:fldChar w:fldCharType="begin"/>
            </w:r>
            <w:r w:rsidR="0090623E">
              <w:rPr>
                <w:noProof/>
                <w:webHidden/>
              </w:rPr>
              <w:instrText xml:space="preserve"> PAGEREF _Toc144909140 \h </w:instrText>
            </w:r>
            <w:r w:rsidR="0090623E">
              <w:rPr>
                <w:noProof/>
                <w:webHidden/>
              </w:rPr>
            </w:r>
            <w:r w:rsidR="0090623E">
              <w:rPr>
                <w:noProof/>
                <w:webHidden/>
              </w:rPr>
              <w:fldChar w:fldCharType="separate"/>
            </w:r>
            <w:r w:rsidR="0090623E">
              <w:rPr>
                <w:noProof/>
                <w:webHidden/>
              </w:rPr>
              <w:t>33</w:t>
            </w:r>
            <w:r w:rsidR="0090623E">
              <w:rPr>
                <w:noProof/>
                <w:webHidden/>
              </w:rPr>
              <w:fldChar w:fldCharType="end"/>
            </w:r>
          </w:hyperlink>
        </w:p>
        <w:p w14:paraId="09544196" w14:textId="44445AF1" w:rsidR="0090623E" w:rsidRDefault="00E32E71">
          <w:pPr>
            <w:pStyle w:val="TOC2"/>
            <w:rPr>
              <w:rFonts w:asciiTheme="minorHAnsi" w:eastAsiaTheme="minorEastAsia" w:hAnsiTheme="minorHAnsi"/>
              <w:noProof/>
              <w:kern w:val="2"/>
              <w:sz w:val="24"/>
              <w:szCs w:val="24"/>
              <w:lang w:eastAsia="en-GB"/>
              <w14:ligatures w14:val="standardContextual"/>
            </w:rPr>
          </w:pPr>
          <w:hyperlink w:anchor="_Toc144909141" w:history="1">
            <w:r w:rsidR="0090623E" w:rsidRPr="00966B9A">
              <w:rPr>
                <w:rStyle w:val="Hyperlink"/>
                <w:noProof/>
              </w:rPr>
              <w:t>Build the capacity of services and systems that support victim-survivors to provide trauma-informed, connected and coordinated responses that support long-term recovery, health and wellbeing.</w:t>
            </w:r>
            <w:r w:rsidR="0090623E">
              <w:rPr>
                <w:noProof/>
                <w:webHidden/>
              </w:rPr>
              <w:tab/>
            </w:r>
            <w:r w:rsidR="0090623E">
              <w:rPr>
                <w:noProof/>
                <w:webHidden/>
              </w:rPr>
              <w:fldChar w:fldCharType="begin"/>
            </w:r>
            <w:r w:rsidR="0090623E">
              <w:rPr>
                <w:noProof/>
                <w:webHidden/>
              </w:rPr>
              <w:instrText xml:space="preserve"> PAGEREF _Toc144909141 \h </w:instrText>
            </w:r>
            <w:r w:rsidR="0090623E">
              <w:rPr>
                <w:noProof/>
                <w:webHidden/>
              </w:rPr>
            </w:r>
            <w:r w:rsidR="0090623E">
              <w:rPr>
                <w:noProof/>
                <w:webHidden/>
              </w:rPr>
              <w:fldChar w:fldCharType="separate"/>
            </w:r>
            <w:r w:rsidR="0090623E">
              <w:rPr>
                <w:noProof/>
                <w:webHidden/>
              </w:rPr>
              <w:t>33</w:t>
            </w:r>
            <w:r w:rsidR="0090623E">
              <w:rPr>
                <w:noProof/>
                <w:webHidden/>
              </w:rPr>
              <w:fldChar w:fldCharType="end"/>
            </w:r>
          </w:hyperlink>
        </w:p>
        <w:p w14:paraId="0064D6BD" w14:textId="1F6FF79E" w:rsidR="0090623E" w:rsidRDefault="00E32E71">
          <w:pPr>
            <w:pStyle w:val="TOC1"/>
            <w:tabs>
              <w:tab w:val="right" w:leader="dot" w:pos="9019"/>
            </w:tabs>
            <w:rPr>
              <w:rFonts w:asciiTheme="minorHAnsi" w:eastAsiaTheme="minorEastAsia" w:hAnsiTheme="minorHAnsi"/>
              <w:noProof/>
              <w:kern w:val="2"/>
              <w:sz w:val="24"/>
              <w:szCs w:val="24"/>
              <w:lang w:eastAsia="en-GB"/>
              <w14:ligatures w14:val="standardContextual"/>
            </w:rPr>
          </w:pPr>
          <w:hyperlink w:anchor="_Toc144909142" w:history="1">
            <w:r w:rsidR="0090623E" w:rsidRPr="00966B9A">
              <w:rPr>
                <w:rStyle w:val="Hyperlink"/>
                <w:noProof/>
              </w:rPr>
              <w:t>Action 5</w:t>
            </w:r>
            <w:r w:rsidR="0090623E">
              <w:rPr>
                <w:noProof/>
                <w:webHidden/>
              </w:rPr>
              <w:tab/>
            </w:r>
            <w:r w:rsidR="0090623E">
              <w:rPr>
                <w:noProof/>
                <w:webHidden/>
              </w:rPr>
              <w:fldChar w:fldCharType="begin"/>
            </w:r>
            <w:r w:rsidR="0090623E">
              <w:rPr>
                <w:noProof/>
                <w:webHidden/>
              </w:rPr>
              <w:instrText xml:space="preserve"> PAGEREF _Toc144909142 \h </w:instrText>
            </w:r>
            <w:r w:rsidR="0090623E">
              <w:rPr>
                <w:noProof/>
                <w:webHidden/>
              </w:rPr>
            </w:r>
            <w:r w:rsidR="0090623E">
              <w:rPr>
                <w:noProof/>
                <w:webHidden/>
              </w:rPr>
              <w:fldChar w:fldCharType="separate"/>
            </w:r>
            <w:r w:rsidR="0090623E">
              <w:rPr>
                <w:noProof/>
                <w:webHidden/>
              </w:rPr>
              <w:t>35</w:t>
            </w:r>
            <w:r w:rsidR="0090623E">
              <w:rPr>
                <w:noProof/>
                <w:webHidden/>
              </w:rPr>
              <w:fldChar w:fldCharType="end"/>
            </w:r>
          </w:hyperlink>
        </w:p>
        <w:p w14:paraId="378EB4F7" w14:textId="294F48B3" w:rsidR="0090623E" w:rsidRDefault="00E32E71">
          <w:pPr>
            <w:pStyle w:val="TOC2"/>
            <w:rPr>
              <w:rFonts w:asciiTheme="minorHAnsi" w:eastAsiaTheme="minorEastAsia" w:hAnsiTheme="minorHAnsi"/>
              <w:noProof/>
              <w:kern w:val="2"/>
              <w:sz w:val="24"/>
              <w:szCs w:val="24"/>
              <w:lang w:eastAsia="en-GB"/>
              <w14:ligatures w14:val="standardContextual"/>
            </w:rPr>
          </w:pPr>
          <w:hyperlink w:anchor="_Toc144909143" w:history="1">
            <w:r w:rsidR="0090623E" w:rsidRPr="00966B9A">
              <w:rPr>
                <w:rStyle w:val="Hyperlink"/>
                <w:noProof/>
              </w:rPr>
              <w:t>Strengthen systems and services to better hold people who choose to use violence to account, and provide opportunities to support people who have used violence, or are at risk of using violence, to change their behaviours, with the aim of protecting the safety and wellbeing of current and potential victim-survivors.</w:t>
            </w:r>
            <w:r w:rsidR="0090623E">
              <w:rPr>
                <w:noProof/>
                <w:webHidden/>
              </w:rPr>
              <w:tab/>
            </w:r>
            <w:r w:rsidR="0090623E">
              <w:rPr>
                <w:noProof/>
                <w:webHidden/>
              </w:rPr>
              <w:fldChar w:fldCharType="begin"/>
            </w:r>
            <w:r w:rsidR="0090623E">
              <w:rPr>
                <w:noProof/>
                <w:webHidden/>
              </w:rPr>
              <w:instrText xml:space="preserve"> PAGEREF _Toc144909143 \h </w:instrText>
            </w:r>
            <w:r w:rsidR="0090623E">
              <w:rPr>
                <w:noProof/>
                <w:webHidden/>
              </w:rPr>
            </w:r>
            <w:r w:rsidR="0090623E">
              <w:rPr>
                <w:noProof/>
                <w:webHidden/>
              </w:rPr>
              <w:fldChar w:fldCharType="separate"/>
            </w:r>
            <w:r w:rsidR="0090623E">
              <w:rPr>
                <w:noProof/>
                <w:webHidden/>
              </w:rPr>
              <w:t>35</w:t>
            </w:r>
            <w:r w:rsidR="0090623E">
              <w:rPr>
                <w:noProof/>
                <w:webHidden/>
              </w:rPr>
              <w:fldChar w:fldCharType="end"/>
            </w:r>
          </w:hyperlink>
        </w:p>
        <w:p w14:paraId="78C12E93" w14:textId="1FF1F51C" w:rsidR="0090623E" w:rsidRDefault="00E32E71">
          <w:pPr>
            <w:pStyle w:val="TOC1"/>
            <w:tabs>
              <w:tab w:val="right" w:leader="dot" w:pos="9019"/>
            </w:tabs>
            <w:rPr>
              <w:rFonts w:asciiTheme="minorHAnsi" w:eastAsiaTheme="minorEastAsia" w:hAnsiTheme="minorHAnsi"/>
              <w:noProof/>
              <w:kern w:val="2"/>
              <w:sz w:val="24"/>
              <w:szCs w:val="24"/>
              <w:lang w:eastAsia="en-GB"/>
              <w14:ligatures w14:val="standardContextual"/>
            </w:rPr>
          </w:pPr>
          <w:hyperlink w:anchor="_Toc144909144" w:history="1">
            <w:r w:rsidR="0090623E" w:rsidRPr="00966B9A">
              <w:rPr>
                <w:rStyle w:val="Hyperlink"/>
                <w:noProof/>
              </w:rPr>
              <w:t>Action 6</w:t>
            </w:r>
            <w:r w:rsidR="0090623E">
              <w:rPr>
                <w:noProof/>
                <w:webHidden/>
              </w:rPr>
              <w:tab/>
            </w:r>
            <w:r w:rsidR="0090623E">
              <w:rPr>
                <w:noProof/>
                <w:webHidden/>
              </w:rPr>
              <w:fldChar w:fldCharType="begin"/>
            </w:r>
            <w:r w:rsidR="0090623E">
              <w:rPr>
                <w:noProof/>
                <w:webHidden/>
              </w:rPr>
              <w:instrText xml:space="preserve"> PAGEREF _Toc144909144 \h </w:instrText>
            </w:r>
            <w:r w:rsidR="0090623E">
              <w:rPr>
                <w:noProof/>
                <w:webHidden/>
              </w:rPr>
            </w:r>
            <w:r w:rsidR="0090623E">
              <w:rPr>
                <w:noProof/>
                <w:webHidden/>
              </w:rPr>
              <w:fldChar w:fldCharType="separate"/>
            </w:r>
            <w:r w:rsidR="0090623E">
              <w:rPr>
                <w:noProof/>
                <w:webHidden/>
              </w:rPr>
              <w:t>37</w:t>
            </w:r>
            <w:r w:rsidR="0090623E">
              <w:rPr>
                <w:noProof/>
                <w:webHidden/>
              </w:rPr>
              <w:fldChar w:fldCharType="end"/>
            </w:r>
          </w:hyperlink>
        </w:p>
        <w:p w14:paraId="2624AED8" w14:textId="2ACD812A" w:rsidR="0090623E" w:rsidRDefault="00E32E71">
          <w:pPr>
            <w:pStyle w:val="TOC2"/>
            <w:rPr>
              <w:rFonts w:asciiTheme="minorHAnsi" w:eastAsiaTheme="minorEastAsia" w:hAnsiTheme="minorHAnsi"/>
              <w:noProof/>
              <w:kern w:val="2"/>
              <w:sz w:val="24"/>
              <w:szCs w:val="24"/>
              <w:lang w:eastAsia="en-GB"/>
              <w14:ligatures w14:val="standardContextual"/>
            </w:rPr>
          </w:pPr>
          <w:hyperlink w:anchor="_Toc144909145" w:history="1">
            <w:r w:rsidR="0090623E" w:rsidRPr="00966B9A">
              <w:rPr>
                <w:rStyle w:val="Hyperlink"/>
                <w:noProof/>
              </w:rPr>
              <w:t>Improve action to prevent and address sexual violence and harassment in all settings, across the four domains of the National Plan.</w:t>
            </w:r>
            <w:r w:rsidR="0090623E">
              <w:rPr>
                <w:noProof/>
                <w:webHidden/>
              </w:rPr>
              <w:tab/>
            </w:r>
            <w:r w:rsidR="0090623E">
              <w:rPr>
                <w:noProof/>
                <w:webHidden/>
              </w:rPr>
              <w:fldChar w:fldCharType="begin"/>
            </w:r>
            <w:r w:rsidR="0090623E">
              <w:rPr>
                <w:noProof/>
                <w:webHidden/>
              </w:rPr>
              <w:instrText xml:space="preserve"> PAGEREF _Toc144909145 \h </w:instrText>
            </w:r>
            <w:r w:rsidR="0090623E">
              <w:rPr>
                <w:noProof/>
                <w:webHidden/>
              </w:rPr>
            </w:r>
            <w:r w:rsidR="0090623E">
              <w:rPr>
                <w:noProof/>
                <w:webHidden/>
              </w:rPr>
              <w:fldChar w:fldCharType="separate"/>
            </w:r>
            <w:r w:rsidR="0090623E">
              <w:rPr>
                <w:noProof/>
                <w:webHidden/>
              </w:rPr>
              <w:t>37</w:t>
            </w:r>
            <w:r w:rsidR="0090623E">
              <w:rPr>
                <w:noProof/>
                <w:webHidden/>
              </w:rPr>
              <w:fldChar w:fldCharType="end"/>
            </w:r>
          </w:hyperlink>
        </w:p>
        <w:p w14:paraId="68546E75" w14:textId="06F3103A" w:rsidR="0090623E" w:rsidRDefault="00E32E71">
          <w:pPr>
            <w:pStyle w:val="TOC1"/>
            <w:tabs>
              <w:tab w:val="right" w:leader="dot" w:pos="9019"/>
            </w:tabs>
            <w:rPr>
              <w:rFonts w:asciiTheme="minorHAnsi" w:eastAsiaTheme="minorEastAsia" w:hAnsiTheme="minorHAnsi"/>
              <w:noProof/>
              <w:kern w:val="2"/>
              <w:sz w:val="24"/>
              <w:szCs w:val="24"/>
              <w:lang w:eastAsia="en-GB"/>
              <w14:ligatures w14:val="standardContextual"/>
            </w:rPr>
          </w:pPr>
          <w:hyperlink w:anchor="_Toc144909146" w:history="1">
            <w:r w:rsidR="0090623E" w:rsidRPr="00966B9A">
              <w:rPr>
                <w:rStyle w:val="Hyperlink"/>
                <w:noProof/>
              </w:rPr>
              <w:t>Action 7</w:t>
            </w:r>
            <w:r w:rsidR="0090623E">
              <w:rPr>
                <w:noProof/>
                <w:webHidden/>
              </w:rPr>
              <w:tab/>
            </w:r>
            <w:r w:rsidR="0090623E">
              <w:rPr>
                <w:noProof/>
                <w:webHidden/>
              </w:rPr>
              <w:fldChar w:fldCharType="begin"/>
            </w:r>
            <w:r w:rsidR="0090623E">
              <w:rPr>
                <w:noProof/>
                <w:webHidden/>
              </w:rPr>
              <w:instrText xml:space="preserve"> PAGEREF _Toc144909146 \h </w:instrText>
            </w:r>
            <w:r w:rsidR="0090623E">
              <w:rPr>
                <w:noProof/>
                <w:webHidden/>
              </w:rPr>
            </w:r>
            <w:r w:rsidR="0090623E">
              <w:rPr>
                <w:noProof/>
                <w:webHidden/>
              </w:rPr>
              <w:fldChar w:fldCharType="separate"/>
            </w:r>
            <w:r w:rsidR="0090623E">
              <w:rPr>
                <w:noProof/>
                <w:webHidden/>
              </w:rPr>
              <w:t>40</w:t>
            </w:r>
            <w:r w:rsidR="0090623E">
              <w:rPr>
                <w:noProof/>
                <w:webHidden/>
              </w:rPr>
              <w:fldChar w:fldCharType="end"/>
            </w:r>
          </w:hyperlink>
        </w:p>
        <w:p w14:paraId="0A1E5E1E" w14:textId="352F1958" w:rsidR="0090623E" w:rsidRDefault="00E32E71">
          <w:pPr>
            <w:pStyle w:val="TOC2"/>
            <w:rPr>
              <w:rFonts w:asciiTheme="minorHAnsi" w:eastAsiaTheme="minorEastAsia" w:hAnsiTheme="minorHAnsi"/>
              <w:noProof/>
              <w:kern w:val="2"/>
              <w:sz w:val="24"/>
              <w:szCs w:val="24"/>
              <w:lang w:eastAsia="en-GB"/>
              <w14:ligatures w14:val="standardContextual"/>
            </w:rPr>
          </w:pPr>
          <w:hyperlink w:anchor="_Toc144909147" w:history="1">
            <w:r w:rsidR="0090623E" w:rsidRPr="00966B9A">
              <w:rPr>
                <w:rStyle w:val="Hyperlink"/>
                <w:noProof/>
              </w:rPr>
              <w:t xml:space="preserve">Work in formal partnership with Aboriginal and Torres Strait Islander peoples to ensure policies and services are culturally competent, strengths-based and trauma-informed and </w:t>
            </w:r>
            <w:r w:rsidR="0090623E" w:rsidRPr="00966B9A">
              <w:rPr>
                <w:rStyle w:val="Hyperlink"/>
                <w:noProof/>
              </w:rPr>
              <w:lastRenderedPageBreak/>
              <w:t>meet the needs of Aboriginal and Torres Strait Islander peoples and communities, aligning with the goals of the Aboriginal and Torres Strait Islander Action Plan.</w:t>
            </w:r>
            <w:r w:rsidR="0090623E">
              <w:rPr>
                <w:noProof/>
                <w:webHidden/>
              </w:rPr>
              <w:tab/>
            </w:r>
            <w:r w:rsidR="0090623E">
              <w:rPr>
                <w:noProof/>
                <w:webHidden/>
              </w:rPr>
              <w:fldChar w:fldCharType="begin"/>
            </w:r>
            <w:r w:rsidR="0090623E">
              <w:rPr>
                <w:noProof/>
                <w:webHidden/>
              </w:rPr>
              <w:instrText xml:space="preserve"> PAGEREF _Toc144909147 \h </w:instrText>
            </w:r>
            <w:r w:rsidR="0090623E">
              <w:rPr>
                <w:noProof/>
                <w:webHidden/>
              </w:rPr>
            </w:r>
            <w:r w:rsidR="0090623E">
              <w:rPr>
                <w:noProof/>
                <w:webHidden/>
              </w:rPr>
              <w:fldChar w:fldCharType="separate"/>
            </w:r>
            <w:r w:rsidR="0090623E">
              <w:rPr>
                <w:noProof/>
                <w:webHidden/>
              </w:rPr>
              <w:t>40</w:t>
            </w:r>
            <w:r w:rsidR="0090623E">
              <w:rPr>
                <w:noProof/>
                <w:webHidden/>
              </w:rPr>
              <w:fldChar w:fldCharType="end"/>
            </w:r>
          </w:hyperlink>
        </w:p>
        <w:p w14:paraId="4A0D4FAF" w14:textId="19E61C16" w:rsidR="0090623E" w:rsidRDefault="00E32E71">
          <w:pPr>
            <w:pStyle w:val="TOC1"/>
            <w:tabs>
              <w:tab w:val="right" w:leader="dot" w:pos="9019"/>
            </w:tabs>
            <w:rPr>
              <w:rFonts w:asciiTheme="minorHAnsi" w:eastAsiaTheme="minorEastAsia" w:hAnsiTheme="minorHAnsi"/>
              <w:noProof/>
              <w:kern w:val="2"/>
              <w:sz w:val="24"/>
              <w:szCs w:val="24"/>
              <w:lang w:eastAsia="en-GB"/>
              <w14:ligatures w14:val="standardContextual"/>
            </w:rPr>
          </w:pPr>
          <w:hyperlink w:anchor="_Toc144909148" w:history="1">
            <w:r w:rsidR="0090623E" w:rsidRPr="00966B9A">
              <w:rPr>
                <w:rStyle w:val="Hyperlink"/>
                <w:noProof/>
              </w:rPr>
              <w:t>Action 8</w:t>
            </w:r>
            <w:r w:rsidR="0090623E">
              <w:rPr>
                <w:noProof/>
                <w:webHidden/>
              </w:rPr>
              <w:tab/>
            </w:r>
            <w:r w:rsidR="0090623E">
              <w:rPr>
                <w:noProof/>
                <w:webHidden/>
              </w:rPr>
              <w:fldChar w:fldCharType="begin"/>
            </w:r>
            <w:r w:rsidR="0090623E">
              <w:rPr>
                <w:noProof/>
                <w:webHidden/>
              </w:rPr>
              <w:instrText xml:space="preserve"> PAGEREF _Toc144909148 \h </w:instrText>
            </w:r>
            <w:r w:rsidR="0090623E">
              <w:rPr>
                <w:noProof/>
                <w:webHidden/>
              </w:rPr>
            </w:r>
            <w:r w:rsidR="0090623E">
              <w:rPr>
                <w:noProof/>
                <w:webHidden/>
              </w:rPr>
              <w:fldChar w:fldCharType="separate"/>
            </w:r>
            <w:r w:rsidR="0090623E">
              <w:rPr>
                <w:noProof/>
                <w:webHidden/>
              </w:rPr>
              <w:t>42</w:t>
            </w:r>
            <w:r w:rsidR="0090623E">
              <w:rPr>
                <w:noProof/>
                <w:webHidden/>
              </w:rPr>
              <w:fldChar w:fldCharType="end"/>
            </w:r>
          </w:hyperlink>
        </w:p>
        <w:p w14:paraId="7BB6BB8C" w14:textId="46A5DD5F" w:rsidR="0090623E" w:rsidRDefault="00E32E71">
          <w:pPr>
            <w:pStyle w:val="TOC2"/>
            <w:rPr>
              <w:rFonts w:asciiTheme="minorHAnsi" w:eastAsiaTheme="minorEastAsia" w:hAnsiTheme="minorHAnsi"/>
              <w:noProof/>
              <w:kern w:val="2"/>
              <w:sz w:val="24"/>
              <w:szCs w:val="24"/>
              <w:lang w:eastAsia="en-GB"/>
              <w14:ligatures w14:val="standardContextual"/>
            </w:rPr>
          </w:pPr>
          <w:hyperlink w:anchor="_Toc144909149" w:history="1">
            <w:r w:rsidR="0090623E" w:rsidRPr="00966B9A">
              <w:rPr>
                <w:rStyle w:val="Hyperlink"/>
                <w:noProof/>
              </w:rPr>
              <w:t>Develop and implement age appropriate, culturally safe programs across all four domains, informed by children and young people, that support recovery and healing from trauma, and intervene early to address violence supportive behaviours.</w:t>
            </w:r>
            <w:r w:rsidR="0090623E">
              <w:rPr>
                <w:noProof/>
                <w:webHidden/>
              </w:rPr>
              <w:tab/>
            </w:r>
            <w:r w:rsidR="0090623E">
              <w:rPr>
                <w:noProof/>
                <w:webHidden/>
              </w:rPr>
              <w:fldChar w:fldCharType="begin"/>
            </w:r>
            <w:r w:rsidR="0090623E">
              <w:rPr>
                <w:noProof/>
                <w:webHidden/>
              </w:rPr>
              <w:instrText xml:space="preserve"> PAGEREF _Toc144909149 \h </w:instrText>
            </w:r>
            <w:r w:rsidR="0090623E">
              <w:rPr>
                <w:noProof/>
                <w:webHidden/>
              </w:rPr>
            </w:r>
            <w:r w:rsidR="0090623E">
              <w:rPr>
                <w:noProof/>
                <w:webHidden/>
              </w:rPr>
              <w:fldChar w:fldCharType="separate"/>
            </w:r>
            <w:r w:rsidR="0090623E">
              <w:rPr>
                <w:noProof/>
                <w:webHidden/>
              </w:rPr>
              <w:t>42</w:t>
            </w:r>
            <w:r w:rsidR="0090623E">
              <w:rPr>
                <w:noProof/>
                <w:webHidden/>
              </w:rPr>
              <w:fldChar w:fldCharType="end"/>
            </w:r>
          </w:hyperlink>
        </w:p>
        <w:p w14:paraId="2C45D4EF" w14:textId="42DAE5CC" w:rsidR="0090623E" w:rsidRDefault="00E32E71">
          <w:pPr>
            <w:pStyle w:val="TOC1"/>
            <w:tabs>
              <w:tab w:val="right" w:leader="dot" w:pos="9019"/>
            </w:tabs>
            <w:rPr>
              <w:rFonts w:asciiTheme="minorHAnsi" w:eastAsiaTheme="minorEastAsia" w:hAnsiTheme="minorHAnsi"/>
              <w:noProof/>
              <w:kern w:val="2"/>
              <w:sz w:val="24"/>
              <w:szCs w:val="24"/>
              <w:lang w:eastAsia="en-GB"/>
              <w14:ligatures w14:val="standardContextual"/>
            </w:rPr>
          </w:pPr>
          <w:hyperlink w:anchor="_Toc144909150" w:history="1">
            <w:r w:rsidR="0090623E" w:rsidRPr="00966B9A">
              <w:rPr>
                <w:rStyle w:val="Hyperlink"/>
                <w:noProof/>
              </w:rPr>
              <w:t>Action 9</w:t>
            </w:r>
            <w:r w:rsidR="0090623E">
              <w:rPr>
                <w:noProof/>
                <w:webHidden/>
              </w:rPr>
              <w:tab/>
            </w:r>
            <w:r w:rsidR="0090623E">
              <w:rPr>
                <w:noProof/>
                <w:webHidden/>
              </w:rPr>
              <w:fldChar w:fldCharType="begin"/>
            </w:r>
            <w:r w:rsidR="0090623E">
              <w:rPr>
                <w:noProof/>
                <w:webHidden/>
              </w:rPr>
              <w:instrText xml:space="preserve"> PAGEREF _Toc144909150 \h </w:instrText>
            </w:r>
            <w:r w:rsidR="0090623E">
              <w:rPr>
                <w:noProof/>
                <w:webHidden/>
              </w:rPr>
            </w:r>
            <w:r w:rsidR="0090623E">
              <w:rPr>
                <w:noProof/>
                <w:webHidden/>
              </w:rPr>
              <w:fldChar w:fldCharType="separate"/>
            </w:r>
            <w:r w:rsidR="0090623E">
              <w:rPr>
                <w:noProof/>
                <w:webHidden/>
              </w:rPr>
              <w:t>44</w:t>
            </w:r>
            <w:r w:rsidR="0090623E">
              <w:rPr>
                <w:noProof/>
                <w:webHidden/>
              </w:rPr>
              <w:fldChar w:fldCharType="end"/>
            </w:r>
          </w:hyperlink>
        </w:p>
        <w:p w14:paraId="0E069E08" w14:textId="32DEAFDE" w:rsidR="0090623E" w:rsidRDefault="00E32E71">
          <w:pPr>
            <w:pStyle w:val="TOC2"/>
            <w:rPr>
              <w:rFonts w:asciiTheme="minorHAnsi" w:eastAsiaTheme="minorEastAsia" w:hAnsiTheme="minorHAnsi"/>
              <w:noProof/>
              <w:kern w:val="2"/>
              <w:sz w:val="24"/>
              <w:szCs w:val="24"/>
              <w:lang w:eastAsia="en-GB"/>
              <w14:ligatures w14:val="standardContextual"/>
            </w:rPr>
          </w:pPr>
          <w:hyperlink w:anchor="_Toc144909151" w:history="1">
            <w:r w:rsidR="0090623E" w:rsidRPr="00966B9A">
              <w:rPr>
                <w:rStyle w:val="Hyperlink"/>
                <w:noProof/>
              </w:rPr>
              <w:t>Improve police responses and the justice system to better support victim-survivors through the provision of trauma-informed, culturally safe supports that promote safety and wellbeing, and hold people who choose to use violence to account.</w:t>
            </w:r>
            <w:r w:rsidR="0090623E">
              <w:rPr>
                <w:noProof/>
                <w:webHidden/>
              </w:rPr>
              <w:tab/>
            </w:r>
            <w:r w:rsidR="0090623E">
              <w:rPr>
                <w:noProof/>
                <w:webHidden/>
              </w:rPr>
              <w:fldChar w:fldCharType="begin"/>
            </w:r>
            <w:r w:rsidR="0090623E">
              <w:rPr>
                <w:noProof/>
                <w:webHidden/>
              </w:rPr>
              <w:instrText xml:space="preserve"> PAGEREF _Toc144909151 \h </w:instrText>
            </w:r>
            <w:r w:rsidR="0090623E">
              <w:rPr>
                <w:noProof/>
                <w:webHidden/>
              </w:rPr>
            </w:r>
            <w:r w:rsidR="0090623E">
              <w:rPr>
                <w:noProof/>
                <w:webHidden/>
              </w:rPr>
              <w:fldChar w:fldCharType="separate"/>
            </w:r>
            <w:r w:rsidR="0090623E">
              <w:rPr>
                <w:noProof/>
                <w:webHidden/>
              </w:rPr>
              <w:t>44</w:t>
            </w:r>
            <w:r w:rsidR="0090623E">
              <w:rPr>
                <w:noProof/>
                <w:webHidden/>
              </w:rPr>
              <w:fldChar w:fldCharType="end"/>
            </w:r>
          </w:hyperlink>
        </w:p>
        <w:p w14:paraId="2EE95E24" w14:textId="04E961FA" w:rsidR="0090623E" w:rsidRDefault="00E32E71">
          <w:pPr>
            <w:pStyle w:val="TOC1"/>
            <w:tabs>
              <w:tab w:val="right" w:leader="dot" w:pos="9019"/>
            </w:tabs>
            <w:rPr>
              <w:rFonts w:asciiTheme="minorHAnsi" w:eastAsiaTheme="minorEastAsia" w:hAnsiTheme="minorHAnsi"/>
              <w:noProof/>
              <w:kern w:val="2"/>
              <w:sz w:val="24"/>
              <w:szCs w:val="24"/>
              <w:lang w:eastAsia="en-GB"/>
              <w14:ligatures w14:val="standardContextual"/>
            </w:rPr>
          </w:pPr>
          <w:hyperlink w:anchor="_Toc144909152" w:history="1">
            <w:r w:rsidR="0090623E" w:rsidRPr="00966B9A">
              <w:rPr>
                <w:rStyle w:val="Hyperlink"/>
                <w:noProof/>
              </w:rPr>
              <w:t>Action 10</w:t>
            </w:r>
            <w:r w:rsidR="0090623E">
              <w:rPr>
                <w:noProof/>
                <w:webHidden/>
              </w:rPr>
              <w:tab/>
            </w:r>
            <w:r w:rsidR="0090623E">
              <w:rPr>
                <w:noProof/>
                <w:webHidden/>
              </w:rPr>
              <w:fldChar w:fldCharType="begin"/>
            </w:r>
            <w:r w:rsidR="0090623E">
              <w:rPr>
                <w:noProof/>
                <w:webHidden/>
              </w:rPr>
              <w:instrText xml:space="preserve"> PAGEREF _Toc144909152 \h </w:instrText>
            </w:r>
            <w:r w:rsidR="0090623E">
              <w:rPr>
                <w:noProof/>
                <w:webHidden/>
              </w:rPr>
            </w:r>
            <w:r w:rsidR="0090623E">
              <w:rPr>
                <w:noProof/>
                <w:webHidden/>
              </w:rPr>
              <w:fldChar w:fldCharType="separate"/>
            </w:r>
            <w:r w:rsidR="0090623E">
              <w:rPr>
                <w:noProof/>
                <w:webHidden/>
              </w:rPr>
              <w:t>47</w:t>
            </w:r>
            <w:r w:rsidR="0090623E">
              <w:rPr>
                <w:noProof/>
                <w:webHidden/>
              </w:rPr>
              <w:fldChar w:fldCharType="end"/>
            </w:r>
          </w:hyperlink>
        </w:p>
        <w:p w14:paraId="49CD5E9F" w14:textId="1552BB5A" w:rsidR="0090623E" w:rsidRDefault="00E32E71">
          <w:pPr>
            <w:pStyle w:val="TOC2"/>
            <w:rPr>
              <w:rFonts w:asciiTheme="minorHAnsi" w:eastAsiaTheme="minorEastAsia" w:hAnsiTheme="minorHAnsi"/>
              <w:noProof/>
              <w:kern w:val="2"/>
              <w:sz w:val="24"/>
              <w:szCs w:val="24"/>
              <w:lang w:eastAsia="en-GB"/>
              <w14:ligatures w14:val="standardContextual"/>
            </w:rPr>
          </w:pPr>
          <w:hyperlink w:anchor="_Toc144909153" w:history="1">
            <w:r w:rsidR="0090623E" w:rsidRPr="00966B9A">
              <w:rPr>
                <w:rStyle w:val="Hyperlink"/>
                <w:noProof/>
              </w:rPr>
              <w:t>Improve access to short-term, medium and long-term housing for women and children experiencing violence, including those living in institutional settings, and support women to stay in their own homes when they choose to do so.</w:t>
            </w:r>
            <w:r w:rsidR="0090623E">
              <w:rPr>
                <w:noProof/>
                <w:webHidden/>
              </w:rPr>
              <w:tab/>
            </w:r>
            <w:r w:rsidR="0090623E">
              <w:rPr>
                <w:noProof/>
                <w:webHidden/>
              </w:rPr>
              <w:fldChar w:fldCharType="begin"/>
            </w:r>
            <w:r w:rsidR="0090623E">
              <w:rPr>
                <w:noProof/>
                <w:webHidden/>
              </w:rPr>
              <w:instrText xml:space="preserve"> PAGEREF _Toc144909153 \h </w:instrText>
            </w:r>
            <w:r w:rsidR="0090623E">
              <w:rPr>
                <w:noProof/>
                <w:webHidden/>
              </w:rPr>
            </w:r>
            <w:r w:rsidR="0090623E">
              <w:rPr>
                <w:noProof/>
                <w:webHidden/>
              </w:rPr>
              <w:fldChar w:fldCharType="separate"/>
            </w:r>
            <w:r w:rsidR="0090623E">
              <w:rPr>
                <w:noProof/>
                <w:webHidden/>
              </w:rPr>
              <w:t>47</w:t>
            </w:r>
            <w:r w:rsidR="0090623E">
              <w:rPr>
                <w:noProof/>
                <w:webHidden/>
              </w:rPr>
              <w:fldChar w:fldCharType="end"/>
            </w:r>
          </w:hyperlink>
        </w:p>
        <w:p w14:paraId="66B3E7E7" w14:textId="5536745F" w:rsidR="0090623E" w:rsidRDefault="00E32E71">
          <w:pPr>
            <w:pStyle w:val="TOC1"/>
            <w:tabs>
              <w:tab w:val="right" w:leader="dot" w:pos="9019"/>
            </w:tabs>
            <w:rPr>
              <w:rFonts w:asciiTheme="minorHAnsi" w:eastAsiaTheme="minorEastAsia" w:hAnsiTheme="minorHAnsi"/>
              <w:noProof/>
              <w:kern w:val="2"/>
              <w:sz w:val="24"/>
              <w:szCs w:val="24"/>
              <w:lang w:eastAsia="en-GB"/>
              <w14:ligatures w14:val="standardContextual"/>
            </w:rPr>
          </w:pPr>
          <w:hyperlink w:anchor="_Toc144909154" w:history="1">
            <w:r w:rsidR="0090623E" w:rsidRPr="00966B9A">
              <w:rPr>
                <w:rStyle w:val="Hyperlink"/>
                <w:noProof/>
              </w:rPr>
              <w:t>Accountability</w:t>
            </w:r>
            <w:r w:rsidR="0090623E">
              <w:rPr>
                <w:noProof/>
                <w:webHidden/>
              </w:rPr>
              <w:tab/>
            </w:r>
            <w:r w:rsidR="0090623E">
              <w:rPr>
                <w:noProof/>
                <w:webHidden/>
              </w:rPr>
              <w:fldChar w:fldCharType="begin"/>
            </w:r>
            <w:r w:rsidR="0090623E">
              <w:rPr>
                <w:noProof/>
                <w:webHidden/>
              </w:rPr>
              <w:instrText xml:space="preserve"> PAGEREF _Toc144909154 \h </w:instrText>
            </w:r>
            <w:r w:rsidR="0090623E">
              <w:rPr>
                <w:noProof/>
                <w:webHidden/>
              </w:rPr>
            </w:r>
            <w:r w:rsidR="0090623E">
              <w:rPr>
                <w:noProof/>
                <w:webHidden/>
              </w:rPr>
              <w:fldChar w:fldCharType="separate"/>
            </w:r>
            <w:r w:rsidR="0090623E">
              <w:rPr>
                <w:noProof/>
                <w:webHidden/>
              </w:rPr>
              <w:t>49</w:t>
            </w:r>
            <w:r w:rsidR="0090623E">
              <w:rPr>
                <w:noProof/>
                <w:webHidden/>
              </w:rPr>
              <w:fldChar w:fldCharType="end"/>
            </w:r>
          </w:hyperlink>
        </w:p>
        <w:p w14:paraId="1ED48992" w14:textId="78EA142D" w:rsidR="0090623E" w:rsidRDefault="00E32E71">
          <w:pPr>
            <w:pStyle w:val="TOC2"/>
            <w:rPr>
              <w:rFonts w:asciiTheme="minorHAnsi" w:eastAsiaTheme="minorEastAsia" w:hAnsiTheme="minorHAnsi"/>
              <w:noProof/>
              <w:kern w:val="2"/>
              <w:sz w:val="24"/>
              <w:szCs w:val="24"/>
              <w:lang w:eastAsia="en-GB"/>
              <w14:ligatures w14:val="standardContextual"/>
            </w:rPr>
          </w:pPr>
          <w:hyperlink w:anchor="_Toc144909155" w:history="1">
            <w:r w:rsidR="0090623E" w:rsidRPr="00966B9A">
              <w:rPr>
                <w:rStyle w:val="Hyperlink"/>
                <w:noProof/>
              </w:rPr>
              <w:t>Governance structure</w:t>
            </w:r>
            <w:r w:rsidR="0090623E">
              <w:rPr>
                <w:noProof/>
                <w:webHidden/>
              </w:rPr>
              <w:tab/>
            </w:r>
            <w:r w:rsidR="0090623E">
              <w:rPr>
                <w:noProof/>
                <w:webHidden/>
              </w:rPr>
              <w:fldChar w:fldCharType="begin"/>
            </w:r>
            <w:r w:rsidR="0090623E">
              <w:rPr>
                <w:noProof/>
                <w:webHidden/>
              </w:rPr>
              <w:instrText xml:space="preserve"> PAGEREF _Toc144909155 \h </w:instrText>
            </w:r>
            <w:r w:rsidR="0090623E">
              <w:rPr>
                <w:noProof/>
                <w:webHidden/>
              </w:rPr>
            </w:r>
            <w:r w:rsidR="0090623E">
              <w:rPr>
                <w:noProof/>
                <w:webHidden/>
              </w:rPr>
              <w:fldChar w:fldCharType="separate"/>
            </w:r>
            <w:r w:rsidR="0090623E">
              <w:rPr>
                <w:noProof/>
                <w:webHidden/>
              </w:rPr>
              <w:t>49</w:t>
            </w:r>
            <w:r w:rsidR="0090623E">
              <w:rPr>
                <w:noProof/>
                <w:webHidden/>
              </w:rPr>
              <w:fldChar w:fldCharType="end"/>
            </w:r>
          </w:hyperlink>
        </w:p>
        <w:p w14:paraId="5AAE7B28" w14:textId="152CC09D" w:rsidR="0090623E" w:rsidRDefault="00E32E71">
          <w:pPr>
            <w:pStyle w:val="TOC2"/>
            <w:rPr>
              <w:rFonts w:asciiTheme="minorHAnsi" w:eastAsiaTheme="minorEastAsia" w:hAnsiTheme="minorHAnsi"/>
              <w:noProof/>
              <w:kern w:val="2"/>
              <w:sz w:val="24"/>
              <w:szCs w:val="24"/>
              <w:lang w:eastAsia="en-GB"/>
              <w14:ligatures w14:val="standardContextual"/>
            </w:rPr>
          </w:pPr>
          <w:hyperlink w:anchor="_Toc144909156" w:history="1">
            <w:r w:rsidR="0090623E" w:rsidRPr="00966B9A">
              <w:rPr>
                <w:rStyle w:val="Hyperlink"/>
                <w:noProof/>
              </w:rPr>
              <w:t>Monitoring and reporting</w:t>
            </w:r>
            <w:r w:rsidR="0090623E">
              <w:rPr>
                <w:noProof/>
                <w:webHidden/>
              </w:rPr>
              <w:tab/>
            </w:r>
            <w:r w:rsidR="0090623E">
              <w:rPr>
                <w:noProof/>
                <w:webHidden/>
              </w:rPr>
              <w:fldChar w:fldCharType="begin"/>
            </w:r>
            <w:r w:rsidR="0090623E">
              <w:rPr>
                <w:noProof/>
                <w:webHidden/>
              </w:rPr>
              <w:instrText xml:space="preserve"> PAGEREF _Toc144909156 \h </w:instrText>
            </w:r>
            <w:r w:rsidR="0090623E">
              <w:rPr>
                <w:noProof/>
                <w:webHidden/>
              </w:rPr>
            </w:r>
            <w:r w:rsidR="0090623E">
              <w:rPr>
                <w:noProof/>
                <w:webHidden/>
              </w:rPr>
              <w:fldChar w:fldCharType="separate"/>
            </w:r>
            <w:r w:rsidR="0090623E">
              <w:rPr>
                <w:noProof/>
                <w:webHidden/>
              </w:rPr>
              <w:t>51</w:t>
            </w:r>
            <w:r w:rsidR="0090623E">
              <w:rPr>
                <w:noProof/>
                <w:webHidden/>
              </w:rPr>
              <w:fldChar w:fldCharType="end"/>
            </w:r>
          </w:hyperlink>
        </w:p>
        <w:p w14:paraId="72B7948E" w14:textId="1D193A7E" w:rsidR="0090623E" w:rsidRDefault="00E32E71">
          <w:pPr>
            <w:pStyle w:val="TOC2"/>
            <w:rPr>
              <w:rFonts w:asciiTheme="minorHAnsi" w:eastAsiaTheme="minorEastAsia" w:hAnsiTheme="minorHAnsi"/>
              <w:noProof/>
              <w:kern w:val="2"/>
              <w:sz w:val="24"/>
              <w:szCs w:val="24"/>
              <w:lang w:eastAsia="en-GB"/>
              <w14:ligatures w14:val="standardContextual"/>
            </w:rPr>
          </w:pPr>
          <w:hyperlink w:anchor="_Toc144909157" w:history="1">
            <w:r w:rsidR="0090623E" w:rsidRPr="00966B9A">
              <w:rPr>
                <w:rStyle w:val="Hyperlink"/>
                <w:noProof/>
              </w:rPr>
              <w:t>Public reporting</w:t>
            </w:r>
            <w:r w:rsidR="0090623E">
              <w:rPr>
                <w:noProof/>
                <w:webHidden/>
              </w:rPr>
              <w:tab/>
            </w:r>
            <w:r w:rsidR="0090623E">
              <w:rPr>
                <w:noProof/>
                <w:webHidden/>
              </w:rPr>
              <w:fldChar w:fldCharType="begin"/>
            </w:r>
            <w:r w:rsidR="0090623E">
              <w:rPr>
                <w:noProof/>
                <w:webHidden/>
              </w:rPr>
              <w:instrText xml:space="preserve"> PAGEREF _Toc144909157 \h </w:instrText>
            </w:r>
            <w:r w:rsidR="0090623E">
              <w:rPr>
                <w:noProof/>
                <w:webHidden/>
              </w:rPr>
            </w:r>
            <w:r w:rsidR="0090623E">
              <w:rPr>
                <w:noProof/>
                <w:webHidden/>
              </w:rPr>
              <w:fldChar w:fldCharType="separate"/>
            </w:r>
            <w:r w:rsidR="0090623E">
              <w:rPr>
                <w:noProof/>
                <w:webHidden/>
              </w:rPr>
              <w:t>52</w:t>
            </w:r>
            <w:r w:rsidR="0090623E">
              <w:rPr>
                <w:noProof/>
                <w:webHidden/>
              </w:rPr>
              <w:fldChar w:fldCharType="end"/>
            </w:r>
          </w:hyperlink>
        </w:p>
        <w:p w14:paraId="07CB026D" w14:textId="2E25CDE7" w:rsidR="0090623E" w:rsidRDefault="00E32E71">
          <w:pPr>
            <w:pStyle w:val="TOC1"/>
            <w:tabs>
              <w:tab w:val="right" w:leader="dot" w:pos="9019"/>
            </w:tabs>
            <w:rPr>
              <w:rFonts w:asciiTheme="minorHAnsi" w:eastAsiaTheme="minorEastAsia" w:hAnsiTheme="minorHAnsi"/>
              <w:noProof/>
              <w:kern w:val="2"/>
              <w:sz w:val="24"/>
              <w:szCs w:val="24"/>
              <w:lang w:eastAsia="en-GB"/>
              <w14:ligatures w14:val="standardContextual"/>
            </w:rPr>
          </w:pPr>
          <w:hyperlink w:anchor="_Toc144909158" w:history="1">
            <w:r w:rsidR="0090623E" w:rsidRPr="00966B9A">
              <w:rPr>
                <w:rStyle w:val="Hyperlink"/>
                <w:noProof/>
              </w:rPr>
              <w:t>Glossary</w:t>
            </w:r>
            <w:r w:rsidR="0090623E">
              <w:rPr>
                <w:noProof/>
                <w:webHidden/>
              </w:rPr>
              <w:tab/>
            </w:r>
            <w:r w:rsidR="0090623E">
              <w:rPr>
                <w:noProof/>
                <w:webHidden/>
              </w:rPr>
              <w:fldChar w:fldCharType="begin"/>
            </w:r>
            <w:r w:rsidR="0090623E">
              <w:rPr>
                <w:noProof/>
                <w:webHidden/>
              </w:rPr>
              <w:instrText xml:space="preserve"> PAGEREF _Toc144909158 \h </w:instrText>
            </w:r>
            <w:r w:rsidR="0090623E">
              <w:rPr>
                <w:noProof/>
                <w:webHidden/>
              </w:rPr>
            </w:r>
            <w:r w:rsidR="0090623E">
              <w:rPr>
                <w:noProof/>
                <w:webHidden/>
              </w:rPr>
              <w:fldChar w:fldCharType="separate"/>
            </w:r>
            <w:r w:rsidR="0090623E">
              <w:rPr>
                <w:noProof/>
                <w:webHidden/>
              </w:rPr>
              <w:t>53</w:t>
            </w:r>
            <w:r w:rsidR="0090623E">
              <w:rPr>
                <w:noProof/>
                <w:webHidden/>
              </w:rPr>
              <w:fldChar w:fldCharType="end"/>
            </w:r>
          </w:hyperlink>
        </w:p>
        <w:p w14:paraId="1228C639" w14:textId="48FA9891" w:rsidR="0090623E" w:rsidRDefault="00E32E71">
          <w:pPr>
            <w:pStyle w:val="TOC1"/>
            <w:tabs>
              <w:tab w:val="right" w:leader="dot" w:pos="9019"/>
            </w:tabs>
            <w:rPr>
              <w:rFonts w:asciiTheme="minorHAnsi" w:eastAsiaTheme="minorEastAsia" w:hAnsiTheme="minorHAnsi"/>
              <w:noProof/>
              <w:kern w:val="2"/>
              <w:sz w:val="24"/>
              <w:szCs w:val="24"/>
              <w:lang w:eastAsia="en-GB"/>
              <w14:ligatures w14:val="standardContextual"/>
            </w:rPr>
          </w:pPr>
          <w:hyperlink w:anchor="_Toc144909159" w:history="1">
            <w:r w:rsidR="0090623E" w:rsidRPr="00966B9A">
              <w:rPr>
                <w:rStyle w:val="Hyperlink"/>
                <w:noProof/>
              </w:rPr>
              <w:t>References</w:t>
            </w:r>
            <w:r w:rsidR="0090623E">
              <w:rPr>
                <w:noProof/>
                <w:webHidden/>
              </w:rPr>
              <w:tab/>
            </w:r>
            <w:r w:rsidR="0090623E">
              <w:rPr>
                <w:noProof/>
                <w:webHidden/>
              </w:rPr>
              <w:fldChar w:fldCharType="begin"/>
            </w:r>
            <w:r w:rsidR="0090623E">
              <w:rPr>
                <w:noProof/>
                <w:webHidden/>
              </w:rPr>
              <w:instrText xml:space="preserve"> PAGEREF _Toc144909159 \h </w:instrText>
            </w:r>
            <w:r w:rsidR="0090623E">
              <w:rPr>
                <w:noProof/>
                <w:webHidden/>
              </w:rPr>
            </w:r>
            <w:r w:rsidR="0090623E">
              <w:rPr>
                <w:noProof/>
                <w:webHidden/>
              </w:rPr>
              <w:fldChar w:fldCharType="separate"/>
            </w:r>
            <w:r w:rsidR="0090623E">
              <w:rPr>
                <w:noProof/>
                <w:webHidden/>
              </w:rPr>
              <w:t>62</w:t>
            </w:r>
            <w:r w:rsidR="0090623E">
              <w:rPr>
                <w:noProof/>
                <w:webHidden/>
              </w:rPr>
              <w:fldChar w:fldCharType="end"/>
            </w:r>
          </w:hyperlink>
        </w:p>
        <w:p w14:paraId="50A48D1A" w14:textId="41493C25" w:rsidR="00A820CC" w:rsidRDefault="00DC3CD1" w:rsidP="00DC3CD1">
          <w:pPr>
            <w:tabs>
              <w:tab w:val="right" w:leader="dot" w:pos="9360"/>
            </w:tabs>
            <w:rPr>
              <w:noProof/>
            </w:rPr>
          </w:pPr>
          <w:r>
            <w:fldChar w:fldCharType="end"/>
          </w:r>
        </w:p>
      </w:sdtContent>
    </w:sdt>
    <w:p w14:paraId="62897F74" w14:textId="270046B0" w:rsidR="00FF3BD9" w:rsidRPr="000465AA" w:rsidRDefault="00FF3BD9" w:rsidP="00FF3BD9">
      <w:pPr>
        <w:rPr>
          <w:b/>
          <w:bCs/>
          <w:sz w:val="24"/>
        </w:rPr>
      </w:pPr>
      <w:r w:rsidRPr="000465AA">
        <w:rPr>
          <w:b/>
          <w:bCs/>
          <w:sz w:val="24"/>
        </w:rPr>
        <w:br w:type="page"/>
      </w:r>
    </w:p>
    <w:p w14:paraId="4FEB827F" w14:textId="77777777" w:rsidR="00FF3BD9" w:rsidRPr="00996B20" w:rsidRDefault="00FF3BD9" w:rsidP="00DC3CD1">
      <w:pPr>
        <w:pStyle w:val="nonTOCH1"/>
      </w:pPr>
      <w:r w:rsidRPr="00996B20">
        <w:lastRenderedPageBreak/>
        <w:t>Acknowledgements</w:t>
      </w:r>
    </w:p>
    <w:p w14:paraId="18FA178F" w14:textId="77777777" w:rsidR="00FF3BD9" w:rsidRDefault="00FF3BD9" w:rsidP="00FF3BD9">
      <w:pPr>
        <w:spacing w:before="240"/>
      </w:pPr>
      <w:r>
        <w:t>We acknowledge and pay respects to all Aboriginal and Torres Strait Islander peoples across Australia, who are the Traditional Owners and Custodians of the land and waters and of the oldest continuous living culture on Earth. We pay respects to Elders past and present. We acknowledge the positive legacy left by ancestors – which is lore and strength of culture.</w:t>
      </w:r>
    </w:p>
    <w:p w14:paraId="4D667F1F" w14:textId="1757C6A7" w:rsidR="00FF3BD9" w:rsidRPr="003F4255" w:rsidRDefault="00FF3BD9" w:rsidP="00FF3BD9">
      <w:r>
        <w:t>We recognise that Aboriginal and Torres Strait Islander people</w:t>
      </w:r>
      <w:r w:rsidR="00825D1A">
        <w:t>s</w:t>
      </w:r>
      <w:r>
        <w:t xml:space="preserve"> must have a genuine say in the design and delivery of services that affect them for better life outcomes to be achieved. We commit to ongoing partnership with Aboriginal and Torres Strait Islander peoples in implementing and monitoring this Action Plan, in accordance with the National Agreement on Closing the Gap.</w:t>
      </w:r>
    </w:p>
    <w:p w14:paraId="77D0E7D6" w14:textId="2FDDE945" w:rsidR="00FF3BD9" w:rsidRPr="00341520" w:rsidRDefault="00FF3BD9" w:rsidP="00DC3CD1">
      <w:pPr>
        <w:pStyle w:val="nonTOCH1"/>
      </w:pPr>
      <w:r w:rsidRPr="2A73AA60">
        <w:t>Dedication</w:t>
      </w:r>
    </w:p>
    <w:p w14:paraId="245B0470" w14:textId="514E8B01" w:rsidR="00FF3BD9" w:rsidRDefault="00FF3BD9" w:rsidP="00FF3BD9">
      <w:pPr>
        <w:spacing w:before="240"/>
      </w:pPr>
      <w:r>
        <w:t>This Action Plan is dedicated to each and every victim and survivor of gender-based violence. We acknowledge their resistance and resilience. We mourn those who</w:t>
      </w:r>
      <w:r w:rsidR="00E44A4D">
        <w:t>se lives have been lost</w:t>
      </w:r>
      <w:r w:rsidR="00825D1A">
        <w:t xml:space="preserve">, </w:t>
      </w:r>
      <w:r w:rsidR="003D093D">
        <w:t>including the</w:t>
      </w:r>
      <w:r>
        <w:t xml:space="preserve"> children we will not see grow up. We recognise those with lived experience who continue to recover from violence and manage the life-long impacts of trauma. We acknowledge the life-long disabilities and impairments that many live with as a direct result of violence against women.</w:t>
      </w:r>
    </w:p>
    <w:p w14:paraId="707B035C" w14:textId="37AE1571" w:rsidR="00825D1A" w:rsidRDefault="00825D1A" w:rsidP="00FF3BD9">
      <w:pPr>
        <w:spacing w:before="240"/>
      </w:pPr>
      <w:r>
        <w:t>We acknowledge and thank all the people and organisations who work tirelessly every day to prevent and respond to gender-based violence, and whose advice and advocacy have informed the Action Plan.</w:t>
      </w:r>
    </w:p>
    <w:p w14:paraId="0468D310" w14:textId="77777777" w:rsidR="00FF3BD9" w:rsidRDefault="00FF3BD9" w:rsidP="00FF3BD9">
      <w:r>
        <w:br w:type="page"/>
      </w:r>
    </w:p>
    <w:p w14:paraId="26CD9D14" w14:textId="77777777" w:rsidR="00FF3BD9" w:rsidRDefault="00FF3BD9" w:rsidP="00DC3CD1">
      <w:pPr>
        <w:pStyle w:val="nonTOCH1"/>
      </w:pPr>
      <w:r>
        <w:lastRenderedPageBreak/>
        <w:t>Endorsement of</w:t>
      </w:r>
      <w:r w:rsidRPr="2A73AA60">
        <w:t xml:space="preserve"> Women’s Safety Ministers</w:t>
      </w:r>
    </w:p>
    <w:p w14:paraId="1E2B7954" w14:textId="77777777" w:rsidR="00FF3BD9" w:rsidRPr="00996B20" w:rsidRDefault="00FF3BD9" w:rsidP="00996B20">
      <w:pPr>
        <w:rPr>
          <w:b/>
          <w:bCs/>
        </w:rPr>
      </w:pPr>
      <w:r w:rsidRPr="00996B20">
        <w:rPr>
          <w:b/>
          <w:bCs/>
        </w:rPr>
        <w:t>The Hon Amanda Rishworth MP</w:t>
      </w:r>
    </w:p>
    <w:p w14:paraId="04DA4C2F" w14:textId="77777777" w:rsidR="00FF3BD9" w:rsidRPr="00591F90" w:rsidRDefault="00FF3BD9" w:rsidP="00996B20">
      <w:pPr>
        <w:rPr>
          <w:sz w:val="20"/>
          <w:szCs w:val="20"/>
        </w:rPr>
      </w:pPr>
      <w:r w:rsidRPr="00591F90">
        <w:rPr>
          <w:sz w:val="20"/>
          <w:szCs w:val="20"/>
        </w:rPr>
        <w:t>Minister for Social Services</w:t>
      </w:r>
    </w:p>
    <w:p w14:paraId="0B9C5510" w14:textId="77777777" w:rsidR="00FF3BD9" w:rsidRPr="00996B20" w:rsidRDefault="00FF3BD9" w:rsidP="00996B20">
      <w:pPr>
        <w:rPr>
          <w:b/>
          <w:bCs/>
        </w:rPr>
      </w:pPr>
      <w:r w:rsidRPr="00996B20">
        <w:rPr>
          <w:b/>
          <w:bCs/>
        </w:rPr>
        <w:t>The Hon Justine Elliot MP</w:t>
      </w:r>
    </w:p>
    <w:p w14:paraId="07780A40" w14:textId="77777777" w:rsidR="00FF3BD9" w:rsidRPr="004B2B2D" w:rsidRDefault="00FF3BD9" w:rsidP="00996B20">
      <w:pPr>
        <w:rPr>
          <w:sz w:val="20"/>
          <w:szCs w:val="20"/>
        </w:rPr>
      </w:pPr>
      <w:r w:rsidRPr="004B2B2D">
        <w:rPr>
          <w:sz w:val="20"/>
          <w:szCs w:val="20"/>
        </w:rPr>
        <w:t>Assistant Minister for Social Services</w:t>
      </w:r>
    </w:p>
    <w:p w14:paraId="232DFF03" w14:textId="77777777" w:rsidR="00FF3BD9" w:rsidRPr="004B2B2D" w:rsidRDefault="00FF3BD9" w:rsidP="00996B20">
      <w:pPr>
        <w:rPr>
          <w:sz w:val="20"/>
          <w:szCs w:val="20"/>
        </w:rPr>
      </w:pPr>
      <w:r w:rsidRPr="004B2B2D">
        <w:rPr>
          <w:sz w:val="20"/>
          <w:szCs w:val="20"/>
        </w:rPr>
        <w:t>Assistant Minister for the Prevention of Family Violence</w:t>
      </w:r>
    </w:p>
    <w:p w14:paraId="388BAA3C" w14:textId="331570FE" w:rsidR="00FF3BD9" w:rsidRPr="00996B20" w:rsidRDefault="00E93A3D" w:rsidP="00996B20">
      <w:pPr>
        <w:rPr>
          <w:b/>
          <w:bCs/>
        </w:rPr>
      </w:pPr>
      <w:r w:rsidRPr="00996B20">
        <w:rPr>
          <w:b/>
          <w:bCs/>
        </w:rPr>
        <w:t>Yvette</w:t>
      </w:r>
      <w:r w:rsidR="00FF3BD9" w:rsidRPr="00996B20">
        <w:rPr>
          <w:b/>
          <w:bCs/>
        </w:rPr>
        <w:t xml:space="preserve"> Berry MLA</w:t>
      </w:r>
    </w:p>
    <w:p w14:paraId="610E9CB5" w14:textId="77777777" w:rsidR="00FF3BD9" w:rsidRPr="004B2B2D" w:rsidRDefault="00FF3BD9" w:rsidP="00996B20">
      <w:pPr>
        <w:rPr>
          <w:sz w:val="20"/>
          <w:szCs w:val="20"/>
        </w:rPr>
      </w:pPr>
      <w:r w:rsidRPr="004B2B2D">
        <w:rPr>
          <w:sz w:val="20"/>
          <w:szCs w:val="20"/>
        </w:rPr>
        <w:t>Australian Capital Territory</w:t>
      </w:r>
    </w:p>
    <w:p w14:paraId="089EAE97" w14:textId="77777777" w:rsidR="00FF3BD9" w:rsidRPr="004B2B2D" w:rsidRDefault="00FF3BD9" w:rsidP="00996B20">
      <w:pPr>
        <w:rPr>
          <w:sz w:val="20"/>
          <w:szCs w:val="20"/>
        </w:rPr>
      </w:pPr>
      <w:r w:rsidRPr="004B2B2D">
        <w:rPr>
          <w:sz w:val="20"/>
          <w:szCs w:val="20"/>
        </w:rPr>
        <w:t>Minister for Women</w:t>
      </w:r>
    </w:p>
    <w:p w14:paraId="4A9C7A5F" w14:textId="77777777" w:rsidR="00FF3BD9" w:rsidRPr="004B2B2D" w:rsidRDefault="00FF3BD9" w:rsidP="00996B20">
      <w:pPr>
        <w:rPr>
          <w:sz w:val="20"/>
          <w:szCs w:val="20"/>
        </w:rPr>
      </w:pPr>
      <w:r w:rsidRPr="004B2B2D">
        <w:rPr>
          <w:sz w:val="20"/>
          <w:szCs w:val="20"/>
        </w:rPr>
        <w:t>Minister for the Prevention of Domestic and Family Violence</w:t>
      </w:r>
    </w:p>
    <w:p w14:paraId="1AB2CFE7" w14:textId="77777777" w:rsidR="00FF3BD9" w:rsidRPr="00996B20" w:rsidRDefault="00FF3BD9" w:rsidP="00996B20">
      <w:pPr>
        <w:rPr>
          <w:b/>
          <w:bCs/>
        </w:rPr>
      </w:pPr>
      <w:r w:rsidRPr="00996B20">
        <w:rPr>
          <w:b/>
          <w:bCs/>
        </w:rPr>
        <w:t>The Hon Yvette d’Ath MP</w:t>
      </w:r>
    </w:p>
    <w:p w14:paraId="58DE9C12" w14:textId="77777777" w:rsidR="00FF3BD9" w:rsidRDefault="00FF3BD9" w:rsidP="00996B20">
      <w:pPr>
        <w:rPr>
          <w:sz w:val="20"/>
          <w:szCs w:val="20"/>
        </w:rPr>
      </w:pPr>
      <w:r>
        <w:rPr>
          <w:sz w:val="20"/>
          <w:szCs w:val="20"/>
        </w:rPr>
        <w:t>Queensland</w:t>
      </w:r>
    </w:p>
    <w:p w14:paraId="07E55EEF" w14:textId="79FB652E" w:rsidR="0018099F" w:rsidRPr="004B2B2D" w:rsidRDefault="00FF3BD9" w:rsidP="00996B20">
      <w:pPr>
        <w:rPr>
          <w:sz w:val="20"/>
          <w:szCs w:val="20"/>
        </w:rPr>
      </w:pPr>
      <w:r>
        <w:rPr>
          <w:sz w:val="20"/>
          <w:szCs w:val="20"/>
        </w:rPr>
        <w:t>Minister for the Prevention of Domestic and Family Violence</w:t>
      </w:r>
    </w:p>
    <w:p w14:paraId="5C867FE9" w14:textId="77777777" w:rsidR="00FF3BD9" w:rsidRPr="00996B20" w:rsidRDefault="00FF3BD9" w:rsidP="00996B20">
      <w:pPr>
        <w:rPr>
          <w:b/>
          <w:bCs/>
        </w:rPr>
      </w:pPr>
      <w:r w:rsidRPr="00996B20">
        <w:rPr>
          <w:b/>
          <w:bCs/>
        </w:rPr>
        <w:t>The Hon Jodie Harrison MP</w:t>
      </w:r>
    </w:p>
    <w:p w14:paraId="2EE5EAB5" w14:textId="77777777" w:rsidR="00FF3BD9" w:rsidRPr="004B2B2D" w:rsidRDefault="00FF3BD9" w:rsidP="00996B20">
      <w:pPr>
        <w:rPr>
          <w:sz w:val="20"/>
          <w:szCs w:val="20"/>
        </w:rPr>
      </w:pPr>
      <w:r w:rsidRPr="004B2B2D">
        <w:rPr>
          <w:sz w:val="20"/>
          <w:szCs w:val="20"/>
        </w:rPr>
        <w:t>New South Wales</w:t>
      </w:r>
    </w:p>
    <w:p w14:paraId="4569EC28" w14:textId="77777777" w:rsidR="00FF3BD9" w:rsidRDefault="00FF3BD9" w:rsidP="00996B20">
      <w:pPr>
        <w:rPr>
          <w:sz w:val="20"/>
          <w:szCs w:val="20"/>
        </w:rPr>
      </w:pPr>
      <w:r w:rsidRPr="004B2B2D">
        <w:rPr>
          <w:sz w:val="20"/>
          <w:szCs w:val="20"/>
        </w:rPr>
        <w:t>Minister for Women</w:t>
      </w:r>
    </w:p>
    <w:p w14:paraId="55AB75DF" w14:textId="77777777" w:rsidR="0018099F" w:rsidRPr="004B2B2D" w:rsidRDefault="00FF3BD9" w:rsidP="00996B20">
      <w:pPr>
        <w:rPr>
          <w:sz w:val="20"/>
          <w:szCs w:val="20"/>
        </w:rPr>
      </w:pPr>
      <w:r w:rsidRPr="007E0663">
        <w:rPr>
          <w:sz w:val="20"/>
          <w:szCs w:val="20"/>
        </w:rPr>
        <w:t>Minister for the Prevention of Domestic Violence and Sexual Assault</w:t>
      </w:r>
    </w:p>
    <w:p w14:paraId="6DDE04C9" w14:textId="77777777" w:rsidR="00FF3BD9" w:rsidRPr="00996B20" w:rsidRDefault="00FF3BD9" w:rsidP="00996B20">
      <w:pPr>
        <w:rPr>
          <w:b/>
          <w:bCs/>
        </w:rPr>
      </w:pPr>
      <w:r w:rsidRPr="00996B20">
        <w:rPr>
          <w:b/>
          <w:bCs/>
        </w:rPr>
        <w:t>The Hon Kate Worden MLA</w:t>
      </w:r>
    </w:p>
    <w:p w14:paraId="796A72DA" w14:textId="77777777" w:rsidR="00FF3BD9" w:rsidRDefault="00FF3BD9" w:rsidP="00996B20">
      <w:pPr>
        <w:rPr>
          <w:sz w:val="20"/>
          <w:szCs w:val="20"/>
        </w:rPr>
      </w:pPr>
      <w:r w:rsidRPr="00591F90">
        <w:rPr>
          <w:sz w:val="20"/>
          <w:szCs w:val="20"/>
        </w:rPr>
        <w:t>Northern Territory</w:t>
      </w:r>
    </w:p>
    <w:p w14:paraId="6B293D43" w14:textId="77777777" w:rsidR="0018099F" w:rsidRPr="004B2B2D" w:rsidRDefault="00FF3BD9" w:rsidP="00996B20">
      <w:pPr>
        <w:rPr>
          <w:sz w:val="20"/>
          <w:szCs w:val="20"/>
        </w:rPr>
      </w:pPr>
      <w:r w:rsidRPr="00B971C1">
        <w:rPr>
          <w:sz w:val="20"/>
          <w:szCs w:val="20"/>
        </w:rPr>
        <w:t>Minister for Prevention of Domestic, Family and Sexual Violence</w:t>
      </w:r>
    </w:p>
    <w:p w14:paraId="59C395E1" w14:textId="77777777" w:rsidR="00FF3BD9" w:rsidRPr="00996B20" w:rsidRDefault="00FF3BD9" w:rsidP="00996B20">
      <w:pPr>
        <w:rPr>
          <w:b/>
          <w:bCs/>
        </w:rPr>
      </w:pPr>
      <w:r w:rsidRPr="00996B20">
        <w:rPr>
          <w:b/>
          <w:bCs/>
        </w:rPr>
        <w:t>The Hon Katrine Hildyard MP</w:t>
      </w:r>
    </w:p>
    <w:p w14:paraId="3F59B9EC" w14:textId="77777777" w:rsidR="00FF3BD9" w:rsidRPr="00591F90" w:rsidRDefault="00FF3BD9" w:rsidP="00996B20">
      <w:pPr>
        <w:rPr>
          <w:sz w:val="20"/>
          <w:szCs w:val="20"/>
        </w:rPr>
      </w:pPr>
      <w:r w:rsidRPr="00591F90">
        <w:rPr>
          <w:sz w:val="20"/>
          <w:szCs w:val="20"/>
        </w:rPr>
        <w:t>South Australia</w:t>
      </w:r>
    </w:p>
    <w:p w14:paraId="703E5CC3" w14:textId="77777777" w:rsidR="00FF3BD9" w:rsidRPr="004B2B2D" w:rsidRDefault="00FF3BD9" w:rsidP="00996B20">
      <w:pPr>
        <w:rPr>
          <w:sz w:val="20"/>
          <w:szCs w:val="20"/>
        </w:rPr>
      </w:pPr>
      <w:r w:rsidRPr="004B2B2D">
        <w:rPr>
          <w:sz w:val="20"/>
          <w:szCs w:val="20"/>
        </w:rPr>
        <w:t>Minister for Women and the Prevention of Domestic and Family Violence</w:t>
      </w:r>
    </w:p>
    <w:p w14:paraId="09A40C71" w14:textId="22098EC0" w:rsidR="00FF3BD9" w:rsidRPr="00996B20" w:rsidRDefault="00FF3BD9" w:rsidP="00996B20">
      <w:pPr>
        <w:rPr>
          <w:b/>
          <w:bCs/>
        </w:rPr>
      </w:pPr>
      <w:r w:rsidRPr="00996B20">
        <w:rPr>
          <w:b/>
          <w:bCs/>
        </w:rPr>
        <w:t xml:space="preserve">The Hon </w:t>
      </w:r>
      <w:r w:rsidR="0000080F" w:rsidRPr="00996B20">
        <w:rPr>
          <w:b/>
          <w:bCs/>
        </w:rPr>
        <w:t>Madeleine Ogilvie MP</w:t>
      </w:r>
    </w:p>
    <w:p w14:paraId="757DF78E" w14:textId="77777777" w:rsidR="00FF3BD9" w:rsidRPr="004B2B2D" w:rsidRDefault="00FF3BD9" w:rsidP="00996B20">
      <w:pPr>
        <w:rPr>
          <w:sz w:val="20"/>
          <w:szCs w:val="20"/>
        </w:rPr>
      </w:pPr>
      <w:r w:rsidRPr="004B2B2D">
        <w:rPr>
          <w:sz w:val="20"/>
          <w:szCs w:val="20"/>
        </w:rPr>
        <w:t>Tasmania</w:t>
      </w:r>
    </w:p>
    <w:p w14:paraId="7DB0637D" w14:textId="5F49DE00" w:rsidR="0018099F" w:rsidRPr="004B2B2D" w:rsidRDefault="00FF3BD9" w:rsidP="00996B20">
      <w:r w:rsidRPr="004B2B2D">
        <w:t>Minister for Women</w:t>
      </w:r>
      <w:r>
        <w:cr/>
      </w:r>
      <w:r w:rsidR="0000080F">
        <w:t>and</w:t>
      </w:r>
      <w:r w:rsidRPr="00591F90">
        <w:t xml:space="preserve"> Prevention of Family Vio</w:t>
      </w:r>
      <w:r w:rsidRPr="004B2B2D">
        <w:t>lence</w:t>
      </w:r>
    </w:p>
    <w:p w14:paraId="7378E9B9" w14:textId="77777777" w:rsidR="00FF3BD9" w:rsidRPr="00E421D9" w:rsidRDefault="00FF3BD9" w:rsidP="00996B20">
      <w:pPr>
        <w:rPr>
          <w:b/>
          <w:bCs/>
        </w:rPr>
      </w:pPr>
      <w:r w:rsidRPr="00E421D9">
        <w:rPr>
          <w:b/>
          <w:bCs/>
        </w:rPr>
        <w:lastRenderedPageBreak/>
        <w:t>The Hon Ros Spence MP</w:t>
      </w:r>
    </w:p>
    <w:p w14:paraId="00AB5C8B" w14:textId="2FD69A4A" w:rsidR="00FF3BD9" w:rsidRDefault="00FF3BD9" w:rsidP="00996B20">
      <w:r>
        <w:t>Victoria</w:t>
      </w:r>
    </w:p>
    <w:p w14:paraId="0CCFA35A" w14:textId="77777777" w:rsidR="0018099F" w:rsidRPr="004B2B2D" w:rsidRDefault="00FF3BD9" w:rsidP="00996B20">
      <w:r>
        <w:t>Minister for Prevention of Family Violence</w:t>
      </w:r>
    </w:p>
    <w:p w14:paraId="1DD61438" w14:textId="77777777" w:rsidR="00FF3BD9" w:rsidRPr="00E421D9" w:rsidRDefault="00FF3BD9" w:rsidP="00996B20">
      <w:pPr>
        <w:rPr>
          <w:b/>
          <w:bCs/>
        </w:rPr>
      </w:pPr>
      <w:r w:rsidRPr="00E421D9">
        <w:rPr>
          <w:b/>
          <w:bCs/>
        </w:rPr>
        <w:t>Hon Sabine Winton BA BPS MLA</w:t>
      </w:r>
    </w:p>
    <w:p w14:paraId="38D27BE4" w14:textId="6521AB16" w:rsidR="00FF3BD9" w:rsidRDefault="00FF3BD9" w:rsidP="00996B20">
      <w:r>
        <w:t>Western Australia</w:t>
      </w:r>
    </w:p>
    <w:p w14:paraId="7DE7A19B" w14:textId="77777777" w:rsidR="00FF3BD9" w:rsidRPr="000420F9" w:rsidRDefault="00FF3BD9" w:rsidP="00996B20">
      <w:r w:rsidRPr="000420F9">
        <w:t>Minister for Prevention of Family and Domestic Violence</w:t>
      </w:r>
    </w:p>
    <w:p w14:paraId="1CEA8A21" w14:textId="77777777" w:rsidR="00426D33" w:rsidRDefault="00426D33" w:rsidP="008D2AC5">
      <w:pPr>
        <w:pStyle w:val="NoSpacing"/>
        <w:rPr>
          <w:rFonts w:cstheme="majorBidi"/>
          <w:sz w:val="32"/>
          <w:szCs w:val="28"/>
        </w:rPr>
      </w:pPr>
      <w:r>
        <w:br w:type="page"/>
      </w:r>
    </w:p>
    <w:p w14:paraId="058827F3" w14:textId="01E3D838" w:rsidR="00FF3BD9" w:rsidRPr="008765B5" w:rsidRDefault="002C0E09" w:rsidP="00DC3CD1">
      <w:pPr>
        <w:pStyle w:val="nonTOCH1"/>
      </w:pPr>
      <w:r>
        <w:lastRenderedPageBreak/>
        <w:t>Foreword</w:t>
      </w:r>
    </w:p>
    <w:p w14:paraId="4117DDB3" w14:textId="12AC3104" w:rsidR="002C0E09" w:rsidRPr="00764178" w:rsidRDefault="002C0E09" w:rsidP="002C0E09">
      <w:pPr>
        <w:rPr>
          <w:rFonts w:cs="Arial"/>
          <w:b/>
          <w:bCs/>
          <w:color w:val="2C2A29"/>
          <w:sz w:val="28"/>
          <w:szCs w:val="28"/>
          <w:shd w:val="clear" w:color="auto" w:fill="FFFFFF"/>
        </w:rPr>
      </w:pPr>
      <w:r w:rsidRPr="00764178">
        <w:rPr>
          <w:rFonts w:cs="Arial"/>
          <w:b/>
          <w:bCs/>
          <w:sz w:val="28"/>
          <w:szCs w:val="28"/>
        </w:rPr>
        <w:t>On 17</w:t>
      </w:r>
      <w:r w:rsidR="005D3A66" w:rsidRPr="00764178">
        <w:rPr>
          <w:rFonts w:cs="Arial"/>
          <w:b/>
          <w:bCs/>
          <w:sz w:val="28"/>
          <w:szCs w:val="28"/>
        </w:rPr>
        <w:t xml:space="preserve"> </w:t>
      </w:r>
      <w:r w:rsidRPr="00764178">
        <w:rPr>
          <w:rFonts w:cs="Arial"/>
          <w:b/>
          <w:bCs/>
          <w:sz w:val="28"/>
          <w:szCs w:val="28"/>
        </w:rPr>
        <w:t>October</w:t>
      </w:r>
      <w:r w:rsidR="005D3A66" w:rsidRPr="00764178">
        <w:rPr>
          <w:rFonts w:cs="Arial"/>
          <w:b/>
          <w:bCs/>
          <w:sz w:val="28"/>
          <w:szCs w:val="28"/>
        </w:rPr>
        <w:t xml:space="preserve"> </w:t>
      </w:r>
      <w:r w:rsidRPr="00764178">
        <w:rPr>
          <w:rFonts w:cs="Arial"/>
          <w:b/>
          <w:bCs/>
          <w:sz w:val="28"/>
          <w:szCs w:val="28"/>
        </w:rPr>
        <w:t>2022, Australian, state and territory governments jointly released the</w:t>
      </w:r>
      <w:r w:rsidR="005D3A66" w:rsidRPr="00764178">
        <w:rPr>
          <w:rFonts w:cs="Arial"/>
          <w:b/>
          <w:bCs/>
          <w:color w:val="2C2A29"/>
          <w:sz w:val="28"/>
          <w:szCs w:val="28"/>
          <w:shd w:val="clear" w:color="auto" w:fill="FFFFFF"/>
        </w:rPr>
        <w:t xml:space="preserve"> </w:t>
      </w:r>
      <w:r w:rsidRPr="00764178">
        <w:rPr>
          <w:rFonts w:cs="Arial"/>
          <w:b/>
          <w:bCs/>
          <w:i/>
          <w:iCs/>
          <w:color w:val="2C2A29"/>
          <w:sz w:val="28"/>
          <w:szCs w:val="28"/>
          <w:shd w:val="clear" w:color="auto" w:fill="FFFFFF"/>
        </w:rPr>
        <w:t>National Plan to End Violence against Women and Children 2022–2032</w:t>
      </w:r>
      <w:r w:rsidR="005D3A66" w:rsidRPr="00764178">
        <w:rPr>
          <w:rFonts w:cs="Arial"/>
          <w:b/>
          <w:bCs/>
          <w:color w:val="2C2A29"/>
          <w:sz w:val="28"/>
          <w:szCs w:val="28"/>
          <w:shd w:val="clear" w:color="auto" w:fill="FFFFFF"/>
        </w:rPr>
        <w:t xml:space="preserve"> </w:t>
      </w:r>
      <w:r w:rsidRPr="00764178">
        <w:rPr>
          <w:rFonts w:cs="Arial"/>
          <w:b/>
          <w:bCs/>
          <w:color w:val="2C2A29"/>
          <w:sz w:val="28"/>
          <w:szCs w:val="28"/>
          <w:shd w:val="clear" w:color="auto" w:fill="FFFFFF"/>
        </w:rPr>
        <w:t>(National Plan).</w:t>
      </w:r>
    </w:p>
    <w:p w14:paraId="4BA0E4EF" w14:textId="72E13041" w:rsidR="002C0E09" w:rsidRDefault="002C0E09" w:rsidP="002C0E09">
      <w:pPr>
        <w:rPr>
          <w:rFonts w:cs="Arial"/>
        </w:rPr>
      </w:pPr>
      <w:r>
        <w:rPr>
          <w:rFonts w:cs="Arial"/>
        </w:rPr>
        <w:t>The National Plan outlines our collective commitment</w:t>
      </w:r>
      <w:r w:rsidR="00737998">
        <w:rPr>
          <w:rFonts w:cs="Arial"/>
        </w:rPr>
        <w:t>,</w:t>
      </w:r>
      <w:r>
        <w:rPr>
          <w:rFonts w:cs="Arial"/>
        </w:rPr>
        <w:t xml:space="preserve"> </w:t>
      </w:r>
      <w:r w:rsidR="003C4DCE">
        <w:rPr>
          <w:rFonts w:cs="Arial"/>
        </w:rPr>
        <w:t>and demonstrates our shared accountability</w:t>
      </w:r>
      <w:r w:rsidR="00737998">
        <w:rPr>
          <w:rFonts w:cs="Arial"/>
        </w:rPr>
        <w:t>,</w:t>
      </w:r>
      <w:r w:rsidR="003C4DCE">
        <w:rPr>
          <w:rFonts w:cs="Arial"/>
        </w:rPr>
        <w:t xml:space="preserve"> </w:t>
      </w:r>
      <w:r>
        <w:rPr>
          <w:rFonts w:cs="Arial"/>
        </w:rPr>
        <w:t xml:space="preserve">to end gender-based violence in one generation. </w:t>
      </w:r>
      <w:r w:rsidR="00380042">
        <w:rPr>
          <w:rFonts w:cs="Arial"/>
        </w:rPr>
        <w:t>This</w:t>
      </w:r>
      <w:r>
        <w:rPr>
          <w:rFonts w:cs="Arial"/>
        </w:rPr>
        <w:t xml:space="preserve"> vision is ambitious, </w:t>
      </w:r>
      <w:r w:rsidR="00380042">
        <w:rPr>
          <w:rFonts w:cs="Arial"/>
        </w:rPr>
        <w:t xml:space="preserve">but </w:t>
      </w:r>
      <w:r>
        <w:rPr>
          <w:rFonts w:cs="Arial"/>
        </w:rPr>
        <w:t>by working together</w:t>
      </w:r>
      <w:r w:rsidR="003C4DCE">
        <w:rPr>
          <w:rFonts w:cs="Arial"/>
        </w:rPr>
        <w:t>, we</w:t>
      </w:r>
      <w:r>
        <w:rPr>
          <w:rFonts w:cs="Arial"/>
        </w:rPr>
        <w:t xml:space="preserve"> – governments, businesses and the community – can achieve it.</w:t>
      </w:r>
    </w:p>
    <w:p w14:paraId="3502AB30" w14:textId="44052A98" w:rsidR="002C0E09" w:rsidRDefault="002C0E09" w:rsidP="002C0E09">
      <w:r>
        <w:t>The First Action Plan, in parallel with the Aboriginal and Torres Strait Islander Action Plan, forms an integral part of commitment</w:t>
      </w:r>
      <w:r w:rsidR="00737998">
        <w:t>s</w:t>
      </w:r>
      <w:r>
        <w:t xml:space="preserve"> made in the National Plan. </w:t>
      </w:r>
      <w:r w:rsidR="00737998">
        <w:t>It</w:t>
      </w:r>
      <w:r>
        <w:t xml:space="preserve"> sets out the initial scope of activities, areas for action, and </w:t>
      </w:r>
      <w:r w:rsidR="00823DDC">
        <w:t>responsibility with respect to outcomes</w:t>
      </w:r>
      <w:r>
        <w:t>, outlining how we will make our vision a reality.</w:t>
      </w:r>
    </w:p>
    <w:p w14:paraId="426E197E" w14:textId="4ED409AC" w:rsidR="002C0E09" w:rsidRDefault="002C0E09" w:rsidP="002C0E09">
      <w:r>
        <w:rPr>
          <w:rFonts w:eastAsia="Calibri" w:cs="Calibri"/>
        </w:rPr>
        <w:t xml:space="preserve">We recognise and champion the significant </w:t>
      </w:r>
      <w:r w:rsidR="004E3025">
        <w:rPr>
          <w:rFonts w:eastAsia="Calibri" w:cs="Calibri"/>
        </w:rPr>
        <w:t xml:space="preserve">community efforts </w:t>
      </w:r>
      <w:r w:rsidR="00A17B4F">
        <w:rPr>
          <w:rFonts w:eastAsia="Calibri" w:cs="Calibri"/>
        </w:rPr>
        <w:t>u</w:t>
      </w:r>
      <w:r>
        <w:rPr>
          <w:rFonts w:eastAsia="Calibri" w:cs="Calibri"/>
        </w:rPr>
        <w:t>nderway that</w:t>
      </w:r>
      <w:r w:rsidR="004E3025">
        <w:rPr>
          <w:rFonts w:eastAsia="Calibri" w:cs="Calibri"/>
        </w:rPr>
        <w:t xml:space="preserve"> play a fundamental role in</w:t>
      </w:r>
      <w:r w:rsidR="004453C0">
        <w:rPr>
          <w:rFonts w:eastAsia="Calibri" w:cs="Calibri"/>
        </w:rPr>
        <w:t xml:space="preserve"> </w:t>
      </w:r>
      <w:r>
        <w:rPr>
          <w:rFonts w:eastAsia="Calibri" w:cs="Calibri"/>
        </w:rPr>
        <w:t>ending gender-based violence</w:t>
      </w:r>
      <w:r w:rsidR="00737998">
        <w:rPr>
          <w:rFonts w:eastAsia="Calibri" w:cs="Calibri"/>
        </w:rPr>
        <w:t>,</w:t>
      </w:r>
      <w:r>
        <w:rPr>
          <w:rFonts w:eastAsia="Calibri" w:cs="Calibri"/>
        </w:rPr>
        <w:t xml:space="preserve"> including activities within businesses and workplaces, the media, schools and </w:t>
      </w:r>
      <w:r w:rsidR="00344686">
        <w:rPr>
          <w:rFonts w:eastAsia="Calibri" w:cs="Calibri"/>
        </w:rPr>
        <w:t xml:space="preserve">higher </w:t>
      </w:r>
      <w:r>
        <w:rPr>
          <w:rFonts w:eastAsia="Calibri" w:cs="Calibri"/>
        </w:rPr>
        <w:t>educational institutions, the justice system, health sectors, and local communities.</w:t>
      </w:r>
      <w:r>
        <w:t xml:space="preserve"> We recognise how different agencies across our governments play key roles in</w:t>
      </w:r>
      <w:r w:rsidR="005D3A66">
        <w:t xml:space="preserve"> </w:t>
      </w:r>
      <w:r>
        <w:t>policies and programs relating to outcomes for women’s and children’s safety, including across health, housing, education and employment.</w:t>
      </w:r>
    </w:p>
    <w:p w14:paraId="4A43E1A9" w14:textId="2FAD9E84" w:rsidR="000C68A5" w:rsidRDefault="000C68A5" w:rsidP="000C5D5A">
      <w:r w:rsidRPr="00FD4598">
        <w:t xml:space="preserve">We recognise the need for all relevant agencies across our governments </w:t>
      </w:r>
      <w:r w:rsidR="005D3A66">
        <w:t xml:space="preserve">to </w:t>
      </w:r>
      <w:r w:rsidRPr="00FD4598">
        <w:t>actively work together to develop and implement programs relating to outcomes for women’s and children’s safety, including in the areas of health, housing, education and employment.</w:t>
      </w:r>
    </w:p>
    <w:p w14:paraId="14D4D470" w14:textId="5081E5BE" w:rsidR="002C0E09" w:rsidRDefault="002C0E09" w:rsidP="002C0E09">
      <w:pPr>
        <w:spacing w:before="240"/>
      </w:pPr>
      <w:r>
        <w:t xml:space="preserve">We acknowledge and thank all </w:t>
      </w:r>
      <w:r w:rsidR="004453C0">
        <w:t>those</w:t>
      </w:r>
      <w:r>
        <w:t xml:space="preserve"> who work tirelessly every day to prevent and respond to all forms of gender-based violence.</w:t>
      </w:r>
    </w:p>
    <w:p w14:paraId="537155CA" w14:textId="22577B53" w:rsidR="00FF3BD9" w:rsidRDefault="002C0E09" w:rsidP="002C0E09">
      <w:r>
        <w:t xml:space="preserve">We pay tribute to all victim-survivors of gender-based violence and acknowledge their </w:t>
      </w:r>
      <w:r w:rsidR="004453C0">
        <w:t xml:space="preserve">strength </w:t>
      </w:r>
      <w:r>
        <w:t>and resilience. We thank those who have shared their stories and contributed to the development of the National Plan and this First Action Plan.</w:t>
      </w:r>
    </w:p>
    <w:p w14:paraId="17F941F6" w14:textId="77777777" w:rsidR="00FF3BD9" w:rsidRDefault="00FF3BD9" w:rsidP="00FF3BD9">
      <w:pPr>
        <w:rPr>
          <w:b/>
          <w:bCs/>
        </w:rPr>
      </w:pPr>
      <w:r>
        <w:rPr>
          <w:b/>
          <w:bCs/>
        </w:rPr>
        <w:br w:type="page"/>
      </w:r>
    </w:p>
    <w:p w14:paraId="5064260D" w14:textId="77777777" w:rsidR="00FF3BD9" w:rsidRPr="00E421D9" w:rsidRDefault="00FF3BD9" w:rsidP="00DC3CD1">
      <w:pPr>
        <w:pStyle w:val="nonTOCH1"/>
      </w:pPr>
      <w:r w:rsidRPr="00E421D9">
        <w:lastRenderedPageBreak/>
        <w:t>Seeking support</w:t>
      </w:r>
    </w:p>
    <w:p w14:paraId="09E1FED8" w14:textId="32A70B04" w:rsidR="00FF3BD9" w:rsidRPr="00764178" w:rsidRDefault="00FF3BD9" w:rsidP="00FF3BD9">
      <w:pPr>
        <w:pStyle w:val="BodyText"/>
        <w:spacing w:before="218" w:line="242" w:lineRule="auto"/>
        <w:ind w:left="154" w:right="1862"/>
        <w:rPr>
          <w:rFonts w:ascii="Arial" w:hAnsi="Arial" w:cs="Arial"/>
          <w:b/>
          <w:bCs/>
          <w:sz w:val="22"/>
          <w:szCs w:val="22"/>
        </w:rPr>
      </w:pPr>
      <w:r w:rsidRPr="00764178">
        <w:rPr>
          <w:rFonts w:ascii="Arial" w:hAnsi="Arial" w:cs="Arial"/>
          <w:b/>
          <w:bCs/>
          <w:sz w:val="22"/>
          <w:szCs w:val="22"/>
        </w:rPr>
        <w:t>Violence against women and children can be hard to discuss and</w:t>
      </w:r>
      <w:r w:rsidR="00832F57" w:rsidRPr="00764178">
        <w:rPr>
          <w:rFonts w:ascii="Arial" w:hAnsi="Arial" w:cs="Arial"/>
          <w:b/>
          <w:bCs/>
          <w:sz w:val="22"/>
          <w:szCs w:val="22"/>
        </w:rPr>
        <w:t xml:space="preserve"> </w:t>
      </w:r>
      <w:r w:rsidRPr="00764178">
        <w:rPr>
          <w:rFonts w:ascii="Arial" w:hAnsi="Arial" w:cs="Arial"/>
          <w:b/>
          <w:bCs/>
          <w:sz w:val="22"/>
          <w:szCs w:val="22"/>
        </w:rPr>
        <w:t>reading this document may cause distress.</w:t>
      </w:r>
    </w:p>
    <w:p w14:paraId="3DFA4BBB" w14:textId="77777777" w:rsidR="00FF3BD9" w:rsidRPr="00A820CC" w:rsidRDefault="00FF3BD9" w:rsidP="00FF3BD9">
      <w:pPr>
        <w:pStyle w:val="BodyText"/>
        <w:spacing w:before="86"/>
        <w:ind w:left="154"/>
        <w:rPr>
          <w:rFonts w:ascii="Arial" w:hAnsi="Arial" w:cs="Arial"/>
          <w:sz w:val="22"/>
          <w:szCs w:val="22"/>
        </w:rPr>
      </w:pPr>
      <w:r w:rsidRPr="00A820CC">
        <w:rPr>
          <w:rFonts w:ascii="Arial" w:hAnsi="Arial" w:cs="Arial"/>
          <w:sz w:val="22"/>
          <w:szCs w:val="22"/>
        </w:rPr>
        <w:t xml:space="preserve">Help is </w:t>
      </w:r>
      <w:r w:rsidRPr="00A820CC">
        <w:rPr>
          <w:rFonts w:ascii="Arial" w:hAnsi="Arial" w:cs="Arial"/>
          <w:spacing w:val="-2"/>
          <w:sz w:val="22"/>
          <w:szCs w:val="22"/>
        </w:rPr>
        <w:t>available.</w:t>
      </w:r>
    </w:p>
    <w:p w14:paraId="463825AA" w14:textId="77777777" w:rsidR="00FF3BD9" w:rsidRPr="00A820CC" w:rsidRDefault="00FF3BD9" w:rsidP="00FF3BD9">
      <w:pPr>
        <w:pStyle w:val="BodyText"/>
        <w:spacing w:before="89"/>
        <w:ind w:left="154"/>
        <w:rPr>
          <w:rFonts w:ascii="Arial" w:hAnsi="Arial" w:cs="Arial"/>
          <w:sz w:val="22"/>
          <w:szCs w:val="22"/>
        </w:rPr>
      </w:pPr>
      <w:r w:rsidRPr="00A820CC">
        <w:rPr>
          <w:rFonts w:ascii="Arial" w:hAnsi="Arial" w:cs="Arial"/>
          <w:w w:val="105"/>
          <w:sz w:val="22"/>
          <w:szCs w:val="22"/>
        </w:rPr>
        <w:t>If</w:t>
      </w:r>
      <w:r w:rsidRPr="00A820CC">
        <w:rPr>
          <w:rFonts w:ascii="Arial" w:hAnsi="Arial" w:cs="Arial"/>
          <w:sz w:val="22"/>
          <w:szCs w:val="22"/>
        </w:rPr>
        <w:t xml:space="preserve"> </w:t>
      </w:r>
      <w:r w:rsidRPr="00A820CC">
        <w:rPr>
          <w:rFonts w:ascii="Arial" w:hAnsi="Arial" w:cs="Arial"/>
          <w:w w:val="105"/>
          <w:sz w:val="22"/>
          <w:szCs w:val="22"/>
        </w:rPr>
        <w:t>you</w:t>
      </w:r>
      <w:r w:rsidRPr="00A820CC">
        <w:rPr>
          <w:rFonts w:ascii="Arial" w:hAnsi="Arial" w:cs="Arial"/>
          <w:sz w:val="22"/>
          <w:szCs w:val="22"/>
        </w:rPr>
        <w:t xml:space="preserve"> </w:t>
      </w:r>
      <w:r w:rsidRPr="00A820CC">
        <w:rPr>
          <w:rFonts w:ascii="Arial" w:hAnsi="Arial" w:cs="Arial"/>
          <w:w w:val="105"/>
          <w:sz w:val="22"/>
          <w:szCs w:val="22"/>
        </w:rPr>
        <w:t>or</w:t>
      </w:r>
      <w:r w:rsidRPr="00A820CC">
        <w:rPr>
          <w:rFonts w:ascii="Arial" w:hAnsi="Arial" w:cs="Arial"/>
          <w:sz w:val="22"/>
          <w:szCs w:val="22"/>
        </w:rPr>
        <w:t xml:space="preserve"> </w:t>
      </w:r>
      <w:r w:rsidRPr="00A820CC">
        <w:rPr>
          <w:rFonts w:ascii="Arial" w:hAnsi="Arial" w:cs="Arial"/>
          <w:w w:val="105"/>
          <w:sz w:val="22"/>
          <w:szCs w:val="22"/>
        </w:rPr>
        <w:t>someone</w:t>
      </w:r>
      <w:r w:rsidRPr="00A820CC">
        <w:rPr>
          <w:rFonts w:ascii="Arial" w:hAnsi="Arial" w:cs="Arial"/>
          <w:sz w:val="22"/>
          <w:szCs w:val="22"/>
        </w:rPr>
        <w:t xml:space="preserve"> </w:t>
      </w:r>
      <w:r w:rsidRPr="00A820CC">
        <w:rPr>
          <w:rFonts w:ascii="Arial" w:hAnsi="Arial" w:cs="Arial"/>
          <w:w w:val="105"/>
          <w:sz w:val="22"/>
          <w:szCs w:val="22"/>
        </w:rPr>
        <w:t>close</w:t>
      </w:r>
      <w:r w:rsidRPr="00A820CC">
        <w:rPr>
          <w:rFonts w:ascii="Arial" w:hAnsi="Arial" w:cs="Arial"/>
          <w:sz w:val="22"/>
          <w:szCs w:val="22"/>
        </w:rPr>
        <w:t xml:space="preserve"> </w:t>
      </w:r>
      <w:r w:rsidRPr="00A820CC">
        <w:rPr>
          <w:rFonts w:ascii="Arial" w:hAnsi="Arial" w:cs="Arial"/>
          <w:w w:val="105"/>
          <w:sz w:val="22"/>
          <w:szCs w:val="22"/>
        </w:rPr>
        <w:t>to</w:t>
      </w:r>
      <w:r w:rsidRPr="00A820CC">
        <w:rPr>
          <w:rFonts w:ascii="Arial" w:hAnsi="Arial" w:cs="Arial"/>
          <w:sz w:val="22"/>
          <w:szCs w:val="22"/>
        </w:rPr>
        <w:t xml:space="preserve"> </w:t>
      </w:r>
      <w:r w:rsidRPr="00A820CC">
        <w:rPr>
          <w:rFonts w:ascii="Arial" w:hAnsi="Arial" w:cs="Arial"/>
          <w:w w:val="105"/>
          <w:sz w:val="22"/>
          <w:szCs w:val="22"/>
        </w:rPr>
        <w:t>you</w:t>
      </w:r>
      <w:r w:rsidRPr="00A820CC">
        <w:rPr>
          <w:rFonts w:ascii="Arial" w:hAnsi="Arial" w:cs="Arial"/>
          <w:sz w:val="22"/>
          <w:szCs w:val="22"/>
        </w:rPr>
        <w:t xml:space="preserve"> </w:t>
      </w:r>
      <w:r w:rsidRPr="00A820CC">
        <w:rPr>
          <w:rFonts w:ascii="Arial" w:hAnsi="Arial" w:cs="Arial"/>
          <w:w w:val="105"/>
          <w:sz w:val="22"/>
          <w:szCs w:val="22"/>
        </w:rPr>
        <w:t>is</w:t>
      </w:r>
      <w:r w:rsidRPr="00A820CC">
        <w:rPr>
          <w:rFonts w:ascii="Arial" w:hAnsi="Arial" w:cs="Arial"/>
          <w:sz w:val="22"/>
          <w:szCs w:val="22"/>
        </w:rPr>
        <w:t xml:space="preserve"> </w:t>
      </w:r>
      <w:r w:rsidRPr="00A820CC">
        <w:rPr>
          <w:rFonts w:ascii="Arial" w:hAnsi="Arial" w:cs="Arial"/>
          <w:w w:val="105"/>
          <w:sz w:val="22"/>
          <w:szCs w:val="22"/>
        </w:rPr>
        <w:t>in</w:t>
      </w:r>
      <w:r w:rsidRPr="00A820CC">
        <w:rPr>
          <w:rFonts w:ascii="Arial" w:hAnsi="Arial" w:cs="Arial"/>
          <w:sz w:val="22"/>
          <w:szCs w:val="22"/>
        </w:rPr>
        <w:t xml:space="preserve"> </w:t>
      </w:r>
      <w:r w:rsidRPr="00A820CC">
        <w:rPr>
          <w:rFonts w:ascii="Arial" w:hAnsi="Arial" w:cs="Arial"/>
          <w:w w:val="105"/>
          <w:sz w:val="22"/>
          <w:szCs w:val="22"/>
        </w:rPr>
        <w:t>distress</w:t>
      </w:r>
      <w:r w:rsidRPr="00A820CC">
        <w:rPr>
          <w:rFonts w:ascii="Arial" w:hAnsi="Arial" w:cs="Arial"/>
          <w:sz w:val="22"/>
          <w:szCs w:val="22"/>
        </w:rPr>
        <w:t xml:space="preserve"> </w:t>
      </w:r>
      <w:r w:rsidRPr="00A820CC">
        <w:rPr>
          <w:rFonts w:ascii="Arial" w:hAnsi="Arial" w:cs="Arial"/>
          <w:w w:val="105"/>
          <w:sz w:val="22"/>
          <w:szCs w:val="22"/>
        </w:rPr>
        <w:t>or</w:t>
      </w:r>
      <w:r w:rsidRPr="00A820CC">
        <w:rPr>
          <w:rFonts w:ascii="Arial" w:hAnsi="Arial" w:cs="Arial"/>
          <w:sz w:val="22"/>
          <w:szCs w:val="22"/>
        </w:rPr>
        <w:t xml:space="preserve"> </w:t>
      </w:r>
      <w:r w:rsidRPr="00A820CC">
        <w:rPr>
          <w:rFonts w:ascii="Arial" w:hAnsi="Arial" w:cs="Arial"/>
          <w:w w:val="105"/>
          <w:sz w:val="22"/>
          <w:szCs w:val="22"/>
        </w:rPr>
        <w:t>immediate</w:t>
      </w:r>
      <w:r w:rsidRPr="00A820CC">
        <w:rPr>
          <w:rFonts w:ascii="Arial" w:hAnsi="Arial" w:cs="Arial"/>
          <w:sz w:val="22"/>
          <w:szCs w:val="22"/>
        </w:rPr>
        <w:t xml:space="preserve"> </w:t>
      </w:r>
      <w:r w:rsidRPr="00A820CC">
        <w:rPr>
          <w:rFonts w:ascii="Arial" w:hAnsi="Arial" w:cs="Arial"/>
          <w:w w:val="105"/>
          <w:sz w:val="22"/>
          <w:szCs w:val="22"/>
        </w:rPr>
        <w:t>danger,</w:t>
      </w:r>
      <w:r w:rsidRPr="00A820CC">
        <w:rPr>
          <w:rFonts w:ascii="Arial" w:hAnsi="Arial" w:cs="Arial"/>
          <w:sz w:val="22"/>
          <w:szCs w:val="22"/>
        </w:rPr>
        <w:t xml:space="preserve"> </w:t>
      </w:r>
      <w:r w:rsidRPr="00A820CC">
        <w:rPr>
          <w:rFonts w:ascii="Arial" w:hAnsi="Arial" w:cs="Arial"/>
          <w:w w:val="105"/>
          <w:sz w:val="22"/>
          <w:szCs w:val="22"/>
        </w:rPr>
        <w:t>please</w:t>
      </w:r>
      <w:r w:rsidRPr="00A820CC">
        <w:rPr>
          <w:rFonts w:ascii="Arial" w:hAnsi="Arial" w:cs="Arial"/>
          <w:sz w:val="22"/>
          <w:szCs w:val="22"/>
        </w:rPr>
        <w:t xml:space="preserve"> </w:t>
      </w:r>
      <w:r w:rsidRPr="00A820CC">
        <w:rPr>
          <w:rFonts w:ascii="Arial" w:hAnsi="Arial" w:cs="Arial"/>
          <w:w w:val="105"/>
          <w:sz w:val="22"/>
          <w:szCs w:val="22"/>
        </w:rPr>
        <w:t>call</w:t>
      </w:r>
      <w:r w:rsidRPr="00A820CC">
        <w:rPr>
          <w:rFonts w:ascii="Arial" w:hAnsi="Arial" w:cs="Arial"/>
          <w:sz w:val="22"/>
          <w:szCs w:val="22"/>
        </w:rPr>
        <w:t xml:space="preserve"> </w:t>
      </w:r>
      <w:r w:rsidRPr="00A820CC">
        <w:rPr>
          <w:rFonts w:ascii="Arial" w:hAnsi="Arial" w:cs="Arial"/>
          <w:spacing w:val="-4"/>
          <w:w w:val="105"/>
          <w:sz w:val="22"/>
          <w:szCs w:val="22"/>
        </w:rPr>
        <w:t>000.</w:t>
      </w:r>
    </w:p>
    <w:p w14:paraId="7309D7B3" w14:textId="77777777" w:rsidR="00FF3BD9" w:rsidRPr="00E421D9" w:rsidRDefault="00FF3BD9" w:rsidP="00E421D9">
      <w:pPr>
        <w:pStyle w:val="BodyText"/>
        <w:spacing w:before="89"/>
        <w:ind w:left="154"/>
        <w:rPr>
          <w:rFonts w:ascii="Arial" w:hAnsi="Arial" w:cs="Arial"/>
          <w:b/>
          <w:bCs/>
          <w:i/>
          <w:iCs/>
          <w:w w:val="105"/>
          <w:sz w:val="22"/>
          <w:szCs w:val="22"/>
        </w:rPr>
      </w:pPr>
      <w:r w:rsidRPr="00E421D9">
        <w:rPr>
          <w:rFonts w:ascii="Arial" w:hAnsi="Arial" w:cs="Arial"/>
          <w:b/>
          <w:bCs/>
          <w:i/>
          <w:iCs/>
          <w:w w:val="105"/>
          <w:sz w:val="22"/>
          <w:szCs w:val="22"/>
        </w:rPr>
        <w:t>Family, domestic and sexual violence support</w:t>
      </w:r>
    </w:p>
    <w:p w14:paraId="5BA4F246" w14:textId="77777777" w:rsidR="00FF3BD9" w:rsidRDefault="00FF3BD9" w:rsidP="00FF3BD9">
      <w:pPr>
        <w:pStyle w:val="BodyText"/>
        <w:spacing w:before="86"/>
        <w:ind w:left="154"/>
        <w:rPr>
          <w:rFonts w:ascii="Arial" w:hAnsi="Arial" w:cs="Arial"/>
          <w:spacing w:val="-2"/>
          <w:sz w:val="22"/>
          <w:szCs w:val="22"/>
        </w:rPr>
      </w:pPr>
      <w:r w:rsidRPr="00A820CC">
        <w:rPr>
          <w:rFonts w:ascii="Arial" w:hAnsi="Arial" w:cs="Arial"/>
          <w:sz w:val="22"/>
          <w:szCs w:val="22"/>
        </w:rPr>
        <w:t xml:space="preserve">For information, support and counselling, you can </w:t>
      </w:r>
      <w:r w:rsidRPr="00A820CC">
        <w:rPr>
          <w:rFonts w:ascii="Arial" w:hAnsi="Arial" w:cs="Arial"/>
          <w:spacing w:val="-2"/>
          <w:sz w:val="22"/>
          <w:szCs w:val="22"/>
        </w:rPr>
        <w:t>contact:</w:t>
      </w:r>
    </w:p>
    <w:p w14:paraId="2C68EDE0" w14:textId="77777777" w:rsidR="005C0816" w:rsidRDefault="005C0816"/>
    <w:tbl>
      <w:tblPr>
        <w:tblW w:w="8769" w:type="dxa"/>
        <w:tblInd w:w="162" w:type="dxa"/>
        <w:tblLayout w:type="fixed"/>
        <w:tblCellMar>
          <w:top w:w="115" w:type="dxa"/>
          <w:bottom w:w="115" w:type="dxa"/>
        </w:tblCellMar>
        <w:tblLook w:val="01E0" w:firstRow="1" w:lastRow="1" w:firstColumn="1" w:lastColumn="1" w:noHBand="0" w:noVBand="0"/>
      </w:tblPr>
      <w:tblGrid>
        <w:gridCol w:w="2168"/>
        <w:gridCol w:w="3624"/>
        <w:gridCol w:w="2977"/>
      </w:tblGrid>
      <w:tr w:rsidR="00FF3BD9" w:rsidRPr="00832F57" w14:paraId="27EC0742" w14:textId="77777777" w:rsidTr="0035438F">
        <w:tc>
          <w:tcPr>
            <w:tcW w:w="2168" w:type="dxa"/>
            <w:tcBorders>
              <w:top w:val="single" w:sz="2" w:space="0" w:color="000000" w:themeColor="text1"/>
              <w:bottom w:val="single" w:sz="2" w:space="0" w:color="000000" w:themeColor="text1"/>
            </w:tcBorders>
            <w:tcMar>
              <w:left w:w="115" w:type="dxa"/>
              <w:right w:w="115" w:type="dxa"/>
            </w:tcMar>
          </w:tcPr>
          <w:p w14:paraId="36175E2A" w14:textId="77777777" w:rsidR="00FF3BD9" w:rsidRPr="00A820CC" w:rsidRDefault="00FF3BD9" w:rsidP="005C0816">
            <w:pPr>
              <w:pStyle w:val="TableParagraph"/>
              <w:spacing w:before="0" w:after="120"/>
              <w:rPr>
                <w:rFonts w:ascii="Arial" w:hAnsi="Arial" w:cs="Arial"/>
                <w:b/>
              </w:rPr>
            </w:pPr>
            <w:bookmarkStart w:id="1" w:name="Title_01"/>
            <w:bookmarkEnd w:id="1"/>
            <w:r w:rsidRPr="00A820CC">
              <w:rPr>
                <w:rFonts w:ascii="Arial" w:hAnsi="Arial" w:cs="Arial"/>
                <w:b/>
                <w:spacing w:val="-2"/>
              </w:rPr>
              <w:t>1800RESPECT</w:t>
            </w:r>
          </w:p>
        </w:tc>
        <w:tc>
          <w:tcPr>
            <w:tcW w:w="3624" w:type="dxa"/>
            <w:tcBorders>
              <w:top w:val="single" w:sz="2" w:space="0" w:color="000000" w:themeColor="text1"/>
              <w:bottom w:val="single" w:sz="2" w:space="0" w:color="000000" w:themeColor="text1"/>
            </w:tcBorders>
            <w:tcMar>
              <w:left w:w="115" w:type="dxa"/>
              <w:right w:w="115" w:type="dxa"/>
            </w:tcMar>
          </w:tcPr>
          <w:p w14:paraId="39844F98" w14:textId="77777777" w:rsidR="00FF3BD9" w:rsidRPr="00A820CC" w:rsidRDefault="00FF3BD9" w:rsidP="005C0816">
            <w:pPr>
              <w:pStyle w:val="TableParagraph"/>
              <w:spacing w:before="0" w:after="120" w:line="242" w:lineRule="auto"/>
              <w:rPr>
                <w:rFonts w:ascii="Arial" w:hAnsi="Arial" w:cs="Arial"/>
              </w:rPr>
            </w:pPr>
            <w:r w:rsidRPr="00A820CC">
              <w:rPr>
                <w:rFonts w:ascii="Arial" w:hAnsi="Arial" w:cs="Arial"/>
              </w:rPr>
              <w:t>National</w:t>
            </w:r>
            <w:r w:rsidRPr="00A820CC">
              <w:rPr>
                <w:rFonts w:ascii="Arial" w:hAnsi="Arial" w:cs="Arial"/>
                <w:spacing w:val="-12"/>
              </w:rPr>
              <w:t xml:space="preserve"> </w:t>
            </w:r>
            <w:r w:rsidRPr="00A820CC">
              <w:rPr>
                <w:rFonts w:ascii="Arial" w:hAnsi="Arial" w:cs="Arial"/>
              </w:rPr>
              <w:t>sexual</w:t>
            </w:r>
            <w:r w:rsidRPr="00A820CC">
              <w:rPr>
                <w:rFonts w:ascii="Arial" w:hAnsi="Arial" w:cs="Arial"/>
                <w:spacing w:val="-12"/>
              </w:rPr>
              <w:t xml:space="preserve"> </w:t>
            </w:r>
            <w:r w:rsidRPr="00A820CC">
              <w:rPr>
                <w:rFonts w:ascii="Arial" w:hAnsi="Arial" w:cs="Arial"/>
              </w:rPr>
              <w:t>assault,</w:t>
            </w:r>
            <w:r w:rsidRPr="00A820CC">
              <w:rPr>
                <w:rFonts w:ascii="Arial" w:hAnsi="Arial" w:cs="Arial"/>
                <w:spacing w:val="-12"/>
              </w:rPr>
              <w:t xml:space="preserve"> </w:t>
            </w:r>
            <w:r w:rsidRPr="00A820CC">
              <w:rPr>
                <w:rFonts w:ascii="Arial" w:hAnsi="Arial" w:cs="Arial"/>
              </w:rPr>
              <w:t>domestic</w:t>
            </w:r>
            <w:r w:rsidRPr="00A820CC">
              <w:rPr>
                <w:rFonts w:ascii="Arial" w:hAnsi="Arial" w:cs="Arial"/>
                <w:spacing w:val="-12"/>
              </w:rPr>
              <w:t xml:space="preserve"> </w:t>
            </w:r>
            <w:r w:rsidRPr="00A820CC">
              <w:rPr>
                <w:rFonts w:ascii="Arial" w:hAnsi="Arial" w:cs="Arial"/>
              </w:rPr>
              <w:t>and</w:t>
            </w:r>
            <w:r w:rsidRPr="00A820CC">
              <w:rPr>
                <w:rFonts w:ascii="Arial" w:hAnsi="Arial" w:cs="Arial"/>
                <w:spacing w:val="-12"/>
              </w:rPr>
              <w:t xml:space="preserve"> </w:t>
            </w:r>
            <w:r w:rsidRPr="00A820CC">
              <w:rPr>
                <w:rFonts w:ascii="Arial" w:hAnsi="Arial" w:cs="Arial"/>
              </w:rPr>
              <w:t>family violence counselling, information and support service. This service is free and confidential. Available 24/7.</w:t>
            </w:r>
          </w:p>
        </w:tc>
        <w:tc>
          <w:tcPr>
            <w:tcW w:w="2977" w:type="dxa"/>
            <w:tcBorders>
              <w:top w:val="single" w:sz="2" w:space="0" w:color="000000" w:themeColor="text1"/>
              <w:bottom w:val="single" w:sz="2" w:space="0" w:color="000000" w:themeColor="text1"/>
            </w:tcBorders>
            <w:tcMar>
              <w:left w:w="115" w:type="dxa"/>
              <w:right w:w="115" w:type="dxa"/>
            </w:tcMar>
          </w:tcPr>
          <w:p w14:paraId="23EE47FF" w14:textId="77777777" w:rsidR="00FF3BD9" w:rsidRPr="00A820CC" w:rsidRDefault="00FF3BD9" w:rsidP="005C0816">
            <w:pPr>
              <w:pStyle w:val="TableParagraph"/>
              <w:spacing w:before="0" w:after="120"/>
              <w:rPr>
                <w:rFonts w:ascii="Arial" w:hAnsi="Arial" w:cs="Arial"/>
              </w:rPr>
            </w:pPr>
            <w:r w:rsidRPr="00A820CC">
              <w:rPr>
                <w:rFonts w:ascii="Arial" w:hAnsi="Arial" w:cs="Arial"/>
              </w:rPr>
              <w:t>1800</w:t>
            </w:r>
            <w:r w:rsidRPr="00A820CC">
              <w:rPr>
                <w:rFonts w:ascii="Arial" w:hAnsi="Arial" w:cs="Arial"/>
                <w:spacing w:val="1"/>
              </w:rPr>
              <w:t xml:space="preserve"> </w:t>
            </w:r>
            <w:r w:rsidRPr="00A820CC">
              <w:rPr>
                <w:rFonts w:ascii="Arial" w:hAnsi="Arial" w:cs="Arial"/>
              </w:rPr>
              <w:t>737</w:t>
            </w:r>
            <w:r w:rsidRPr="00A820CC">
              <w:rPr>
                <w:rFonts w:ascii="Arial" w:hAnsi="Arial" w:cs="Arial"/>
                <w:spacing w:val="1"/>
              </w:rPr>
              <w:t xml:space="preserve"> </w:t>
            </w:r>
            <w:r w:rsidRPr="00A820CC">
              <w:rPr>
                <w:rFonts w:ascii="Arial" w:hAnsi="Arial" w:cs="Arial"/>
                <w:spacing w:val="-5"/>
              </w:rPr>
              <w:t>732</w:t>
            </w:r>
          </w:p>
          <w:p w14:paraId="074CC9F2" w14:textId="77777777" w:rsidR="00FF3BD9" w:rsidRPr="00A820CC" w:rsidRDefault="00E32E71" w:rsidP="005C0816">
            <w:pPr>
              <w:pStyle w:val="TableParagraph"/>
              <w:spacing w:before="0" w:after="120"/>
              <w:rPr>
                <w:rFonts w:ascii="Arial" w:hAnsi="Arial" w:cs="Arial"/>
              </w:rPr>
            </w:pPr>
            <w:hyperlink r:id="rId15">
              <w:r w:rsidR="00FF3BD9" w:rsidRPr="00A820CC">
                <w:rPr>
                  <w:rFonts w:ascii="Arial" w:hAnsi="Arial" w:cs="Arial"/>
                  <w:spacing w:val="-2"/>
                  <w:u w:val="single"/>
                </w:rPr>
                <w:t>www.1800respect.org.au</w:t>
              </w:r>
            </w:hyperlink>
          </w:p>
        </w:tc>
      </w:tr>
      <w:tr w:rsidR="00FF3BD9" w:rsidRPr="00832F57" w14:paraId="55A4C468" w14:textId="77777777" w:rsidTr="0035438F">
        <w:tc>
          <w:tcPr>
            <w:tcW w:w="2168" w:type="dxa"/>
            <w:tcBorders>
              <w:top w:val="single" w:sz="2" w:space="0" w:color="000000" w:themeColor="text1"/>
              <w:bottom w:val="single" w:sz="2" w:space="0" w:color="000000" w:themeColor="text1"/>
            </w:tcBorders>
            <w:tcMar>
              <w:left w:w="115" w:type="dxa"/>
              <w:right w:w="115" w:type="dxa"/>
            </w:tcMar>
          </w:tcPr>
          <w:p w14:paraId="24DF2740" w14:textId="77777777" w:rsidR="00FF3BD9" w:rsidRPr="00A820CC" w:rsidRDefault="00FF3BD9" w:rsidP="005C0816">
            <w:pPr>
              <w:pStyle w:val="TableParagraph"/>
              <w:spacing w:before="0" w:after="120"/>
              <w:rPr>
                <w:rFonts w:ascii="Arial" w:hAnsi="Arial" w:cs="Arial"/>
                <w:b/>
              </w:rPr>
            </w:pPr>
            <w:r w:rsidRPr="00A820CC">
              <w:rPr>
                <w:rFonts w:ascii="Arial" w:hAnsi="Arial" w:cs="Arial"/>
                <w:b/>
                <w:w w:val="105"/>
              </w:rPr>
              <w:t>13YARN</w:t>
            </w:r>
          </w:p>
        </w:tc>
        <w:tc>
          <w:tcPr>
            <w:tcW w:w="3624" w:type="dxa"/>
            <w:tcBorders>
              <w:top w:val="single" w:sz="2" w:space="0" w:color="000000" w:themeColor="text1"/>
              <w:bottom w:val="single" w:sz="2" w:space="0" w:color="000000" w:themeColor="text1"/>
            </w:tcBorders>
            <w:tcMar>
              <w:left w:w="115" w:type="dxa"/>
              <w:right w:w="115" w:type="dxa"/>
            </w:tcMar>
          </w:tcPr>
          <w:p w14:paraId="1FF1858A" w14:textId="4D5E62DB" w:rsidR="00FF3BD9" w:rsidRPr="00A820CC" w:rsidRDefault="00FF3BD9" w:rsidP="005C0816">
            <w:pPr>
              <w:pStyle w:val="TableParagraph"/>
              <w:spacing w:before="0" w:after="120" w:line="242" w:lineRule="auto"/>
              <w:rPr>
                <w:rFonts w:ascii="Arial" w:hAnsi="Arial" w:cs="Arial"/>
              </w:rPr>
            </w:pPr>
            <w:r w:rsidRPr="00A820CC">
              <w:rPr>
                <w:rFonts w:ascii="Arial" w:hAnsi="Arial" w:cs="Arial"/>
              </w:rPr>
              <w:t xml:space="preserve">National crisis support line for mob who are feeling overwhelmed or having difficulty coping. We offer a confidential one-on-one yarning opportunity with a Lifeline-trained Aboriginal </w:t>
            </w:r>
            <w:r w:rsidR="00832F57">
              <w:rPr>
                <w:rFonts w:ascii="Arial" w:hAnsi="Arial" w:cs="Arial"/>
              </w:rPr>
              <w:t>and</w:t>
            </w:r>
            <w:r w:rsidRPr="00A820CC">
              <w:rPr>
                <w:rFonts w:ascii="Arial" w:hAnsi="Arial" w:cs="Arial"/>
              </w:rPr>
              <w:t xml:space="preserve"> Torres Strait Islander Crisis Supporter who can provide crisis support 24 hours a day, 7 days a week.</w:t>
            </w:r>
          </w:p>
        </w:tc>
        <w:tc>
          <w:tcPr>
            <w:tcW w:w="2977" w:type="dxa"/>
            <w:tcBorders>
              <w:top w:val="single" w:sz="2" w:space="0" w:color="000000" w:themeColor="text1"/>
              <w:bottom w:val="single" w:sz="2" w:space="0" w:color="000000" w:themeColor="text1"/>
            </w:tcBorders>
            <w:tcMar>
              <w:left w:w="115" w:type="dxa"/>
              <w:right w:w="115" w:type="dxa"/>
            </w:tcMar>
          </w:tcPr>
          <w:p w14:paraId="3ACE22E3" w14:textId="417F4AA8" w:rsidR="009B7828" w:rsidRPr="00A820CC" w:rsidRDefault="009B7828" w:rsidP="005C0816">
            <w:pPr>
              <w:pStyle w:val="TableParagraph"/>
              <w:spacing w:before="0" w:after="120"/>
              <w:rPr>
                <w:rFonts w:ascii="Arial" w:hAnsi="Arial" w:cs="Arial"/>
              </w:rPr>
            </w:pPr>
            <w:r w:rsidRPr="00A820CC">
              <w:rPr>
                <w:rFonts w:ascii="Arial" w:hAnsi="Arial" w:cs="Arial"/>
              </w:rPr>
              <w:t>13 9276</w:t>
            </w:r>
          </w:p>
          <w:p w14:paraId="0A2394D9" w14:textId="77777777" w:rsidR="00FF3BD9" w:rsidRPr="00A820CC" w:rsidRDefault="00E32E71" w:rsidP="005C0816">
            <w:pPr>
              <w:pStyle w:val="TableParagraph"/>
              <w:spacing w:before="0" w:after="120"/>
              <w:rPr>
                <w:rFonts w:ascii="Arial" w:hAnsi="Arial" w:cs="Arial"/>
              </w:rPr>
            </w:pPr>
            <w:hyperlink r:id="rId16" w:history="1">
              <w:r w:rsidR="00FF3BD9" w:rsidRPr="00A820CC">
                <w:rPr>
                  <w:rStyle w:val="Hyperlink"/>
                  <w:rFonts w:ascii="Arial" w:hAnsi="Arial" w:cs="Arial"/>
                </w:rPr>
                <w:t>www.13yarn.org.au</w:t>
              </w:r>
            </w:hyperlink>
          </w:p>
          <w:p w14:paraId="1211F305" w14:textId="77777777" w:rsidR="00FF3BD9" w:rsidRPr="00A820CC" w:rsidRDefault="00FF3BD9" w:rsidP="005C0816">
            <w:pPr>
              <w:pStyle w:val="TableParagraph"/>
              <w:spacing w:before="0" w:after="120"/>
              <w:rPr>
                <w:rFonts w:ascii="Arial" w:hAnsi="Arial" w:cs="Arial"/>
              </w:rPr>
            </w:pPr>
          </w:p>
        </w:tc>
      </w:tr>
      <w:tr w:rsidR="00FF3BD9" w:rsidRPr="00832F57" w14:paraId="7792C8CE" w14:textId="77777777" w:rsidTr="0035438F">
        <w:tc>
          <w:tcPr>
            <w:tcW w:w="2168" w:type="dxa"/>
            <w:tcBorders>
              <w:top w:val="single" w:sz="2" w:space="0" w:color="000000" w:themeColor="text1"/>
              <w:bottom w:val="single" w:sz="2" w:space="0" w:color="000000" w:themeColor="text1"/>
            </w:tcBorders>
            <w:tcMar>
              <w:left w:w="115" w:type="dxa"/>
              <w:right w:w="115" w:type="dxa"/>
            </w:tcMar>
          </w:tcPr>
          <w:p w14:paraId="2D0FAF76" w14:textId="77777777" w:rsidR="00FF3BD9" w:rsidRPr="00A820CC" w:rsidRDefault="00FF3BD9" w:rsidP="005C0816">
            <w:pPr>
              <w:pStyle w:val="TableParagraph"/>
              <w:spacing w:before="0" w:after="120"/>
              <w:rPr>
                <w:rFonts w:ascii="Arial" w:hAnsi="Arial" w:cs="Arial"/>
                <w:b/>
              </w:rPr>
            </w:pPr>
            <w:r w:rsidRPr="00A820CC">
              <w:rPr>
                <w:rFonts w:ascii="Arial" w:hAnsi="Arial" w:cs="Arial"/>
                <w:b/>
                <w:w w:val="105"/>
              </w:rPr>
              <w:t>1800RESPECT for women with disability</w:t>
            </w:r>
          </w:p>
        </w:tc>
        <w:tc>
          <w:tcPr>
            <w:tcW w:w="3624" w:type="dxa"/>
            <w:tcBorders>
              <w:top w:val="single" w:sz="2" w:space="0" w:color="000000" w:themeColor="text1"/>
              <w:bottom w:val="single" w:sz="2" w:space="0" w:color="000000" w:themeColor="text1"/>
            </w:tcBorders>
            <w:tcMar>
              <w:left w:w="115" w:type="dxa"/>
              <w:right w:w="115" w:type="dxa"/>
            </w:tcMar>
          </w:tcPr>
          <w:p w14:paraId="4DCB0800" w14:textId="3903538F" w:rsidR="00FF3BD9" w:rsidRPr="00A820CC" w:rsidRDefault="00FF3BD9" w:rsidP="005C0816">
            <w:pPr>
              <w:pStyle w:val="TableParagraph"/>
              <w:spacing w:before="0" w:after="120" w:line="242" w:lineRule="auto"/>
              <w:rPr>
                <w:rFonts w:ascii="Arial" w:hAnsi="Arial" w:cs="Arial"/>
              </w:rPr>
            </w:pPr>
            <w:r w:rsidRPr="00A820CC">
              <w:rPr>
                <w:rFonts w:ascii="Arial" w:hAnsi="Arial" w:cs="Arial"/>
              </w:rPr>
              <w:t xml:space="preserve">Sunny </w:t>
            </w:r>
            <w:r w:rsidR="009B7828" w:rsidRPr="00A820CC">
              <w:rPr>
                <w:rFonts w:ascii="Arial" w:hAnsi="Arial" w:cs="Arial"/>
              </w:rPr>
              <w:t>is 1800RESPECT’s app supporting</w:t>
            </w:r>
            <w:r w:rsidRPr="00A820CC">
              <w:rPr>
                <w:rFonts w:ascii="Arial" w:hAnsi="Arial" w:cs="Arial"/>
              </w:rPr>
              <w:t xml:space="preserve"> people with disability to recognise violence and abuse, understand their rights and take action to protect their safety.</w:t>
            </w:r>
          </w:p>
          <w:p w14:paraId="00FEC271" w14:textId="4FA97349" w:rsidR="00FF3BD9" w:rsidRPr="00A820CC" w:rsidRDefault="009B7828" w:rsidP="005C0816">
            <w:pPr>
              <w:pStyle w:val="TableParagraph"/>
              <w:spacing w:before="0" w:after="120" w:line="242" w:lineRule="auto"/>
              <w:rPr>
                <w:rFonts w:ascii="Arial" w:hAnsi="Arial" w:cs="Arial"/>
              </w:rPr>
            </w:pPr>
            <w:r w:rsidRPr="00A820CC">
              <w:rPr>
                <w:rFonts w:ascii="Arial" w:hAnsi="Arial" w:cs="Arial"/>
              </w:rPr>
              <w:t>Sunny has been co-designed with women with disability to help other people with disability who have experienced violence and abuse.</w:t>
            </w:r>
          </w:p>
        </w:tc>
        <w:tc>
          <w:tcPr>
            <w:tcW w:w="2977" w:type="dxa"/>
            <w:tcBorders>
              <w:top w:val="single" w:sz="2" w:space="0" w:color="000000" w:themeColor="text1"/>
              <w:bottom w:val="single" w:sz="2" w:space="0" w:color="000000" w:themeColor="text1"/>
            </w:tcBorders>
            <w:tcMar>
              <w:left w:w="115" w:type="dxa"/>
              <w:right w:w="115" w:type="dxa"/>
            </w:tcMar>
          </w:tcPr>
          <w:p w14:paraId="5FCA50B1" w14:textId="77777777" w:rsidR="009B7828" w:rsidRPr="00A820CC" w:rsidRDefault="00E32E71" w:rsidP="005C0816">
            <w:pPr>
              <w:pStyle w:val="TableParagraph"/>
              <w:spacing w:before="0" w:after="120"/>
              <w:rPr>
                <w:rFonts w:ascii="Arial" w:hAnsi="Arial" w:cs="Arial"/>
              </w:rPr>
            </w:pPr>
            <w:hyperlink r:id="rId17" w:history="1">
              <w:r w:rsidR="009B7828" w:rsidRPr="00A820CC">
                <w:rPr>
                  <w:rStyle w:val="Hyperlink"/>
                  <w:rFonts w:ascii="Arial" w:hAnsi="Arial" w:cs="Arial"/>
                </w:rPr>
                <w:t>www.1800respect.org.au/sunny</w:t>
              </w:r>
            </w:hyperlink>
          </w:p>
          <w:p w14:paraId="6F868B56" w14:textId="77777777" w:rsidR="009B7828" w:rsidRPr="00A820CC" w:rsidRDefault="009B7828" w:rsidP="005C0816">
            <w:pPr>
              <w:pStyle w:val="TableParagraph"/>
              <w:spacing w:before="0" w:after="120"/>
              <w:rPr>
                <w:rFonts w:ascii="Arial" w:hAnsi="Arial" w:cs="Arial"/>
              </w:rPr>
            </w:pPr>
            <w:r w:rsidRPr="00A820CC">
              <w:rPr>
                <w:rFonts w:ascii="Arial" w:hAnsi="Arial" w:cs="Arial"/>
              </w:rPr>
              <w:t>Free</w:t>
            </w:r>
          </w:p>
          <w:p w14:paraId="487625BE" w14:textId="32B8854C" w:rsidR="00FF3BD9" w:rsidRPr="00A820CC" w:rsidRDefault="009B7828" w:rsidP="005C0816">
            <w:pPr>
              <w:pStyle w:val="TableParagraph"/>
              <w:spacing w:before="0" w:after="120"/>
              <w:rPr>
                <w:rFonts w:ascii="Arial" w:hAnsi="Arial" w:cs="Arial"/>
              </w:rPr>
            </w:pPr>
            <w:r w:rsidRPr="00A820CC">
              <w:rPr>
                <w:rFonts w:ascii="Arial" w:hAnsi="Arial" w:cs="Arial"/>
              </w:rPr>
              <w:t>Available for download on the App Store or Google Play Store</w:t>
            </w:r>
          </w:p>
        </w:tc>
      </w:tr>
      <w:tr w:rsidR="00FF3BD9" w:rsidRPr="00832F57" w14:paraId="7D351713" w14:textId="77777777" w:rsidTr="0035438F">
        <w:tc>
          <w:tcPr>
            <w:tcW w:w="2168" w:type="dxa"/>
            <w:tcBorders>
              <w:top w:val="single" w:sz="2" w:space="0" w:color="000000" w:themeColor="text1"/>
              <w:bottom w:val="single" w:sz="2" w:space="0" w:color="000000" w:themeColor="text1"/>
            </w:tcBorders>
            <w:tcMar>
              <w:left w:w="115" w:type="dxa"/>
              <w:right w:w="115" w:type="dxa"/>
            </w:tcMar>
          </w:tcPr>
          <w:p w14:paraId="552E89E2" w14:textId="77777777" w:rsidR="00FF3BD9" w:rsidRPr="00A820CC" w:rsidRDefault="00FF3BD9" w:rsidP="005C0816">
            <w:pPr>
              <w:pStyle w:val="TableParagraph"/>
              <w:spacing w:before="0" w:after="120"/>
              <w:rPr>
                <w:rFonts w:ascii="Arial" w:hAnsi="Arial" w:cs="Arial"/>
                <w:b/>
              </w:rPr>
            </w:pPr>
            <w:r w:rsidRPr="00A820CC">
              <w:rPr>
                <w:rFonts w:ascii="Arial" w:hAnsi="Arial" w:cs="Arial"/>
                <w:b/>
                <w:w w:val="105"/>
              </w:rPr>
              <w:t>Full</w:t>
            </w:r>
            <w:r w:rsidRPr="00A820CC">
              <w:rPr>
                <w:rFonts w:ascii="Arial" w:hAnsi="Arial" w:cs="Arial"/>
                <w:b/>
                <w:spacing w:val="-1"/>
                <w:w w:val="105"/>
              </w:rPr>
              <w:t xml:space="preserve"> </w:t>
            </w:r>
            <w:r w:rsidRPr="00A820CC">
              <w:rPr>
                <w:rFonts w:ascii="Arial" w:hAnsi="Arial" w:cs="Arial"/>
                <w:b/>
                <w:w w:val="105"/>
              </w:rPr>
              <w:t>Stop</w:t>
            </w:r>
            <w:r w:rsidRPr="00A820CC">
              <w:rPr>
                <w:rFonts w:ascii="Arial" w:hAnsi="Arial" w:cs="Arial"/>
                <w:b/>
                <w:spacing w:val="-1"/>
                <w:w w:val="105"/>
              </w:rPr>
              <w:t xml:space="preserve"> </w:t>
            </w:r>
            <w:r w:rsidRPr="00A820CC">
              <w:rPr>
                <w:rFonts w:ascii="Arial" w:hAnsi="Arial" w:cs="Arial"/>
                <w:b/>
                <w:spacing w:val="-2"/>
                <w:w w:val="105"/>
              </w:rPr>
              <w:t>Australia</w:t>
            </w:r>
          </w:p>
        </w:tc>
        <w:tc>
          <w:tcPr>
            <w:tcW w:w="3624" w:type="dxa"/>
            <w:tcBorders>
              <w:top w:val="single" w:sz="2" w:space="0" w:color="000000" w:themeColor="text1"/>
              <w:bottom w:val="single" w:sz="2" w:space="0" w:color="000000" w:themeColor="text1"/>
            </w:tcBorders>
            <w:tcMar>
              <w:left w:w="115" w:type="dxa"/>
              <w:right w:w="115" w:type="dxa"/>
            </w:tcMar>
          </w:tcPr>
          <w:p w14:paraId="5FF16592" w14:textId="6BDE7CEA" w:rsidR="009B7828" w:rsidRPr="00A820CC" w:rsidRDefault="00FF3BD9" w:rsidP="005C0816">
            <w:pPr>
              <w:pStyle w:val="TableParagraph"/>
              <w:spacing w:before="0" w:after="120" w:line="242" w:lineRule="auto"/>
              <w:rPr>
                <w:rFonts w:ascii="Arial" w:hAnsi="Arial" w:cs="Arial"/>
              </w:rPr>
            </w:pPr>
            <w:r w:rsidRPr="00A820CC">
              <w:rPr>
                <w:rFonts w:ascii="Arial" w:hAnsi="Arial" w:cs="Arial"/>
              </w:rPr>
              <w:t>National trauma counselling and recovery service for people of all ages and genders experiencing sexual, domestic and</w:t>
            </w:r>
            <w:r w:rsidR="00832F57">
              <w:rPr>
                <w:rFonts w:ascii="Arial" w:hAnsi="Arial" w:cs="Arial"/>
              </w:rPr>
              <w:t xml:space="preserve"> </w:t>
            </w:r>
            <w:r w:rsidRPr="00A820CC">
              <w:rPr>
                <w:rFonts w:ascii="Arial" w:hAnsi="Arial" w:cs="Arial"/>
              </w:rPr>
              <w:t>family violence. This service is free and confidential. Available 24/7.</w:t>
            </w:r>
          </w:p>
          <w:p w14:paraId="61FB8D71" w14:textId="77777777" w:rsidR="00FF3BD9" w:rsidRPr="00A820CC" w:rsidRDefault="00FF3BD9" w:rsidP="005C0816">
            <w:pPr>
              <w:pStyle w:val="TableParagraph"/>
              <w:spacing w:before="0" w:after="120" w:line="242" w:lineRule="auto"/>
              <w:rPr>
                <w:rFonts w:ascii="Arial" w:hAnsi="Arial" w:cs="Arial"/>
              </w:rPr>
            </w:pPr>
          </w:p>
        </w:tc>
        <w:tc>
          <w:tcPr>
            <w:tcW w:w="2977" w:type="dxa"/>
            <w:tcBorders>
              <w:top w:val="single" w:sz="2" w:space="0" w:color="000000" w:themeColor="text1"/>
              <w:bottom w:val="single" w:sz="2" w:space="0" w:color="000000" w:themeColor="text1"/>
            </w:tcBorders>
            <w:tcMar>
              <w:left w:w="115" w:type="dxa"/>
              <w:right w:w="115" w:type="dxa"/>
            </w:tcMar>
          </w:tcPr>
          <w:p w14:paraId="396459F2" w14:textId="77777777" w:rsidR="00832F57" w:rsidRDefault="00E049C4" w:rsidP="005C0816">
            <w:pPr>
              <w:pStyle w:val="TableParagraph"/>
              <w:spacing w:before="0" w:after="120"/>
              <w:rPr>
                <w:rFonts w:ascii="Arial" w:hAnsi="Arial" w:cs="Arial"/>
              </w:rPr>
            </w:pPr>
            <w:r w:rsidRPr="00A820CC">
              <w:rPr>
                <w:rFonts w:ascii="Arial" w:hAnsi="Arial" w:cs="Arial"/>
              </w:rPr>
              <w:t xml:space="preserve">1800 385 </w:t>
            </w:r>
            <w:r w:rsidR="009B7828" w:rsidRPr="00A820CC">
              <w:rPr>
                <w:rFonts w:ascii="Arial" w:hAnsi="Arial" w:cs="Arial"/>
              </w:rPr>
              <w:t>578</w:t>
            </w:r>
          </w:p>
          <w:p w14:paraId="3911DC16" w14:textId="112D81C1" w:rsidR="00FF3BD9" w:rsidRPr="00A820CC" w:rsidRDefault="00E32E71" w:rsidP="005C0816">
            <w:pPr>
              <w:pStyle w:val="TableParagraph"/>
              <w:spacing w:before="0" w:after="120"/>
              <w:rPr>
                <w:rFonts w:ascii="Arial" w:hAnsi="Arial" w:cs="Arial"/>
              </w:rPr>
            </w:pPr>
            <w:hyperlink r:id="rId18" w:history="1">
              <w:r w:rsidR="00832F57" w:rsidRPr="00A820CC">
                <w:rPr>
                  <w:rStyle w:val="Hyperlink"/>
                  <w:rFonts w:ascii="Arial" w:hAnsi="Arial" w:cs="Arial"/>
                </w:rPr>
                <w:t>www.fullstop.org.au</w:t>
              </w:r>
            </w:hyperlink>
          </w:p>
        </w:tc>
      </w:tr>
      <w:tr w:rsidR="005D3983" w:rsidRPr="00832F57" w14:paraId="60E62EAC" w14:textId="77777777" w:rsidTr="0035438F">
        <w:tc>
          <w:tcPr>
            <w:tcW w:w="2168" w:type="dxa"/>
            <w:tcBorders>
              <w:top w:val="single" w:sz="2" w:space="0" w:color="000000" w:themeColor="text1"/>
              <w:bottom w:val="single" w:sz="2" w:space="0" w:color="000000" w:themeColor="text1"/>
            </w:tcBorders>
            <w:tcMar>
              <w:left w:w="115" w:type="dxa"/>
              <w:right w:w="115" w:type="dxa"/>
            </w:tcMar>
          </w:tcPr>
          <w:p w14:paraId="562ECC46" w14:textId="21B86A8F" w:rsidR="005D3983" w:rsidRPr="00A820CC" w:rsidRDefault="005D3983" w:rsidP="005C0816">
            <w:pPr>
              <w:pStyle w:val="TableParagraph"/>
              <w:spacing w:before="0" w:after="120"/>
              <w:rPr>
                <w:rFonts w:ascii="Arial" w:hAnsi="Arial" w:cs="Arial"/>
                <w:b/>
                <w:w w:val="105"/>
              </w:rPr>
            </w:pPr>
            <w:r w:rsidRPr="00A820CC">
              <w:rPr>
                <w:rFonts w:ascii="Arial" w:hAnsi="Arial" w:cs="Arial"/>
                <w:b/>
                <w:w w:val="105"/>
              </w:rPr>
              <w:t>Lifeline</w:t>
            </w:r>
          </w:p>
        </w:tc>
        <w:tc>
          <w:tcPr>
            <w:tcW w:w="3624" w:type="dxa"/>
            <w:tcBorders>
              <w:top w:val="single" w:sz="2" w:space="0" w:color="000000" w:themeColor="text1"/>
              <w:bottom w:val="single" w:sz="2" w:space="0" w:color="000000" w:themeColor="text1"/>
            </w:tcBorders>
            <w:tcMar>
              <w:left w:w="115" w:type="dxa"/>
              <w:right w:w="115" w:type="dxa"/>
            </w:tcMar>
          </w:tcPr>
          <w:p w14:paraId="5C5F8D91" w14:textId="18E77D28" w:rsidR="005D3983" w:rsidRPr="00A820CC" w:rsidRDefault="005D3983" w:rsidP="005C0816">
            <w:pPr>
              <w:pStyle w:val="TableParagraph"/>
              <w:spacing w:before="0" w:after="120" w:line="242" w:lineRule="auto"/>
              <w:rPr>
                <w:rFonts w:ascii="Arial" w:hAnsi="Arial" w:cs="Arial"/>
              </w:rPr>
            </w:pPr>
            <w:r w:rsidRPr="00A820CC">
              <w:rPr>
                <w:rFonts w:ascii="Arial" w:hAnsi="Arial" w:cs="Arial"/>
              </w:rPr>
              <w:t xml:space="preserve">Lifeline is a suicide prevention service that provides people experiencing a personal crisis with </w:t>
            </w:r>
            <w:r w:rsidRPr="00A820CC">
              <w:rPr>
                <w:rFonts w:ascii="Arial" w:hAnsi="Arial" w:cs="Arial"/>
              </w:rPr>
              <w:lastRenderedPageBreak/>
              <w:t>access to 24-hour crisis support.</w:t>
            </w:r>
          </w:p>
        </w:tc>
        <w:tc>
          <w:tcPr>
            <w:tcW w:w="2977" w:type="dxa"/>
            <w:tcBorders>
              <w:top w:val="single" w:sz="2" w:space="0" w:color="000000" w:themeColor="text1"/>
              <w:bottom w:val="single" w:sz="2" w:space="0" w:color="000000" w:themeColor="text1"/>
            </w:tcBorders>
            <w:tcMar>
              <w:left w:w="115" w:type="dxa"/>
              <w:right w:w="115" w:type="dxa"/>
            </w:tcMar>
          </w:tcPr>
          <w:p w14:paraId="41CD21C8" w14:textId="19D78C67" w:rsidR="009B7828" w:rsidRPr="00A820CC" w:rsidRDefault="005D3983" w:rsidP="005C0816">
            <w:pPr>
              <w:pStyle w:val="TableParagraph"/>
              <w:spacing w:before="0" w:after="120"/>
              <w:rPr>
                <w:rStyle w:val="Hyperlink"/>
                <w:rFonts w:ascii="Arial" w:hAnsi="Arial" w:cs="Arial"/>
              </w:rPr>
            </w:pPr>
            <w:r w:rsidRPr="00A820CC">
              <w:rPr>
                <w:rFonts w:ascii="Arial" w:hAnsi="Arial" w:cs="Arial"/>
              </w:rPr>
              <w:lastRenderedPageBreak/>
              <w:t xml:space="preserve">13 11 14 or </w:t>
            </w:r>
            <w:hyperlink r:id="rId19" w:history="1">
              <w:r w:rsidRPr="00A820CC">
                <w:rPr>
                  <w:rStyle w:val="Hyperlink"/>
                  <w:rFonts w:ascii="Arial" w:hAnsi="Arial" w:cs="Arial"/>
                </w:rPr>
                <w:t>www.LifeLine.org.au</w:t>
              </w:r>
            </w:hyperlink>
          </w:p>
          <w:p w14:paraId="7595CFB8" w14:textId="7D32033C" w:rsidR="009B7828" w:rsidRPr="00A820CC" w:rsidRDefault="009B7828" w:rsidP="005C0816">
            <w:pPr>
              <w:pStyle w:val="TableParagraph"/>
              <w:spacing w:before="0" w:after="120"/>
              <w:rPr>
                <w:rStyle w:val="Hyperlink"/>
                <w:rFonts w:ascii="Arial" w:hAnsi="Arial" w:cs="Arial"/>
              </w:rPr>
            </w:pPr>
            <w:r w:rsidRPr="00A820CC">
              <w:rPr>
                <w:rStyle w:val="Hyperlink"/>
                <w:rFonts w:ascii="Arial" w:hAnsi="Arial" w:cs="Arial"/>
              </w:rPr>
              <w:t>Text 0477 13 11 14</w:t>
            </w:r>
          </w:p>
          <w:p w14:paraId="58C6E258" w14:textId="631A91A4" w:rsidR="005D3983" w:rsidRPr="00A820CC" w:rsidRDefault="009B7828" w:rsidP="005C0816">
            <w:pPr>
              <w:pStyle w:val="TableParagraph"/>
              <w:spacing w:before="0" w:after="120"/>
              <w:rPr>
                <w:rFonts w:ascii="Arial" w:hAnsi="Arial" w:cs="Arial"/>
              </w:rPr>
            </w:pPr>
            <w:r w:rsidRPr="00A820CC">
              <w:rPr>
                <w:rStyle w:val="Hyperlink"/>
                <w:rFonts w:ascii="Arial" w:hAnsi="Arial" w:cs="Arial"/>
              </w:rPr>
              <w:lastRenderedPageBreak/>
              <w:t>Call, Text and Online Chat services available 24/7</w:t>
            </w:r>
          </w:p>
        </w:tc>
      </w:tr>
      <w:tr w:rsidR="005D3983" w:rsidRPr="00832F57" w14:paraId="6BEB8F3B" w14:textId="77777777" w:rsidTr="0035438F">
        <w:tc>
          <w:tcPr>
            <w:tcW w:w="2168" w:type="dxa"/>
            <w:tcBorders>
              <w:top w:val="single" w:sz="2" w:space="0" w:color="000000" w:themeColor="text1"/>
              <w:bottom w:val="single" w:sz="2" w:space="0" w:color="000000" w:themeColor="text1"/>
            </w:tcBorders>
            <w:tcMar>
              <w:left w:w="115" w:type="dxa"/>
              <w:right w:w="115" w:type="dxa"/>
            </w:tcMar>
          </w:tcPr>
          <w:p w14:paraId="1ED698B2" w14:textId="147E0149" w:rsidR="005D3983" w:rsidRPr="00A820CC" w:rsidRDefault="005D3983" w:rsidP="005C0816">
            <w:pPr>
              <w:pStyle w:val="TableParagraph"/>
              <w:spacing w:before="0" w:after="120"/>
              <w:rPr>
                <w:rFonts w:ascii="Arial" w:hAnsi="Arial" w:cs="Arial"/>
                <w:b/>
                <w:w w:val="105"/>
              </w:rPr>
            </w:pPr>
            <w:r w:rsidRPr="00A820CC">
              <w:rPr>
                <w:rFonts w:ascii="Arial" w:hAnsi="Arial" w:cs="Arial"/>
                <w:b/>
              </w:rPr>
              <w:lastRenderedPageBreak/>
              <w:t>National Suicide Callback Services</w:t>
            </w:r>
          </w:p>
        </w:tc>
        <w:tc>
          <w:tcPr>
            <w:tcW w:w="3624" w:type="dxa"/>
            <w:tcBorders>
              <w:top w:val="single" w:sz="2" w:space="0" w:color="000000" w:themeColor="text1"/>
              <w:bottom w:val="single" w:sz="2" w:space="0" w:color="000000" w:themeColor="text1"/>
            </w:tcBorders>
            <w:tcMar>
              <w:left w:w="115" w:type="dxa"/>
              <w:right w:w="115" w:type="dxa"/>
            </w:tcMar>
          </w:tcPr>
          <w:p w14:paraId="29ACB37E" w14:textId="2AD709C3" w:rsidR="005D3983" w:rsidRPr="00A820CC" w:rsidRDefault="005D3983" w:rsidP="005C0816">
            <w:pPr>
              <w:pStyle w:val="TableParagraph"/>
              <w:spacing w:before="0" w:after="120" w:line="242" w:lineRule="auto"/>
              <w:rPr>
                <w:rFonts w:ascii="Arial" w:hAnsi="Arial" w:cs="Arial"/>
              </w:rPr>
            </w:pPr>
            <w:r w:rsidRPr="00A820CC">
              <w:rPr>
                <w:rFonts w:ascii="Arial" w:hAnsi="Arial" w:cs="Arial"/>
              </w:rPr>
              <w:t>Suicide Call Back Service offers free professional 24/7 telephone counselling support to people at risk of suicide, concerned about someone at risk, bereaved by suicide and people experiencing emotional or mental health issues.</w:t>
            </w:r>
          </w:p>
        </w:tc>
        <w:tc>
          <w:tcPr>
            <w:tcW w:w="2977" w:type="dxa"/>
            <w:tcBorders>
              <w:top w:val="single" w:sz="2" w:space="0" w:color="000000" w:themeColor="text1"/>
              <w:bottom w:val="single" w:sz="2" w:space="0" w:color="000000" w:themeColor="text1"/>
            </w:tcBorders>
            <w:tcMar>
              <w:left w:w="115" w:type="dxa"/>
              <w:right w:w="115" w:type="dxa"/>
            </w:tcMar>
          </w:tcPr>
          <w:p w14:paraId="616E9F8B" w14:textId="4E66D966" w:rsidR="005D3983" w:rsidRPr="00A820CC" w:rsidRDefault="005D3983" w:rsidP="005C0816">
            <w:pPr>
              <w:pStyle w:val="TableParagraph"/>
              <w:spacing w:before="0" w:after="120"/>
              <w:rPr>
                <w:rFonts w:ascii="Arial" w:hAnsi="Arial" w:cs="Arial"/>
              </w:rPr>
            </w:pPr>
            <w:r w:rsidRPr="00A820CC">
              <w:rPr>
                <w:rFonts w:ascii="Arial" w:hAnsi="Arial" w:cs="Arial"/>
              </w:rPr>
              <w:t xml:space="preserve">1300 659 467 or </w:t>
            </w:r>
            <w:hyperlink r:id="rId20" w:history="1">
              <w:r w:rsidR="009B7828" w:rsidRPr="00A820CC">
                <w:rPr>
                  <w:rStyle w:val="Hyperlink"/>
                  <w:rFonts w:ascii="Arial" w:hAnsi="Arial" w:cs="Arial"/>
                </w:rPr>
                <w:t>www.suicidecallbackservice.org.au</w:t>
              </w:r>
            </w:hyperlink>
            <w:r w:rsidR="009B7828" w:rsidRPr="00A820CC">
              <w:rPr>
                <w:rFonts w:ascii="Arial" w:hAnsi="Arial" w:cs="Arial"/>
              </w:rPr>
              <w:t xml:space="preserve"> </w:t>
            </w:r>
            <w:hyperlink r:id="rId21" w:history="1">
              <w:r w:rsidRPr="00A820CC">
                <w:rPr>
                  <w:rStyle w:val="Hyperlink"/>
                  <w:rFonts w:ascii="Arial" w:hAnsi="Arial" w:cs="Arial"/>
                </w:rPr>
                <w:t>www.suicidecallbackservices.org.au</w:t>
              </w:r>
            </w:hyperlink>
          </w:p>
        </w:tc>
      </w:tr>
      <w:tr w:rsidR="005D3983" w:rsidRPr="00832F57" w14:paraId="69C160DD" w14:textId="77777777" w:rsidTr="0035438F">
        <w:tc>
          <w:tcPr>
            <w:tcW w:w="2168" w:type="dxa"/>
            <w:tcBorders>
              <w:top w:val="single" w:sz="2" w:space="0" w:color="000000" w:themeColor="text1"/>
              <w:bottom w:val="single" w:sz="2" w:space="0" w:color="000000" w:themeColor="text1"/>
            </w:tcBorders>
            <w:tcMar>
              <w:left w:w="115" w:type="dxa"/>
              <w:right w:w="115" w:type="dxa"/>
            </w:tcMar>
          </w:tcPr>
          <w:p w14:paraId="6EE2D305" w14:textId="0BE4CFCA" w:rsidR="005D3983" w:rsidRPr="00A820CC" w:rsidRDefault="005D3983" w:rsidP="005C0816">
            <w:pPr>
              <w:pStyle w:val="TableParagraph"/>
              <w:spacing w:before="0" w:after="120"/>
              <w:rPr>
                <w:rFonts w:ascii="Arial" w:hAnsi="Arial" w:cs="Arial"/>
                <w:b/>
              </w:rPr>
            </w:pPr>
            <w:r w:rsidRPr="00A820CC">
              <w:rPr>
                <w:rFonts w:ascii="Arial" w:hAnsi="Arial" w:cs="Arial"/>
                <w:b/>
              </w:rPr>
              <w:t>Beyond Blue</w:t>
            </w:r>
          </w:p>
        </w:tc>
        <w:tc>
          <w:tcPr>
            <w:tcW w:w="3624" w:type="dxa"/>
            <w:tcBorders>
              <w:top w:val="single" w:sz="2" w:space="0" w:color="000000" w:themeColor="text1"/>
              <w:bottom w:val="single" w:sz="2" w:space="0" w:color="000000" w:themeColor="text1"/>
            </w:tcBorders>
            <w:tcMar>
              <w:left w:w="115" w:type="dxa"/>
              <w:right w:w="115" w:type="dxa"/>
            </w:tcMar>
          </w:tcPr>
          <w:p w14:paraId="0EC6526B" w14:textId="5AFD148A" w:rsidR="005D3983" w:rsidRPr="00A820CC" w:rsidRDefault="005D3983" w:rsidP="005C0816">
            <w:pPr>
              <w:pStyle w:val="TableParagraph"/>
              <w:spacing w:before="0" w:after="120" w:line="242" w:lineRule="auto"/>
              <w:rPr>
                <w:rFonts w:ascii="Arial" w:hAnsi="Arial" w:cs="Arial"/>
              </w:rPr>
            </w:pPr>
            <w:r w:rsidRPr="00A820CC">
              <w:rPr>
                <w:rFonts w:ascii="Arial" w:hAnsi="Arial" w:cs="Arial"/>
              </w:rPr>
              <w:t>Beyond Blue provides support programs to address issues related to depression, suicide, anxiety disorders and other related mental health issues.</w:t>
            </w:r>
          </w:p>
        </w:tc>
        <w:tc>
          <w:tcPr>
            <w:tcW w:w="2977" w:type="dxa"/>
            <w:tcBorders>
              <w:top w:val="single" w:sz="2" w:space="0" w:color="000000" w:themeColor="text1"/>
              <w:bottom w:val="single" w:sz="2" w:space="0" w:color="000000" w:themeColor="text1"/>
            </w:tcBorders>
            <w:tcMar>
              <w:left w:w="115" w:type="dxa"/>
              <w:right w:w="115" w:type="dxa"/>
            </w:tcMar>
          </w:tcPr>
          <w:p w14:paraId="1968C085" w14:textId="77777777" w:rsidR="009B7828" w:rsidRPr="00A820CC" w:rsidRDefault="005D3983" w:rsidP="005C0816">
            <w:pPr>
              <w:pStyle w:val="TableParagraph"/>
              <w:spacing w:before="0" w:after="120"/>
              <w:rPr>
                <w:rFonts w:ascii="Arial" w:hAnsi="Arial" w:cs="Arial"/>
              </w:rPr>
            </w:pPr>
            <w:r w:rsidRPr="00A820CC">
              <w:rPr>
                <w:rFonts w:ascii="Arial" w:hAnsi="Arial" w:cs="Arial"/>
              </w:rPr>
              <w:t xml:space="preserve">1300 </w:t>
            </w:r>
            <w:r w:rsidR="009B7828" w:rsidRPr="00A820CC">
              <w:rPr>
                <w:rFonts w:ascii="Arial" w:hAnsi="Arial" w:cs="Arial"/>
              </w:rPr>
              <w:t xml:space="preserve">224 636 for phone counselling </w:t>
            </w:r>
          </w:p>
          <w:p w14:paraId="62AE726D" w14:textId="02B3215E" w:rsidR="009B7828" w:rsidRPr="00A820CC" w:rsidRDefault="005D3983" w:rsidP="005C0816">
            <w:pPr>
              <w:pStyle w:val="TableParagraph"/>
              <w:spacing w:before="0" w:after="120"/>
              <w:rPr>
                <w:rStyle w:val="Hyperlink"/>
                <w:rFonts w:ascii="Arial" w:hAnsi="Arial" w:cs="Arial"/>
                <w:b/>
                <w:u w:val="single"/>
              </w:rPr>
            </w:pPr>
            <w:r w:rsidRPr="00A820CC">
              <w:rPr>
                <w:rFonts w:ascii="Arial" w:hAnsi="Arial" w:cs="Arial"/>
              </w:rPr>
              <w:t xml:space="preserve">22 4636 or </w:t>
            </w:r>
            <w:hyperlink r:id="rId22" w:history="1">
              <w:r w:rsidRPr="00A820CC">
                <w:rPr>
                  <w:rStyle w:val="Hyperlink"/>
                  <w:rFonts w:ascii="Arial" w:hAnsi="Arial" w:cs="Arial"/>
                </w:rPr>
                <w:t>www.Beyond.Blue.org.au</w:t>
              </w:r>
            </w:hyperlink>
          </w:p>
          <w:p w14:paraId="6954800D" w14:textId="2D13BD56" w:rsidR="005D3983" w:rsidRPr="00A820CC" w:rsidRDefault="009B7828" w:rsidP="005C0816">
            <w:pPr>
              <w:pStyle w:val="TableParagraph"/>
              <w:spacing w:before="0" w:after="120"/>
              <w:rPr>
                <w:rFonts w:ascii="Arial" w:hAnsi="Arial" w:cs="Arial"/>
              </w:rPr>
            </w:pPr>
            <w:r w:rsidRPr="00A820CC">
              <w:rPr>
                <w:rFonts w:ascii="Arial" w:hAnsi="Arial" w:cs="Arial"/>
              </w:rPr>
              <w:t>Online peer support forums and mental health coaching available</w:t>
            </w:r>
          </w:p>
        </w:tc>
      </w:tr>
      <w:tr w:rsidR="00FF3BD9" w:rsidRPr="00832F57" w14:paraId="1D671AF4" w14:textId="77777777" w:rsidTr="0035438F">
        <w:tc>
          <w:tcPr>
            <w:tcW w:w="2168" w:type="dxa"/>
            <w:tcBorders>
              <w:top w:val="single" w:sz="2" w:space="0" w:color="000000" w:themeColor="text1"/>
              <w:bottom w:val="single" w:sz="2" w:space="0" w:color="000000" w:themeColor="text1"/>
            </w:tcBorders>
            <w:tcMar>
              <w:left w:w="115" w:type="dxa"/>
              <w:right w:w="115" w:type="dxa"/>
            </w:tcMar>
          </w:tcPr>
          <w:p w14:paraId="78C320FF" w14:textId="77777777" w:rsidR="00FF3BD9" w:rsidRPr="00A820CC" w:rsidRDefault="00FF3BD9" w:rsidP="005C0816">
            <w:pPr>
              <w:pStyle w:val="TableParagraph"/>
              <w:spacing w:before="0" w:after="120"/>
              <w:rPr>
                <w:rFonts w:ascii="Arial" w:hAnsi="Arial" w:cs="Arial"/>
                <w:b/>
                <w:w w:val="105"/>
              </w:rPr>
            </w:pPr>
            <w:r w:rsidRPr="00A820CC">
              <w:rPr>
                <w:rFonts w:ascii="Arial" w:hAnsi="Arial" w:cs="Arial"/>
                <w:b/>
                <w:w w:val="105"/>
              </w:rPr>
              <w:t>Kids Helpline</w:t>
            </w:r>
          </w:p>
          <w:p w14:paraId="70D5C275" w14:textId="77777777" w:rsidR="00FF3BD9" w:rsidRPr="00A820CC" w:rsidRDefault="00FF3BD9" w:rsidP="005C0816">
            <w:pPr>
              <w:pStyle w:val="TableParagraph"/>
              <w:spacing w:before="0" w:after="120"/>
              <w:rPr>
                <w:rFonts w:ascii="Arial" w:hAnsi="Arial" w:cs="Arial"/>
                <w:b/>
                <w:w w:val="105"/>
              </w:rPr>
            </w:pPr>
          </w:p>
        </w:tc>
        <w:tc>
          <w:tcPr>
            <w:tcW w:w="3624" w:type="dxa"/>
            <w:tcBorders>
              <w:top w:val="single" w:sz="2" w:space="0" w:color="000000" w:themeColor="text1"/>
              <w:bottom w:val="single" w:sz="2" w:space="0" w:color="000000" w:themeColor="text1"/>
            </w:tcBorders>
            <w:tcMar>
              <w:left w:w="115" w:type="dxa"/>
              <w:right w:w="115" w:type="dxa"/>
            </w:tcMar>
          </w:tcPr>
          <w:p w14:paraId="5391EB07" w14:textId="695349D5" w:rsidR="00FF3BD9" w:rsidRPr="00A820CC" w:rsidRDefault="00FF3BD9" w:rsidP="005C0816">
            <w:pPr>
              <w:pStyle w:val="TableParagraph"/>
              <w:spacing w:before="0" w:after="120" w:line="242" w:lineRule="auto"/>
              <w:rPr>
                <w:rFonts w:ascii="Arial" w:hAnsi="Arial" w:cs="Arial"/>
              </w:rPr>
            </w:pPr>
            <w:r w:rsidRPr="00A820CC">
              <w:rPr>
                <w:rFonts w:ascii="Arial" w:hAnsi="Arial" w:cs="Arial"/>
              </w:rPr>
              <w:t>Kids Helpline is a free, confidential 24/7 online and phone counselling service for young people aged 5 to 25, that is available for any reason. Qualified counsellors can assist via WebChat, phone or email.</w:t>
            </w:r>
          </w:p>
        </w:tc>
        <w:tc>
          <w:tcPr>
            <w:tcW w:w="2977" w:type="dxa"/>
            <w:tcBorders>
              <w:top w:val="single" w:sz="2" w:space="0" w:color="000000" w:themeColor="text1"/>
              <w:bottom w:val="single" w:sz="2" w:space="0" w:color="000000" w:themeColor="text1"/>
            </w:tcBorders>
            <w:tcMar>
              <w:left w:w="115" w:type="dxa"/>
              <w:right w:w="115" w:type="dxa"/>
            </w:tcMar>
          </w:tcPr>
          <w:p w14:paraId="1FF2545F" w14:textId="3B446D0F" w:rsidR="00FF3BD9" w:rsidRPr="00A820CC" w:rsidRDefault="00FF3BD9" w:rsidP="005C0816">
            <w:pPr>
              <w:pStyle w:val="TableParagraph"/>
              <w:spacing w:before="0" w:after="120"/>
              <w:rPr>
                <w:rFonts w:ascii="Arial" w:hAnsi="Arial" w:cs="Arial"/>
              </w:rPr>
            </w:pPr>
            <w:r w:rsidRPr="00A820CC">
              <w:rPr>
                <w:rFonts w:ascii="Arial" w:hAnsi="Arial" w:cs="Arial"/>
              </w:rPr>
              <w:t>1800 551</w:t>
            </w:r>
            <w:r w:rsidR="00592E71">
              <w:rPr>
                <w:rFonts w:ascii="Arial" w:hAnsi="Arial" w:cs="Arial"/>
              </w:rPr>
              <w:t xml:space="preserve"> </w:t>
            </w:r>
            <w:r w:rsidRPr="00A820CC">
              <w:rPr>
                <w:rFonts w:ascii="Arial" w:hAnsi="Arial" w:cs="Arial"/>
              </w:rPr>
              <w:t>800</w:t>
            </w:r>
          </w:p>
          <w:p w14:paraId="30CA36E1" w14:textId="77777777" w:rsidR="009B7828" w:rsidRPr="00A820CC" w:rsidRDefault="009B7828" w:rsidP="005C0816">
            <w:pPr>
              <w:pStyle w:val="TableParagraph"/>
              <w:spacing w:before="0" w:after="120"/>
              <w:rPr>
                <w:rFonts w:ascii="Arial" w:hAnsi="Arial" w:cs="Arial"/>
              </w:rPr>
            </w:pPr>
            <w:r w:rsidRPr="00A820CC">
              <w:rPr>
                <w:rFonts w:ascii="Arial" w:hAnsi="Arial" w:cs="Arial"/>
              </w:rPr>
              <w:t>Web chat available 24/7</w:t>
            </w:r>
          </w:p>
          <w:p w14:paraId="58A82469" w14:textId="77777777" w:rsidR="009B7828" w:rsidRPr="00A820CC" w:rsidRDefault="00E32E71" w:rsidP="005C0816">
            <w:pPr>
              <w:pStyle w:val="TableParagraph"/>
              <w:spacing w:before="0" w:after="120"/>
              <w:rPr>
                <w:rFonts w:ascii="Arial" w:hAnsi="Arial" w:cs="Arial"/>
              </w:rPr>
            </w:pPr>
            <w:hyperlink r:id="rId23" w:history="1">
              <w:r w:rsidR="009B7828" w:rsidRPr="00A820CC">
                <w:rPr>
                  <w:rStyle w:val="Hyperlink"/>
                  <w:rFonts w:ascii="Arial" w:hAnsi="Arial" w:cs="Arial"/>
                </w:rPr>
                <w:t>www.kidshelpline.com.au</w:t>
              </w:r>
            </w:hyperlink>
          </w:p>
          <w:p w14:paraId="2E9B7869" w14:textId="4B18BBE1" w:rsidR="00FF3BD9" w:rsidRPr="00A820CC" w:rsidRDefault="00E32E71" w:rsidP="005C0816">
            <w:pPr>
              <w:pStyle w:val="TableParagraph"/>
              <w:spacing w:before="0" w:after="120"/>
              <w:rPr>
                <w:rFonts w:ascii="Arial" w:hAnsi="Arial" w:cs="Arial"/>
              </w:rPr>
            </w:pPr>
            <w:hyperlink r:id="rId24" w:history="1">
              <w:r w:rsidR="009B7828" w:rsidRPr="00A820CC">
                <w:rPr>
                  <w:rStyle w:val="Hyperlink"/>
                  <w:rFonts w:ascii="Arial" w:hAnsi="Arial" w:cs="Arial"/>
                </w:rPr>
                <w:t>counsellor@kidshelpline.com.au</w:t>
              </w:r>
            </w:hyperlink>
          </w:p>
        </w:tc>
      </w:tr>
      <w:tr w:rsidR="005D3983" w:rsidRPr="00832F57" w14:paraId="44B7D9D9" w14:textId="77777777" w:rsidTr="0035438F">
        <w:tc>
          <w:tcPr>
            <w:tcW w:w="2168" w:type="dxa"/>
            <w:tcBorders>
              <w:top w:val="single" w:sz="2" w:space="0" w:color="000000" w:themeColor="text1"/>
              <w:bottom w:val="single" w:sz="2" w:space="0" w:color="000000" w:themeColor="text1"/>
            </w:tcBorders>
            <w:tcMar>
              <w:left w:w="115" w:type="dxa"/>
              <w:right w:w="115" w:type="dxa"/>
            </w:tcMar>
          </w:tcPr>
          <w:p w14:paraId="7AB344E6" w14:textId="37DCEAF1" w:rsidR="005D3983" w:rsidRPr="00A820CC" w:rsidRDefault="005D3983" w:rsidP="005C0816">
            <w:pPr>
              <w:pStyle w:val="TableParagraph"/>
              <w:spacing w:before="0" w:after="120"/>
              <w:rPr>
                <w:rFonts w:ascii="Arial" w:hAnsi="Arial" w:cs="Arial"/>
                <w:b/>
                <w:w w:val="105"/>
              </w:rPr>
            </w:pPr>
            <w:r w:rsidRPr="00A820CC">
              <w:rPr>
                <w:rFonts w:ascii="Arial" w:hAnsi="Arial" w:cs="Arial"/>
                <w:b/>
                <w:w w:val="105"/>
              </w:rPr>
              <w:t>1800ELDERHelp</w:t>
            </w:r>
          </w:p>
        </w:tc>
        <w:tc>
          <w:tcPr>
            <w:tcW w:w="3624" w:type="dxa"/>
            <w:tcBorders>
              <w:top w:val="single" w:sz="2" w:space="0" w:color="000000" w:themeColor="text1"/>
              <w:bottom w:val="single" w:sz="2" w:space="0" w:color="000000" w:themeColor="text1"/>
            </w:tcBorders>
            <w:tcMar>
              <w:left w:w="115" w:type="dxa"/>
              <w:right w:w="115" w:type="dxa"/>
            </w:tcMar>
          </w:tcPr>
          <w:p w14:paraId="4A671A00" w14:textId="2A18A100" w:rsidR="005D3983" w:rsidRPr="00A820CC" w:rsidRDefault="005D3983" w:rsidP="005C0816">
            <w:pPr>
              <w:pStyle w:val="TableParagraph"/>
              <w:spacing w:before="0" w:after="120" w:line="242" w:lineRule="auto"/>
              <w:rPr>
                <w:rFonts w:ascii="Arial" w:hAnsi="Arial" w:cs="Arial"/>
              </w:rPr>
            </w:pPr>
            <w:r w:rsidRPr="00A820CC">
              <w:rPr>
                <w:rFonts w:ascii="Arial" w:hAnsi="Arial" w:cs="Arial"/>
              </w:rPr>
              <w:t xml:space="preserve">ElderHELP is a free call phone number that automatically redirects callers seeking information and advice on </w:t>
            </w:r>
            <w:r w:rsidR="0027045A">
              <w:rPr>
                <w:rFonts w:ascii="Arial" w:hAnsi="Arial" w:cs="Arial"/>
              </w:rPr>
              <w:t>E</w:t>
            </w:r>
            <w:r w:rsidRPr="00A820CC">
              <w:rPr>
                <w:rFonts w:ascii="Arial" w:hAnsi="Arial" w:cs="Arial"/>
              </w:rPr>
              <w:t xml:space="preserve">lder abuse </w:t>
            </w:r>
            <w:r w:rsidR="0027045A">
              <w:rPr>
                <w:rFonts w:ascii="Arial" w:hAnsi="Arial" w:cs="Arial"/>
              </w:rPr>
              <w:t>to</w:t>
            </w:r>
            <w:r w:rsidR="0027045A" w:rsidRPr="00A820CC">
              <w:rPr>
                <w:rFonts w:ascii="Arial" w:hAnsi="Arial" w:cs="Arial"/>
              </w:rPr>
              <w:t xml:space="preserve"> </w:t>
            </w:r>
            <w:r w:rsidRPr="00A820CC">
              <w:rPr>
                <w:rFonts w:ascii="Arial" w:hAnsi="Arial" w:cs="Arial"/>
              </w:rPr>
              <w:t>the phone service in their state or territory.</w:t>
            </w:r>
          </w:p>
        </w:tc>
        <w:tc>
          <w:tcPr>
            <w:tcW w:w="2977" w:type="dxa"/>
            <w:tcBorders>
              <w:top w:val="single" w:sz="2" w:space="0" w:color="000000" w:themeColor="text1"/>
              <w:bottom w:val="single" w:sz="2" w:space="0" w:color="000000" w:themeColor="text1"/>
            </w:tcBorders>
            <w:tcMar>
              <w:left w:w="115" w:type="dxa"/>
              <w:right w:w="115" w:type="dxa"/>
            </w:tcMar>
          </w:tcPr>
          <w:p w14:paraId="705D41F2" w14:textId="533776C3" w:rsidR="005D3983" w:rsidRPr="00A820CC" w:rsidRDefault="005D3983" w:rsidP="005C0816">
            <w:pPr>
              <w:pStyle w:val="TableParagraph"/>
              <w:spacing w:before="0" w:after="120"/>
              <w:rPr>
                <w:rFonts w:ascii="Arial" w:hAnsi="Arial" w:cs="Arial"/>
              </w:rPr>
            </w:pPr>
            <w:r w:rsidRPr="00A820CC">
              <w:rPr>
                <w:rFonts w:ascii="Arial" w:hAnsi="Arial" w:cs="Arial"/>
              </w:rPr>
              <w:t>1800 353 374</w:t>
            </w:r>
          </w:p>
        </w:tc>
      </w:tr>
      <w:tr w:rsidR="00FF3BD9" w:rsidRPr="00832F57" w14:paraId="6EFB8DB4" w14:textId="77777777" w:rsidTr="0035438F">
        <w:tc>
          <w:tcPr>
            <w:tcW w:w="2168" w:type="dxa"/>
            <w:tcBorders>
              <w:top w:val="single" w:sz="2" w:space="0" w:color="000000" w:themeColor="text1"/>
              <w:bottom w:val="single" w:sz="2" w:space="0" w:color="000000" w:themeColor="text1"/>
            </w:tcBorders>
            <w:tcMar>
              <w:left w:w="115" w:type="dxa"/>
              <w:right w:w="115" w:type="dxa"/>
            </w:tcMar>
          </w:tcPr>
          <w:p w14:paraId="1781CF12" w14:textId="77777777" w:rsidR="00FF3BD9" w:rsidRPr="00A820CC" w:rsidRDefault="00FF3BD9" w:rsidP="005C0816">
            <w:pPr>
              <w:pStyle w:val="TableParagraph"/>
              <w:spacing w:before="0" w:after="120" w:line="242" w:lineRule="auto"/>
              <w:rPr>
                <w:rFonts w:ascii="Arial" w:hAnsi="Arial" w:cs="Arial"/>
                <w:b/>
              </w:rPr>
            </w:pPr>
            <w:r w:rsidRPr="00A820CC">
              <w:rPr>
                <w:rFonts w:ascii="Arial" w:hAnsi="Arial" w:cs="Arial"/>
                <w:b/>
                <w:w w:val="105"/>
              </w:rPr>
              <w:t>Rainbow Sexual, Domestic</w:t>
            </w:r>
            <w:r w:rsidRPr="00A820CC">
              <w:rPr>
                <w:rFonts w:ascii="Arial" w:hAnsi="Arial" w:cs="Arial"/>
                <w:b/>
                <w:spacing w:val="-14"/>
                <w:w w:val="105"/>
              </w:rPr>
              <w:t xml:space="preserve"> </w:t>
            </w:r>
            <w:r w:rsidRPr="00A820CC">
              <w:rPr>
                <w:rFonts w:ascii="Arial" w:hAnsi="Arial" w:cs="Arial"/>
                <w:b/>
                <w:w w:val="105"/>
              </w:rPr>
              <w:t>and</w:t>
            </w:r>
            <w:r w:rsidRPr="00A820CC">
              <w:rPr>
                <w:rFonts w:ascii="Arial" w:hAnsi="Arial" w:cs="Arial"/>
                <w:b/>
                <w:spacing w:val="-14"/>
                <w:w w:val="105"/>
              </w:rPr>
              <w:t xml:space="preserve"> </w:t>
            </w:r>
            <w:r w:rsidRPr="00A820CC">
              <w:rPr>
                <w:rFonts w:ascii="Arial" w:hAnsi="Arial" w:cs="Arial"/>
                <w:b/>
                <w:w w:val="105"/>
              </w:rPr>
              <w:t>Family Violence Helpline</w:t>
            </w:r>
          </w:p>
        </w:tc>
        <w:tc>
          <w:tcPr>
            <w:tcW w:w="3624" w:type="dxa"/>
            <w:tcBorders>
              <w:top w:val="single" w:sz="2" w:space="0" w:color="000000" w:themeColor="text1"/>
              <w:bottom w:val="single" w:sz="2" w:space="0" w:color="000000" w:themeColor="text1"/>
            </w:tcBorders>
            <w:tcMar>
              <w:left w:w="115" w:type="dxa"/>
              <w:right w:w="115" w:type="dxa"/>
            </w:tcMar>
          </w:tcPr>
          <w:p w14:paraId="69F1A381" w14:textId="77777777" w:rsidR="00FF3BD9" w:rsidRPr="00A820CC" w:rsidRDefault="00FF3BD9" w:rsidP="005C0816">
            <w:pPr>
              <w:pStyle w:val="TableParagraph"/>
              <w:spacing w:before="0" w:after="120" w:line="242" w:lineRule="auto"/>
              <w:rPr>
                <w:rFonts w:ascii="Arial" w:hAnsi="Arial" w:cs="Arial"/>
              </w:rPr>
            </w:pPr>
            <w:r w:rsidRPr="00A820CC">
              <w:rPr>
                <w:rFonts w:ascii="Arial" w:hAnsi="Arial" w:cs="Arial"/>
              </w:rPr>
              <w:t>For anyone from the LGBTIQA+ community whose life has been impacted by sexual domestic</w:t>
            </w:r>
            <w:r w:rsidRPr="00A820CC">
              <w:rPr>
                <w:rFonts w:ascii="Arial" w:hAnsi="Arial" w:cs="Arial"/>
                <w:spacing w:val="-13"/>
              </w:rPr>
              <w:t xml:space="preserve"> </w:t>
            </w:r>
            <w:r w:rsidRPr="00A820CC">
              <w:rPr>
                <w:rFonts w:ascii="Arial" w:hAnsi="Arial" w:cs="Arial"/>
              </w:rPr>
              <w:t>and/or</w:t>
            </w:r>
            <w:r w:rsidRPr="00A820CC">
              <w:rPr>
                <w:rFonts w:ascii="Arial" w:hAnsi="Arial" w:cs="Arial"/>
                <w:spacing w:val="-13"/>
              </w:rPr>
              <w:t xml:space="preserve"> </w:t>
            </w:r>
            <w:r w:rsidRPr="00A820CC">
              <w:rPr>
                <w:rFonts w:ascii="Arial" w:hAnsi="Arial" w:cs="Arial"/>
              </w:rPr>
              <w:t>family</w:t>
            </w:r>
            <w:r w:rsidRPr="00A820CC">
              <w:rPr>
                <w:rFonts w:ascii="Arial" w:hAnsi="Arial" w:cs="Arial"/>
                <w:spacing w:val="-13"/>
              </w:rPr>
              <w:t xml:space="preserve"> </w:t>
            </w:r>
            <w:r w:rsidRPr="00A820CC">
              <w:rPr>
                <w:rFonts w:ascii="Arial" w:hAnsi="Arial" w:cs="Arial"/>
              </w:rPr>
              <w:t>violence.</w:t>
            </w:r>
            <w:r w:rsidRPr="00A820CC">
              <w:rPr>
                <w:rFonts w:ascii="Arial" w:hAnsi="Arial" w:cs="Arial"/>
                <w:spacing w:val="-13"/>
              </w:rPr>
              <w:t xml:space="preserve"> </w:t>
            </w:r>
            <w:r w:rsidRPr="00A820CC">
              <w:rPr>
                <w:rFonts w:ascii="Arial" w:hAnsi="Arial" w:cs="Arial"/>
              </w:rPr>
              <w:t>This</w:t>
            </w:r>
            <w:r w:rsidRPr="00A820CC">
              <w:rPr>
                <w:rFonts w:ascii="Arial" w:hAnsi="Arial" w:cs="Arial"/>
                <w:spacing w:val="-13"/>
              </w:rPr>
              <w:t xml:space="preserve"> </w:t>
            </w:r>
            <w:r w:rsidRPr="00A820CC">
              <w:rPr>
                <w:rFonts w:ascii="Arial" w:hAnsi="Arial" w:cs="Arial"/>
              </w:rPr>
              <w:t>service is free and confidential. Available 24/7.</w:t>
            </w:r>
          </w:p>
        </w:tc>
        <w:tc>
          <w:tcPr>
            <w:tcW w:w="2977" w:type="dxa"/>
            <w:tcBorders>
              <w:top w:val="single" w:sz="2" w:space="0" w:color="000000" w:themeColor="text1"/>
              <w:bottom w:val="single" w:sz="2" w:space="0" w:color="000000" w:themeColor="text1"/>
            </w:tcBorders>
            <w:tcMar>
              <w:left w:w="115" w:type="dxa"/>
              <w:right w:w="115" w:type="dxa"/>
            </w:tcMar>
          </w:tcPr>
          <w:p w14:paraId="2737BD4F" w14:textId="77777777" w:rsidR="009B7828" w:rsidRPr="00A820CC" w:rsidRDefault="00FF3BD9" w:rsidP="005C0816">
            <w:pPr>
              <w:pStyle w:val="TableParagraph"/>
              <w:spacing w:before="0" w:after="120"/>
              <w:rPr>
                <w:rFonts w:ascii="Arial" w:hAnsi="Arial" w:cs="Arial"/>
                <w:spacing w:val="-5"/>
              </w:rPr>
            </w:pPr>
            <w:r w:rsidRPr="00A820CC">
              <w:rPr>
                <w:rFonts w:ascii="Arial" w:hAnsi="Arial" w:cs="Arial"/>
              </w:rPr>
              <w:t>1800</w:t>
            </w:r>
            <w:r w:rsidRPr="00A820CC">
              <w:rPr>
                <w:rFonts w:ascii="Arial" w:hAnsi="Arial" w:cs="Arial"/>
                <w:spacing w:val="1"/>
              </w:rPr>
              <w:t xml:space="preserve"> </w:t>
            </w:r>
            <w:r w:rsidRPr="00A820CC">
              <w:rPr>
                <w:rFonts w:ascii="Arial" w:hAnsi="Arial" w:cs="Arial"/>
              </w:rPr>
              <w:t>497</w:t>
            </w:r>
            <w:r w:rsidRPr="00A820CC">
              <w:rPr>
                <w:rFonts w:ascii="Arial" w:hAnsi="Arial" w:cs="Arial"/>
                <w:spacing w:val="1"/>
              </w:rPr>
              <w:t xml:space="preserve"> </w:t>
            </w:r>
            <w:r w:rsidRPr="00A820CC">
              <w:rPr>
                <w:rFonts w:ascii="Arial" w:hAnsi="Arial" w:cs="Arial"/>
                <w:spacing w:val="-5"/>
              </w:rPr>
              <w:t>212</w:t>
            </w:r>
          </w:p>
          <w:p w14:paraId="761A6E04" w14:textId="0DE55259" w:rsidR="00FF3BD9" w:rsidRPr="00A820CC" w:rsidRDefault="00E32E71" w:rsidP="005C0816">
            <w:pPr>
              <w:pStyle w:val="TableParagraph"/>
              <w:spacing w:before="0" w:after="120"/>
              <w:rPr>
                <w:rFonts w:ascii="Arial" w:hAnsi="Arial" w:cs="Arial"/>
              </w:rPr>
            </w:pPr>
            <w:hyperlink r:id="rId25" w:history="1">
              <w:r w:rsidR="009B7828" w:rsidRPr="00A820CC">
                <w:rPr>
                  <w:rStyle w:val="Hyperlink"/>
                  <w:rFonts w:ascii="Arial" w:hAnsi="Arial" w:cs="Arial"/>
                  <w:spacing w:val="-5"/>
                </w:rPr>
                <w:t>www.fullstop.org.au</w:t>
              </w:r>
            </w:hyperlink>
          </w:p>
        </w:tc>
      </w:tr>
      <w:tr w:rsidR="00FF3BD9" w:rsidRPr="00832F57" w14:paraId="40BE095B" w14:textId="77777777" w:rsidTr="0035438F">
        <w:tc>
          <w:tcPr>
            <w:tcW w:w="2168" w:type="dxa"/>
            <w:tcBorders>
              <w:top w:val="single" w:sz="2" w:space="0" w:color="000000" w:themeColor="text1"/>
              <w:bottom w:val="single" w:sz="2" w:space="0" w:color="000000" w:themeColor="text1"/>
            </w:tcBorders>
            <w:tcMar>
              <w:left w:w="115" w:type="dxa"/>
              <w:right w:w="115" w:type="dxa"/>
            </w:tcMar>
          </w:tcPr>
          <w:p w14:paraId="43783524" w14:textId="25DE9DA3" w:rsidR="00FF3BD9" w:rsidRPr="00A820CC" w:rsidRDefault="009B7828" w:rsidP="005C0816">
            <w:pPr>
              <w:pStyle w:val="TableParagraph"/>
              <w:spacing w:before="0" w:after="120"/>
              <w:rPr>
                <w:rFonts w:ascii="Arial" w:hAnsi="Arial" w:cs="Arial"/>
                <w:b/>
              </w:rPr>
            </w:pPr>
            <w:r w:rsidRPr="00A820CC">
              <w:rPr>
                <w:rFonts w:ascii="Arial" w:hAnsi="Arial" w:cs="Arial"/>
                <w:b/>
                <w:bCs/>
                <w:spacing w:val="-2"/>
                <w:w w:val="105"/>
              </w:rPr>
              <w:t>Well</w:t>
            </w:r>
            <w:r w:rsidRPr="00A820CC">
              <w:rPr>
                <w:rFonts w:ascii="Arial" w:hAnsi="Arial" w:cs="Arial"/>
                <w:b/>
                <w:bCs/>
                <w:spacing w:val="-5"/>
                <w:w w:val="105"/>
              </w:rPr>
              <w:t>Mob</w:t>
            </w:r>
          </w:p>
        </w:tc>
        <w:tc>
          <w:tcPr>
            <w:tcW w:w="3624" w:type="dxa"/>
            <w:tcBorders>
              <w:top w:val="single" w:sz="2" w:space="0" w:color="000000" w:themeColor="text1"/>
              <w:bottom w:val="single" w:sz="2" w:space="0" w:color="000000" w:themeColor="text1"/>
            </w:tcBorders>
            <w:tcMar>
              <w:left w:w="115" w:type="dxa"/>
              <w:right w:w="115" w:type="dxa"/>
            </w:tcMar>
          </w:tcPr>
          <w:p w14:paraId="759B7E91" w14:textId="3194CF8A" w:rsidR="00FF3BD9" w:rsidRPr="00A820CC" w:rsidRDefault="00FF3BD9" w:rsidP="005C0816">
            <w:pPr>
              <w:pStyle w:val="TableParagraph"/>
              <w:spacing w:before="0" w:after="120" w:line="242" w:lineRule="auto"/>
              <w:rPr>
                <w:rFonts w:ascii="Arial" w:hAnsi="Arial" w:cs="Arial"/>
              </w:rPr>
            </w:pPr>
            <w:r w:rsidRPr="00A820CC">
              <w:rPr>
                <w:rFonts w:ascii="Arial" w:hAnsi="Arial" w:cs="Arial"/>
              </w:rPr>
              <w:t>Social, emotional and cultural wellbeing online resources for Aboriginal and Torres Strait Islander peoples.</w:t>
            </w:r>
          </w:p>
        </w:tc>
        <w:tc>
          <w:tcPr>
            <w:tcW w:w="2977" w:type="dxa"/>
            <w:tcBorders>
              <w:top w:val="single" w:sz="2" w:space="0" w:color="000000" w:themeColor="text1"/>
              <w:bottom w:val="single" w:sz="2" w:space="0" w:color="000000" w:themeColor="text1"/>
            </w:tcBorders>
            <w:tcMar>
              <w:left w:w="115" w:type="dxa"/>
              <w:right w:w="115" w:type="dxa"/>
            </w:tcMar>
          </w:tcPr>
          <w:p w14:paraId="69536E5E" w14:textId="77777777" w:rsidR="00FF3BD9" w:rsidRPr="00A820CC" w:rsidRDefault="00E32E71" w:rsidP="005C0816">
            <w:pPr>
              <w:pStyle w:val="TableParagraph"/>
              <w:spacing w:before="0" w:after="120"/>
              <w:rPr>
                <w:rFonts w:ascii="Arial" w:hAnsi="Arial" w:cs="Arial"/>
              </w:rPr>
            </w:pPr>
            <w:hyperlink r:id="rId26">
              <w:r w:rsidR="00FF3BD9" w:rsidRPr="00A820CC">
                <w:rPr>
                  <w:rFonts w:ascii="Arial" w:hAnsi="Arial" w:cs="Arial"/>
                  <w:spacing w:val="-2"/>
                  <w:u w:val="single"/>
                </w:rPr>
                <w:t>www.wellmob.org.au</w:t>
              </w:r>
            </w:hyperlink>
          </w:p>
        </w:tc>
      </w:tr>
      <w:tr w:rsidR="00FF3BD9" w:rsidRPr="00832F57" w14:paraId="4D910824" w14:textId="77777777" w:rsidTr="0035438F">
        <w:tc>
          <w:tcPr>
            <w:tcW w:w="2168" w:type="dxa"/>
            <w:tcBorders>
              <w:top w:val="single" w:sz="2" w:space="0" w:color="000000" w:themeColor="text1"/>
              <w:bottom w:val="single" w:sz="2" w:space="0" w:color="000000" w:themeColor="text1"/>
            </w:tcBorders>
            <w:tcMar>
              <w:left w:w="115" w:type="dxa"/>
              <w:right w:w="115" w:type="dxa"/>
            </w:tcMar>
          </w:tcPr>
          <w:p w14:paraId="5579AF8A" w14:textId="77777777" w:rsidR="00FF3BD9" w:rsidRPr="00A820CC" w:rsidRDefault="00FF3BD9" w:rsidP="005C0816">
            <w:pPr>
              <w:pStyle w:val="TableParagraph"/>
              <w:spacing w:before="0" w:after="120" w:line="242" w:lineRule="auto"/>
              <w:rPr>
                <w:rFonts w:ascii="Arial" w:hAnsi="Arial" w:cs="Arial"/>
                <w:b/>
              </w:rPr>
            </w:pPr>
            <w:r w:rsidRPr="00A820CC">
              <w:rPr>
                <w:rFonts w:ascii="Arial" w:hAnsi="Arial" w:cs="Arial"/>
                <w:b/>
                <w:spacing w:val="-2"/>
                <w:w w:val="105"/>
              </w:rPr>
              <w:t>Men’s</w:t>
            </w:r>
            <w:r w:rsidRPr="00A820CC">
              <w:rPr>
                <w:rFonts w:ascii="Arial" w:hAnsi="Arial" w:cs="Arial"/>
                <w:b/>
                <w:spacing w:val="-12"/>
                <w:w w:val="105"/>
              </w:rPr>
              <w:t xml:space="preserve"> </w:t>
            </w:r>
            <w:r w:rsidRPr="00A820CC">
              <w:rPr>
                <w:rFonts w:ascii="Arial" w:hAnsi="Arial" w:cs="Arial"/>
                <w:b/>
                <w:spacing w:val="-2"/>
                <w:w w:val="105"/>
              </w:rPr>
              <w:t>Referral Service</w:t>
            </w:r>
          </w:p>
        </w:tc>
        <w:tc>
          <w:tcPr>
            <w:tcW w:w="3624" w:type="dxa"/>
            <w:tcBorders>
              <w:top w:val="single" w:sz="2" w:space="0" w:color="000000" w:themeColor="text1"/>
              <w:bottom w:val="single" w:sz="2" w:space="0" w:color="000000" w:themeColor="text1"/>
            </w:tcBorders>
            <w:tcMar>
              <w:left w:w="115" w:type="dxa"/>
              <w:right w:w="115" w:type="dxa"/>
            </w:tcMar>
          </w:tcPr>
          <w:p w14:paraId="385025EA" w14:textId="77777777" w:rsidR="00FF3BD9" w:rsidRPr="00A820CC" w:rsidRDefault="00FF3BD9" w:rsidP="005C0816">
            <w:pPr>
              <w:pStyle w:val="TableParagraph"/>
              <w:spacing w:before="0" w:after="120" w:line="242" w:lineRule="auto"/>
              <w:rPr>
                <w:rFonts w:ascii="Arial" w:hAnsi="Arial" w:cs="Arial"/>
              </w:rPr>
            </w:pPr>
            <w:r w:rsidRPr="00A820CC">
              <w:rPr>
                <w:rFonts w:ascii="Arial" w:hAnsi="Arial" w:cs="Arial"/>
              </w:rPr>
              <w:t xml:space="preserve">For anyone in Australia whose life has been impacted by men’s use of violence or abusive behaviours. </w:t>
            </w:r>
            <w:r w:rsidR="009B7828" w:rsidRPr="00A820CC">
              <w:rPr>
                <w:rFonts w:ascii="Arial" w:hAnsi="Arial" w:cs="Arial"/>
              </w:rPr>
              <w:t xml:space="preserve">Available for men who have or are </w:t>
            </w:r>
            <w:r w:rsidR="009B7828" w:rsidRPr="00A820CC">
              <w:rPr>
                <w:rFonts w:ascii="Arial" w:hAnsi="Arial" w:cs="Arial"/>
              </w:rPr>
              <w:lastRenderedPageBreak/>
              <w:t xml:space="preserve">still behaving abusively. </w:t>
            </w:r>
            <w:r w:rsidRPr="00A820CC">
              <w:rPr>
                <w:rFonts w:ascii="Arial" w:hAnsi="Arial" w:cs="Arial"/>
              </w:rPr>
              <w:t>Available 7 days.</w:t>
            </w:r>
          </w:p>
        </w:tc>
        <w:tc>
          <w:tcPr>
            <w:tcW w:w="2977" w:type="dxa"/>
            <w:tcBorders>
              <w:top w:val="single" w:sz="2" w:space="0" w:color="000000" w:themeColor="text1"/>
              <w:bottom w:val="single" w:sz="2" w:space="0" w:color="000000" w:themeColor="text1"/>
            </w:tcBorders>
            <w:tcMar>
              <w:left w:w="115" w:type="dxa"/>
              <w:right w:w="115" w:type="dxa"/>
            </w:tcMar>
          </w:tcPr>
          <w:p w14:paraId="75CB413F" w14:textId="77777777" w:rsidR="00FF3BD9" w:rsidRPr="00A820CC" w:rsidRDefault="00FF3BD9" w:rsidP="005C0816">
            <w:pPr>
              <w:pStyle w:val="TableParagraph"/>
              <w:spacing w:before="0" w:after="120"/>
              <w:rPr>
                <w:rFonts w:ascii="Arial" w:hAnsi="Arial" w:cs="Arial"/>
              </w:rPr>
            </w:pPr>
            <w:r w:rsidRPr="00A820CC">
              <w:rPr>
                <w:rFonts w:ascii="Arial" w:hAnsi="Arial" w:cs="Arial"/>
              </w:rPr>
              <w:lastRenderedPageBreak/>
              <w:t>1300</w:t>
            </w:r>
            <w:r w:rsidRPr="00A820CC">
              <w:rPr>
                <w:rFonts w:ascii="Arial" w:hAnsi="Arial" w:cs="Arial"/>
                <w:spacing w:val="1"/>
              </w:rPr>
              <w:t xml:space="preserve"> </w:t>
            </w:r>
            <w:r w:rsidRPr="00A820CC">
              <w:rPr>
                <w:rFonts w:ascii="Arial" w:hAnsi="Arial" w:cs="Arial"/>
              </w:rPr>
              <w:t>766</w:t>
            </w:r>
            <w:r w:rsidRPr="00A820CC">
              <w:rPr>
                <w:rFonts w:ascii="Arial" w:hAnsi="Arial" w:cs="Arial"/>
                <w:spacing w:val="1"/>
              </w:rPr>
              <w:t xml:space="preserve"> </w:t>
            </w:r>
            <w:r w:rsidRPr="00A820CC">
              <w:rPr>
                <w:rFonts w:ascii="Arial" w:hAnsi="Arial" w:cs="Arial"/>
                <w:spacing w:val="-5"/>
              </w:rPr>
              <w:t>491</w:t>
            </w:r>
          </w:p>
          <w:p w14:paraId="422A187F" w14:textId="225DC4F6" w:rsidR="009B7828" w:rsidRPr="00A820CC" w:rsidRDefault="00E32E71" w:rsidP="005C0816">
            <w:pPr>
              <w:pStyle w:val="TableParagraph"/>
              <w:spacing w:before="0" w:after="120"/>
              <w:rPr>
                <w:rFonts w:ascii="Arial" w:hAnsi="Arial" w:cs="Arial"/>
                <w:spacing w:val="-2"/>
                <w:u w:val="single"/>
              </w:rPr>
            </w:pPr>
            <w:hyperlink r:id="rId27">
              <w:r w:rsidR="00FF3BD9" w:rsidRPr="00A820CC">
                <w:rPr>
                  <w:rFonts w:ascii="Arial" w:hAnsi="Arial" w:cs="Arial"/>
                  <w:spacing w:val="-2"/>
                  <w:u w:val="single"/>
                </w:rPr>
                <w:t>www.ntv.org.au</w:t>
              </w:r>
            </w:hyperlink>
          </w:p>
          <w:p w14:paraId="1192F36B" w14:textId="34EAA53E" w:rsidR="00FF3BD9" w:rsidRPr="00A820CC" w:rsidRDefault="009B7828" w:rsidP="005C0816">
            <w:pPr>
              <w:pStyle w:val="TableParagraph"/>
              <w:spacing w:before="0" w:after="120"/>
              <w:rPr>
                <w:rFonts w:ascii="Arial" w:hAnsi="Arial" w:cs="Arial"/>
              </w:rPr>
            </w:pPr>
            <w:r w:rsidRPr="00A820CC">
              <w:rPr>
                <w:rFonts w:ascii="Arial" w:hAnsi="Arial" w:cs="Arial"/>
                <w:spacing w:val="-2"/>
              </w:rPr>
              <w:t xml:space="preserve">Live counsellor online chat </w:t>
            </w:r>
            <w:r w:rsidRPr="00A820CC">
              <w:rPr>
                <w:rFonts w:ascii="Arial" w:hAnsi="Arial" w:cs="Arial"/>
                <w:spacing w:val="-2"/>
              </w:rPr>
              <w:lastRenderedPageBreak/>
              <w:t>available</w:t>
            </w:r>
          </w:p>
        </w:tc>
      </w:tr>
      <w:tr w:rsidR="005D3983" w:rsidRPr="00832F57" w14:paraId="3826E93B" w14:textId="77777777" w:rsidTr="0035438F">
        <w:tc>
          <w:tcPr>
            <w:tcW w:w="2168" w:type="dxa"/>
            <w:tcBorders>
              <w:top w:val="single" w:sz="2" w:space="0" w:color="000000" w:themeColor="text1"/>
              <w:bottom w:val="single" w:sz="2" w:space="0" w:color="000000" w:themeColor="text1"/>
            </w:tcBorders>
            <w:tcMar>
              <w:left w:w="115" w:type="dxa"/>
              <w:right w:w="115" w:type="dxa"/>
            </w:tcMar>
          </w:tcPr>
          <w:p w14:paraId="16B7A5B7" w14:textId="35F571A8" w:rsidR="005D3983" w:rsidRPr="00A820CC" w:rsidRDefault="005D3983" w:rsidP="005C0816">
            <w:pPr>
              <w:pStyle w:val="TableParagraph"/>
              <w:spacing w:before="0" w:after="120" w:line="242" w:lineRule="auto"/>
              <w:rPr>
                <w:rFonts w:ascii="Arial" w:hAnsi="Arial" w:cs="Arial"/>
                <w:b/>
                <w:spacing w:val="-2"/>
                <w:w w:val="105"/>
              </w:rPr>
            </w:pPr>
            <w:r w:rsidRPr="00A820CC">
              <w:rPr>
                <w:rFonts w:ascii="Arial" w:hAnsi="Arial" w:cs="Arial"/>
                <w:b/>
              </w:rPr>
              <w:lastRenderedPageBreak/>
              <w:t>MensLine Australia</w:t>
            </w:r>
          </w:p>
        </w:tc>
        <w:tc>
          <w:tcPr>
            <w:tcW w:w="3624" w:type="dxa"/>
            <w:tcBorders>
              <w:top w:val="single" w:sz="2" w:space="0" w:color="000000" w:themeColor="text1"/>
              <w:bottom w:val="single" w:sz="2" w:space="0" w:color="000000" w:themeColor="text1"/>
            </w:tcBorders>
            <w:tcMar>
              <w:left w:w="115" w:type="dxa"/>
              <w:right w:w="115" w:type="dxa"/>
            </w:tcMar>
          </w:tcPr>
          <w:p w14:paraId="1E5D2377" w14:textId="48434A92" w:rsidR="005D3983" w:rsidRPr="00A820CC" w:rsidRDefault="005D3983" w:rsidP="005C0816">
            <w:pPr>
              <w:pStyle w:val="TableParagraph"/>
              <w:spacing w:before="0" w:after="120" w:line="242" w:lineRule="auto"/>
              <w:rPr>
                <w:rFonts w:ascii="Arial" w:hAnsi="Arial" w:cs="Arial"/>
              </w:rPr>
            </w:pPr>
            <w:r w:rsidRPr="00A820CC">
              <w:rPr>
                <w:rFonts w:ascii="Arial" w:hAnsi="Arial" w:cs="Arial"/>
              </w:rPr>
              <w:t>MensLine Australia is a free telephone and online counselling service offering support for Australian men anywhere, anytime</w:t>
            </w:r>
            <w:r w:rsidR="009B7828" w:rsidRPr="00A820CC">
              <w:rPr>
                <w:rFonts w:ascii="Arial" w:hAnsi="Arial" w:cs="Arial"/>
              </w:rPr>
              <w:t>. Telephone counselling support is free and 24/7 for men with concerns about mental health, anger management, family violence (using and experiencing), addiction, relationship, stress and wellbeing.</w:t>
            </w:r>
          </w:p>
        </w:tc>
        <w:tc>
          <w:tcPr>
            <w:tcW w:w="2977" w:type="dxa"/>
            <w:tcBorders>
              <w:top w:val="single" w:sz="2" w:space="0" w:color="000000" w:themeColor="text1"/>
              <w:bottom w:val="single" w:sz="2" w:space="0" w:color="000000" w:themeColor="text1"/>
            </w:tcBorders>
            <w:tcMar>
              <w:left w:w="115" w:type="dxa"/>
              <w:right w:w="115" w:type="dxa"/>
            </w:tcMar>
          </w:tcPr>
          <w:p w14:paraId="762658BB" w14:textId="290BE30B" w:rsidR="005D3983" w:rsidRPr="00A820CC" w:rsidRDefault="005D3983" w:rsidP="005C0816">
            <w:pPr>
              <w:pStyle w:val="TableParagraph"/>
              <w:spacing w:before="0" w:after="120"/>
              <w:rPr>
                <w:rFonts w:ascii="Arial" w:hAnsi="Arial" w:cs="Arial"/>
              </w:rPr>
            </w:pPr>
            <w:r w:rsidRPr="00A820CC">
              <w:rPr>
                <w:rFonts w:ascii="Arial" w:hAnsi="Arial" w:cs="Arial"/>
              </w:rPr>
              <w:t xml:space="preserve">1300 78 99 78 or </w:t>
            </w:r>
            <w:hyperlink r:id="rId28" w:history="1">
              <w:r w:rsidRPr="00A820CC">
                <w:rPr>
                  <w:rStyle w:val="Hyperlink"/>
                  <w:rFonts w:ascii="Arial" w:hAnsi="Arial" w:cs="Arial"/>
                </w:rPr>
                <w:t>www.MensLine.org.au</w:t>
              </w:r>
            </w:hyperlink>
          </w:p>
        </w:tc>
      </w:tr>
      <w:tr w:rsidR="005D3983" w:rsidRPr="00832F57" w14:paraId="1C4D3DE4" w14:textId="77777777" w:rsidTr="0035438F">
        <w:tc>
          <w:tcPr>
            <w:tcW w:w="2168" w:type="dxa"/>
            <w:tcBorders>
              <w:top w:val="single" w:sz="2" w:space="0" w:color="000000" w:themeColor="text1"/>
              <w:bottom w:val="single" w:sz="2" w:space="0" w:color="000000" w:themeColor="text1"/>
            </w:tcBorders>
            <w:tcMar>
              <w:left w:w="115" w:type="dxa"/>
              <w:right w:w="115" w:type="dxa"/>
            </w:tcMar>
          </w:tcPr>
          <w:p w14:paraId="5C1E06F8" w14:textId="28D219A3" w:rsidR="009B7828" w:rsidRPr="00A820CC" w:rsidRDefault="005D3983" w:rsidP="005C0816">
            <w:pPr>
              <w:pStyle w:val="TableParagraph"/>
              <w:spacing w:before="0" w:after="120" w:line="242" w:lineRule="auto"/>
              <w:rPr>
                <w:rFonts w:ascii="Arial" w:hAnsi="Arial" w:cs="Arial"/>
              </w:rPr>
            </w:pPr>
            <w:r w:rsidRPr="00A820CC">
              <w:rPr>
                <w:rFonts w:ascii="Arial" w:hAnsi="Arial" w:cs="Arial"/>
                <w:b/>
                <w:spacing w:val="-2"/>
                <w:w w:val="105"/>
              </w:rPr>
              <w:t>Open Arms</w:t>
            </w:r>
            <w:r w:rsidR="009B7828" w:rsidRPr="00A820CC">
              <w:rPr>
                <w:rFonts w:ascii="Arial" w:hAnsi="Arial" w:cs="Arial"/>
                <w:b/>
                <w:bCs/>
                <w:spacing w:val="-2"/>
                <w:w w:val="105"/>
              </w:rPr>
              <w:t xml:space="preserve"> </w:t>
            </w:r>
            <w:r w:rsidR="009B7828" w:rsidRPr="00A820CC">
              <w:rPr>
                <w:rFonts w:ascii="Arial" w:hAnsi="Arial" w:cs="Arial"/>
              </w:rPr>
              <w:t>Veterans &amp; Families Counselling</w:t>
            </w:r>
          </w:p>
          <w:p w14:paraId="3C944D6E" w14:textId="4DF33BB2" w:rsidR="005D3983" w:rsidRPr="00A820CC" w:rsidRDefault="005D3983" w:rsidP="005C0816">
            <w:pPr>
              <w:pStyle w:val="TableParagraph"/>
              <w:spacing w:before="0" w:after="120" w:line="242" w:lineRule="auto"/>
              <w:rPr>
                <w:rFonts w:ascii="Arial" w:hAnsi="Arial" w:cs="Arial"/>
                <w:b/>
                <w:spacing w:val="-2"/>
                <w:w w:val="105"/>
              </w:rPr>
            </w:pPr>
          </w:p>
        </w:tc>
        <w:tc>
          <w:tcPr>
            <w:tcW w:w="3624" w:type="dxa"/>
            <w:tcBorders>
              <w:top w:val="single" w:sz="2" w:space="0" w:color="000000" w:themeColor="text1"/>
              <w:bottom w:val="single" w:sz="2" w:space="0" w:color="000000" w:themeColor="text1"/>
            </w:tcBorders>
            <w:tcMar>
              <w:left w:w="115" w:type="dxa"/>
              <w:right w:w="115" w:type="dxa"/>
            </w:tcMar>
          </w:tcPr>
          <w:p w14:paraId="206B431D" w14:textId="06601EA9" w:rsidR="005D3983" w:rsidRPr="00A820CC" w:rsidRDefault="005D3983" w:rsidP="005C0816">
            <w:pPr>
              <w:pStyle w:val="TableParagraph"/>
              <w:spacing w:before="0" w:after="120" w:line="242" w:lineRule="auto"/>
              <w:rPr>
                <w:rFonts w:ascii="Arial" w:hAnsi="Arial" w:cs="Arial"/>
              </w:rPr>
            </w:pPr>
            <w:r w:rsidRPr="00A820CC">
              <w:rPr>
                <w:rFonts w:ascii="Arial" w:hAnsi="Arial" w:cs="Arial"/>
              </w:rPr>
              <w:t xml:space="preserve">Veterans &amp; Families Counselling </w:t>
            </w:r>
            <w:r w:rsidR="0027045A">
              <w:rPr>
                <w:rFonts w:ascii="Arial" w:hAnsi="Arial" w:cs="Arial"/>
              </w:rPr>
              <w:t>–</w:t>
            </w:r>
            <w:r w:rsidRPr="00A820CC">
              <w:rPr>
                <w:rFonts w:ascii="Arial" w:hAnsi="Arial" w:cs="Arial"/>
              </w:rPr>
              <w:t xml:space="preserve"> Open Arms provides free and confidential counselling to anyone who has served at least one day in the </w:t>
            </w:r>
            <w:r w:rsidR="009B7828" w:rsidRPr="00A820CC">
              <w:rPr>
                <w:rFonts w:ascii="Arial" w:hAnsi="Arial" w:cs="Arial"/>
              </w:rPr>
              <w:t>Australian Defence Force</w:t>
            </w:r>
            <w:r w:rsidR="0027045A">
              <w:rPr>
                <w:rFonts w:ascii="Arial" w:hAnsi="Arial" w:cs="Arial"/>
              </w:rPr>
              <w:t xml:space="preserve"> (</w:t>
            </w:r>
            <w:r w:rsidRPr="00A820CC">
              <w:rPr>
                <w:rFonts w:ascii="Arial" w:hAnsi="Arial" w:cs="Arial"/>
              </w:rPr>
              <w:t>ADF</w:t>
            </w:r>
            <w:r w:rsidR="0027045A">
              <w:rPr>
                <w:rFonts w:ascii="Arial" w:hAnsi="Arial" w:cs="Arial"/>
              </w:rPr>
              <w:t>)</w:t>
            </w:r>
            <w:r w:rsidRPr="00A820CC">
              <w:rPr>
                <w:rFonts w:ascii="Arial" w:hAnsi="Arial" w:cs="Arial"/>
              </w:rPr>
              <w:t>, their partners and families. Counselling can be face-to-face, by telephone or online</w:t>
            </w:r>
            <w:r w:rsidR="0027045A">
              <w:rPr>
                <w:rFonts w:ascii="Arial" w:hAnsi="Arial" w:cs="Arial"/>
              </w:rPr>
              <w:t>.</w:t>
            </w:r>
            <w:r w:rsidR="009B7828" w:rsidRPr="00A820CC">
              <w:rPr>
                <w:rFonts w:ascii="Arial" w:hAnsi="Arial" w:cs="Arial"/>
              </w:rPr>
              <w:t xml:space="preserve"> 24/7 free and confidential phone support.</w:t>
            </w:r>
          </w:p>
        </w:tc>
        <w:tc>
          <w:tcPr>
            <w:tcW w:w="2977" w:type="dxa"/>
            <w:tcBorders>
              <w:top w:val="single" w:sz="2" w:space="0" w:color="000000" w:themeColor="text1"/>
              <w:bottom w:val="single" w:sz="2" w:space="0" w:color="000000" w:themeColor="text1"/>
            </w:tcBorders>
            <w:tcMar>
              <w:left w:w="115" w:type="dxa"/>
              <w:right w:w="115" w:type="dxa"/>
            </w:tcMar>
          </w:tcPr>
          <w:p w14:paraId="4DFA7452" w14:textId="7DBC479E" w:rsidR="005D3983" w:rsidRPr="00A820CC" w:rsidRDefault="005D3983" w:rsidP="005C0816">
            <w:pPr>
              <w:pStyle w:val="TableParagraph"/>
              <w:spacing w:before="0" w:after="120"/>
              <w:rPr>
                <w:rFonts w:ascii="Arial" w:hAnsi="Arial" w:cs="Arial"/>
              </w:rPr>
            </w:pPr>
            <w:r w:rsidRPr="00A820CC">
              <w:rPr>
                <w:rFonts w:ascii="Arial" w:hAnsi="Arial" w:cs="Arial"/>
              </w:rPr>
              <w:t xml:space="preserve">1800 011 046 or </w:t>
            </w:r>
            <w:hyperlink r:id="rId29" w:history="1">
              <w:r w:rsidRPr="00A820CC">
                <w:rPr>
                  <w:rStyle w:val="Hyperlink"/>
                  <w:rFonts w:ascii="Arial" w:hAnsi="Arial" w:cs="Arial"/>
                </w:rPr>
                <w:t>www.openarms.gov.au</w:t>
              </w:r>
            </w:hyperlink>
          </w:p>
        </w:tc>
      </w:tr>
      <w:tr w:rsidR="005D3983" w:rsidRPr="00832F57" w14:paraId="7E1CE800" w14:textId="77777777" w:rsidTr="0035438F">
        <w:tc>
          <w:tcPr>
            <w:tcW w:w="2168" w:type="dxa"/>
            <w:tcBorders>
              <w:top w:val="single" w:sz="2" w:space="0" w:color="000000" w:themeColor="text1"/>
              <w:bottom w:val="single" w:sz="2" w:space="0" w:color="000000" w:themeColor="text1"/>
            </w:tcBorders>
            <w:tcMar>
              <w:left w:w="115" w:type="dxa"/>
              <w:right w:w="115" w:type="dxa"/>
            </w:tcMar>
          </w:tcPr>
          <w:p w14:paraId="47927ADE" w14:textId="195DB66C" w:rsidR="005D3983" w:rsidRPr="00A820CC" w:rsidRDefault="005D3983" w:rsidP="005C0816">
            <w:pPr>
              <w:pStyle w:val="TableParagraph"/>
              <w:spacing w:before="0" w:after="120" w:line="242" w:lineRule="auto"/>
              <w:rPr>
                <w:rFonts w:ascii="Arial" w:hAnsi="Arial" w:cs="Arial"/>
                <w:b/>
                <w:spacing w:val="-2"/>
                <w:w w:val="105"/>
              </w:rPr>
            </w:pPr>
            <w:r w:rsidRPr="00A820CC">
              <w:rPr>
                <w:rFonts w:ascii="Arial" w:hAnsi="Arial" w:cs="Arial"/>
                <w:b/>
              </w:rPr>
              <w:t>ReachOut</w:t>
            </w:r>
          </w:p>
        </w:tc>
        <w:tc>
          <w:tcPr>
            <w:tcW w:w="3624" w:type="dxa"/>
            <w:tcBorders>
              <w:top w:val="single" w:sz="2" w:space="0" w:color="000000" w:themeColor="text1"/>
              <w:bottom w:val="single" w:sz="2" w:space="0" w:color="000000" w:themeColor="text1"/>
            </w:tcBorders>
            <w:tcMar>
              <w:left w:w="115" w:type="dxa"/>
              <w:right w:w="115" w:type="dxa"/>
            </w:tcMar>
          </w:tcPr>
          <w:p w14:paraId="5980749B" w14:textId="6433D72A" w:rsidR="005D3983" w:rsidRPr="00A820CC" w:rsidRDefault="005D3983" w:rsidP="005C0816">
            <w:pPr>
              <w:pStyle w:val="TableParagraph"/>
              <w:spacing w:before="0" w:after="120" w:line="242" w:lineRule="auto"/>
              <w:rPr>
                <w:rFonts w:ascii="Arial" w:hAnsi="Arial" w:cs="Arial"/>
              </w:rPr>
            </w:pPr>
            <w:r w:rsidRPr="00A820CC">
              <w:rPr>
                <w:rFonts w:ascii="Arial" w:hAnsi="Arial" w:cs="Arial"/>
              </w:rPr>
              <w:t>ReachOut is 100% online, anonymous and confidential, and lets young people connect on their terms, from one-to-one peer support and moderated online communities, to tips, stories and resources</w:t>
            </w:r>
            <w:r w:rsidR="009B7828" w:rsidRPr="00A820CC">
              <w:rPr>
                <w:rFonts w:ascii="Arial" w:hAnsi="Arial" w:cs="Arial"/>
              </w:rPr>
              <w:t>.</w:t>
            </w:r>
          </w:p>
        </w:tc>
        <w:tc>
          <w:tcPr>
            <w:tcW w:w="2977" w:type="dxa"/>
            <w:tcBorders>
              <w:top w:val="single" w:sz="2" w:space="0" w:color="000000" w:themeColor="text1"/>
              <w:bottom w:val="single" w:sz="2" w:space="0" w:color="000000" w:themeColor="text1"/>
            </w:tcBorders>
            <w:tcMar>
              <w:left w:w="115" w:type="dxa"/>
              <w:right w:w="115" w:type="dxa"/>
            </w:tcMar>
          </w:tcPr>
          <w:p w14:paraId="300655F8" w14:textId="3EBB6918" w:rsidR="005D3983" w:rsidRPr="00A820CC" w:rsidRDefault="00E32E71" w:rsidP="005C0816">
            <w:pPr>
              <w:pStyle w:val="TableParagraph"/>
              <w:spacing w:before="0" w:after="120"/>
              <w:rPr>
                <w:rFonts w:ascii="Arial" w:hAnsi="Arial" w:cs="Arial"/>
              </w:rPr>
            </w:pPr>
            <w:hyperlink r:id="rId30" w:history="1">
              <w:r w:rsidR="005D3983" w:rsidRPr="00A820CC">
                <w:rPr>
                  <w:rStyle w:val="Hyperlink"/>
                  <w:rFonts w:ascii="Arial" w:hAnsi="Arial" w:cs="Arial"/>
                </w:rPr>
                <w:t>www.au.reachout.com</w:t>
              </w:r>
            </w:hyperlink>
          </w:p>
        </w:tc>
      </w:tr>
      <w:tr w:rsidR="0061132B" w:rsidRPr="00832F57" w14:paraId="0F893CCD" w14:textId="77777777" w:rsidTr="0035438F">
        <w:tc>
          <w:tcPr>
            <w:tcW w:w="2168" w:type="dxa"/>
            <w:tcBorders>
              <w:top w:val="single" w:sz="2" w:space="0" w:color="000000" w:themeColor="text1"/>
              <w:bottom w:val="single" w:sz="2" w:space="0" w:color="000000" w:themeColor="text1"/>
            </w:tcBorders>
            <w:tcMar>
              <w:left w:w="115" w:type="dxa"/>
              <w:right w:w="115" w:type="dxa"/>
            </w:tcMar>
          </w:tcPr>
          <w:p w14:paraId="3ABDAEA3" w14:textId="290E777F" w:rsidR="0061132B" w:rsidRPr="00A820CC" w:rsidRDefault="0061132B" w:rsidP="005C0816">
            <w:pPr>
              <w:pStyle w:val="TableParagraph"/>
              <w:spacing w:before="0" w:after="120" w:line="242" w:lineRule="auto"/>
              <w:rPr>
                <w:rFonts w:ascii="Arial" w:hAnsi="Arial" w:cs="Arial"/>
                <w:b/>
                <w:spacing w:val="-2"/>
                <w:w w:val="105"/>
              </w:rPr>
            </w:pPr>
            <w:r w:rsidRPr="00A820CC">
              <w:rPr>
                <w:rFonts w:ascii="Arial" w:hAnsi="Arial" w:cs="Arial"/>
                <w:b/>
                <w:spacing w:val="-2"/>
                <w:w w:val="105"/>
              </w:rPr>
              <w:t>Centre for Women’s Economic Safety</w:t>
            </w:r>
          </w:p>
        </w:tc>
        <w:tc>
          <w:tcPr>
            <w:tcW w:w="3624" w:type="dxa"/>
            <w:tcBorders>
              <w:top w:val="single" w:sz="2" w:space="0" w:color="000000" w:themeColor="text1"/>
              <w:bottom w:val="single" w:sz="2" w:space="0" w:color="000000" w:themeColor="text1"/>
            </w:tcBorders>
            <w:tcMar>
              <w:left w:w="115" w:type="dxa"/>
              <w:right w:w="115" w:type="dxa"/>
            </w:tcMar>
          </w:tcPr>
          <w:p w14:paraId="19E170C5" w14:textId="3084EDC5" w:rsidR="0061132B" w:rsidRPr="00A820CC" w:rsidRDefault="009B7828" w:rsidP="005C0816">
            <w:pPr>
              <w:pStyle w:val="TableParagraph"/>
              <w:spacing w:before="0" w:after="120" w:line="242" w:lineRule="auto"/>
              <w:rPr>
                <w:rFonts w:ascii="Arial" w:hAnsi="Arial" w:cs="Arial"/>
              </w:rPr>
            </w:pPr>
            <w:r w:rsidRPr="00A820CC">
              <w:rPr>
                <w:rFonts w:ascii="Arial" w:hAnsi="Arial" w:cs="Arial"/>
              </w:rPr>
              <w:t>Resources and information for</w:t>
            </w:r>
            <w:r w:rsidR="0061132B" w:rsidRPr="00A820CC">
              <w:rPr>
                <w:rFonts w:ascii="Arial" w:hAnsi="Arial" w:cs="Arial"/>
              </w:rPr>
              <w:t xml:space="preserve"> women experiencing financial abuse and threats to their economic security and wellbeing.</w:t>
            </w:r>
          </w:p>
        </w:tc>
        <w:tc>
          <w:tcPr>
            <w:tcW w:w="2977" w:type="dxa"/>
            <w:tcBorders>
              <w:top w:val="single" w:sz="2" w:space="0" w:color="000000" w:themeColor="text1"/>
              <w:bottom w:val="single" w:sz="2" w:space="0" w:color="000000" w:themeColor="text1"/>
            </w:tcBorders>
            <w:tcMar>
              <w:left w:w="115" w:type="dxa"/>
              <w:right w:w="115" w:type="dxa"/>
            </w:tcMar>
          </w:tcPr>
          <w:p w14:paraId="78AFE8F7" w14:textId="35F61BDE" w:rsidR="0061132B" w:rsidRPr="00A820CC" w:rsidRDefault="009B7828" w:rsidP="005C0816">
            <w:pPr>
              <w:pStyle w:val="TableParagraph"/>
              <w:spacing w:before="0" w:after="120"/>
              <w:rPr>
                <w:rFonts w:ascii="Arial" w:hAnsi="Arial" w:cs="Arial"/>
              </w:rPr>
            </w:pPr>
            <w:r w:rsidRPr="00A820CC">
              <w:rPr>
                <w:rFonts w:ascii="Arial" w:hAnsi="Arial" w:cs="Arial"/>
              </w:rPr>
              <w:t>www.</w:t>
            </w:r>
            <w:r w:rsidR="0061132B" w:rsidRPr="00A820CC">
              <w:rPr>
                <w:rFonts w:ascii="Arial" w:hAnsi="Arial" w:cs="Arial"/>
              </w:rPr>
              <w:t>financialsafety.org.au</w:t>
            </w:r>
          </w:p>
        </w:tc>
      </w:tr>
      <w:tr w:rsidR="00FF3BD9" w:rsidRPr="00832F57" w14:paraId="2420246A" w14:textId="77777777" w:rsidTr="0035438F">
        <w:tc>
          <w:tcPr>
            <w:tcW w:w="2168" w:type="dxa"/>
            <w:tcBorders>
              <w:top w:val="single" w:sz="2" w:space="0" w:color="000000" w:themeColor="text1"/>
              <w:bottom w:val="single" w:sz="2" w:space="0" w:color="000000" w:themeColor="text1"/>
            </w:tcBorders>
            <w:tcMar>
              <w:left w:w="115" w:type="dxa"/>
              <w:right w:w="115" w:type="dxa"/>
            </w:tcMar>
          </w:tcPr>
          <w:p w14:paraId="4FF236BA" w14:textId="77777777" w:rsidR="00FF3BD9" w:rsidRPr="00A820CC" w:rsidRDefault="00FF3BD9" w:rsidP="005C0816">
            <w:pPr>
              <w:spacing w:after="120"/>
              <w:rPr>
                <w:rFonts w:cs="Arial"/>
                <w:b/>
                <w:w w:val="105"/>
                <w:lang w:val="en-US"/>
              </w:rPr>
            </w:pPr>
            <w:r w:rsidRPr="00A820CC">
              <w:rPr>
                <w:rFonts w:cs="Arial"/>
                <w:b/>
                <w:w w:val="105"/>
                <w:lang w:val="en-US"/>
              </w:rPr>
              <w:t>My Blue Sky</w:t>
            </w:r>
          </w:p>
        </w:tc>
        <w:tc>
          <w:tcPr>
            <w:tcW w:w="3624" w:type="dxa"/>
            <w:tcBorders>
              <w:top w:val="single" w:sz="2" w:space="0" w:color="000000" w:themeColor="text1"/>
              <w:bottom w:val="single" w:sz="2" w:space="0" w:color="000000" w:themeColor="text1"/>
            </w:tcBorders>
            <w:tcMar>
              <w:left w:w="115" w:type="dxa"/>
              <w:right w:w="115" w:type="dxa"/>
            </w:tcMar>
          </w:tcPr>
          <w:p w14:paraId="1AF5D816" w14:textId="53FE8118" w:rsidR="009B7828" w:rsidRPr="00A820CC" w:rsidRDefault="00FF3BD9" w:rsidP="005C0816">
            <w:pPr>
              <w:pStyle w:val="TableParagraph"/>
              <w:spacing w:before="0" w:after="120" w:line="242" w:lineRule="auto"/>
              <w:rPr>
                <w:rFonts w:ascii="Arial" w:hAnsi="Arial" w:cs="Arial"/>
              </w:rPr>
            </w:pPr>
            <w:r w:rsidRPr="00A820CC">
              <w:rPr>
                <w:rFonts w:ascii="Arial" w:hAnsi="Arial" w:cs="Arial"/>
              </w:rPr>
              <w:t>Provides free legal and migration support to people experiencing forced marriage and other forms of modern slavery in Australia.</w:t>
            </w:r>
          </w:p>
          <w:p w14:paraId="646F79CA" w14:textId="76A27721" w:rsidR="009B7828" w:rsidRPr="00A820CC" w:rsidRDefault="009B7828" w:rsidP="005C0816">
            <w:pPr>
              <w:pStyle w:val="TableParagraph"/>
              <w:spacing w:before="0" w:after="120" w:line="242" w:lineRule="auto"/>
              <w:rPr>
                <w:rFonts w:ascii="Arial" w:hAnsi="Arial" w:cs="Arial"/>
              </w:rPr>
            </w:pPr>
            <w:r w:rsidRPr="00A820CC">
              <w:rPr>
                <w:rFonts w:ascii="Arial" w:hAnsi="Arial" w:cs="Arial"/>
              </w:rPr>
              <w:t>Phone open Monday-Friday 9am-5pm (Eastern Standard Time)</w:t>
            </w:r>
          </w:p>
          <w:p w14:paraId="1A2A5BC2" w14:textId="77777777" w:rsidR="00FF3BD9" w:rsidRPr="00A820CC" w:rsidRDefault="00FF3BD9" w:rsidP="005C0816">
            <w:pPr>
              <w:pStyle w:val="TableParagraph"/>
              <w:spacing w:before="0" w:after="120" w:line="242" w:lineRule="auto"/>
              <w:rPr>
                <w:rFonts w:ascii="Arial" w:hAnsi="Arial" w:cs="Arial"/>
              </w:rPr>
            </w:pPr>
          </w:p>
        </w:tc>
        <w:tc>
          <w:tcPr>
            <w:tcW w:w="2977" w:type="dxa"/>
            <w:tcBorders>
              <w:top w:val="single" w:sz="2" w:space="0" w:color="000000" w:themeColor="text1"/>
              <w:bottom w:val="single" w:sz="2" w:space="0" w:color="000000" w:themeColor="text1"/>
            </w:tcBorders>
            <w:tcMar>
              <w:left w:w="115" w:type="dxa"/>
              <w:right w:w="115" w:type="dxa"/>
            </w:tcMar>
          </w:tcPr>
          <w:p w14:paraId="660EE150" w14:textId="77777777" w:rsidR="00FF3BD9" w:rsidRPr="00A820CC" w:rsidRDefault="009B7828" w:rsidP="005C0816">
            <w:pPr>
              <w:pStyle w:val="TableParagraph"/>
              <w:spacing w:before="0" w:after="120"/>
              <w:rPr>
                <w:rFonts w:ascii="Arial" w:hAnsi="Arial" w:cs="Arial"/>
                <w:spacing w:val="-4"/>
              </w:rPr>
            </w:pPr>
            <w:r w:rsidRPr="00A820CC">
              <w:rPr>
                <w:rFonts w:ascii="Arial" w:hAnsi="Arial" w:cs="Arial"/>
              </w:rPr>
              <w:t xml:space="preserve">Call </w:t>
            </w:r>
            <w:r w:rsidR="00FF3BD9" w:rsidRPr="00A820CC">
              <w:rPr>
                <w:rFonts w:ascii="Arial" w:hAnsi="Arial" w:cs="Arial"/>
              </w:rPr>
              <w:t>02</w:t>
            </w:r>
            <w:r w:rsidR="00FF3BD9" w:rsidRPr="00A820CC">
              <w:rPr>
                <w:rFonts w:ascii="Arial" w:hAnsi="Arial" w:cs="Arial"/>
                <w:spacing w:val="1"/>
              </w:rPr>
              <w:t xml:space="preserve"> </w:t>
            </w:r>
            <w:r w:rsidR="00FF3BD9" w:rsidRPr="00A820CC">
              <w:rPr>
                <w:rFonts w:ascii="Arial" w:hAnsi="Arial" w:cs="Arial"/>
              </w:rPr>
              <w:t>9514</w:t>
            </w:r>
            <w:r w:rsidR="00FF3BD9" w:rsidRPr="00A820CC">
              <w:rPr>
                <w:rFonts w:ascii="Arial" w:hAnsi="Arial" w:cs="Arial"/>
                <w:spacing w:val="1"/>
              </w:rPr>
              <w:t xml:space="preserve"> </w:t>
            </w:r>
            <w:r w:rsidR="00FF3BD9" w:rsidRPr="00A820CC">
              <w:rPr>
                <w:rFonts w:ascii="Arial" w:hAnsi="Arial" w:cs="Arial"/>
                <w:spacing w:val="-4"/>
              </w:rPr>
              <w:t>8115</w:t>
            </w:r>
          </w:p>
          <w:p w14:paraId="5FD6073A" w14:textId="77777777" w:rsidR="009B7828" w:rsidRPr="00A820CC" w:rsidRDefault="009B7828" w:rsidP="005C0816">
            <w:pPr>
              <w:pStyle w:val="TableParagraph"/>
              <w:spacing w:before="0" w:after="120"/>
              <w:rPr>
                <w:rFonts w:ascii="Arial" w:hAnsi="Arial" w:cs="Arial"/>
                <w:spacing w:val="-4"/>
              </w:rPr>
            </w:pPr>
            <w:r w:rsidRPr="00A820CC">
              <w:rPr>
                <w:rFonts w:ascii="Arial" w:hAnsi="Arial" w:cs="Arial"/>
                <w:spacing w:val="-4"/>
              </w:rPr>
              <w:t>Text +61 481 070 844</w:t>
            </w:r>
          </w:p>
          <w:p w14:paraId="30E0341B" w14:textId="51C121A7" w:rsidR="009B7828" w:rsidRPr="00A820CC" w:rsidRDefault="009B7828" w:rsidP="005C0816">
            <w:pPr>
              <w:pStyle w:val="TableParagraph"/>
              <w:spacing w:before="0" w:after="120"/>
              <w:rPr>
                <w:rFonts w:ascii="Arial" w:hAnsi="Arial" w:cs="Arial"/>
                <w:spacing w:val="-4"/>
              </w:rPr>
            </w:pPr>
            <w:r w:rsidRPr="00A820CC">
              <w:rPr>
                <w:rFonts w:ascii="Arial" w:hAnsi="Arial" w:cs="Arial"/>
                <w:spacing w:val="-4"/>
              </w:rPr>
              <w:t xml:space="preserve">Email </w:t>
            </w:r>
            <w:hyperlink r:id="rId31" w:history="1">
              <w:r w:rsidRPr="00A820CC">
                <w:rPr>
                  <w:rStyle w:val="Hyperlink"/>
                  <w:rFonts w:ascii="Arial" w:hAnsi="Arial" w:cs="Arial"/>
                  <w:spacing w:val="-4"/>
                </w:rPr>
                <w:t>help@mybluesky.org.au</w:t>
              </w:r>
            </w:hyperlink>
          </w:p>
          <w:p w14:paraId="63E6B0F9" w14:textId="77777777" w:rsidR="00FF3BD9" w:rsidRPr="00A820CC" w:rsidRDefault="00E32E71" w:rsidP="005C0816">
            <w:pPr>
              <w:pStyle w:val="TableParagraph"/>
              <w:spacing w:before="0" w:after="120"/>
              <w:rPr>
                <w:rFonts w:ascii="Arial" w:hAnsi="Arial" w:cs="Arial"/>
                <w:spacing w:val="-4"/>
              </w:rPr>
            </w:pPr>
            <w:hyperlink r:id="rId32">
              <w:r w:rsidR="00FF3BD9" w:rsidRPr="00A820CC">
                <w:rPr>
                  <w:rFonts w:ascii="Arial" w:hAnsi="Arial" w:cs="Arial"/>
                  <w:spacing w:val="-2"/>
                  <w:u w:val="single"/>
                </w:rPr>
                <w:t>www.mybluesky.org.au</w:t>
              </w:r>
            </w:hyperlink>
          </w:p>
        </w:tc>
      </w:tr>
      <w:tr w:rsidR="00FF3BD9" w:rsidRPr="00832F57" w14:paraId="176FFBF3" w14:textId="77777777" w:rsidTr="0035438F">
        <w:tc>
          <w:tcPr>
            <w:tcW w:w="2168" w:type="dxa"/>
            <w:tcBorders>
              <w:top w:val="single" w:sz="2" w:space="0" w:color="000000" w:themeColor="text1"/>
              <w:bottom w:val="single" w:sz="2" w:space="0" w:color="000000" w:themeColor="text1"/>
            </w:tcBorders>
            <w:tcMar>
              <w:left w:w="115" w:type="dxa"/>
              <w:right w:w="115" w:type="dxa"/>
            </w:tcMar>
          </w:tcPr>
          <w:p w14:paraId="0021B5D4" w14:textId="6016B1C3" w:rsidR="00FF3BD9" w:rsidRPr="00A820CC" w:rsidRDefault="00FF3BD9" w:rsidP="005C0816">
            <w:pPr>
              <w:spacing w:after="120"/>
              <w:rPr>
                <w:rFonts w:cs="Arial"/>
                <w:b/>
                <w:w w:val="105"/>
                <w:lang w:val="en-US"/>
              </w:rPr>
            </w:pPr>
            <w:r w:rsidRPr="00A820CC">
              <w:rPr>
                <w:rFonts w:cs="Arial"/>
                <w:b/>
                <w:w w:val="105"/>
                <w:lang w:val="en-US"/>
              </w:rPr>
              <w:t xml:space="preserve">Say </w:t>
            </w:r>
            <w:r w:rsidR="00AC09C1" w:rsidRPr="00A820CC">
              <w:rPr>
                <w:rFonts w:cs="Arial"/>
                <w:b/>
                <w:w w:val="105"/>
                <w:lang w:val="en-US"/>
              </w:rPr>
              <w:t>I</w:t>
            </w:r>
            <w:r w:rsidRPr="00A820CC">
              <w:rPr>
                <w:rFonts w:cs="Arial"/>
                <w:b/>
                <w:w w:val="105"/>
                <w:lang w:val="en-US"/>
              </w:rPr>
              <w:t xml:space="preserve">t </w:t>
            </w:r>
            <w:r w:rsidR="00AC09C1" w:rsidRPr="00A820CC">
              <w:rPr>
                <w:rFonts w:cs="Arial"/>
                <w:b/>
                <w:w w:val="105"/>
                <w:lang w:val="en-US"/>
              </w:rPr>
              <w:t>O</w:t>
            </w:r>
            <w:r w:rsidRPr="00A820CC">
              <w:rPr>
                <w:rFonts w:cs="Arial"/>
                <w:b/>
                <w:w w:val="105"/>
                <w:lang w:val="en-US"/>
              </w:rPr>
              <w:t>ut Loud</w:t>
            </w:r>
          </w:p>
        </w:tc>
        <w:tc>
          <w:tcPr>
            <w:tcW w:w="3624" w:type="dxa"/>
            <w:tcBorders>
              <w:top w:val="single" w:sz="2" w:space="0" w:color="000000" w:themeColor="text1"/>
              <w:bottom w:val="single" w:sz="2" w:space="0" w:color="000000" w:themeColor="text1"/>
            </w:tcBorders>
            <w:tcMar>
              <w:left w:w="115" w:type="dxa"/>
              <w:right w:w="115" w:type="dxa"/>
            </w:tcMar>
          </w:tcPr>
          <w:p w14:paraId="284925C9" w14:textId="77777777" w:rsidR="00FF3BD9" w:rsidRPr="00A820CC" w:rsidRDefault="00FF3BD9" w:rsidP="005C0816">
            <w:pPr>
              <w:pStyle w:val="TableParagraph"/>
              <w:spacing w:before="0" w:after="120" w:line="242" w:lineRule="auto"/>
              <w:rPr>
                <w:rFonts w:ascii="Arial" w:hAnsi="Arial" w:cs="Arial"/>
              </w:rPr>
            </w:pPr>
            <w:r w:rsidRPr="00A820CC">
              <w:rPr>
                <w:rFonts w:ascii="Arial" w:hAnsi="Arial" w:cs="Arial"/>
              </w:rPr>
              <w:t xml:space="preserve">A national resource for LGBTQ+ communities and service professionals working with people who have experienced sexual, </w:t>
            </w:r>
            <w:r w:rsidRPr="00A820CC">
              <w:rPr>
                <w:rFonts w:ascii="Arial" w:hAnsi="Arial" w:cs="Arial"/>
              </w:rPr>
              <w:lastRenderedPageBreak/>
              <w:t>domestic and family violence.</w:t>
            </w:r>
          </w:p>
        </w:tc>
        <w:tc>
          <w:tcPr>
            <w:tcW w:w="2977" w:type="dxa"/>
            <w:tcBorders>
              <w:top w:val="single" w:sz="2" w:space="0" w:color="000000" w:themeColor="text1"/>
              <w:bottom w:val="single" w:sz="2" w:space="0" w:color="000000" w:themeColor="text1"/>
            </w:tcBorders>
            <w:tcMar>
              <w:left w:w="115" w:type="dxa"/>
              <w:right w:w="115" w:type="dxa"/>
            </w:tcMar>
          </w:tcPr>
          <w:p w14:paraId="193B6A76" w14:textId="77777777" w:rsidR="00FF3BD9" w:rsidRPr="00A820CC" w:rsidRDefault="00E32E71" w:rsidP="005C0816">
            <w:pPr>
              <w:pStyle w:val="TableParagraph"/>
              <w:spacing w:before="0" w:after="120"/>
              <w:rPr>
                <w:rFonts w:ascii="Arial" w:hAnsi="Arial" w:cs="Arial"/>
              </w:rPr>
            </w:pPr>
            <w:hyperlink r:id="rId33">
              <w:r w:rsidR="00FF3BD9" w:rsidRPr="00A820CC">
                <w:rPr>
                  <w:rFonts w:ascii="Arial" w:hAnsi="Arial" w:cs="Arial"/>
                  <w:spacing w:val="-2"/>
                  <w:u w:val="single"/>
                </w:rPr>
                <w:t>www.sayitoutloud.org.au</w:t>
              </w:r>
            </w:hyperlink>
          </w:p>
        </w:tc>
      </w:tr>
      <w:tr w:rsidR="008A3C35" w:rsidRPr="00832F57" w14:paraId="52FE9B4C" w14:textId="77777777" w:rsidTr="0035438F">
        <w:tc>
          <w:tcPr>
            <w:tcW w:w="2168" w:type="dxa"/>
            <w:tcBorders>
              <w:top w:val="single" w:sz="2" w:space="0" w:color="000000" w:themeColor="text1"/>
              <w:bottom w:val="single" w:sz="2" w:space="0" w:color="000000" w:themeColor="text1"/>
            </w:tcBorders>
            <w:tcMar>
              <w:left w:w="115" w:type="dxa"/>
              <w:right w:w="115" w:type="dxa"/>
            </w:tcMar>
          </w:tcPr>
          <w:p w14:paraId="6C2174CE" w14:textId="7934D676" w:rsidR="008A3C35" w:rsidRPr="00A820CC" w:rsidRDefault="008A3C35" w:rsidP="005C0816">
            <w:pPr>
              <w:spacing w:after="120"/>
              <w:rPr>
                <w:rFonts w:cs="Arial"/>
                <w:b/>
                <w:w w:val="105"/>
                <w:lang w:val="en-US"/>
              </w:rPr>
            </w:pPr>
            <w:r w:rsidRPr="00A820CC">
              <w:rPr>
                <w:rFonts w:cs="Arial"/>
                <w:b/>
                <w:w w:val="105"/>
                <w:lang w:val="en-US"/>
              </w:rPr>
              <w:t>Services Australia</w:t>
            </w:r>
          </w:p>
          <w:p w14:paraId="0D135CD6" w14:textId="76F30986" w:rsidR="008A3C35" w:rsidRPr="00A820CC" w:rsidRDefault="008A3C35" w:rsidP="005C0816">
            <w:pPr>
              <w:pStyle w:val="TableParagraph"/>
              <w:spacing w:before="0" w:after="120"/>
              <w:rPr>
                <w:rFonts w:ascii="Arial" w:hAnsi="Arial" w:cs="Arial"/>
                <w:b/>
                <w:w w:val="105"/>
              </w:rPr>
            </w:pPr>
          </w:p>
        </w:tc>
        <w:tc>
          <w:tcPr>
            <w:tcW w:w="3624" w:type="dxa"/>
            <w:tcBorders>
              <w:top w:val="single" w:sz="2" w:space="0" w:color="000000" w:themeColor="text1"/>
              <w:bottom w:val="single" w:sz="2" w:space="0" w:color="000000" w:themeColor="text1"/>
            </w:tcBorders>
            <w:tcMar>
              <w:left w:w="115" w:type="dxa"/>
              <w:right w:w="115" w:type="dxa"/>
            </w:tcMar>
          </w:tcPr>
          <w:p w14:paraId="3ADD3198" w14:textId="5A8AE79D" w:rsidR="008A3C35" w:rsidRPr="00A820CC" w:rsidRDefault="008A3C35" w:rsidP="005C0816">
            <w:pPr>
              <w:pStyle w:val="TableParagraph"/>
              <w:spacing w:before="0" w:after="120" w:line="242" w:lineRule="auto"/>
              <w:rPr>
                <w:rFonts w:ascii="Arial" w:hAnsi="Arial" w:cs="Arial"/>
              </w:rPr>
            </w:pPr>
            <w:r w:rsidRPr="00A820CC">
              <w:rPr>
                <w:rFonts w:ascii="Arial" w:hAnsi="Arial" w:cs="Arial"/>
              </w:rPr>
              <w:t>Can help you with family and domestic violence concerns, access payments and connect you to other support services</w:t>
            </w:r>
            <w:r w:rsidR="009B7828" w:rsidRPr="00A820CC">
              <w:rPr>
                <w:rFonts w:ascii="Arial" w:hAnsi="Arial" w:cs="Arial"/>
              </w:rPr>
              <w:t>.</w:t>
            </w:r>
          </w:p>
        </w:tc>
        <w:tc>
          <w:tcPr>
            <w:tcW w:w="2977" w:type="dxa"/>
            <w:tcBorders>
              <w:top w:val="single" w:sz="2" w:space="0" w:color="000000" w:themeColor="text1"/>
              <w:bottom w:val="single" w:sz="2" w:space="0" w:color="000000" w:themeColor="text1"/>
            </w:tcBorders>
            <w:tcMar>
              <w:left w:w="115" w:type="dxa"/>
              <w:right w:w="115" w:type="dxa"/>
            </w:tcMar>
          </w:tcPr>
          <w:p w14:paraId="52C4625E" w14:textId="64C140A1" w:rsidR="008A3C35" w:rsidRPr="00A820CC" w:rsidRDefault="008A3C35" w:rsidP="005C0816">
            <w:pPr>
              <w:pStyle w:val="TableParagraph"/>
              <w:spacing w:before="0" w:after="120"/>
              <w:rPr>
                <w:rFonts w:ascii="Arial" w:hAnsi="Arial" w:cs="Arial"/>
              </w:rPr>
            </w:pPr>
            <w:r w:rsidRPr="00A820CC">
              <w:rPr>
                <w:rFonts w:ascii="Arial" w:hAnsi="Arial" w:cs="Arial"/>
              </w:rPr>
              <w:t>www.servicesaustralia.gov.au</w:t>
            </w:r>
          </w:p>
        </w:tc>
      </w:tr>
      <w:tr w:rsidR="009B7828" w:rsidRPr="00832F57" w14:paraId="73397826" w14:textId="77777777" w:rsidTr="0035438F">
        <w:tc>
          <w:tcPr>
            <w:tcW w:w="8769" w:type="dxa"/>
            <w:gridSpan w:val="3"/>
            <w:tcBorders>
              <w:top w:val="single" w:sz="2" w:space="0" w:color="000000" w:themeColor="text1"/>
              <w:bottom w:val="single" w:sz="2" w:space="0" w:color="000000" w:themeColor="text1"/>
            </w:tcBorders>
            <w:tcMar>
              <w:left w:w="115" w:type="dxa"/>
              <w:right w:w="115" w:type="dxa"/>
            </w:tcMar>
          </w:tcPr>
          <w:p w14:paraId="5444ECB3" w14:textId="7B14620D" w:rsidR="009B7828" w:rsidRPr="00A820CC" w:rsidRDefault="009B7828" w:rsidP="005C0816">
            <w:pPr>
              <w:spacing w:after="120"/>
            </w:pPr>
            <w:r w:rsidRPr="00A820CC">
              <w:rPr>
                <w:rFonts w:eastAsia="Nunito-ExtraLight" w:cs="Arial"/>
                <w:b/>
                <w:bCs/>
                <w:w w:val="105"/>
                <w:lang w:val="en-US"/>
              </w:rPr>
              <w:t>Translation and Interpreting services</w:t>
            </w:r>
          </w:p>
        </w:tc>
      </w:tr>
      <w:tr w:rsidR="006F757D" w:rsidRPr="00832F57" w14:paraId="20ADA997" w14:textId="77777777" w:rsidTr="0035438F">
        <w:tc>
          <w:tcPr>
            <w:tcW w:w="2168" w:type="dxa"/>
            <w:tcBorders>
              <w:top w:val="single" w:sz="2" w:space="0" w:color="000000" w:themeColor="text1"/>
              <w:bottom w:val="single" w:sz="2" w:space="0" w:color="000000" w:themeColor="text1"/>
            </w:tcBorders>
            <w:tcMar>
              <w:left w:w="115" w:type="dxa"/>
              <w:right w:w="115" w:type="dxa"/>
            </w:tcMar>
          </w:tcPr>
          <w:p w14:paraId="134D2975" w14:textId="2032F0EC" w:rsidR="006F757D" w:rsidRPr="00A820CC" w:rsidRDefault="006F757D" w:rsidP="005C0816">
            <w:pPr>
              <w:spacing w:after="120"/>
              <w:rPr>
                <w:rFonts w:cs="Arial"/>
                <w:b/>
                <w:w w:val="105"/>
                <w:lang w:val="en-US"/>
              </w:rPr>
            </w:pPr>
            <w:r w:rsidRPr="00A820CC">
              <w:rPr>
                <w:rFonts w:cs="Arial"/>
                <w:b/>
                <w:w w:val="105"/>
                <w:lang w:val="en-US"/>
              </w:rPr>
              <w:t>Translating and Interpreting Service (TIS National)</w:t>
            </w:r>
          </w:p>
        </w:tc>
        <w:tc>
          <w:tcPr>
            <w:tcW w:w="3624" w:type="dxa"/>
            <w:tcBorders>
              <w:top w:val="single" w:sz="2" w:space="0" w:color="000000" w:themeColor="text1"/>
              <w:bottom w:val="single" w:sz="2" w:space="0" w:color="000000" w:themeColor="text1"/>
            </w:tcBorders>
            <w:tcMar>
              <w:left w:w="115" w:type="dxa"/>
              <w:right w:w="115" w:type="dxa"/>
            </w:tcMar>
          </w:tcPr>
          <w:p w14:paraId="123C3BF5" w14:textId="58029038" w:rsidR="006F757D" w:rsidRPr="00A820CC" w:rsidRDefault="006F757D" w:rsidP="005C0816">
            <w:pPr>
              <w:pStyle w:val="TableParagraph"/>
              <w:spacing w:before="0" w:after="120" w:line="242" w:lineRule="auto"/>
              <w:rPr>
                <w:rFonts w:ascii="Arial" w:hAnsi="Arial" w:cs="Arial"/>
              </w:rPr>
            </w:pPr>
            <w:r w:rsidRPr="00A820CC">
              <w:rPr>
                <w:rFonts w:ascii="Arial" w:hAnsi="Arial" w:cs="Arial"/>
              </w:rPr>
              <w:t>Provides access to phone and on site interpreting services in over</w:t>
            </w:r>
            <w:r w:rsidR="009B7828" w:rsidRPr="00A820CC">
              <w:rPr>
                <w:rFonts w:ascii="Arial" w:hAnsi="Arial" w:cs="Arial"/>
              </w:rPr>
              <w:t xml:space="preserve"> </w:t>
            </w:r>
            <w:r w:rsidRPr="00A820CC">
              <w:rPr>
                <w:rFonts w:ascii="Arial" w:hAnsi="Arial" w:cs="Arial"/>
              </w:rPr>
              <w:t>150</w:t>
            </w:r>
            <w:r w:rsidRPr="00A820CC">
              <w:rPr>
                <w:rFonts w:ascii="Arial" w:hAnsi="Arial" w:cs="Arial"/>
                <w:spacing w:val="1"/>
              </w:rPr>
              <w:t xml:space="preserve"> </w:t>
            </w:r>
            <w:r w:rsidRPr="00A820CC">
              <w:rPr>
                <w:rFonts w:ascii="Arial" w:hAnsi="Arial" w:cs="Arial"/>
                <w:spacing w:val="-2"/>
              </w:rPr>
              <w:t>languages.</w:t>
            </w:r>
          </w:p>
        </w:tc>
        <w:tc>
          <w:tcPr>
            <w:tcW w:w="2977" w:type="dxa"/>
            <w:tcBorders>
              <w:top w:val="single" w:sz="2" w:space="0" w:color="000000" w:themeColor="text1"/>
              <w:bottom w:val="single" w:sz="2" w:space="0" w:color="000000" w:themeColor="text1"/>
            </w:tcBorders>
            <w:tcMar>
              <w:left w:w="115" w:type="dxa"/>
              <w:right w:w="115" w:type="dxa"/>
            </w:tcMar>
          </w:tcPr>
          <w:p w14:paraId="6809611D" w14:textId="77777777" w:rsidR="009B7828" w:rsidRPr="00A820CC" w:rsidRDefault="009B7828" w:rsidP="005C0816">
            <w:pPr>
              <w:pStyle w:val="TableParagraph"/>
              <w:spacing w:before="0" w:after="120"/>
              <w:rPr>
                <w:rFonts w:ascii="Arial" w:hAnsi="Arial" w:cs="Arial"/>
              </w:rPr>
            </w:pPr>
            <w:r w:rsidRPr="00A820CC">
              <w:rPr>
                <w:rFonts w:ascii="Arial" w:hAnsi="Arial" w:cs="Arial"/>
              </w:rPr>
              <w:t>Immediate phone interpreting</w:t>
            </w:r>
          </w:p>
          <w:p w14:paraId="4ADF90DE" w14:textId="77777777" w:rsidR="009B7828" w:rsidRPr="00A820CC" w:rsidRDefault="009B7828" w:rsidP="005C0816">
            <w:pPr>
              <w:pStyle w:val="TableParagraph"/>
              <w:spacing w:before="0" w:after="120"/>
              <w:rPr>
                <w:rFonts w:ascii="Arial" w:hAnsi="Arial" w:cs="Arial"/>
              </w:rPr>
            </w:pPr>
            <w:r w:rsidRPr="00A820CC">
              <w:rPr>
                <w:rFonts w:ascii="Arial" w:hAnsi="Arial" w:cs="Arial"/>
              </w:rPr>
              <w:t>(24 hours, every day of the year)</w:t>
            </w:r>
          </w:p>
          <w:p w14:paraId="127BF84F" w14:textId="77777777" w:rsidR="006F757D" w:rsidRPr="00A820CC" w:rsidRDefault="009B7828" w:rsidP="005C0816">
            <w:pPr>
              <w:pStyle w:val="TableParagraph"/>
              <w:spacing w:before="0" w:after="120"/>
              <w:rPr>
                <w:rFonts w:ascii="Arial" w:hAnsi="Arial" w:cs="Arial"/>
              </w:rPr>
            </w:pPr>
            <w:r w:rsidRPr="00A820CC">
              <w:rPr>
                <w:rFonts w:ascii="Arial" w:hAnsi="Arial" w:cs="Arial"/>
              </w:rPr>
              <w:t xml:space="preserve">Phone: </w:t>
            </w:r>
            <w:r w:rsidR="006F757D" w:rsidRPr="00A820CC">
              <w:rPr>
                <w:rFonts w:ascii="Arial" w:hAnsi="Arial" w:cs="Arial"/>
              </w:rPr>
              <w:t>131 450</w:t>
            </w:r>
            <w:r w:rsidRPr="00A820CC">
              <w:rPr>
                <w:rFonts w:ascii="Arial" w:hAnsi="Arial" w:cs="Arial"/>
              </w:rPr>
              <w:t xml:space="preserve"> (within Australia)</w:t>
            </w:r>
          </w:p>
          <w:p w14:paraId="1A0FC461" w14:textId="77777777" w:rsidR="009B7828" w:rsidRPr="00A820CC" w:rsidRDefault="009B7828" w:rsidP="005C0816">
            <w:pPr>
              <w:pStyle w:val="TableParagraph"/>
              <w:spacing w:before="0" w:after="120"/>
              <w:rPr>
                <w:rFonts w:ascii="Arial" w:hAnsi="Arial" w:cs="Arial"/>
              </w:rPr>
            </w:pPr>
            <w:r w:rsidRPr="00A820CC">
              <w:rPr>
                <w:rFonts w:ascii="Arial" w:hAnsi="Arial" w:cs="Arial"/>
              </w:rPr>
              <w:t>Phone: +613 9268 8332 (outside Australia)</w:t>
            </w:r>
          </w:p>
          <w:p w14:paraId="2BD4E04D" w14:textId="38F19776" w:rsidR="006F757D" w:rsidRPr="00A820CC" w:rsidRDefault="00E32E71" w:rsidP="005C0816">
            <w:pPr>
              <w:pStyle w:val="TableParagraph"/>
              <w:spacing w:before="0" w:after="120"/>
              <w:rPr>
                <w:rFonts w:ascii="Arial" w:hAnsi="Arial" w:cs="Arial"/>
              </w:rPr>
            </w:pPr>
            <w:hyperlink r:id="rId34">
              <w:r w:rsidR="006F757D" w:rsidRPr="00A820CC">
                <w:rPr>
                  <w:rFonts w:ascii="Arial" w:hAnsi="Arial" w:cs="Arial"/>
                  <w:spacing w:val="-2"/>
                  <w:u w:val="single"/>
                </w:rPr>
                <w:t>www.tisnational.gov.au</w:t>
              </w:r>
            </w:hyperlink>
          </w:p>
        </w:tc>
      </w:tr>
      <w:tr w:rsidR="006F757D" w:rsidRPr="00832F57" w14:paraId="75463BFA" w14:textId="77777777" w:rsidTr="0035438F">
        <w:tc>
          <w:tcPr>
            <w:tcW w:w="2168" w:type="dxa"/>
            <w:tcBorders>
              <w:top w:val="single" w:sz="2" w:space="0" w:color="000000" w:themeColor="text1"/>
              <w:bottom w:val="single" w:sz="2" w:space="0" w:color="000000" w:themeColor="text1"/>
            </w:tcBorders>
            <w:tcMar>
              <w:left w:w="115" w:type="dxa"/>
              <w:right w:w="115" w:type="dxa"/>
            </w:tcMar>
          </w:tcPr>
          <w:p w14:paraId="5B56F3EE" w14:textId="25128D98" w:rsidR="006F757D" w:rsidRPr="00A820CC" w:rsidRDefault="006F757D" w:rsidP="005C0816">
            <w:pPr>
              <w:spacing w:after="120"/>
              <w:rPr>
                <w:rFonts w:cs="Arial"/>
                <w:b/>
                <w:w w:val="105"/>
                <w:lang w:val="en-US"/>
              </w:rPr>
            </w:pPr>
            <w:r w:rsidRPr="00A820CC">
              <w:rPr>
                <w:rFonts w:cs="Arial"/>
                <w:b/>
                <w:w w:val="105"/>
                <w:lang w:val="en-US"/>
              </w:rPr>
              <w:t>Aboriginal Interpreter Service (AIS)</w:t>
            </w:r>
          </w:p>
        </w:tc>
        <w:tc>
          <w:tcPr>
            <w:tcW w:w="3624" w:type="dxa"/>
            <w:tcBorders>
              <w:top w:val="single" w:sz="2" w:space="0" w:color="000000" w:themeColor="text1"/>
              <w:bottom w:val="single" w:sz="2" w:space="0" w:color="000000" w:themeColor="text1"/>
            </w:tcBorders>
            <w:tcMar>
              <w:left w:w="115" w:type="dxa"/>
              <w:right w:w="115" w:type="dxa"/>
            </w:tcMar>
          </w:tcPr>
          <w:p w14:paraId="1F60C52A" w14:textId="77777777" w:rsidR="006F757D" w:rsidRPr="00A820CC" w:rsidRDefault="006F757D" w:rsidP="005C0816">
            <w:pPr>
              <w:pStyle w:val="TableParagraph"/>
              <w:spacing w:before="0" w:after="120" w:line="242" w:lineRule="auto"/>
              <w:rPr>
                <w:rFonts w:ascii="Arial" w:hAnsi="Arial" w:cs="Arial"/>
              </w:rPr>
            </w:pPr>
            <w:r w:rsidRPr="00A820CC">
              <w:rPr>
                <w:rFonts w:ascii="Arial" w:hAnsi="Arial" w:cs="Arial"/>
              </w:rPr>
              <w:t>Helps</w:t>
            </w:r>
            <w:r w:rsidRPr="00A820CC">
              <w:rPr>
                <w:rFonts w:ascii="Arial" w:hAnsi="Arial" w:cs="Arial"/>
                <w:spacing w:val="-11"/>
              </w:rPr>
              <w:t xml:space="preserve"> </w:t>
            </w:r>
            <w:r w:rsidRPr="00A820CC">
              <w:rPr>
                <w:rFonts w:ascii="Arial" w:hAnsi="Arial" w:cs="Arial"/>
              </w:rPr>
              <w:t>to</w:t>
            </w:r>
            <w:r w:rsidRPr="00A820CC">
              <w:rPr>
                <w:rFonts w:ascii="Arial" w:hAnsi="Arial" w:cs="Arial"/>
                <w:spacing w:val="-11"/>
              </w:rPr>
              <w:t xml:space="preserve"> </w:t>
            </w:r>
            <w:r w:rsidRPr="00A820CC">
              <w:rPr>
                <w:rFonts w:ascii="Arial" w:hAnsi="Arial" w:cs="Arial"/>
              </w:rPr>
              <w:t>address</w:t>
            </w:r>
            <w:r w:rsidRPr="00A820CC">
              <w:rPr>
                <w:rFonts w:ascii="Arial" w:hAnsi="Arial" w:cs="Arial"/>
                <w:spacing w:val="-11"/>
              </w:rPr>
              <w:t xml:space="preserve"> </w:t>
            </w:r>
            <w:r w:rsidRPr="00A820CC">
              <w:rPr>
                <w:rFonts w:ascii="Arial" w:hAnsi="Arial" w:cs="Arial"/>
              </w:rPr>
              <w:t>language</w:t>
            </w:r>
            <w:r w:rsidRPr="00A820CC">
              <w:rPr>
                <w:rFonts w:ascii="Arial" w:hAnsi="Arial" w:cs="Arial"/>
                <w:spacing w:val="-11"/>
              </w:rPr>
              <w:t xml:space="preserve"> </w:t>
            </w:r>
            <w:r w:rsidRPr="00A820CC">
              <w:rPr>
                <w:rFonts w:ascii="Arial" w:hAnsi="Arial" w:cs="Arial"/>
              </w:rPr>
              <w:t>barriers</w:t>
            </w:r>
            <w:r w:rsidRPr="00A820CC">
              <w:rPr>
                <w:rFonts w:ascii="Arial" w:hAnsi="Arial" w:cs="Arial"/>
                <w:spacing w:val="-11"/>
              </w:rPr>
              <w:t xml:space="preserve"> </w:t>
            </w:r>
            <w:r w:rsidRPr="00A820CC">
              <w:rPr>
                <w:rFonts w:ascii="Arial" w:hAnsi="Arial" w:cs="Arial"/>
              </w:rPr>
              <w:t>faced</w:t>
            </w:r>
            <w:r w:rsidRPr="00A820CC">
              <w:rPr>
                <w:rFonts w:ascii="Arial" w:hAnsi="Arial" w:cs="Arial"/>
                <w:spacing w:val="-11"/>
              </w:rPr>
              <w:t xml:space="preserve"> </w:t>
            </w:r>
            <w:r w:rsidRPr="00A820CC">
              <w:rPr>
                <w:rFonts w:ascii="Arial" w:hAnsi="Arial" w:cs="Arial"/>
              </w:rPr>
              <w:t>by Indigenous</w:t>
            </w:r>
            <w:r w:rsidRPr="00A820CC">
              <w:rPr>
                <w:rFonts w:ascii="Arial" w:hAnsi="Arial" w:cs="Arial"/>
                <w:spacing w:val="-3"/>
              </w:rPr>
              <w:t xml:space="preserve"> </w:t>
            </w:r>
            <w:r w:rsidRPr="00A820CC">
              <w:rPr>
                <w:rFonts w:ascii="Arial" w:hAnsi="Arial" w:cs="Arial"/>
              </w:rPr>
              <w:t>people</w:t>
            </w:r>
            <w:r w:rsidRPr="00A820CC">
              <w:rPr>
                <w:rFonts w:ascii="Arial" w:hAnsi="Arial" w:cs="Arial"/>
                <w:spacing w:val="-3"/>
              </w:rPr>
              <w:t xml:space="preserve"> </w:t>
            </w:r>
            <w:r w:rsidRPr="00A820CC">
              <w:rPr>
                <w:rFonts w:ascii="Arial" w:hAnsi="Arial" w:cs="Arial"/>
              </w:rPr>
              <w:t>in</w:t>
            </w:r>
            <w:r w:rsidRPr="00A820CC">
              <w:rPr>
                <w:rFonts w:ascii="Arial" w:hAnsi="Arial" w:cs="Arial"/>
                <w:spacing w:val="-3"/>
              </w:rPr>
              <w:t xml:space="preserve"> </w:t>
            </w:r>
            <w:r w:rsidRPr="00A820CC">
              <w:rPr>
                <w:rFonts w:ascii="Arial" w:hAnsi="Arial" w:cs="Arial"/>
              </w:rPr>
              <w:t>the</w:t>
            </w:r>
            <w:r w:rsidRPr="00A820CC">
              <w:rPr>
                <w:rFonts w:ascii="Arial" w:hAnsi="Arial" w:cs="Arial"/>
                <w:spacing w:val="-3"/>
              </w:rPr>
              <w:t xml:space="preserve"> </w:t>
            </w:r>
            <w:r w:rsidRPr="00A820CC">
              <w:rPr>
                <w:rFonts w:ascii="Arial" w:hAnsi="Arial" w:cs="Arial"/>
              </w:rPr>
              <w:t>Northern</w:t>
            </w:r>
            <w:r w:rsidRPr="00A820CC">
              <w:rPr>
                <w:rFonts w:ascii="Arial" w:hAnsi="Arial" w:cs="Arial"/>
                <w:spacing w:val="-3"/>
              </w:rPr>
              <w:t xml:space="preserve"> </w:t>
            </w:r>
            <w:r w:rsidRPr="00A820CC">
              <w:rPr>
                <w:rFonts w:ascii="Arial" w:hAnsi="Arial" w:cs="Arial"/>
              </w:rPr>
              <w:t>Territory.</w:t>
            </w:r>
          </w:p>
          <w:p w14:paraId="1201E0E9" w14:textId="7563AC27" w:rsidR="009B7828" w:rsidRPr="00A820CC" w:rsidRDefault="006F757D" w:rsidP="005C0816">
            <w:pPr>
              <w:pStyle w:val="TableParagraph"/>
              <w:spacing w:before="0" w:after="120" w:line="242" w:lineRule="auto"/>
              <w:rPr>
                <w:rFonts w:ascii="Arial" w:hAnsi="Arial" w:cs="Arial"/>
              </w:rPr>
            </w:pPr>
            <w:r w:rsidRPr="00A820CC">
              <w:rPr>
                <w:rFonts w:ascii="Arial" w:hAnsi="Arial" w:cs="Arial"/>
              </w:rPr>
              <w:t>Interpreters are trained to work in a wide range of settings and environments including legal and justice systems,</w:t>
            </w:r>
            <w:r w:rsidR="00592E71">
              <w:rPr>
                <w:rFonts w:ascii="Arial" w:hAnsi="Arial" w:cs="Arial"/>
                <w:spacing w:val="80"/>
              </w:rPr>
              <w:t xml:space="preserve"> </w:t>
            </w:r>
            <w:r w:rsidRPr="00A820CC">
              <w:rPr>
                <w:rFonts w:ascii="Arial" w:hAnsi="Arial" w:cs="Arial"/>
              </w:rPr>
              <w:t>health care, education, social services and community engagement.</w:t>
            </w:r>
          </w:p>
          <w:p w14:paraId="6D1E0F6D" w14:textId="66251D0F" w:rsidR="009B7828" w:rsidRPr="00A820CC" w:rsidRDefault="009B7828" w:rsidP="005C0816">
            <w:pPr>
              <w:pStyle w:val="TableParagraph"/>
              <w:spacing w:before="0" w:after="120"/>
              <w:rPr>
                <w:rFonts w:ascii="Arial" w:hAnsi="Arial" w:cs="Arial"/>
              </w:rPr>
            </w:pPr>
            <w:r w:rsidRPr="00A820CC">
              <w:rPr>
                <w:rFonts w:ascii="Arial" w:hAnsi="Arial" w:cs="Arial"/>
              </w:rPr>
              <w:t>The Aboriginal Interpreter Service operates 24 hours a day, seven days a week.</w:t>
            </w:r>
          </w:p>
          <w:p w14:paraId="3542BF0F" w14:textId="2B783F97" w:rsidR="009B7828" w:rsidRPr="00A820CC" w:rsidRDefault="009B7828" w:rsidP="005C0816">
            <w:pPr>
              <w:pStyle w:val="TableParagraph"/>
              <w:spacing w:before="0" w:after="120"/>
              <w:rPr>
                <w:rFonts w:ascii="Arial" w:hAnsi="Arial" w:cs="Arial"/>
              </w:rPr>
            </w:pPr>
            <w:r w:rsidRPr="00A820CC">
              <w:rPr>
                <w:rFonts w:ascii="Arial" w:hAnsi="Arial" w:cs="Arial"/>
              </w:rPr>
              <w:t>Standard business hours are 8am and 4:21pm, Monday to Friday.</w:t>
            </w:r>
          </w:p>
          <w:p w14:paraId="31D8D890" w14:textId="0BD03F05" w:rsidR="006F757D" w:rsidRPr="00A820CC" w:rsidRDefault="009B7828" w:rsidP="005C0816">
            <w:pPr>
              <w:pStyle w:val="TableParagraph"/>
              <w:spacing w:before="0" w:after="120"/>
              <w:rPr>
                <w:rFonts w:ascii="Arial" w:hAnsi="Arial" w:cs="Arial"/>
              </w:rPr>
            </w:pPr>
            <w:r w:rsidRPr="00A820CC">
              <w:rPr>
                <w:rFonts w:ascii="Arial" w:hAnsi="Arial" w:cs="Arial"/>
              </w:rPr>
              <w:t>After hours interpreting services are for urgent matters only.</w:t>
            </w:r>
          </w:p>
        </w:tc>
        <w:tc>
          <w:tcPr>
            <w:tcW w:w="2977" w:type="dxa"/>
            <w:tcBorders>
              <w:top w:val="single" w:sz="2" w:space="0" w:color="000000" w:themeColor="text1"/>
              <w:bottom w:val="single" w:sz="2" w:space="0" w:color="000000" w:themeColor="text1"/>
            </w:tcBorders>
            <w:tcMar>
              <w:left w:w="115" w:type="dxa"/>
              <w:right w:w="115" w:type="dxa"/>
            </w:tcMar>
          </w:tcPr>
          <w:p w14:paraId="14263886" w14:textId="77777777" w:rsidR="006F757D" w:rsidRPr="00A820CC" w:rsidRDefault="006F757D" w:rsidP="005C0816">
            <w:pPr>
              <w:pStyle w:val="TableParagraph"/>
              <w:spacing w:before="0" w:after="120"/>
              <w:rPr>
                <w:rFonts w:ascii="Arial" w:hAnsi="Arial" w:cs="Arial"/>
              </w:rPr>
            </w:pPr>
            <w:r w:rsidRPr="00A820CC">
              <w:rPr>
                <w:rFonts w:ascii="Arial" w:hAnsi="Arial" w:cs="Arial"/>
              </w:rPr>
              <w:t>(08)</w:t>
            </w:r>
            <w:r w:rsidRPr="00A820CC">
              <w:rPr>
                <w:rFonts w:ascii="Arial" w:hAnsi="Arial" w:cs="Arial"/>
                <w:spacing w:val="3"/>
              </w:rPr>
              <w:t xml:space="preserve"> </w:t>
            </w:r>
            <w:r w:rsidRPr="00A820CC">
              <w:rPr>
                <w:rFonts w:ascii="Arial" w:hAnsi="Arial" w:cs="Arial"/>
              </w:rPr>
              <w:t>8999</w:t>
            </w:r>
            <w:r w:rsidRPr="00A820CC">
              <w:rPr>
                <w:rFonts w:ascii="Arial" w:hAnsi="Arial" w:cs="Arial"/>
                <w:spacing w:val="4"/>
              </w:rPr>
              <w:t xml:space="preserve"> </w:t>
            </w:r>
            <w:r w:rsidRPr="00A820CC">
              <w:rPr>
                <w:rFonts w:ascii="Arial" w:hAnsi="Arial" w:cs="Arial"/>
              </w:rPr>
              <w:t>8353</w:t>
            </w:r>
            <w:r w:rsidRPr="00A820CC">
              <w:rPr>
                <w:rFonts w:ascii="Arial" w:hAnsi="Arial" w:cs="Arial"/>
                <w:spacing w:val="3"/>
              </w:rPr>
              <w:t xml:space="preserve"> </w:t>
            </w:r>
            <w:r w:rsidRPr="00A820CC">
              <w:rPr>
                <w:rFonts w:ascii="Arial" w:hAnsi="Arial" w:cs="Arial"/>
              </w:rPr>
              <w:t>(24</w:t>
            </w:r>
            <w:r w:rsidRPr="00A820CC">
              <w:rPr>
                <w:rFonts w:ascii="Arial" w:hAnsi="Arial" w:cs="Arial"/>
                <w:spacing w:val="4"/>
              </w:rPr>
              <w:t xml:space="preserve"> </w:t>
            </w:r>
            <w:r w:rsidRPr="00A820CC">
              <w:rPr>
                <w:rFonts w:ascii="Arial" w:hAnsi="Arial" w:cs="Arial"/>
                <w:spacing w:val="-2"/>
              </w:rPr>
              <w:t>hours)</w:t>
            </w:r>
          </w:p>
          <w:p w14:paraId="19532AB9" w14:textId="77777777" w:rsidR="006F757D" w:rsidRPr="00A820CC" w:rsidRDefault="006F757D" w:rsidP="005C0816">
            <w:pPr>
              <w:pStyle w:val="TableParagraph"/>
              <w:spacing w:before="0" w:after="120"/>
              <w:rPr>
                <w:rFonts w:ascii="Arial" w:hAnsi="Arial" w:cs="Arial"/>
              </w:rPr>
            </w:pPr>
            <w:r w:rsidRPr="00A820CC">
              <w:rPr>
                <w:rFonts w:ascii="Arial" w:hAnsi="Arial" w:cs="Arial"/>
              </w:rPr>
              <w:t>Fax</w:t>
            </w:r>
            <w:r w:rsidRPr="00A820CC">
              <w:rPr>
                <w:rFonts w:ascii="Arial" w:hAnsi="Arial" w:cs="Arial"/>
                <w:spacing w:val="2"/>
              </w:rPr>
              <w:t xml:space="preserve"> </w:t>
            </w:r>
            <w:r w:rsidRPr="00A820CC">
              <w:rPr>
                <w:rFonts w:ascii="Arial" w:hAnsi="Arial" w:cs="Arial"/>
              </w:rPr>
              <w:t>(08)</w:t>
            </w:r>
            <w:r w:rsidRPr="00A820CC">
              <w:rPr>
                <w:rFonts w:ascii="Arial" w:hAnsi="Arial" w:cs="Arial"/>
                <w:spacing w:val="3"/>
              </w:rPr>
              <w:t xml:space="preserve"> </w:t>
            </w:r>
            <w:r w:rsidRPr="00A820CC">
              <w:rPr>
                <w:rFonts w:ascii="Arial" w:hAnsi="Arial" w:cs="Arial"/>
              </w:rPr>
              <w:t>8923</w:t>
            </w:r>
            <w:r w:rsidRPr="00A820CC">
              <w:rPr>
                <w:rFonts w:ascii="Arial" w:hAnsi="Arial" w:cs="Arial"/>
                <w:spacing w:val="3"/>
              </w:rPr>
              <w:t xml:space="preserve"> </w:t>
            </w:r>
            <w:r w:rsidRPr="00A820CC">
              <w:rPr>
                <w:rFonts w:ascii="Arial" w:hAnsi="Arial" w:cs="Arial"/>
                <w:spacing w:val="-4"/>
              </w:rPr>
              <w:t>7621</w:t>
            </w:r>
          </w:p>
          <w:p w14:paraId="02AF447A" w14:textId="1DB7D216" w:rsidR="009B7828" w:rsidRPr="00A820CC" w:rsidRDefault="006F757D" w:rsidP="005C0816">
            <w:pPr>
              <w:pStyle w:val="TableParagraph"/>
              <w:spacing w:before="0" w:after="120"/>
              <w:rPr>
                <w:rFonts w:ascii="Arial" w:hAnsi="Arial" w:cs="Arial"/>
                <w:spacing w:val="-2"/>
                <w:u w:val="single"/>
              </w:rPr>
            </w:pPr>
            <w:r w:rsidRPr="00A820CC">
              <w:rPr>
                <w:rFonts w:ascii="Arial" w:hAnsi="Arial" w:cs="Arial"/>
              </w:rPr>
              <w:t>Email</w:t>
            </w:r>
            <w:r w:rsidRPr="00A820CC">
              <w:rPr>
                <w:rFonts w:ascii="Arial" w:hAnsi="Arial" w:cs="Arial"/>
                <w:spacing w:val="6"/>
              </w:rPr>
              <w:t xml:space="preserve"> </w:t>
            </w:r>
            <w:hyperlink r:id="rId35">
              <w:r w:rsidRPr="00A820CC">
                <w:rPr>
                  <w:rFonts w:ascii="Arial" w:hAnsi="Arial" w:cs="Arial"/>
                  <w:spacing w:val="-2"/>
                  <w:u w:val="single"/>
                </w:rPr>
                <w:t>ais@nt.gov.au</w:t>
              </w:r>
            </w:hyperlink>
          </w:p>
          <w:p w14:paraId="498DAD28" w14:textId="4F0E5731" w:rsidR="009B7828" w:rsidRPr="00A820CC" w:rsidRDefault="009B7828" w:rsidP="005C0816">
            <w:pPr>
              <w:pStyle w:val="TableParagraph"/>
              <w:spacing w:before="0" w:after="120"/>
              <w:rPr>
                <w:rFonts w:ascii="Arial" w:hAnsi="Arial" w:cs="Arial"/>
              </w:rPr>
            </w:pPr>
            <w:r w:rsidRPr="00A820CC">
              <w:rPr>
                <w:rFonts w:ascii="Arial" w:hAnsi="Arial" w:cs="Arial"/>
              </w:rPr>
              <w:t>Call 1800 334 944 for general enquiries and interpreter bookings for all regions.</w:t>
            </w:r>
          </w:p>
          <w:p w14:paraId="66F8E3C0" w14:textId="269ABDF8" w:rsidR="006F757D" w:rsidRPr="00A820CC" w:rsidRDefault="006F757D" w:rsidP="005C0816">
            <w:pPr>
              <w:pStyle w:val="TableParagraph"/>
              <w:spacing w:before="0" w:after="120"/>
              <w:rPr>
                <w:rFonts w:ascii="Arial" w:hAnsi="Arial" w:cs="Arial"/>
              </w:rPr>
            </w:pPr>
          </w:p>
        </w:tc>
      </w:tr>
      <w:tr w:rsidR="006F757D" w:rsidRPr="00832F57" w14:paraId="10CE7624" w14:textId="77777777" w:rsidTr="0035438F">
        <w:tc>
          <w:tcPr>
            <w:tcW w:w="2168" w:type="dxa"/>
            <w:tcBorders>
              <w:top w:val="single" w:sz="2" w:space="0" w:color="000000" w:themeColor="text1"/>
              <w:bottom w:val="single" w:sz="2" w:space="0" w:color="000000" w:themeColor="text1"/>
            </w:tcBorders>
            <w:tcMar>
              <w:left w:w="115" w:type="dxa"/>
              <w:right w:w="115" w:type="dxa"/>
            </w:tcMar>
          </w:tcPr>
          <w:p w14:paraId="3B8FA39E" w14:textId="05760439" w:rsidR="006F757D" w:rsidRPr="00A820CC" w:rsidRDefault="006F757D" w:rsidP="005C0816">
            <w:pPr>
              <w:spacing w:after="120"/>
              <w:rPr>
                <w:rFonts w:cs="Arial"/>
                <w:b/>
                <w:w w:val="105"/>
                <w:lang w:val="en-US"/>
              </w:rPr>
            </w:pPr>
            <w:r w:rsidRPr="00A820CC">
              <w:rPr>
                <w:rFonts w:cs="Arial"/>
                <w:b/>
                <w:w w:val="105"/>
                <w:lang w:val="en-US"/>
              </w:rPr>
              <w:t>National Relay Service (NRS)</w:t>
            </w:r>
          </w:p>
        </w:tc>
        <w:tc>
          <w:tcPr>
            <w:tcW w:w="3624" w:type="dxa"/>
            <w:tcBorders>
              <w:top w:val="single" w:sz="2" w:space="0" w:color="000000" w:themeColor="text1"/>
              <w:bottom w:val="single" w:sz="2" w:space="0" w:color="000000" w:themeColor="text1"/>
            </w:tcBorders>
            <w:tcMar>
              <w:left w:w="115" w:type="dxa"/>
              <w:right w:w="115" w:type="dxa"/>
            </w:tcMar>
          </w:tcPr>
          <w:p w14:paraId="30637C4D" w14:textId="676182BA" w:rsidR="009B7828" w:rsidRPr="00A820CC" w:rsidRDefault="009B7828" w:rsidP="005C0816">
            <w:pPr>
              <w:pStyle w:val="TableParagraph"/>
              <w:spacing w:before="0" w:after="120" w:line="242" w:lineRule="auto"/>
              <w:rPr>
                <w:rFonts w:ascii="Arial" w:hAnsi="Arial" w:cs="Arial"/>
              </w:rPr>
            </w:pPr>
            <w:r w:rsidRPr="00A820CC">
              <w:rPr>
                <w:rFonts w:ascii="Arial" w:hAnsi="Arial" w:cs="Arial"/>
              </w:rPr>
              <w:t>Telephone relay service allowing</w:t>
            </w:r>
            <w:r w:rsidR="003D093D" w:rsidRPr="00A820CC">
              <w:rPr>
                <w:rFonts w:ascii="Arial" w:hAnsi="Arial" w:cs="Arial"/>
              </w:rPr>
              <w:t xml:space="preserve"> </w:t>
            </w:r>
            <w:r w:rsidR="006F757D" w:rsidRPr="00A820CC">
              <w:rPr>
                <w:rFonts w:ascii="Arial" w:hAnsi="Arial" w:cs="Arial"/>
              </w:rPr>
              <w:t>people who cannot hear or do not use their voice to communicate with a hearing person over the phone.</w:t>
            </w:r>
          </w:p>
          <w:p w14:paraId="1084B1A7" w14:textId="7433CB5D" w:rsidR="006F757D" w:rsidRPr="00A820CC" w:rsidRDefault="009B7828" w:rsidP="005C0816">
            <w:pPr>
              <w:pStyle w:val="TableParagraph"/>
              <w:spacing w:before="0" w:after="120" w:line="242" w:lineRule="auto"/>
              <w:rPr>
                <w:rFonts w:ascii="Arial" w:hAnsi="Arial" w:cs="Arial"/>
              </w:rPr>
            </w:pPr>
            <w:r w:rsidRPr="00A820CC">
              <w:rPr>
                <w:rFonts w:ascii="Arial" w:hAnsi="Arial" w:cs="Arial"/>
              </w:rPr>
              <w:t>Available 24 hours a day from anywhere in Australia.</w:t>
            </w:r>
          </w:p>
        </w:tc>
        <w:tc>
          <w:tcPr>
            <w:tcW w:w="2977" w:type="dxa"/>
            <w:tcBorders>
              <w:top w:val="single" w:sz="2" w:space="0" w:color="000000" w:themeColor="text1"/>
              <w:bottom w:val="single" w:sz="2" w:space="0" w:color="000000" w:themeColor="text1"/>
            </w:tcBorders>
            <w:tcMar>
              <w:left w:w="115" w:type="dxa"/>
              <w:right w:w="115" w:type="dxa"/>
            </w:tcMar>
          </w:tcPr>
          <w:p w14:paraId="31B0C8FA" w14:textId="77777777" w:rsidR="006F757D" w:rsidRPr="00A820CC" w:rsidRDefault="006F757D" w:rsidP="005C0816">
            <w:pPr>
              <w:pStyle w:val="TableParagraph"/>
              <w:spacing w:before="0" w:after="120" w:line="242" w:lineRule="auto"/>
              <w:rPr>
                <w:rFonts w:ascii="Arial" w:hAnsi="Arial" w:cs="Arial"/>
              </w:rPr>
            </w:pPr>
            <w:r w:rsidRPr="00A820CC">
              <w:rPr>
                <w:rFonts w:ascii="Arial" w:hAnsi="Arial" w:cs="Arial"/>
              </w:rPr>
              <w:t>Voice</w:t>
            </w:r>
            <w:r w:rsidRPr="00A820CC">
              <w:rPr>
                <w:rFonts w:ascii="Arial" w:hAnsi="Arial" w:cs="Arial"/>
                <w:spacing w:val="-12"/>
              </w:rPr>
              <w:t xml:space="preserve"> </w:t>
            </w:r>
            <w:r w:rsidRPr="00A820CC">
              <w:rPr>
                <w:rFonts w:ascii="Arial" w:hAnsi="Arial" w:cs="Arial"/>
              </w:rPr>
              <w:t>relay</w:t>
            </w:r>
            <w:r w:rsidRPr="00A820CC">
              <w:rPr>
                <w:rFonts w:ascii="Arial" w:hAnsi="Arial" w:cs="Arial"/>
                <w:spacing w:val="-12"/>
              </w:rPr>
              <w:t xml:space="preserve"> </w:t>
            </w:r>
            <w:r w:rsidRPr="00A820CC">
              <w:rPr>
                <w:rFonts w:ascii="Arial" w:hAnsi="Arial" w:cs="Arial"/>
              </w:rPr>
              <w:t>number 1300 555 727</w:t>
            </w:r>
          </w:p>
          <w:p w14:paraId="661AFC67" w14:textId="77777777" w:rsidR="006F757D" w:rsidRPr="00A820CC" w:rsidRDefault="006F757D" w:rsidP="005C0816">
            <w:pPr>
              <w:pStyle w:val="TableParagraph"/>
              <w:spacing w:before="0" w:after="120"/>
              <w:rPr>
                <w:rFonts w:ascii="Arial" w:hAnsi="Arial" w:cs="Arial"/>
              </w:rPr>
            </w:pPr>
            <w:r w:rsidRPr="00A820CC">
              <w:rPr>
                <w:rFonts w:ascii="Arial" w:hAnsi="Arial" w:cs="Arial"/>
              </w:rPr>
              <w:t>TTY</w:t>
            </w:r>
            <w:r w:rsidRPr="00A820CC">
              <w:rPr>
                <w:rFonts w:ascii="Arial" w:hAnsi="Arial" w:cs="Arial"/>
                <w:spacing w:val="5"/>
              </w:rPr>
              <w:t xml:space="preserve"> </w:t>
            </w:r>
            <w:r w:rsidRPr="00A820CC">
              <w:rPr>
                <w:rFonts w:ascii="Arial" w:hAnsi="Arial" w:cs="Arial"/>
              </w:rPr>
              <w:t>number</w:t>
            </w:r>
            <w:r w:rsidRPr="00A820CC">
              <w:rPr>
                <w:rFonts w:ascii="Arial" w:hAnsi="Arial" w:cs="Arial"/>
                <w:spacing w:val="6"/>
              </w:rPr>
              <w:t xml:space="preserve"> </w:t>
            </w:r>
            <w:r w:rsidRPr="00A820CC">
              <w:rPr>
                <w:rFonts w:ascii="Arial" w:hAnsi="Arial" w:cs="Arial"/>
              </w:rPr>
              <w:t>133</w:t>
            </w:r>
            <w:r w:rsidRPr="00A820CC">
              <w:rPr>
                <w:rFonts w:ascii="Arial" w:hAnsi="Arial" w:cs="Arial"/>
                <w:spacing w:val="5"/>
              </w:rPr>
              <w:t xml:space="preserve"> </w:t>
            </w:r>
            <w:r w:rsidRPr="00A820CC">
              <w:rPr>
                <w:rFonts w:ascii="Arial" w:hAnsi="Arial" w:cs="Arial"/>
                <w:spacing w:val="-5"/>
              </w:rPr>
              <w:t>677</w:t>
            </w:r>
          </w:p>
          <w:p w14:paraId="083C3C2D" w14:textId="14E30D5C" w:rsidR="009B7828" w:rsidRPr="00A820CC" w:rsidRDefault="006F757D" w:rsidP="005C0816">
            <w:pPr>
              <w:pStyle w:val="TableParagraph"/>
              <w:spacing w:before="0" w:after="120"/>
              <w:rPr>
                <w:rFonts w:ascii="Arial" w:hAnsi="Arial" w:cs="Arial"/>
              </w:rPr>
            </w:pPr>
            <w:r w:rsidRPr="00A820CC">
              <w:rPr>
                <w:rFonts w:ascii="Arial" w:hAnsi="Arial" w:cs="Arial"/>
              </w:rPr>
              <w:t>SMS</w:t>
            </w:r>
            <w:r w:rsidRPr="00A820CC">
              <w:rPr>
                <w:rFonts w:ascii="Arial" w:hAnsi="Arial" w:cs="Arial"/>
                <w:spacing w:val="-7"/>
              </w:rPr>
              <w:t xml:space="preserve"> </w:t>
            </w:r>
            <w:r w:rsidRPr="00A820CC">
              <w:rPr>
                <w:rFonts w:ascii="Arial" w:hAnsi="Arial" w:cs="Arial"/>
              </w:rPr>
              <w:t>relay</w:t>
            </w:r>
            <w:r w:rsidRPr="00A820CC">
              <w:rPr>
                <w:rFonts w:ascii="Arial" w:hAnsi="Arial" w:cs="Arial"/>
                <w:spacing w:val="-7"/>
              </w:rPr>
              <w:t xml:space="preserve"> </w:t>
            </w:r>
            <w:r w:rsidRPr="00A820CC">
              <w:rPr>
                <w:rFonts w:ascii="Arial" w:hAnsi="Arial" w:cs="Arial"/>
              </w:rPr>
              <w:t>number 0423 677 767</w:t>
            </w:r>
          </w:p>
          <w:p w14:paraId="4DA0118F" w14:textId="60444592" w:rsidR="006F757D" w:rsidRPr="00A820CC" w:rsidRDefault="00E32E71" w:rsidP="005C0816">
            <w:pPr>
              <w:pStyle w:val="TableParagraph"/>
              <w:spacing w:before="0" w:after="120"/>
              <w:rPr>
                <w:rFonts w:ascii="Arial" w:hAnsi="Arial" w:cs="Arial"/>
              </w:rPr>
            </w:pPr>
            <w:hyperlink r:id="rId36" w:history="1">
              <w:r w:rsidR="009B7828" w:rsidRPr="00A820CC">
                <w:rPr>
                  <w:rStyle w:val="Hyperlink"/>
                  <w:rFonts w:ascii="Arial" w:hAnsi="Arial" w:cs="Arial"/>
                </w:rPr>
                <w:t>www.accesshub.gov.au/about-the-nrs</w:t>
              </w:r>
            </w:hyperlink>
          </w:p>
        </w:tc>
      </w:tr>
      <w:tr w:rsidR="006F757D" w:rsidRPr="00832F57" w14:paraId="0FDDCF64" w14:textId="77777777" w:rsidTr="0035438F">
        <w:tc>
          <w:tcPr>
            <w:tcW w:w="2168" w:type="dxa"/>
            <w:tcBorders>
              <w:top w:val="single" w:sz="2" w:space="0" w:color="000000" w:themeColor="text1"/>
              <w:bottom w:val="single" w:sz="2" w:space="0" w:color="000000" w:themeColor="text1"/>
            </w:tcBorders>
            <w:tcMar>
              <w:left w:w="115" w:type="dxa"/>
              <w:right w:w="115" w:type="dxa"/>
            </w:tcMar>
          </w:tcPr>
          <w:p w14:paraId="1C51A3FE" w14:textId="2F9E45E1" w:rsidR="006F757D" w:rsidRPr="00A820CC" w:rsidRDefault="006F757D" w:rsidP="005C0816">
            <w:pPr>
              <w:spacing w:after="120"/>
              <w:rPr>
                <w:rFonts w:eastAsia="Nunito-ExtraLight" w:cs="Arial"/>
                <w:b/>
                <w:bCs/>
                <w:w w:val="105"/>
                <w:lang w:val="en-US"/>
              </w:rPr>
            </w:pPr>
            <w:r w:rsidRPr="00A820CC">
              <w:rPr>
                <w:rFonts w:cs="Arial"/>
                <w:b/>
                <w:w w:val="105"/>
              </w:rPr>
              <w:lastRenderedPageBreak/>
              <w:t>eSafety</w:t>
            </w:r>
            <w:r w:rsidRPr="00A820CC">
              <w:rPr>
                <w:rFonts w:cs="Arial"/>
                <w:b/>
                <w:spacing w:val="-2"/>
                <w:w w:val="105"/>
              </w:rPr>
              <w:t xml:space="preserve"> Commissioner</w:t>
            </w:r>
          </w:p>
        </w:tc>
        <w:tc>
          <w:tcPr>
            <w:tcW w:w="3624" w:type="dxa"/>
            <w:tcBorders>
              <w:top w:val="single" w:sz="2" w:space="0" w:color="000000" w:themeColor="text1"/>
              <w:bottom w:val="single" w:sz="2" w:space="0" w:color="000000" w:themeColor="text1"/>
            </w:tcBorders>
            <w:tcMar>
              <w:left w:w="115" w:type="dxa"/>
              <w:right w:w="115" w:type="dxa"/>
            </w:tcMar>
          </w:tcPr>
          <w:p w14:paraId="030CF56F" w14:textId="5DC5D1F4" w:rsidR="006F757D" w:rsidRPr="00A820CC" w:rsidRDefault="006F757D" w:rsidP="005C0816">
            <w:pPr>
              <w:pStyle w:val="TableParagraph"/>
              <w:spacing w:before="0" w:after="120" w:line="242" w:lineRule="auto"/>
              <w:rPr>
                <w:rFonts w:ascii="Arial" w:hAnsi="Arial" w:cs="Arial"/>
              </w:rPr>
            </w:pPr>
            <w:r w:rsidRPr="00A820CC">
              <w:rPr>
                <w:rFonts w:ascii="Arial" w:hAnsi="Arial" w:cs="Arial"/>
              </w:rPr>
              <w:t>A complaints based reporting scheme for cyberbullying of children, serious adult cyber abuse, image based abuse (sharing, or threatening to share, intimate images without the consent of the person shown) and illegal and restricted content.</w:t>
            </w:r>
          </w:p>
        </w:tc>
        <w:tc>
          <w:tcPr>
            <w:tcW w:w="2977" w:type="dxa"/>
            <w:tcBorders>
              <w:top w:val="single" w:sz="2" w:space="0" w:color="000000" w:themeColor="text1"/>
              <w:bottom w:val="single" w:sz="2" w:space="0" w:color="000000" w:themeColor="text1"/>
            </w:tcBorders>
            <w:tcMar>
              <w:left w:w="115" w:type="dxa"/>
              <w:right w:w="115" w:type="dxa"/>
            </w:tcMar>
          </w:tcPr>
          <w:p w14:paraId="2330529B" w14:textId="72B0C04D" w:rsidR="006F757D" w:rsidRPr="00A820CC" w:rsidRDefault="00E32E71" w:rsidP="005C0816">
            <w:pPr>
              <w:pStyle w:val="TableParagraph"/>
              <w:spacing w:before="0" w:after="120" w:line="242" w:lineRule="auto"/>
              <w:rPr>
                <w:rFonts w:ascii="Arial" w:hAnsi="Arial" w:cs="Arial"/>
              </w:rPr>
            </w:pPr>
            <w:hyperlink r:id="rId37">
              <w:r w:rsidR="006F757D" w:rsidRPr="00A820CC">
                <w:rPr>
                  <w:rFonts w:ascii="Arial" w:hAnsi="Arial" w:cs="Arial"/>
                  <w:spacing w:val="-2"/>
                  <w:u w:val="single"/>
                </w:rPr>
                <w:t>https://www.esafety.gov.au/</w:t>
              </w:r>
            </w:hyperlink>
            <w:r w:rsidR="006F757D" w:rsidRPr="00A820CC">
              <w:rPr>
                <w:rFonts w:ascii="Arial" w:hAnsi="Arial" w:cs="Arial"/>
                <w:spacing w:val="-2"/>
              </w:rPr>
              <w:t xml:space="preserve"> </w:t>
            </w:r>
            <w:hyperlink r:id="rId38">
              <w:r w:rsidR="006F757D" w:rsidRPr="00A820CC">
                <w:rPr>
                  <w:rFonts w:ascii="Arial" w:hAnsi="Arial" w:cs="Arial"/>
                  <w:spacing w:val="-2"/>
                  <w:u w:val="single"/>
                </w:rPr>
                <w:t>report</w:t>
              </w:r>
            </w:hyperlink>
          </w:p>
        </w:tc>
      </w:tr>
    </w:tbl>
    <w:p w14:paraId="19302131" w14:textId="77777777" w:rsidR="00FF3BD9" w:rsidRDefault="00FF3BD9" w:rsidP="00FF3BD9">
      <w:r>
        <w:br w:type="page"/>
      </w:r>
    </w:p>
    <w:p w14:paraId="667623C6" w14:textId="77777777" w:rsidR="00FF3BD9" w:rsidRPr="00DC7967" w:rsidRDefault="00FF3BD9" w:rsidP="00E421D9">
      <w:pPr>
        <w:pStyle w:val="Heading1"/>
      </w:pPr>
      <w:bookmarkStart w:id="2" w:name="_Toc127441212"/>
      <w:bookmarkStart w:id="3" w:name="_Toc127776193"/>
      <w:bookmarkStart w:id="4" w:name="_Toc127800119"/>
      <w:bookmarkStart w:id="5" w:name="_Toc128734607"/>
      <w:bookmarkStart w:id="6" w:name="_Toc132805029"/>
      <w:bookmarkStart w:id="7" w:name="_Toc132805370"/>
      <w:bookmarkStart w:id="8" w:name="_Toc134621924"/>
      <w:bookmarkStart w:id="9" w:name="_Toc134622016"/>
      <w:bookmarkStart w:id="10" w:name="_Toc134622118"/>
      <w:bookmarkStart w:id="11" w:name="_Toc134624207"/>
      <w:bookmarkStart w:id="12" w:name="_Toc134628741"/>
      <w:bookmarkStart w:id="13" w:name="_Toc136254987"/>
      <w:bookmarkStart w:id="14" w:name="_Toc136261680"/>
      <w:bookmarkStart w:id="15" w:name="_Toc136268771"/>
      <w:bookmarkStart w:id="16" w:name="_Toc136272347"/>
      <w:bookmarkStart w:id="17" w:name="_Toc136278726"/>
      <w:bookmarkStart w:id="18" w:name="_Toc136279944"/>
      <w:bookmarkStart w:id="19" w:name="_Toc144909125"/>
      <w:r w:rsidRPr="00DC7967">
        <w:lastRenderedPageBreak/>
        <w:t>Introduction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388457F" w14:textId="6FBD96FF" w:rsidR="00FF3BD9" w:rsidRPr="00764178" w:rsidRDefault="00FF3BD9" w:rsidP="00126C34">
      <w:pPr>
        <w:spacing w:before="240"/>
        <w:rPr>
          <w:rFonts w:cs="Arial"/>
          <w:b/>
          <w:bCs/>
          <w:sz w:val="28"/>
          <w:szCs w:val="28"/>
        </w:rPr>
      </w:pPr>
      <w:r w:rsidRPr="00764178">
        <w:rPr>
          <w:rFonts w:cs="Arial"/>
          <w:b/>
          <w:bCs/>
          <w:sz w:val="28"/>
          <w:szCs w:val="28"/>
        </w:rPr>
        <w:t xml:space="preserve">All governments have committed to ending </w:t>
      </w:r>
      <w:r w:rsidR="0023742B" w:rsidRPr="00764178">
        <w:rPr>
          <w:rFonts w:cs="Arial"/>
          <w:b/>
          <w:bCs/>
          <w:sz w:val="28"/>
          <w:szCs w:val="28"/>
        </w:rPr>
        <w:t>gender-based violence</w:t>
      </w:r>
      <w:r w:rsidRPr="00764178">
        <w:rPr>
          <w:rFonts w:cs="Arial"/>
          <w:b/>
          <w:bCs/>
          <w:sz w:val="28"/>
          <w:szCs w:val="28"/>
        </w:rPr>
        <w:t xml:space="preserve"> in Australia in one generation through the </w:t>
      </w:r>
      <w:r w:rsidRPr="00764178">
        <w:rPr>
          <w:rFonts w:cs="Arial"/>
          <w:b/>
          <w:bCs/>
          <w:i/>
          <w:iCs/>
          <w:sz w:val="28"/>
          <w:szCs w:val="28"/>
        </w:rPr>
        <w:t>National Plan to End Violence against Women and Children 2022</w:t>
      </w:r>
      <w:r w:rsidR="002A2ADB" w:rsidRPr="00764178">
        <w:rPr>
          <w:rFonts w:cs="Arial"/>
          <w:b/>
          <w:bCs/>
          <w:i/>
          <w:iCs/>
          <w:sz w:val="28"/>
          <w:szCs w:val="28"/>
        </w:rPr>
        <w:t>–</w:t>
      </w:r>
      <w:r w:rsidRPr="00764178">
        <w:rPr>
          <w:rFonts w:cs="Arial"/>
          <w:b/>
          <w:bCs/>
          <w:i/>
          <w:iCs/>
          <w:sz w:val="28"/>
          <w:szCs w:val="28"/>
        </w:rPr>
        <w:t>2032</w:t>
      </w:r>
      <w:r w:rsidRPr="00764178">
        <w:rPr>
          <w:rFonts w:cs="Arial"/>
          <w:b/>
          <w:bCs/>
          <w:sz w:val="28"/>
          <w:szCs w:val="28"/>
        </w:rPr>
        <w:t xml:space="preserve"> (National Plan). This signifies our collective agreement that women and children have the right to live free from fear and violence, and to be safe in their homes, workplaces, schools, in the community and online.</w:t>
      </w:r>
    </w:p>
    <w:p w14:paraId="174517E3" w14:textId="77777777" w:rsidR="002A2ADB" w:rsidRDefault="002A2ADB" w:rsidP="002A2ADB">
      <w:pPr>
        <w:spacing w:before="240" w:after="0"/>
      </w:pPr>
      <w:r>
        <w:t>This Action Plan is for governments, policy makers, businesses and workplaces, specialist organisations, family, domestic and sexual violence organisations and workers, communities, and people affected by family, domestic and sexual violence. It provides an overview of the national policy response to ending gender-based violence in one generation.</w:t>
      </w:r>
    </w:p>
    <w:p w14:paraId="785F1E5C" w14:textId="50B22A8B" w:rsidR="002A2ADB" w:rsidRPr="00A820CC" w:rsidRDefault="002A2ADB" w:rsidP="002A2ADB">
      <w:pPr>
        <w:spacing w:before="240"/>
        <w:rPr>
          <w:rFonts w:cs="Arial"/>
        </w:rPr>
      </w:pPr>
      <w:r>
        <w:t>You can use this Action Plan to understand what actions governments are taking to end gender-based violence, what outcomes the actions and activities aim to achieve, and the targets we are working towards.</w:t>
      </w:r>
    </w:p>
    <w:p w14:paraId="6DDED766" w14:textId="0680D022" w:rsidR="00FF3BD9" w:rsidRPr="00325D41" w:rsidRDefault="00FF3BD9" w:rsidP="00FF3BD9">
      <w:pPr>
        <w:spacing w:before="240"/>
        <w:rPr>
          <w:rFonts w:cs="Arial"/>
        </w:rPr>
      </w:pPr>
      <w:r w:rsidRPr="2A73AA60">
        <w:rPr>
          <w:rFonts w:cs="Arial"/>
        </w:rPr>
        <w:t xml:space="preserve">The National Plan is the national policy framework that guides the work of </w:t>
      </w:r>
      <w:r w:rsidR="001A4DF8">
        <w:rPr>
          <w:rFonts w:cs="Arial"/>
        </w:rPr>
        <w:t xml:space="preserve">organisations and institutions across systems and sectors including </w:t>
      </w:r>
      <w:r w:rsidRPr="2A73AA60">
        <w:rPr>
          <w:rFonts w:cs="Arial"/>
        </w:rPr>
        <w:t xml:space="preserve">governments, policy makers, businesses and workplaces, </w:t>
      </w:r>
      <w:r w:rsidR="001A4DF8">
        <w:rPr>
          <w:rFonts w:cs="Arial"/>
        </w:rPr>
        <w:t xml:space="preserve">educational institutions, sporting clubs, media, </w:t>
      </w:r>
      <w:r w:rsidR="00BD0462">
        <w:rPr>
          <w:rFonts w:cs="Arial"/>
        </w:rPr>
        <w:t>mainstream</w:t>
      </w:r>
      <w:r w:rsidR="00893035">
        <w:rPr>
          <w:rFonts w:cs="Arial"/>
        </w:rPr>
        <w:t xml:space="preserve"> and </w:t>
      </w:r>
      <w:r w:rsidRPr="2A73AA60">
        <w:rPr>
          <w:rFonts w:cs="Arial"/>
        </w:rPr>
        <w:t xml:space="preserve">specialist organisations and family, domestic and sexual violence organisations and workers in addressing, preventing and responding to gender-based violence in Australia. </w:t>
      </w:r>
      <w:r w:rsidR="00B2237F">
        <w:rPr>
          <w:rFonts w:cs="Arial"/>
        </w:rPr>
        <w:t>It identifies and highlights where collective action and a holistic response across government, not-for-profit and the private sector will strengthen and accelerate outcomes towards our ambition to end gendered violence in one generation.</w:t>
      </w:r>
    </w:p>
    <w:p w14:paraId="52CE8997" w14:textId="537A7FD9" w:rsidR="006C7AE9" w:rsidRDefault="00FF3BD9" w:rsidP="002A2ADB">
      <w:pPr>
        <w:spacing w:before="240" w:after="0"/>
        <w:rPr>
          <w:rFonts w:cs="Arial"/>
        </w:rPr>
      </w:pPr>
      <w:r w:rsidRPr="2A73AA60">
        <w:rPr>
          <w:rFonts w:cs="Arial"/>
        </w:rPr>
        <w:t xml:space="preserve">The National Plan is a long-term collaboration by </w:t>
      </w:r>
      <w:r w:rsidR="00337EFB">
        <w:rPr>
          <w:rFonts w:cs="Arial"/>
        </w:rPr>
        <w:t>Australian</w:t>
      </w:r>
      <w:r w:rsidRPr="2A73AA60">
        <w:rPr>
          <w:rFonts w:cs="Arial"/>
        </w:rPr>
        <w:t xml:space="preserve">, state and territory governments. It establishes a 10-year framework that includes two 5-year Action Plans and a dedicated Aboriginal and Torres Strait Islander Action Plan to </w:t>
      </w:r>
      <w:r w:rsidRPr="2A73AA60">
        <w:rPr>
          <w:rFonts w:eastAsia="Calibri" w:cs="Arial"/>
        </w:rPr>
        <w:t xml:space="preserve">detail </w:t>
      </w:r>
      <w:r w:rsidR="00337EFB">
        <w:rPr>
          <w:rFonts w:eastAsia="Calibri" w:cs="Arial"/>
        </w:rPr>
        <w:t>Australian</w:t>
      </w:r>
      <w:r w:rsidRPr="2A73AA60">
        <w:rPr>
          <w:rFonts w:eastAsia="Calibri" w:cs="Arial"/>
        </w:rPr>
        <w:t xml:space="preserve">, state and territory government investment and efforts towards implementing the National Plan. </w:t>
      </w:r>
      <w:r w:rsidRPr="00253CED">
        <w:rPr>
          <w:rFonts w:cs="Arial"/>
        </w:rPr>
        <w:t>The First Action Plan (2023</w:t>
      </w:r>
      <w:r w:rsidR="002A2ADB">
        <w:rPr>
          <w:rFonts w:cs="Arial"/>
        </w:rPr>
        <w:t>–</w:t>
      </w:r>
      <w:r w:rsidRPr="00253CED">
        <w:rPr>
          <w:rFonts w:cs="Arial"/>
        </w:rPr>
        <w:t>202</w:t>
      </w:r>
      <w:r>
        <w:rPr>
          <w:rFonts w:cs="Arial"/>
        </w:rPr>
        <w:t>7</w:t>
      </w:r>
      <w:r w:rsidRPr="00253CED">
        <w:rPr>
          <w:rFonts w:cs="Arial"/>
        </w:rPr>
        <w:t xml:space="preserve">) sets the foundations for </w:t>
      </w:r>
      <w:r w:rsidR="00E44A4D" w:rsidRPr="00A17B4F">
        <w:t xml:space="preserve">achieving the goals of the National </w:t>
      </w:r>
      <w:r w:rsidR="00E44A4D" w:rsidRPr="00A17B4F">
        <w:rPr>
          <w:rFonts w:cs="Arial"/>
        </w:rPr>
        <w:t>Plan</w:t>
      </w:r>
      <w:r w:rsidR="00A17B4F" w:rsidRPr="00A17B4F">
        <w:rPr>
          <w:rFonts w:cs="Arial"/>
        </w:rPr>
        <w:t xml:space="preserve">, </w:t>
      </w:r>
      <w:r w:rsidRPr="00253CED">
        <w:rPr>
          <w:rFonts w:cs="Arial"/>
        </w:rPr>
        <w:t xml:space="preserve">including the establishment of an evidence-based approach to monitoring and measuring progress. </w:t>
      </w:r>
      <w:r w:rsidR="001658DD">
        <w:rPr>
          <w:rFonts w:cs="Arial"/>
        </w:rPr>
        <w:t>It will be a living document, updated annually to</w:t>
      </w:r>
      <w:r w:rsidR="009549F5">
        <w:rPr>
          <w:rFonts w:cs="Arial"/>
        </w:rPr>
        <w:t xml:space="preserve"> </w:t>
      </w:r>
      <w:r w:rsidR="001658DD">
        <w:rPr>
          <w:rFonts w:cs="Arial"/>
        </w:rPr>
        <w:t xml:space="preserve">track implementation of activities and to reflect new activities and investments committed to by the Australian, state and territory governments over </w:t>
      </w:r>
      <w:r w:rsidR="00490968">
        <w:rPr>
          <w:rFonts w:cs="Arial"/>
        </w:rPr>
        <w:t>the life of the First Action Plan</w:t>
      </w:r>
      <w:r w:rsidR="001658DD">
        <w:rPr>
          <w:rFonts w:cs="Arial"/>
        </w:rPr>
        <w:t>.</w:t>
      </w:r>
    </w:p>
    <w:p w14:paraId="20975BB8" w14:textId="1D878006" w:rsidR="006B0FD7" w:rsidRDefault="006B0FD7" w:rsidP="00A820CC">
      <w:pPr>
        <w:spacing w:before="240"/>
      </w:pPr>
      <w:r>
        <w:t xml:space="preserve">Progress will be monitored through a performance measurement plan, which is currently under development and expected to be in place in early 2024. As a starting point, </w:t>
      </w:r>
      <w:r w:rsidR="00972957">
        <w:t>6</w:t>
      </w:r>
      <w:r>
        <w:t xml:space="preserve"> national-level meaningful and measurable targets have been developed to measure progress against:</w:t>
      </w:r>
    </w:p>
    <w:p w14:paraId="69A66CEB" w14:textId="68DCB6A2" w:rsidR="006B0FD7" w:rsidRDefault="006B0FD7" w:rsidP="00781BDA">
      <w:pPr>
        <w:pStyle w:val="ListParagraph"/>
        <w:numPr>
          <w:ilvl w:val="0"/>
          <w:numId w:val="16"/>
        </w:numPr>
        <w:spacing w:before="240" w:after="0"/>
      </w:pPr>
      <w:r>
        <w:t>Female intimate partner homicide</w:t>
      </w:r>
    </w:p>
    <w:p w14:paraId="30AD73B9" w14:textId="687B9394" w:rsidR="006B0FD7" w:rsidRDefault="006B0FD7" w:rsidP="00781BDA">
      <w:pPr>
        <w:pStyle w:val="ListParagraph"/>
        <w:numPr>
          <w:ilvl w:val="0"/>
          <w:numId w:val="16"/>
        </w:numPr>
        <w:spacing w:before="240" w:after="0"/>
      </w:pPr>
      <w:r>
        <w:t>Knowledge of behaviours that constitute family, domestic and sexual violence</w:t>
      </w:r>
    </w:p>
    <w:p w14:paraId="093D5FD2" w14:textId="77777777" w:rsidR="006B0FD7" w:rsidRDefault="006B0FD7" w:rsidP="00781BDA">
      <w:pPr>
        <w:pStyle w:val="ListParagraph"/>
        <w:numPr>
          <w:ilvl w:val="0"/>
          <w:numId w:val="16"/>
        </w:numPr>
        <w:spacing w:before="240"/>
      </w:pPr>
      <w:r>
        <w:t>Community attitudes towards:</w:t>
      </w:r>
    </w:p>
    <w:p w14:paraId="1291A614" w14:textId="4FDA7E8E" w:rsidR="006B0FD7" w:rsidRDefault="006B0FD7" w:rsidP="00781BDA">
      <w:pPr>
        <w:pStyle w:val="ListParagraph"/>
        <w:numPr>
          <w:ilvl w:val="0"/>
          <w:numId w:val="18"/>
        </w:numPr>
        <w:spacing w:before="240" w:after="0"/>
      </w:pPr>
      <w:r>
        <w:lastRenderedPageBreak/>
        <w:t>Violence against women</w:t>
      </w:r>
    </w:p>
    <w:p w14:paraId="789CF5E0" w14:textId="3C3E11B2" w:rsidR="006B0FD7" w:rsidRDefault="006B0FD7" w:rsidP="00781BDA">
      <w:pPr>
        <w:pStyle w:val="ListParagraph"/>
        <w:numPr>
          <w:ilvl w:val="0"/>
          <w:numId w:val="18"/>
        </w:numPr>
        <w:spacing w:before="240" w:after="0"/>
      </w:pPr>
      <w:r>
        <w:t>Rejecting gender inequality</w:t>
      </w:r>
    </w:p>
    <w:p w14:paraId="5C0040C0" w14:textId="71D3732C" w:rsidR="00A17B4F" w:rsidRDefault="006B0FD7" w:rsidP="00781BDA">
      <w:pPr>
        <w:pStyle w:val="ListParagraph"/>
        <w:numPr>
          <w:ilvl w:val="0"/>
          <w:numId w:val="18"/>
        </w:numPr>
        <w:spacing w:before="240" w:after="0"/>
      </w:pPr>
      <w:r>
        <w:t>Rejecting sexual violence</w:t>
      </w:r>
    </w:p>
    <w:p w14:paraId="003621C9" w14:textId="5C931416" w:rsidR="006B0FD7" w:rsidRDefault="006B0FD7" w:rsidP="00781BDA">
      <w:pPr>
        <w:pStyle w:val="ListParagraph"/>
        <w:numPr>
          <w:ilvl w:val="0"/>
          <w:numId w:val="16"/>
        </w:numPr>
        <w:spacing w:before="240"/>
      </w:pPr>
      <w:r>
        <w:t>Closing the Gap Target 13</w:t>
      </w:r>
    </w:p>
    <w:p w14:paraId="2B6FB954" w14:textId="313C3F54" w:rsidR="00D916A6" w:rsidRPr="00432C5D" w:rsidRDefault="00D916A6" w:rsidP="00D916A6">
      <w:pPr>
        <w:rPr>
          <w:rFonts w:cs="Arial"/>
        </w:rPr>
      </w:pPr>
      <w:r w:rsidRPr="002E66CE">
        <w:rPr>
          <w:rFonts w:cs="Arial"/>
        </w:rPr>
        <w:t xml:space="preserve">The Domestic, Family and Sexual Violence Commission will work with the </w:t>
      </w:r>
      <w:r w:rsidR="00337EFB">
        <w:rPr>
          <w:rFonts w:cs="Arial"/>
        </w:rPr>
        <w:t>Australian</w:t>
      </w:r>
      <w:r w:rsidRPr="002E66CE">
        <w:rPr>
          <w:rFonts w:cs="Arial"/>
        </w:rPr>
        <w:t xml:space="preserve">, state and territory governments, </w:t>
      </w:r>
      <w:r w:rsidR="00267419">
        <w:rPr>
          <w:rFonts w:cs="Arial"/>
        </w:rPr>
        <w:t xml:space="preserve">local governments </w:t>
      </w:r>
      <w:r w:rsidRPr="002E66CE">
        <w:rPr>
          <w:rFonts w:cs="Arial"/>
        </w:rPr>
        <w:t>and the not-for-profit and private sectors to promote coordinated and consistent monitoring and evaluation frameworks, and will provide annual reports to Parliament on progress</w:t>
      </w:r>
      <w:r>
        <w:rPr>
          <w:rFonts w:cs="Arial"/>
        </w:rPr>
        <w:t xml:space="preserve"> towards</w:t>
      </w:r>
      <w:r w:rsidRPr="002E66CE">
        <w:rPr>
          <w:rFonts w:cs="Arial"/>
        </w:rPr>
        <w:t xml:space="preserve"> </w:t>
      </w:r>
      <w:r w:rsidR="00AF0618">
        <w:rPr>
          <w:rFonts w:cs="Arial"/>
        </w:rPr>
        <w:t xml:space="preserve">meeting the objectives of </w:t>
      </w:r>
      <w:r w:rsidRPr="002E66CE">
        <w:rPr>
          <w:rFonts w:cs="Arial"/>
        </w:rPr>
        <w:t>the National Plan to help hold governments accountable</w:t>
      </w:r>
      <w:r>
        <w:rPr>
          <w:rFonts w:cs="Arial"/>
        </w:rPr>
        <w:t>.</w:t>
      </w:r>
    </w:p>
    <w:p w14:paraId="471A9A71" w14:textId="77777777" w:rsidR="008D2AC5" w:rsidRDefault="008D2AC5">
      <w:pPr>
        <w:rPr>
          <w:rFonts w:eastAsiaTheme="majorEastAsia" w:cstheme="majorBidi"/>
          <w:b/>
          <w:bCs/>
          <w:sz w:val="32"/>
          <w:szCs w:val="26"/>
        </w:rPr>
      </w:pPr>
      <w:r>
        <w:br w:type="page"/>
      </w:r>
    </w:p>
    <w:p w14:paraId="5C20EE61" w14:textId="40959FA7" w:rsidR="006C1A8F" w:rsidRPr="00E421D9" w:rsidRDefault="006C1A8F" w:rsidP="00DC3CD1">
      <w:pPr>
        <w:pStyle w:val="Heading2"/>
      </w:pPr>
      <w:bookmarkStart w:id="20" w:name="_Toc144909126"/>
      <w:r w:rsidRPr="00E421D9">
        <w:lastRenderedPageBreak/>
        <w:t>Implementing the National Plan</w:t>
      </w:r>
      <w:bookmarkEnd w:id="20"/>
    </w:p>
    <w:p w14:paraId="4986BBA9" w14:textId="6F563F92" w:rsidR="006C1A8F" w:rsidRDefault="006C1A8F" w:rsidP="006C1A8F">
      <w:pPr>
        <w:spacing w:before="240" w:after="0"/>
        <w:rPr>
          <w:rFonts w:cs="Arial"/>
        </w:rPr>
      </w:pPr>
      <w:r>
        <w:rPr>
          <w:rFonts w:cs="Arial"/>
        </w:rPr>
        <w:t xml:space="preserve">Through the National Plan, the </w:t>
      </w:r>
      <w:r w:rsidR="00337EFB">
        <w:rPr>
          <w:rFonts w:cs="Arial"/>
        </w:rPr>
        <w:t>Australian</w:t>
      </w:r>
      <w:r>
        <w:rPr>
          <w:rFonts w:cs="Arial"/>
        </w:rPr>
        <w:t>, state and territory governments committed to implement actions and investments across four domains:</w:t>
      </w:r>
    </w:p>
    <w:p w14:paraId="50DA1CFB" w14:textId="5AD1BDDF" w:rsidR="006C1A8F" w:rsidRPr="00FC43C5" w:rsidRDefault="006C1A8F" w:rsidP="006A365C">
      <w:pPr>
        <w:pStyle w:val="ListParagraph"/>
        <w:numPr>
          <w:ilvl w:val="0"/>
          <w:numId w:val="5"/>
        </w:numPr>
        <w:spacing w:before="240" w:after="0"/>
        <w:rPr>
          <w:rFonts w:cs="Arial"/>
        </w:rPr>
      </w:pPr>
      <w:r w:rsidRPr="2A73AA60">
        <w:rPr>
          <w:rFonts w:cs="Arial"/>
        </w:rPr>
        <w:t>Prevention</w:t>
      </w:r>
    </w:p>
    <w:p w14:paraId="5A96BA2D" w14:textId="3B6DFB57" w:rsidR="006C1A8F" w:rsidRPr="00FC43C5" w:rsidRDefault="006C1A8F" w:rsidP="006A365C">
      <w:pPr>
        <w:pStyle w:val="ListParagraph"/>
        <w:numPr>
          <w:ilvl w:val="0"/>
          <w:numId w:val="5"/>
        </w:numPr>
        <w:spacing w:before="240" w:after="0"/>
        <w:rPr>
          <w:rFonts w:cs="Arial"/>
        </w:rPr>
      </w:pPr>
      <w:r w:rsidRPr="2A73AA60">
        <w:rPr>
          <w:rFonts w:cs="Arial"/>
        </w:rPr>
        <w:t xml:space="preserve">Early </w:t>
      </w:r>
      <w:r>
        <w:rPr>
          <w:rFonts w:cs="Arial"/>
        </w:rPr>
        <w:t>i</w:t>
      </w:r>
      <w:r w:rsidRPr="2A73AA60">
        <w:rPr>
          <w:rFonts w:cs="Arial"/>
        </w:rPr>
        <w:t>ntervention</w:t>
      </w:r>
    </w:p>
    <w:p w14:paraId="637126E3" w14:textId="054FFE98" w:rsidR="006C1A8F" w:rsidRPr="00FC43C5" w:rsidRDefault="006C1A8F" w:rsidP="006A365C">
      <w:pPr>
        <w:pStyle w:val="ListParagraph"/>
        <w:numPr>
          <w:ilvl w:val="0"/>
          <w:numId w:val="5"/>
        </w:numPr>
        <w:spacing w:before="240" w:after="0"/>
        <w:rPr>
          <w:rFonts w:cs="Arial"/>
        </w:rPr>
      </w:pPr>
      <w:r w:rsidRPr="2A73AA60">
        <w:rPr>
          <w:rFonts w:cs="Arial"/>
        </w:rPr>
        <w:t>Response</w:t>
      </w:r>
    </w:p>
    <w:p w14:paraId="06EDCACE" w14:textId="77777777" w:rsidR="006C1A8F" w:rsidRPr="006C1A8F" w:rsidRDefault="006C1A8F" w:rsidP="006A365C">
      <w:pPr>
        <w:pStyle w:val="ListParagraph"/>
        <w:numPr>
          <w:ilvl w:val="0"/>
          <w:numId w:val="5"/>
        </w:numPr>
        <w:spacing w:before="240" w:after="0"/>
        <w:rPr>
          <w:rFonts w:cs="Arial"/>
        </w:rPr>
      </w:pPr>
      <w:r w:rsidRPr="2A73AA60">
        <w:rPr>
          <w:rFonts w:cs="Arial"/>
        </w:rPr>
        <w:t>Recovery and healin</w:t>
      </w:r>
      <w:r>
        <w:rPr>
          <w:rFonts w:cs="Arial"/>
        </w:rPr>
        <w:t>g</w:t>
      </w:r>
    </w:p>
    <w:p w14:paraId="6B89E95F" w14:textId="42846ABB" w:rsidR="006C1A8F" w:rsidRDefault="00AF0618" w:rsidP="006C1A8F">
      <w:pPr>
        <w:spacing w:before="240" w:after="0"/>
        <w:rPr>
          <w:rFonts w:cs="Arial"/>
        </w:rPr>
      </w:pPr>
      <w:r>
        <w:rPr>
          <w:rFonts w:cs="Arial"/>
        </w:rPr>
        <w:t>Six</w:t>
      </w:r>
      <w:r w:rsidR="006C1A8F" w:rsidRPr="2A73AA60">
        <w:rPr>
          <w:rFonts w:cs="Arial"/>
        </w:rPr>
        <w:t xml:space="preserve"> cross-cutting principles </w:t>
      </w:r>
      <w:r>
        <w:rPr>
          <w:rFonts w:cs="Arial"/>
        </w:rPr>
        <w:t xml:space="preserve">have also been agreed to, to be applied when </w:t>
      </w:r>
      <w:r w:rsidR="006C1A8F">
        <w:rPr>
          <w:rFonts w:cs="Arial"/>
        </w:rPr>
        <w:t>deliver</w:t>
      </w:r>
      <w:r>
        <w:rPr>
          <w:rFonts w:cs="Arial"/>
        </w:rPr>
        <w:t>ing</w:t>
      </w:r>
      <w:r w:rsidR="006C1A8F">
        <w:rPr>
          <w:rFonts w:cs="Arial"/>
        </w:rPr>
        <w:t xml:space="preserve"> policies, programs and services:</w:t>
      </w:r>
    </w:p>
    <w:p w14:paraId="24CAC59E" w14:textId="77777777" w:rsidR="006C1A8F" w:rsidRPr="00FC43C5" w:rsidRDefault="006C1A8F" w:rsidP="006A365C">
      <w:pPr>
        <w:pStyle w:val="ListParagraph"/>
        <w:numPr>
          <w:ilvl w:val="0"/>
          <w:numId w:val="2"/>
        </w:numPr>
        <w:spacing w:before="240" w:after="0"/>
        <w:rPr>
          <w:rFonts w:cs="Arial"/>
        </w:rPr>
      </w:pPr>
      <w:r w:rsidRPr="2A73AA60">
        <w:rPr>
          <w:rFonts w:cs="Arial"/>
        </w:rPr>
        <w:t>Advancing gender equality</w:t>
      </w:r>
    </w:p>
    <w:p w14:paraId="120C0BA7" w14:textId="77777777" w:rsidR="006C1A8F" w:rsidRPr="00FC43C5" w:rsidRDefault="006C1A8F" w:rsidP="006A365C">
      <w:pPr>
        <w:pStyle w:val="ListParagraph"/>
        <w:numPr>
          <w:ilvl w:val="0"/>
          <w:numId w:val="2"/>
        </w:numPr>
        <w:spacing w:before="240" w:after="0"/>
        <w:rPr>
          <w:rFonts w:cs="Arial"/>
        </w:rPr>
      </w:pPr>
      <w:r w:rsidRPr="2A73AA60">
        <w:rPr>
          <w:rFonts w:cs="Arial"/>
        </w:rPr>
        <w:t>The diverse lived experiences of victim-survivors are informing policies and solutions</w:t>
      </w:r>
    </w:p>
    <w:p w14:paraId="7327C38E" w14:textId="77777777" w:rsidR="006C1A8F" w:rsidRPr="00FC43C5" w:rsidRDefault="006C1A8F" w:rsidP="006A365C">
      <w:pPr>
        <w:pStyle w:val="ListParagraph"/>
        <w:numPr>
          <w:ilvl w:val="0"/>
          <w:numId w:val="2"/>
        </w:numPr>
        <w:spacing w:before="240" w:after="0"/>
        <w:rPr>
          <w:rFonts w:cs="Arial"/>
        </w:rPr>
      </w:pPr>
      <w:r w:rsidRPr="2A73AA60">
        <w:rPr>
          <w:rFonts w:cs="Arial"/>
        </w:rPr>
        <w:t>Closing the Gap</w:t>
      </w:r>
    </w:p>
    <w:p w14:paraId="57862023" w14:textId="68E6B35B" w:rsidR="006C1A8F" w:rsidRPr="00FC43C5" w:rsidRDefault="006C1A8F" w:rsidP="006A365C">
      <w:pPr>
        <w:pStyle w:val="ListParagraph"/>
        <w:numPr>
          <w:ilvl w:val="0"/>
          <w:numId w:val="2"/>
        </w:numPr>
        <w:spacing w:before="240" w:after="0"/>
        <w:rPr>
          <w:rFonts w:cs="Arial"/>
        </w:rPr>
      </w:pPr>
      <w:r w:rsidRPr="2A73AA60">
        <w:rPr>
          <w:rFonts w:cs="Arial"/>
        </w:rPr>
        <w:t>Person-centred coordination and integration</w:t>
      </w:r>
    </w:p>
    <w:p w14:paraId="4F8BBACD" w14:textId="77777777" w:rsidR="006C1A8F" w:rsidRPr="00FC43C5" w:rsidRDefault="006C1A8F" w:rsidP="006A365C">
      <w:pPr>
        <w:pStyle w:val="ListParagraph"/>
        <w:numPr>
          <w:ilvl w:val="0"/>
          <w:numId w:val="2"/>
        </w:numPr>
        <w:spacing w:before="240" w:after="0"/>
        <w:rPr>
          <w:rFonts w:cs="Arial"/>
        </w:rPr>
      </w:pPr>
      <w:r w:rsidRPr="2A73AA60">
        <w:rPr>
          <w:rFonts w:cs="Arial"/>
        </w:rPr>
        <w:t>Intersectionality</w:t>
      </w:r>
    </w:p>
    <w:p w14:paraId="3E8A2D61" w14:textId="77777777" w:rsidR="006C1A8F" w:rsidRPr="00FC43C5" w:rsidRDefault="006C1A8F" w:rsidP="006A365C">
      <w:pPr>
        <w:pStyle w:val="ListParagraph"/>
        <w:numPr>
          <w:ilvl w:val="0"/>
          <w:numId w:val="2"/>
        </w:numPr>
        <w:spacing w:before="240" w:after="0"/>
        <w:rPr>
          <w:rFonts w:cs="Arial"/>
        </w:rPr>
      </w:pPr>
      <w:r w:rsidRPr="2A73AA60">
        <w:rPr>
          <w:rFonts w:cs="Arial"/>
        </w:rPr>
        <w:t>People who choose to use violence are held accountable</w:t>
      </w:r>
    </w:p>
    <w:p w14:paraId="666975FE" w14:textId="757B955A" w:rsidR="00ED6DF8" w:rsidRPr="00FC43C5" w:rsidRDefault="00ED6DF8" w:rsidP="00ED6DF8">
      <w:pPr>
        <w:spacing w:before="240" w:after="0"/>
        <w:rPr>
          <w:rFonts w:cs="Arial"/>
        </w:rPr>
      </w:pPr>
      <w:r>
        <w:rPr>
          <w:rFonts w:eastAsia="Calibri" w:cs="Arial"/>
        </w:rPr>
        <w:t xml:space="preserve">Actions in this First Action Plan span the four domains of the National Plan. </w:t>
      </w:r>
      <w:r w:rsidRPr="2A73AA60">
        <w:rPr>
          <w:rFonts w:cs="Arial"/>
        </w:rPr>
        <w:t>The domains are interconnected, and all actions contribute to addressing one or more of the domains.</w:t>
      </w:r>
    </w:p>
    <w:p w14:paraId="6E05D9FF" w14:textId="79153495" w:rsidR="00ED6DF8" w:rsidRDefault="00ED6DF8" w:rsidP="009C056C">
      <w:pPr>
        <w:spacing w:before="240"/>
        <w:rPr>
          <w:rFonts w:eastAsia="Calibri" w:cs="Arial"/>
        </w:rPr>
      </w:pPr>
      <w:r>
        <w:rPr>
          <w:rFonts w:eastAsia="Calibri" w:cs="Arial"/>
        </w:rPr>
        <w:t xml:space="preserve">The 6 cross-cutting principles have been applied in the development of the 10 Actions of the First Action Plan, and will be applied by the </w:t>
      </w:r>
      <w:r w:rsidR="00E266D8">
        <w:rPr>
          <w:rFonts w:eastAsia="Calibri" w:cs="Arial"/>
        </w:rPr>
        <w:t>Australian</w:t>
      </w:r>
      <w:r>
        <w:rPr>
          <w:rFonts w:eastAsia="Calibri" w:cs="Arial"/>
        </w:rPr>
        <w:t>, state and territory governments in the delivery of activities under the First Action Plan.</w:t>
      </w:r>
    </w:p>
    <w:p w14:paraId="2BD225E4" w14:textId="08E04B10" w:rsidR="00681A28" w:rsidRDefault="00681A28" w:rsidP="00681A28">
      <w:pPr>
        <w:autoSpaceDE w:val="0"/>
        <w:autoSpaceDN w:val="0"/>
        <w:adjustRightInd w:val="0"/>
        <w:spacing w:before="240" w:after="0" w:line="240" w:lineRule="auto"/>
        <w:rPr>
          <w:rFonts w:eastAsia="Calibri" w:cs="Arial"/>
        </w:rPr>
      </w:pPr>
      <w:r>
        <w:rPr>
          <w:rFonts w:eastAsia="Calibri" w:cs="Arial"/>
        </w:rPr>
        <w:t>The National Plan’s definition of ‘violence against women’ is aligned with the United Nations Declaration on the Elimination of Violence Against Women (1993), which defines violence against women as ‘any act of gender</w:t>
      </w:r>
      <w:r w:rsidR="00D25E95">
        <w:rPr>
          <w:rFonts w:eastAsia="Calibri" w:cs="Arial"/>
        </w:rPr>
        <w:t>-</w:t>
      </w:r>
      <w:r>
        <w:rPr>
          <w:rFonts w:eastAsia="Calibri" w:cs="Arial"/>
        </w:rPr>
        <w:t>based violence that results in, or is likely to result in, physical, sexual or psychological harm or suffering to women, including threats of such acts, coercion or arbitrary deprivation of liberty, whether occurring in public or private life.’</w:t>
      </w:r>
    </w:p>
    <w:p w14:paraId="47D8420D" w14:textId="11972174" w:rsidR="00681A28" w:rsidRPr="00A70088" w:rsidRDefault="00681A28" w:rsidP="00A70088">
      <w:pPr>
        <w:autoSpaceDE w:val="0"/>
        <w:autoSpaceDN w:val="0"/>
        <w:adjustRightInd w:val="0"/>
        <w:spacing w:before="240" w:after="0" w:line="240" w:lineRule="auto"/>
        <w:rPr>
          <w:rFonts w:eastAsia="Calibri" w:cs="Arial"/>
        </w:rPr>
      </w:pPr>
      <w:r w:rsidRPr="00A70088">
        <w:rPr>
          <w:rFonts w:eastAsia="Calibri" w:cs="Arial"/>
        </w:rPr>
        <w:t>‘Gender-based violence’ refers to violence that is used against someone because of their gender. It describes violence rooted in gender-based power inequalities, rigid gender norms and</w:t>
      </w:r>
      <w:r w:rsidR="00380042">
        <w:rPr>
          <w:rFonts w:eastAsia="Calibri" w:cs="Arial"/>
        </w:rPr>
        <w:t xml:space="preserve"> </w:t>
      </w:r>
      <w:r w:rsidRPr="00A70088">
        <w:rPr>
          <w:rFonts w:eastAsia="Calibri" w:cs="Arial"/>
        </w:rPr>
        <w:t>gender-based discrimination. While people of all genders can experience gender-based violence, the term is most often used to describe violence against women and girls, because most gender-based violence is perpetrated by heterosexual, cisgender men against women, because they are women.</w:t>
      </w:r>
    </w:p>
    <w:p w14:paraId="69DAF389" w14:textId="0DAC76BF" w:rsidR="00681A28" w:rsidRPr="00A70088" w:rsidRDefault="00681A28" w:rsidP="00A70088">
      <w:pPr>
        <w:autoSpaceDE w:val="0"/>
        <w:autoSpaceDN w:val="0"/>
        <w:adjustRightInd w:val="0"/>
        <w:spacing w:before="240" w:after="0" w:line="240" w:lineRule="auto"/>
        <w:rPr>
          <w:rFonts w:eastAsia="Calibri" w:cs="Arial"/>
        </w:rPr>
      </w:pPr>
      <w:r w:rsidRPr="00A70088">
        <w:rPr>
          <w:rFonts w:eastAsia="Calibri" w:cs="Arial"/>
        </w:rPr>
        <w:t xml:space="preserve">Violence experienced by LGBTIQA+ </w:t>
      </w:r>
      <w:r w:rsidR="003D093D" w:rsidRPr="00A70088">
        <w:rPr>
          <w:rFonts w:eastAsia="Calibri" w:cs="Arial"/>
        </w:rPr>
        <w:t>people is</w:t>
      </w:r>
      <w:r w:rsidRPr="00A70088">
        <w:rPr>
          <w:rFonts w:eastAsia="Calibri" w:cs="Arial"/>
        </w:rPr>
        <w:t xml:space="preserve"> also gender-based violence and shares some of the </w:t>
      </w:r>
      <w:r w:rsidR="00D25E95">
        <w:rPr>
          <w:rFonts w:eastAsia="Calibri" w:cs="Arial"/>
        </w:rPr>
        <w:t xml:space="preserve">same </w:t>
      </w:r>
      <w:r w:rsidRPr="00A70088">
        <w:rPr>
          <w:rFonts w:eastAsia="Calibri" w:cs="Arial"/>
        </w:rPr>
        <w:t>drivers of violence against women.</w:t>
      </w:r>
    </w:p>
    <w:p w14:paraId="6075B67C" w14:textId="5C0631CA" w:rsidR="00443BD9" w:rsidRDefault="00443BD9" w:rsidP="00443BD9">
      <w:pPr>
        <w:autoSpaceDE w:val="0"/>
        <w:autoSpaceDN w:val="0"/>
        <w:adjustRightInd w:val="0"/>
        <w:spacing w:before="240" w:after="0" w:line="240" w:lineRule="auto"/>
      </w:pPr>
      <w:r w:rsidRPr="00443BD9">
        <w:rPr>
          <w:rFonts w:eastAsia="Calibri" w:cs="Arial"/>
        </w:rPr>
        <w:t>Definitions of domestic violence, family violence and sexual violence are contained in the glossary.</w:t>
      </w:r>
    </w:p>
    <w:p w14:paraId="3D2BDB2D" w14:textId="77777777" w:rsidR="008D2AC5" w:rsidRDefault="008D2AC5">
      <w:pPr>
        <w:rPr>
          <w:rFonts w:eastAsiaTheme="majorEastAsia" w:cstheme="majorBidi"/>
          <w:b/>
          <w:bCs/>
          <w:sz w:val="32"/>
          <w:szCs w:val="26"/>
        </w:rPr>
      </w:pPr>
      <w:bookmarkStart w:id="21" w:name="_Toc128734609"/>
      <w:bookmarkStart w:id="22" w:name="_Toc132805031"/>
      <w:bookmarkStart w:id="23" w:name="_Toc132805372"/>
      <w:bookmarkStart w:id="24" w:name="_Toc134621926"/>
      <w:bookmarkStart w:id="25" w:name="_Toc134622018"/>
      <w:bookmarkStart w:id="26" w:name="_Toc134622120"/>
      <w:bookmarkStart w:id="27" w:name="_Toc134624209"/>
      <w:bookmarkStart w:id="28" w:name="_Toc134628743"/>
      <w:bookmarkStart w:id="29" w:name="_Toc136254988"/>
      <w:bookmarkStart w:id="30" w:name="_Toc136261681"/>
      <w:bookmarkStart w:id="31" w:name="_Toc136268772"/>
      <w:bookmarkStart w:id="32" w:name="_Toc136272348"/>
      <w:bookmarkStart w:id="33" w:name="_Toc136278727"/>
      <w:bookmarkStart w:id="34" w:name="_Toc136279945"/>
      <w:bookmarkStart w:id="35" w:name="_Toc127441213"/>
      <w:r>
        <w:br w:type="page"/>
      </w:r>
    </w:p>
    <w:p w14:paraId="451A6622" w14:textId="62A3B38C" w:rsidR="00FF3BD9" w:rsidRPr="00C2556C" w:rsidRDefault="00FF3BD9" w:rsidP="00E421D9">
      <w:pPr>
        <w:pStyle w:val="Heading1"/>
      </w:pPr>
      <w:bookmarkStart w:id="36" w:name="_Toc144909127"/>
      <w:r w:rsidRPr="00C2556C">
        <w:lastRenderedPageBreak/>
        <w:t>Summary of Actions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6"/>
    </w:p>
    <w:p w14:paraId="65F7F833" w14:textId="52453656" w:rsidR="003870B2" w:rsidRDefault="003870B2" w:rsidP="00FF3BD9">
      <w:pPr>
        <w:spacing w:before="240" w:after="0"/>
        <w:rPr>
          <w:rFonts w:eastAsia="Arial" w:cs="Arial"/>
        </w:rPr>
      </w:pPr>
      <w:r w:rsidRPr="000C6B5C">
        <w:rPr>
          <w:rFonts w:cs="Arial"/>
        </w:rPr>
        <w:t xml:space="preserve">Action 1: </w:t>
      </w:r>
      <w:r w:rsidRPr="006A365C">
        <w:rPr>
          <w:rFonts w:eastAsia="Arial" w:cs="Arial"/>
        </w:rPr>
        <w:t>Advance gender equality and address the drivers of all forms of gender-based violence, including through initiatives aimed to improve community attitudes and norms toward family, domestic, and sexual violence.</w:t>
      </w:r>
    </w:p>
    <w:p w14:paraId="44426B57" w14:textId="7358EC3F" w:rsidR="003870B2" w:rsidRDefault="003870B2" w:rsidP="00FF3BD9">
      <w:pPr>
        <w:spacing w:before="240" w:after="0"/>
        <w:rPr>
          <w:rFonts w:eastAsia="Arial" w:cs="Arial"/>
        </w:rPr>
      </w:pPr>
      <w:r w:rsidRPr="006A365C">
        <w:rPr>
          <w:rFonts w:eastAsia="Arial" w:cs="Arial"/>
        </w:rPr>
        <w:t>Action 2: Improve the national evidence base by working towards consistent terminology and monitoring and evaluation frameworks, and by strengthening collection and sharing of data and evidence.</w:t>
      </w:r>
    </w:p>
    <w:p w14:paraId="744F67C6" w14:textId="15767E6C" w:rsidR="003870B2" w:rsidRDefault="003870B2" w:rsidP="00FF3BD9">
      <w:pPr>
        <w:spacing w:before="240" w:after="0"/>
        <w:rPr>
          <w:rFonts w:eastAsia="Arial" w:cs="Arial"/>
        </w:rPr>
      </w:pPr>
      <w:r w:rsidRPr="006A365C">
        <w:rPr>
          <w:rFonts w:eastAsia="Arial" w:cs="Arial"/>
        </w:rPr>
        <w:t>Action 3: Increase and strengthen the capability of mainstream and specialist workforces to deliver quality services, activities and programs across the four domains, including those that are tailored to respond to the unique experiences of all victim-survivors.</w:t>
      </w:r>
    </w:p>
    <w:p w14:paraId="7DDCA20A" w14:textId="50892DD7" w:rsidR="003870B2" w:rsidRDefault="003870B2" w:rsidP="00FF3BD9">
      <w:pPr>
        <w:spacing w:before="240" w:after="0"/>
        <w:rPr>
          <w:rFonts w:eastAsia="Arial" w:cs="Arial"/>
        </w:rPr>
      </w:pPr>
      <w:r w:rsidRPr="006A365C">
        <w:rPr>
          <w:rFonts w:eastAsia="Arial" w:cs="Arial"/>
        </w:rPr>
        <w:t>Action 4: Build the capacity of services and systems that support victim-survivors to provide trauma-informed, connected and coordinated responses that support long-term recovery, health and wellbeing.</w:t>
      </w:r>
    </w:p>
    <w:p w14:paraId="39B075BC" w14:textId="7A5053F6" w:rsidR="003870B2" w:rsidRDefault="003870B2" w:rsidP="00FF3BD9">
      <w:pPr>
        <w:spacing w:before="240" w:after="0"/>
        <w:rPr>
          <w:rFonts w:eastAsia="Arial" w:cs="Arial"/>
        </w:rPr>
      </w:pPr>
      <w:r w:rsidRPr="006A365C">
        <w:rPr>
          <w:rFonts w:eastAsia="Arial" w:cs="Arial"/>
        </w:rPr>
        <w:t>Action 5: Strengthen systems and services to better hold people who choose to use violence to account, and provide opportunities to support people who have used violence, or are at risk of using violence, to change their behaviours, with the aim of protecting the safety and wellbeing of current and potential victim-survivors.</w:t>
      </w:r>
    </w:p>
    <w:p w14:paraId="3888F008" w14:textId="7F49FDD4" w:rsidR="003870B2" w:rsidRDefault="003870B2" w:rsidP="00FF3BD9">
      <w:pPr>
        <w:spacing w:before="240" w:after="0"/>
        <w:rPr>
          <w:rFonts w:eastAsia="Arial" w:cs="Arial"/>
        </w:rPr>
      </w:pPr>
      <w:r w:rsidRPr="006A365C">
        <w:rPr>
          <w:rFonts w:eastAsia="Arial" w:cs="Arial"/>
        </w:rPr>
        <w:t xml:space="preserve">Action 6: Improve action to </w:t>
      </w:r>
      <w:r w:rsidRPr="001A003D">
        <w:rPr>
          <w:rFonts w:eastAsia="Arial" w:cs="Arial"/>
        </w:rPr>
        <w:t>prevent and</w:t>
      </w:r>
      <w:r w:rsidRPr="003870B2">
        <w:rPr>
          <w:rFonts w:eastAsia="Arial" w:cs="Arial"/>
        </w:rPr>
        <w:t xml:space="preserve"> </w:t>
      </w:r>
      <w:r w:rsidRPr="001A003D">
        <w:rPr>
          <w:rFonts w:eastAsia="Arial" w:cs="Arial"/>
        </w:rPr>
        <w:t>address</w:t>
      </w:r>
      <w:r w:rsidRPr="00930F43">
        <w:rPr>
          <w:rFonts w:eastAsia="Arial" w:cs="Arial"/>
        </w:rPr>
        <w:t xml:space="preserve"> sexual violence and harassment in all settings, across the four domains of the National Plan</w:t>
      </w:r>
      <w:r w:rsidRPr="006A365C">
        <w:rPr>
          <w:rFonts w:eastAsia="Arial" w:cs="Arial"/>
        </w:rPr>
        <w:t>.</w:t>
      </w:r>
    </w:p>
    <w:p w14:paraId="6DAF1D5E" w14:textId="77777777" w:rsidR="003870B2" w:rsidRPr="006A365C" w:rsidRDefault="003870B2" w:rsidP="003870B2">
      <w:pPr>
        <w:spacing w:before="240" w:after="0"/>
        <w:rPr>
          <w:rFonts w:eastAsia="Arial" w:cs="Arial"/>
        </w:rPr>
      </w:pPr>
      <w:r w:rsidRPr="006A365C">
        <w:rPr>
          <w:rFonts w:eastAsia="Arial" w:cs="Arial"/>
        </w:rPr>
        <w:t xml:space="preserve">Action 7: Work in formal partnership with Aboriginal and Torres Strait Islander peoples to ensure policies and services are culturally competent, strengths-based and </w:t>
      </w:r>
      <w:r>
        <w:rPr>
          <w:rFonts w:eastAsia="Arial" w:cs="Arial"/>
        </w:rPr>
        <w:t>trauma-informed</w:t>
      </w:r>
      <w:r w:rsidRPr="006A365C">
        <w:rPr>
          <w:rFonts w:eastAsia="Arial" w:cs="Arial"/>
        </w:rPr>
        <w:t xml:space="preserve"> </w:t>
      </w:r>
      <w:r w:rsidRPr="00F85964">
        <w:rPr>
          <w:rFonts w:eastAsia="Arial" w:cs="Arial"/>
        </w:rPr>
        <w:t>and meet the needs of Aboriginal and Torres Strait Islander people</w:t>
      </w:r>
      <w:r>
        <w:rPr>
          <w:rFonts w:eastAsia="Arial" w:cs="Arial"/>
        </w:rPr>
        <w:t>s</w:t>
      </w:r>
      <w:r w:rsidRPr="00F85964">
        <w:rPr>
          <w:rFonts w:eastAsia="Arial" w:cs="Arial"/>
        </w:rPr>
        <w:t xml:space="preserve"> and communities, aligning with the goals of the Aboriginal and Torres Strait Islander Action Plan.</w:t>
      </w:r>
    </w:p>
    <w:p w14:paraId="7818FF41" w14:textId="7974575C" w:rsidR="003870B2" w:rsidRDefault="003870B2" w:rsidP="00FF3BD9">
      <w:pPr>
        <w:spacing w:before="240" w:after="0"/>
        <w:rPr>
          <w:rFonts w:eastAsia="Arial" w:cs="Arial"/>
        </w:rPr>
      </w:pPr>
      <w:r w:rsidRPr="006A365C">
        <w:rPr>
          <w:rFonts w:eastAsia="Arial" w:cs="Arial"/>
        </w:rPr>
        <w:t xml:space="preserve">Action 8: Develop and implement age </w:t>
      </w:r>
      <w:r w:rsidRPr="001A003D">
        <w:rPr>
          <w:rFonts w:eastAsia="Arial" w:cs="Arial"/>
        </w:rPr>
        <w:t xml:space="preserve">appropriate, culturally safe programs across all four domains, informed by children and young people, that </w:t>
      </w:r>
      <w:r w:rsidRPr="00BF2090">
        <w:rPr>
          <w:rFonts w:eastAsia="Arial" w:cs="Arial"/>
        </w:rPr>
        <w:t xml:space="preserve">support recovery and healing from trauma, and </w:t>
      </w:r>
      <w:r w:rsidRPr="00930F43">
        <w:rPr>
          <w:rFonts w:eastAsia="Arial" w:cs="Arial"/>
        </w:rPr>
        <w:t>intervene early to address violence supportive behaviours</w:t>
      </w:r>
      <w:r>
        <w:rPr>
          <w:rFonts w:eastAsia="Arial" w:cs="Arial"/>
        </w:rPr>
        <w:t>.</w:t>
      </w:r>
    </w:p>
    <w:p w14:paraId="608B198F" w14:textId="2F6B1B34" w:rsidR="003870B2" w:rsidRDefault="003870B2" w:rsidP="00FF3BD9">
      <w:pPr>
        <w:spacing w:before="240" w:after="0"/>
        <w:rPr>
          <w:rFonts w:eastAsia="Arial" w:cs="Arial"/>
        </w:rPr>
      </w:pPr>
      <w:r w:rsidRPr="001A003D">
        <w:rPr>
          <w:rFonts w:eastAsia="Arial" w:cs="Arial"/>
        </w:rPr>
        <w:t xml:space="preserve">Action 9: </w:t>
      </w:r>
      <w:r w:rsidRPr="001A003D">
        <w:rPr>
          <w:rFonts w:eastAsia="Arial" w:cs="Arial"/>
          <w:color w:val="000007"/>
        </w:rPr>
        <w:t xml:space="preserve">Improve </w:t>
      </w:r>
      <w:r w:rsidRPr="001A003D">
        <w:rPr>
          <w:rFonts w:eastAsia="Arial" w:cs="Arial"/>
        </w:rPr>
        <w:t>police responses and the justice system to</w:t>
      </w:r>
      <w:r w:rsidRPr="00930F43">
        <w:rPr>
          <w:rFonts w:eastAsia="Arial" w:cs="Arial"/>
        </w:rPr>
        <w:t xml:space="preserve"> better support victim-survivors through the provision of trauma-informed, culturally </w:t>
      </w:r>
      <w:r w:rsidRPr="00A94722">
        <w:rPr>
          <w:rFonts w:eastAsia="Arial" w:cs="Arial"/>
        </w:rPr>
        <w:t>safe supports that promote safety and wellbeing, and</w:t>
      </w:r>
      <w:r w:rsidRPr="00A94722">
        <w:rPr>
          <w:rFonts w:eastAsia="Arial" w:cs="Arial"/>
          <w:color w:val="000007"/>
        </w:rPr>
        <w:t xml:space="preserve"> hold </w:t>
      </w:r>
      <w:r w:rsidRPr="00A94722">
        <w:rPr>
          <w:rFonts w:eastAsia="Arial" w:cs="Arial"/>
        </w:rPr>
        <w:t>people who choose to use violence to account.</w:t>
      </w:r>
    </w:p>
    <w:p w14:paraId="3AFF5562" w14:textId="74732126" w:rsidR="003870B2" w:rsidRDefault="003870B2" w:rsidP="00FF3BD9">
      <w:pPr>
        <w:spacing w:before="240" w:after="0"/>
        <w:rPr>
          <w:rFonts w:eastAsia="Arial" w:cs="Arial"/>
        </w:rPr>
      </w:pPr>
      <w:r w:rsidRPr="006A365C">
        <w:rPr>
          <w:rFonts w:eastAsia="Arial" w:cs="Arial"/>
        </w:rPr>
        <w:t>Action 10: Improve access to short-term, medium and long-term housing for women and children experiencing violence, including those living in institutional settings, and support women to stay in their own homes when they choose to do so.</w:t>
      </w:r>
    </w:p>
    <w:p w14:paraId="2B77E1E1" w14:textId="58C9702E" w:rsidR="009F447D" w:rsidRPr="00776F39" w:rsidRDefault="009F447D" w:rsidP="00776F39">
      <w:pPr>
        <w:spacing w:before="240"/>
        <w:rPr>
          <w:rFonts w:eastAsia="Calibri" w:cs="Arial"/>
        </w:rPr>
      </w:pPr>
      <w:bookmarkStart w:id="37" w:name="_Toc127776195"/>
      <w:bookmarkStart w:id="38" w:name="_Toc127800121"/>
      <w:bookmarkStart w:id="39" w:name="_Toc128734610"/>
      <w:bookmarkStart w:id="40" w:name="_Toc132805042"/>
      <w:bookmarkStart w:id="41" w:name="_Toc132805383"/>
      <w:bookmarkStart w:id="42" w:name="_Toc134621937"/>
      <w:bookmarkStart w:id="43" w:name="_Toc134622029"/>
      <w:bookmarkStart w:id="44" w:name="_Toc134622131"/>
      <w:bookmarkStart w:id="45" w:name="_Toc134624220"/>
      <w:bookmarkStart w:id="46" w:name="_Toc134628749"/>
      <w:bookmarkStart w:id="47" w:name="_Toc136254994"/>
      <w:bookmarkStart w:id="48" w:name="_Toc136261687"/>
      <w:bookmarkStart w:id="49" w:name="_Toc136268778"/>
      <w:bookmarkStart w:id="50" w:name="_Toc136272354"/>
      <w:bookmarkStart w:id="51" w:name="_Toc136278733"/>
      <w:bookmarkStart w:id="52" w:name="_Toc136279951"/>
      <w:r w:rsidRPr="00776F39">
        <w:rPr>
          <w:rFonts w:eastAsia="Calibri" w:cs="Arial"/>
        </w:rPr>
        <w:t xml:space="preserve">See </w:t>
      </w:r>
      <w:r w:rsidR="00C20B43">
        <w:rPr>
          <w:rFonts w:eastAsia="Calibri" w:cs="Arial"/>
        </w:rPr>
        <w:t xml:space="preserve">the </w:t>
      </w:r>
      <w:r w:rsidRPr="00C022D6">
        <w:t xml:space="preserve">Addendum </w:t>
      </w:r>
      <w:r w:rsidRPr="00776F39">
        <w:rPr>
          <w:rFonts w:eastAsia="Calibri" w:cs="Arial"/>
        </w:rPr>
        <w:t xml:space="preserve">for a list of </w:t>
      </w:r>
      <w:r w:rsidR="00337EFB">
        <w:rPr>
          <w:rFonts w:eastAsia="Calibri" w:cs="Arial"/>
        </w:rPr>
        <w:t>Australian</w:t>
      </w:r>
      <w:r w:rsidRPr="00776F39">
        <w:rPr>
          <w:rFonts w:eastAsia="Calibri" w:cs="Arial"/>
        </w:rPr>
        <w:t>, state and territory activities being undertaken to implement the Action Plan.</w:t>
      </w:r>
    </w:p>
    <w:p w14:paraId="227A1F1C" w14:textId="5684149A" w:rsidR="00FF3BD9" w:rsidRPr="00942370" w:rsidRDefault="00FF3BD9" w:rsidP="00E421D9">
      <w:pPr>
        <w:pStyle w:val="Heading1"/>
      </w:pPr>
      <w:bookmarkStart w:id="53" w:name="_Toc144909128"/>
      <w:r w:rsidRPr="00942370">
        <w:lastRenderedPageBreak/>
        <w:t xml:space="preserve">How </w:t>
      </w:r>
      <w:r>
        <w:t>the</w:t>
      </w:r>
      <w:r w:rsidRPr="00942370">
        <w:t xml:space="preserve"> Action Plan </w:t>
      </w:r>
      <w:r w:rsidR="00974FAE">
        <w:t xml:space="preserve">was </w:t>
      </w:r>
      <w:r w:rsidRPr="00942370">
        <w:t>developed</w:t>
      </w:r>
      <w:bookmarkEnd w:id="3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173F3C91" w14:textId="7D95C072" w:rsidR="00106704" w:rsidRDefault="00106704" w:rsidP="00E421D9">
      <w:pPr>
        <w:pStyle w:val="Heading2"/>
      </w:pPr>
      <w:bookmarkStart w:id="54" w:name="_Toc144909129"/>
      <w:r>
        <w:t>Delivering outcomes against the National Plan</w:t>
      </w:r>
      <w:bookmarkEnd w:id="54"/>
    </w:p>
    <w:p w14:paraId="1ED1269F" w14:textId="035FE003" w:rsidR="00106704" w:rsidRDefault="00106704" w:rsidP="00106704">
      <w:pPr>
        <w:spacing w:before="240"/>
        <w:rPr>
          <w:rFonts w:cs="Arial"/>
        </w:rPr>
      </w:pPr>
      <w:r w:rsidRPr="009C056C">
        <w:rPr>
          <w:rFonts w:eastAsia="Calibri" w:cs="Arial"/>
        </w:rPr>
        <w:t xml:space="preserve">A Theory of Change for the National Plan </w:t>
      </w:r>
      <w:r w:rsidR="00826B4E">
        <w:rPr>
          <w:rFonts w:eastAsia="Calibri" w:cs="Arial"/>
        </w:rPr>
        <w:t>was</w:t>
      </w:r>
      <w:r w:rsidRPr="009C056C">
        <w:rPr>
          <w:rFonts w:eastAsia="Calibri" w:cs="Arial"/>
        </w:rPr>
        <w:t xml:space="preserve"> developed to explain how and why we expect change to occur</w:t>
      </w:r>
      <w:r w:rsidR="00D25E95">
        <w:rPr>
          <w:rFonts w:eastAsia="Calibri" w:cs="Arial"/>
        </w:rPr>
        <w:t>,</w:t>
      </w:r>
      <w:r w:rsidRPr="009C056C">
        <w:rPr>
          <w:rFonts w:eastAsia="Calibri" w:cs="Arial"/>
        </w:rPr>
        <w:t xml:space="preserve"> as we work to achieve our vision of ending gender</w:t>
      </w:r>
      <w:r w:rsidRPr="2A73AA60">
        <w:rPr>
          <w:rFonts w:cs="Arial"/>
        </w:rPr>
        <w:t>-based violence in one generation.</w:t>
      </w:r>
    </w:p>
    <w:p w14:paraId="58C35C0E" w14:textId="0C2156C1" w:rsidR="00106704" w:rsidRPr="002D268C" w:rsidRDefault="00D25E95" w:rsidP="00106704">
      <w:pPr>
        <w:rPr>
          <w:rFonts w:cs="Arial"/>
        </w:rPr>
      </w:pPr>
      <w:r>
        <w:rPr>
          <w:rFonts w:cs="Arial"/>
        </w:rPr>
        <w:t>The</w:t>
      </w:r>
      <w:r w:rsidR="00106704" w:rsidRPr="2A73AA60">
        <w:rPr>
          <w:rFonts w:cs="Arial"/>
        </w:rPr>
        <w:t xml:space="preserve"> Outcomes Framework builds on the Theory of Change by providing a focus for continuous improvement through </w:t>
      </w:r>
      <w:r w:rsidR="00AC4442">
        <w:rPr>
          <w:rFonts w:cs="Arial"/>
        </w:rPr>
        <w:t>6</w:t>
      </w:r>
      <w:r w:rsidR="00106704" w:rsidRPr="2A73AA60">
        <w:rPr>
          <w:rFonts w:cs="Arial"/>
        </w:rPr>
        <w:t xml:space="preserve"> long-term (10+ years) outcomes:</w:t>
      </w:r>
    </w:p>
    <w:p w14:paraId="59AF6B10" w14:textId="3E479CE2" w:rsidR="00106704" w:rsidRPr="00034283" w:rsidRDefault="00106704" w:rsidP="006A365C">
      <w:pPr>
        <w:pStyle w:val="ListParagraph"/>
        <w:numPr>
          <w:ilvl w:val="0"/>
          <w:numId w:val="8"/>
        </w:numPr>
      </w:pPr>
      <w:r w:rsidRPr="00FF488E">
        <w:rPr>
          <w:rFonts w:cs="Arial"/>
          <w:lang w:val="en-US"/>
        </w:rPr>
        <w:t xml:space="preserve">Systems and institutions effectively support and protect people impacted </w:t>
      </w:r>
      <w:r>
        <w:rPr>
          <w:rFonts w:cs="Arial"/>
          <w:lang w:val="en-US"/>
        </w:rPr>
        <w:t>violence</w:t>
      </w:r>
      <w:r w:rsidR="00AC4442">
        <w:rPr>
          <w:rFonts w:cs="Arial"/>
          <w:lang w:val="en-US"/>
        </w:rPr>
        <w:t>.</w:t>
      </w:r>
    </w:p>
    <w:p w14:paraId="39AB26D2" w14:textId="0C7DEF08" w:rsidR="00106704" w:rsidRPr="00034283" w:rsidRDefault="00E646E7" w:rsidP="006A365C">
      <w:pPr>
        <w:pStyle w:val="ListParagraph"/>
        <w:numPr>
          <w:ilvl w:val="0"/>
          <w:numId w:val="8"/>
        </w:numPr>
        <w:rPr>
          <w:rFonts w:cs="Arial"/>
        </w:rPr>
      </w:pPr>
      <w:r>
        <w:rPr>
          <w:rFonts w:cs="Arial"/>
          <w:lang w:val="en-US"/>
        </w:rPr>
        <w:t>S</w:t>
      </w:r>
      <w:r w:rsidR="00106704" w:rsidRPr="00034283">
        <w:rPr>
          <w:rFonts w:cs="Arial"/>
          <w:lang w:val="en-US"/>
        </w:rPr>
        <w:t xml:space="preserve">ervices and </w:t>
      </w:r>
      <w:r>
        <w:rPr>
          <w:rFonts w:cs="Arial"/>
          <w:lang w:val="en-US"/>
        </w:rPr>
        <w:t>prevention</w:t>
      </w:r>
      <w:r w:rsidR="00106704" w:rsidRPr="00034283">
        <w:rPr>
          <w:rFonts w:cs="Arial"/>
          <w:lang w:val="en-US"/>
        </w:rPr>
        <w:t xml:space="preserve"> programs are effective, culturally </w:t>
      </w:r>
      <w:r w:rsidR="00106704">
        <w:rPr>
          <w:rFonts w:cs="Arial"/>
          <w:lang w:val="en-US"/>
        </w:rPr>
        <w:t>responsive</w:t>
      </w:r>
      <w:r w:rsidR="00106704" w:rsidRPr="00034283">
        <w:rPr>
          <w:rFonts w:cs="Arial"/>
          <w:lang w:val="en-US"/>
        </w:rPr>
        <w:t>, intersectional and accessible</w:t>
      </w:r>
      <w:r w:rsidR="00AC4442">
        <w:rPr>
          <w:rFonts w:cs="Arial"/>
          <w:lang w:val="en-US"/>
        </w:rPr>
        <w:t>.</w:t>
      </w:r>
    </w:p>
    <w:p w14:paraId="319C6053" w14:textId="43A9A9D0" w:rsidR="00106704" w:rsidRPr="00034283" w:rsidRDefault="00106704" w:rsidP="006A365C">
      <w:pPr>
        <w:pStyle w:val="ListParagraph"/>
        <w:numPr>
          <w:ilvl w:val="0"/>
          <w:numId w:val="8"/>
        </w:numPr>
        <w:rPr>
          <w:rFonts w:cs="Arial"/>
        </w:rPr>
      </w:pPr>
      <w:r w:rsidRPr="00034283">
        <w:rPr>
          <w:rFonts w:cs="Arial"/>
          <w:lang w:val="en-US"/>
        </w:rPr>
        <w:t>Community attitudes and beliefs embrace gender equality and condemn all forms of gendered violence without exception</w:t>
      </w:r>
      <w:r w:rsidR="00AC4442">
        <w:rPr>
          <w:rFonts w:cs="Arial"/>
          <w:lang w:val="en-US"/>
        </w:rPr>
        <w:t>.</w:t>
      </w:r>
    </w:p>
    <w:p w14:paraId="75FD103E" w14:textId="7609E155" w:rsidR="00106704" w:rsidRPr="00034283" w:rsidRDefault="00106704" w:rsidP="006A365C">
      <w:pPr>
        <w:pStyle w:val="ListParagraph"/>
        <w:numPr>
          <w:ilvl w:val="0"/>
          <w:numId w:val="8"/>
        </w:numPr>
        <w:rPr>
          <w:rFonts w:cs="Arial"/>
        </w:rPr>
      </w:pPr>
      <w:r w:rsidRPr="00034283">
        <w:rPr>
          <w:rFonts w:cs="Arial"/>
          <w:lang w:val="en-US"/>
        </w:rPr>
        <w:t>People who choose to use violence are accountable for their actions and stop their violent, coercive and abusive behaviour</w:t>
      </w:r>
      <w:r w:rsidR="00AC4442">
        <w:rPr>
          <w:rFonts w:cs="Arial"/>
          <w:lang w:val="en-US"/>
        </w:rPr>
        <w:t>.</w:t>
      </w:r>
    </w:p>
    <w:p w14:paraId="259A731D" w14:textId="4C58B6F8" w:rsidR="00106704" w:rsidRPr="00034283" w:rsidRDefault="00106704" w:rsidP="006A365C">
      <w:pPr>
        <w:pStyle w:val="ListParagraph"/>
        <w:numPr>
          <w:ilvl w:val="0"/>
          <w:numId w:val="8"/>
        </w:numPr>
        <w:rPr>
          <w:rFonts w:cs="Arial"/>
        </w:rPr>
      </w:pPr>
      <w:r w:rsidRPr="00034283">
        <w:rPr>
          <w:rFonts w:cs="Arial"/>
          <w:lang w:val="en-US"/>
        </w:rPr>
        <w:t>Children and young people are safe in all settings and are effectively supported by systems and services</w:t>
      </w:r>
      <w:r w:rsidR="00AC4442">
        <w:rPr>
          <w:rFonts w:cs="Arial"/>
          <w:lang w:val="en-US"/>
        </w:rPr>
        <w:t>.</w:t>
      </w:r>
    </w:p>
    <w:p w14:paraId="313EF900" w14:textId="0D1B54C5" w:rsidR="00106704" w:rsidRPr="00034283" w:rsidRDefault="00106704" w:rsidP="006A365C">
      <w:pPr>
        <w:pStyle w:val="ListParagraph"/>
        <w:numPr>
          <w:ilvl w:val="0"/>
          <w:numId w:val="8"/>
        </w:numPr>
        <w:rPr>
          <w:rFonts w:cs="Arial"/>
        </w:rPr>
      </w:pPr>
      <w:r w:rsidRPr="00034283">
        <w:rPr>
          <w:rFonts w:cs="Arial"/>
          <w:lang w:val="en-US"/>
        </w:rPr>
        <w:t xml:space="preserve">Women are safe and </w:t>
      </w:r>
      <w:r w:rsidR="00E646E7">
        <w:rPr>
          <w:rFonts w:cs="Arial"/>
          <w:lang w:val="en-US"/>
        </w:rPr>
        <w:t>respected</w:t>
      </w:r>
      <w:r w:rsidR="00FD1F38">
        <w:rPr>
          <w:rFonts w:cs="Arial"/>
          <w:lang w:val="en-US"/>
        </w:rPr>
        <w:t xml:space="preserve"> in all settings</w:t>
      </w:r>
      <w:r w:rsidR="00E646E7">
        <w:rPr>
          <w:rFonts w:cs="Arial"/>
          <w:lang w:val="en-US"/>
        </w:rPr>
        <w:t>,</w:t>
      </w:r>
      <w:r w:rsidRPr="00034283">
        <w:rPr>
          <w:rFonts w:cs="Arial"/>
          <w:lang w:val="en-US"/>
        </w:rPr>
        <w:t xml:space="preserve"> and experience economic, </w:t>
      </w:r>
      <w:r w:rsidR="00FD1F38">
        <w:rPr>
          <w:rFonts w:cs="Arial"/>
          <w:lang w:val="en-US"/>
        </w:rPr>
        <w:t xml:space="preserve">social, </w:t>
      </w:r>
      <w:r w:rsidRPr="00034283">
        <w:rPr>
          <w:rFonts w:cs="Arial"/>
          <w:lang w:val="en-US"/>
        </w:rPr>
        <w:t>political</w:t>
      </w:r>
      <w:r w:rsidR="00FD1F38">
        <w:rPr>
          <w:rFonts w:cs="Arial"/>
          <w:lang w:val="en-US"/>
        </w:rPr>
        <w:t xml:space="preserve"> and</w:t>
      </w:r>
      <w:r w:rsidRPr="00034283">
        <w:rPr>
          <w:rFonts w:cs="Arial"/>
          <w:lang w:val="en-US"/>
        </w:rPr>
        <w:t xml:space="preserve"> cultural equity</w:t>
      </w:r>
      <w:r w:rsidR="00AC4442">
        <w:rPr>
          <w:rFonts w:cs="Arial"/>
          <w:lang w:val="en-US"/>
        </w:rPr>
        <w:t>.</w:t>
      </w:r>
    </w:p>
    <w:p w14:paraId="790E4759" w14:textId="7416750F" w:rsidR="005F5479" w:rsidRPr="00FC43C5" w:rsidRDefault="00826B4E" w:rsidP="005F5479">
      <w:pPr>
        <w:spacing w:before="240" w:after="0"/>
        <w:rPr>
          <w:rFonts w:cs="Arial"/>
        </w:rPr>
      </w:pPr>
      <w:r>
        <w:rPr>
          <w:rFonts w:cs="Arial"/>
        </w:rPr>
        <w:t xml:space="preserve">The First </w:t>
      </w:r>
      <w:r w:rsidR="005F5479">
        <w:rPr>
          <w:rFonts w:cs="Arial"/>
        </w:rPr>
        <w:t>A</w:t>
      </w:r>
      <w:r w:rsidR="005F5479" w:rsidRPr="2A73AA60">
        <w:rPr>
          <w:rFonts w:cs="Arial"/>
        </w:rPr>
        <w:t>ction</w:t>
      </w:r>
      <w:r>
        <w:rPr>
          <w:rFonts w:cs="Arial"/>
        </w:rPr>
        <w:t xml:space="preserve"> Plan </w:t>
      </w:r>
      <w:r w:rsidR="009F447D">
        <w:rPr>
          <w:rFonts w:cs="Arial"/>
        </w:rPr>
        <w:t xml:space="preserve">is </w:t>
      </w:r>
      <w:r w:rsidR="009F447D" w:rsidRPr="00B65772">
        <w:rPr>
          <w:rFonts w:cs="Arial"/>
        </w:rPr>
        <w:t>underpinned</w:t>
      </w:r>
      <w:r w:rsidR="00B24D5D">
        <w:rPr>
          <w:rFonts w:cs="Arial"/>
        </w:rPr>
        <w:t xml:space="preserve"> </w:t>
      </w:r>
      <w:r w:rsidR="009F447D" w:rsidRPr="00B65772">
        <w:rPr>
          <w:rFonts w:cs="Arial"/>
        </w:rPr>
        <w:t>by</w:t>
      </w:r>
      <w:r w:rsidR="005F5479" w:rsidRPr="2A73AA60">
        <w:rPr>
          <w:rFonts w:cs="Arial"/>
        </w:rPr>
        <w:t xml:space="preserve"> the </w:t>
      </w:r>
      <w:r>
        <w:rPr>
          <w:rFonts w:cs="Arial"/>
        </w:rPr>
        <w:t xml:space="preserve">Theory of Change and </w:t>
      </w:r>
      <w:r w:rsidR="005F5479" w:rsidRPr="2A73AA60">
        <w:rPr>
          <w:rFonts w:cs="Arial"/>
        </w:rPr>
        <w:t xml:space="preserve">Outcomes Framework to ensure the </w:t>
      </w:r>
      <w:r w:rsidR="005F5479">
        <w:rPr>
          <w:rFonts w:cs="Arial"/>
        </w:rPr>
        <w:t>a</w:t>
      </w:r>
      <w:r w:rsidR="005F5479" w:rsidRPr="2A73AA60">
        <w:rPr>
          <w:rFonts w:cs="Arial"/>
        </w:rPr>
        <w:t xml:space="preserve">ctions and activities being undertaken </w:t>
      </w:r>
      <w:r>
        <w:rPr>
          <w:rFonts w:cs="Arial"/>
        </w:rPr>
        <w:t>will result in</w:t>
      </w:r>
      <w:r w:rsidR="005F5479" w:rsidRPr="2A73AA60">
        <w:rPr>
          <w:rFonts w:cs="Arial"/>
        </w:rPr>
        <w:t xml:space="preserve"> measurable change</w:t>
      </w:r>
      <w:r>
        <w:rPr>
          <w:rFonts w:cs="Arial"/>
        </w:rPr>
        <w:t>, and set the foundation for meeting our vision of ending gender-based violence in one generation</w:t>
      </w:r>
      <w:r w:rsidR="005F5479" w:rsidRPr="2A73AA60">
        <w:rPr>
          <w:rFonts w:cs="Arial"/>
        </w:rPr>
        <w:t>.</w:t>
      </w:r>
    </w:p>
    <w:p w14:paraId="0D228591" w14:textId="3A40755D" w:rsidR="00106704" w:rsidRDefault="00106704" w:rsidP="00E421D9">
      <w:pPr>
        <w:pStyle w:val="Heading2"/>
      </w:pPr>
      <w:bookmarkStart w:id="55" w:name="_Toc144909130"/>
      <w:r>
        <w:t>Drawing on diverse expertise</w:t>
      </w:r>
      <w:bookmarkEnd w:id="55"/>
    </w:p>
    <w:p w14:paraId="42084605" w14:textId="7E40DF54" w:rsidR="00FF3BD9" w:rsidRDefault="00FF3BD9" w:rsidP="00974FAE">
      <w:pPr>
        <w:spacing w:after="0"/>
      </w:pPr>
      <w:r>
        <w:t xml:space="preserve">The </w:t>
      </w:r>
      <w:r w:rsidR="00337EFB">
        <w:t>Australian</w:t>
      </w:r>
      <w:r w:rsidR="003D093D">
        <w:t>, state</w:t>
      </w:r>
      <w:r>
        <w:t xml:space="preserve"> and territory governments were guided by targeted consultations to inform development of this Action Plan. This included:</w:t>
      </w:r>
    </w:p>
    <w:p w14:paraId="11630F08" w14:textId="19C49201" w:rsidR="00600707" w:rsidRDefault="00937C48" w:rsidP="006A365C">
      <w:pPr>
        <w:pStyle w:val="ListParagraph"/>
        <w:numPr>
          <w:ilvl w:val="0"/>
          <w:numId w:val="4"/>
        </w:numPr>
        <w:spacing w:after="0"/>
      </w:pPr>
      <w:r>
        <w:t>V</w:t>
      </w:r>
      <w:r w:rsidR="00C022D6">
        <w:t>ictim</w:t>
      </w:r>
      <w:r w:rsidR="00A05F64">
        <w:t>-survivor groups</w:t>
      </w:r>
    </w:p>
    <w:p w14:paraId="52730748" w14:textId="2521E6D7" w:rsidR="00FF3BD9" w:rsidRDefault="00FF3BD9" w:rsidP="006A365C">
      <w:pPr>
        <w:pStyle w:val="ListParagraph"/>
        <w:numPr>
          <w:ilvl w:val="0"/>
          <w:numId w:val="4"/>
        </w:numPr>
        <w:spacing w:after="0"/>
      </w:pPr>
      <w:r>
        <w:t>National Plan Advisory Group (NPAG)</w:t>
      </w:r>
    </w:p>
    <w:p w14:paraId="21EB2A5A" w14:textId="20A17B9B" w:rsidR="00FF3BD9" w:rsidRDefault="00FF3BD9" w:rsidP="006A365C">
      <w:pPr>
        <w:pStyle w:val="ListParagraph"/>
        <w:numPr>
          <w:ilvl w:val="0"/>
          <w:numId w:val="4"/>
        </w:numPr>
        <w:spacing w:after="0"/>
      </w:pPr>
      <w:r>
        <w:t>Aboriginal and Torres Strait Islander Advisory Council on family domestic and sexual violence (Advisory Council)</w:t>
      </w:r>
    </w:p>
    <w:p w14:paraId="6F6210DD" w14:textId="77777777" w:rsidR="00FF3BD9" w:rsidRDefault="00FF3BD9" w:rsidP="006A365C">
      <w:pPr>
        <w:pStyle w:val="ListParagraph"/>
        <w:numPr>
          <w:ilvl w:val="0"/>
          <w:numId w:val="4"/>
        </w:numPr>
        <w:spacing w:after="0"/>
      </w:pPr>
      <w:r>
        <w:t>State and territories’ key stakeholders</w:t>
      </w:r>
    </w:p>
    <w:p w14:paraId="60DAAF51" w14:textId="6BF82EE8" w:rsidR="00FF3BD9" w:rsidRPr="00F066DB" w:rsidRDefault="00FF3BD9" w:rsidP="006A365C">
      <w:pPr>
        <w:pStyle w:val="ListParagraph"/>
        <w:numPr>
          <w:ilvl w:val="0"/>
          <w:numId w:val="4"/>
        </w:numPr>
        <w:spacing w:after="0"/>
      </w:pPr>
      <w:r>
        <w:t>Domestic, Family and Sexual Violence (DFSV) Commission.</w:t>
      </w:r>
    </w:p>
    <w:p w14:paraId="0A604832" w14:textId="2B2C78FD" w:rsidR="003A2484" w:rsidRDefault="00F778AD" w:rsidP="003A2484">
      <w:pPr>
        <w:spacing w:before="240"/>
      </w:pPr>
      <w:r>
        <w:t xml:space="preserve">Development of this First Action Plan included specific consultation with victim-survivors, beyond the inclusion of victim-survivor expertise on the NPAG and Advisory Council, in line with the National Plan’s cross-cutting principle to centre victim-survivors. </w:t>
      </w:r>
      <w:r w:rsidR="00521A03">
        <w:t>We sincerely thank them for their participation and invaluable contribution in this process.</w:t>
      </w:r>
    </w:p>
    <w:p w14:paraId="6508787F" w14:textId="154E4CB9" w:rsidR="00FF3BD9" w:rsidRDefault="00FF3BD9" w:rsidP="00FF3BD9">
      <w:pPr>
        <w:spacing w:before="240" w:after="0"/>
      </w:pPr>
      <w:r>
        <w:lastRenderedPageBreak/>
        <w:t>Development of the Action Plan also drew on the extensive consultation undertaken with diverse stakeholder groups to inform the National Plan. Consultations to inform the National Plan engaged over 3,000 individuals through varied mechanisms, including:</w:t>
      </w:r>
    </w:p>
    <w:p w14:paraId="11038212" w14:textId="0BFCDAC0" w:rsidR="00FF3BD9" w:rsidRPr="00FA62A8" w:rsidRDefault="00FF3BD9" w:rsidP="006A365C">
      <w:pPr>
        <w:numPr>
          <w:ilvl w:val="0"/>
          <w:numId w:val="1"/>
        </w:numPr>
        <w:spacing w:before="240" w:after="160" w:line="259" w:lineRule="auto"/>
      </w:pPr>
      <w:r>
        <w:t>The House of Representatives Standing Committee on Social Policy and Legal Affairs Inquiry into family, domestic and sexual violence (the Inquiry)</w:t>
      </w:r>
      <w:r w:rsidR="00DF4276">
        <w:t>.</w:t>
      </w:r>
      <w:r w:rsidR="00DF4276">
        <w:rPr>
          <w:rStyle w:val="EndnoteReference"/>
        </w:rPr>
        <w:endnoteReference w:id="2"/>
      </w:r>
    </w:p>
    <w:p w14:paraId="4EA1AF86" w14:textId="6DD777D7" w:rsidR="00FF3BD9" w:rsidRDefault="00FF3BD9" w:rsidP="006A365C">
      <w:pPr>
        <w:numPr>
          <w:ilvl w:val="0"/>
          <w:numId w:val="1"/>
        </w:numPr>
        <w:spacing w:before="240" w:after="160" w:line="259" w:lineRule="auto"/>
      </w:pPr>
      <w:r>
        <w:t>Three public consultation surveys hosted on the DSS Engage online platform. Many written submissions were received in this process.</w:t>
      </w:r>
    </w:p>
    <w:p w14:paraId="2BD7905B" w14:textId="7E1D7002" w:rsidR="00FF3BD9" w:rsidRPr="00FA62A8" w:rsidRDefault="00FF3BD9" w:rsidP="006A365C">
      <w:pPr>
        <w:numPr>
          <w:ilvl w:val="0"/>
          <w:numId w:val="1"/>
        </w:numPr>
        <w:spacing w:before="240" w:after="160" w:line="259" w:lineRule="auto"/>
      </w:pPr>
      <w:r>
        <w:t>The 2021 National Summit on Women’s Safety, held in September 2021</w:t>
      </w:r>
      <w:r w:rsidR="00DF4276">
        <w:t>.</w:t>
      </w:r>
      <w:r>
        <w:rPr>
          <w:rStyle w:val="EndnoteReference"/>
        </w:rPr>
        <w:endnoteReference w:id="3"/>
      </w:r>
    </w:p>
    <w:p w14:paraId="07C9C363" w14:textId="6A1EB4FB" w:rsidR="00FF3BD9" w:rsidRDefault="00FF3BD9" w:rsidP="006A365C">
      <w:pPr>
        <w:numPr>
          <w:ilvl w:val="0"/>
          <w:numId w:val="1"/>
        </w:numPr>
        <w:spacing w:before="240" w:after="160" w:line="259" w:lineRule="auto"/>
      </w:pPr>
      <w:r>
        <w:t xml:space="preserve">Targeted consultations facilitated by the Monash Gender and Family Violence Prevention Centre, Monash University. The findings from these consultations have been published in </w:t>
      </w:r>
      <w:r w:rsidR="00937C48">
        <w:t xml:space="preserve">2 </w:t>
      </w:r>
      <w:r>
        <w:t xml:space="preserve">Stakeholder Consultation Reports, the </w:t>
      </w:r>
      <w:r w:rsidRPr="2A73AA60">
        <w:rPr>
          <w:i/>
          <w:iCs/>
        </w:rPr>
        <w:t>National Plan Stakeholder Consultation Report</w:t>
      </w:r>
      <w:r>
        <w:t xml:space="preserve"> and the </w:t>
      </w:r>
      <w:r w:rsidRPr="2A73AA60">
        <w:rPr>
          <w:i/>
          <w:iCs/>
        </w:rPr>
        <w:t>National Plan Victim-Survivor Advocates Consultation Repor</w:t>
      </w:r>
      <w:r w:rsidR="00DF4276">
        <w:rPr>
          <w:i/>
          <w:iCs/>
        </w:rPr>
        <w:t>t.</w:t>
      </w:r>
      <w:r w:rsidRPr="00DF4276">
        <w:rPr>
          <w:rStyle w:val="EndnoteReference"/>
          <w:iCs/>
        </w:rPr>
        <w:endnoteReference w:id="4"/>
      </w:r>
      <w:hyperlink r:id="rId39" w:history="1"/>
    </w:p>
    <w:p w14:paraId="625955A6" w14:textId="241D559B" w:rsidR="00FF3BD9" w:rsidRDefault="00FF3BD9" w:rsidP="00FF3BD9">
      <w:pPr>
        <w:spacing w:before="240"/>
      </w:pPr>
      <w:r>
        <w:t>These consultations listened to the diverse lived experiences of people from regional and remote areas, Aboriginal and Torres Strait Islander peoples, culturally and linguistically diverse communities, LGBTIQA+</w:t>
      </w:r>
      <w:r w:rsidR="00410AF3">
        <w:t xml:space="preserve"> people</w:t>
      </w:r>
      <w:r>
        <w:t>, people with disability</w:t>
      </w:r>
      <w:r w:rsidR="004831B3">
        <w:t>, young people</w:t>
      </w:r>
      <w:r>
        <w:t xml:space="preserve"> and older people.</w:t>
      </w:r>
    </w:p>
    <w:p w14:paraId="2001CD41" w14:textId="77777777" w:rsidR="008D2AC5" w:rsidRDefault="008D2AC5">
      <w:pPr>
        <w:rPr>
          <w:rFonts w:eastAsiaTheme="majorEastAsia" w:cstheme="majorBidi"/>
          <w:b/>
          <w:bCs/>
          <w:sz w:val="32"/>
          <w:szCs w:val="26"/>
        </w:rPr>
      </w:pPr>
      <w:bookmarkStart w:id="56" w:name="_Toc127441214"/>
      <w:bookmarkStart w:id="57" w:name="_Toc127776196"/>
      <w:bookmarkStart w:id="58" w:name="_Toc127800122"/>
      <w:bookmarkStart w:id="59" w:name="_Toc128734611"/>
      <w:bookmarkStart w:id="60" w:name="_Toc132805043"/>
      <w:bookmarkStart w:id="61" w:name="_Toc132805384"/>
      <w:bookmarkStart w:id="62" w:name="_Toc134621938"/>
      <w:bookmarkStart w:id="63" w:name="_Toc134622030"/>
      <w:bookmarkStart w:id="64" w:name="_Toc134622132"/>
      <w:bookmarkStart w:id="65" w:name="_Toc134624221"/>
      <w:bookmarkStart w:id="66" w:name="_Toc134628750"/>
      <w:bookmarkStart w:id="67" w:name="_Toc136254995"/>
      <w:bookmarkStart w:id="68" w:name="_Toc136261688"/>
      <w:bookmarkStart w:id="69" w:name="_Toc136268779"/>
      <w:bookmarkStart w:id="70" w:name="_Toc136272355"/>
      <w:bookmarkStart w:id="71" w:name="_Toc136278734"/>
      <w:bookmarkStart w:id="72" w:name="_Toc136279952"/>
      <w:r>
        <w:br w:type="page"/>
      </w:r>
    </w:p>
    <w:p w14:paraId="1837B359" w14:textId="2D1F2CAE" w:rsidR="00FF3BD9" w:rsidRPr="00643492" w:rsidRDefault="00FF3BD9" w:rsidP="00E421D9">
      <w:pPr>
        <w:pStyle w:val="Heading1"/>
        <w:rPr>
          <w:rFonts w:eastAsia="Calibri"/>
        </w:rPr>
      </w:pPr>
      <w:bookmarkStart w:id="73" w:name="_Toc144909131"/>
      <w:r w:rsidRPr="00C46472">
        <w:lastRenderedPageBreak/>
        <w:t>Collective action for change</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1994FF06" w14:textId="3DE4BA58" w:rsidR="00FA3FC9" w:rsidRPr="00764178" w:rsidRDefault="00937C48" w:rsidP="00764178">
      <w:pPr>
        <w:autoSpaceDE w:val="0"/>
        <w:autoSpaceDN w:val="0"/>
        <w:adjustRightInd w:val="0"/>
        <w:spacing w:after="240" w:line="240" w:lineRule="auto"/>
        <w:rPr>
          <w:sz w:val="28"/>
          <w:szCs w:val="28"/>
        </w:rPr>
      </w:pPr>
      <w:r w:rsidRPr="00764178">
        <w:rPr>
          <w:rFonts w:ascii="Arial-BoldItalicMT" w:hAnsi="Arial-BoldItalicMT" w:cs="Arial-BoldItalicMT"/>
          <w:b/>
          <w:bCs/>
          <w:i/>
          <w:iCs/>
          <w:sz w:val="28"/>
          <w:szCs w:val="28"/>
        </w:rPr>
        <w:t>“</w:t>
      </w:r>
      <w:r w:rsidR="00FA3FC9" w:rsidRPr="00764178">
        <w:rPr>
          <w:rFonts w:ascii="Arial-BoldItalicMT" w:hAnsi="Arial-BoldItalicMT" w:cs="Arial-BoldItalicMT"/>
          <w:b/>
          <w:bCs/>
          <w:i/>
          <w:iCs/>
          <w:sz w:val="28"/>
          <w:szCs w:val="28"/>
        </w:rPr>
        <w:t>The role of community members, and the way they support, identify and protect</w:t>
      </w:r>
      <w:r w:rsidR="00764178">
        <w:rPr>
          <w:rFonts w:ascii="Arial-BoldItalicMT" w:hAnsi="Arial-BoldItalicMT" w:cs="Arial-BoldItalicMT"/>
          <w:b/>
          <w:bCs/>
          <w:i/>
          <w:iCs/>
          <w:sz w:val="28"/>
          <w:szCs w:val="28"/>
        </w:rPr>
        <w:t xml:space="preserve"> </w:t>
      </w:r>
      <w:r w:rsidR="00FA3FC9" w:rsidRPr="00764178">
        <w:rPr>
          <w:rFonts w:ascii="Arial-BoldItalicMT" w:hAnsi="Arial-BoldItalicMT" w:cs="Arial-BoldItalicMT"/>
          <w:b/>
          <w:bCs/>
          <w:i/>
          <w:iCs/>
          <w:sz w:val="28"/>
          <w:szCs w:val="28"/>
        </w:rPr>
        <w:t xml:space="preserve">their neighbours is crucial. It's community behaviour change.” </w:t>
      </w:r>
      <w:r w:rsidR="00FA3FC9" w:rsidRPr="00764178">
        <w:rPr>
          <w:rFonts w:ascii="Arial-BoldItalicMT" w:hAnsi="Arial-BoldItalicMT" w:cs="Arial-BoldItalicMT"/>
          <w:b/>
          <w:sz w:val="28"/>
          <w:szCs w:val="28"/>
        </w:rPr>
        <w:t>– Victim-survivor</w:t>
      </w:r>
      <w:r w:rsidR="00DF4276" w:rsidRPr="00764178">
        <w:rPr>
          <w:rStyle w:val="EndnoteReference"/>
          <w:rFonts w:ascii="Arial-BoldItalicMT" w:hAnsi="Arial-BoldItalicMT" w:cs="Arial-BoldItalicMT"/>
          <w:b/>
          <w:sz w:val="28"/>
          <w:szCs w:val="28"/>
        </w:rPr>
        <w:endnoteReference w:id="5"/>
      </w:r>
    </w:p>
    <w:p w14:paraId="2BE82258" w14:textId="3711F10D" w:rsidR="00FF3BD9" w:rsidRDefault="00FF3BD9" w:rsidP="00FF3BD9">
      <w:pPr>
        <w:pStyle w:val="Bodycopy"/>
        <w:rPr>
          <w:color w:val="auto"/>
          <w:lang w:val="en-AU"/>
        </w:rPr>
      </w:pPr>
      <w:r w:rsidRPr="2A73AA60">
        <w:rPr>
          <w:color w:val="auto"/>
          <w:lang w:val="en-AU"/>
        </w:rPr>
        <w:t xml:space="preserve">To reach our goals we need sustained, collective action across society, where everyone </w:t>
      </w:r>
      <w:r>
        <w:rPr>
          <w:color w:val="auto"/>
          <w:lang w:val="en-AU"/>
        </w:rPr>
        <w:t>plays</w:t>
      </w:r>
      <w:r w:rsidRPr="2A73AA60">
        <w:rPr>
          <w:color w:val="auto"/>
          <w:lang w:val="en-AU"/>
        </w:rPr>
        <w:t xml:space="preserve"> a role in increasing understanding and awareness of gender inequality and the gendered drivers of violence</w:t>
      </w:r>
      <w:r>
        <w:rPr>
          <w:color w:val="auto"/>
          <w:lang w:val="en-AU"/>
        </w:rPr>
        <w:t>.</w:t>
      </w:r>
    </w:p>
    <w:p w14:paraId="60567836" w14:textId="465960D4" w:rsidR="00BD0149" w:rsidRDefault="00FF3BD9" w:rsidP="00FF3BD9">
      <w:pPr>
        <w:pStyle w:val="Bodycopy"/>
        <w:rPr>
          <w:color w:val="auto"/>
          <w:lang w:val="en-AU"/>
        </w:rPr>
      </w:pPr>
      <w:r w:rsidRPr="006C4283">
        <w:rPr>
          <w:color w:val="auto"/>
          <w:lang w:val="en-AU"/>
        </w:rPr>
        <w:t>The Action Plan recognises that governments, relevant sectors and communities must work together to achieve our goal of ending violence against women and children in one generation.</w:t>
      </w:r>
      <w:r>
        <w:rPr>
          <w:color w:val="auto"/>
          <w:lang w:val="en-AU"/>
        </w:rPr>
        <w:t xml:space="preserve"> </w:t>
      </w:r>
      <w:r w:rsidRPr="006C4283">
        <w:rPr>
          <w:color w:val="auto"/>
          <w:lang w:val="en-AU"/>
        </w:rPr>
        <w:t>This includes focusing on actions and activities where there is a benefit in having a national approach.</w:t>
      </w:r>
    </w:p>
    <w:p w14:paraId="037A489D" w14:textId="6DE48E70" w:rsidR="00FF3BD9" w:rsidRPr="006C4283" w:rsidRDefault="00FF3BD9" w:rsidP="00FF3BD9">
      <w:pPr>
        <w:pStyle w:val="Bodycopy"/>
        <w:rPr>
          <w:color w:val="auto"/>
          <w:lang w:val="en-AU"/>
        </w:rPr>
      </w:pPr>
      <w:r w:rsidRPr="006C4283">
        <w:rPr>
          <w:color w:val="auto"/>
          <w:lang w:val="en-AU"/>
        </w:rPr>
        <w:t>It also includes all governments and relevant sectors working together in areas such as child protection, health and mental health,</w:t>
      </w:r>
      <w:r w:rsidR="0077538C">
        <w:rPr>
          <w:color w:val="auto"/>
          <w:lang w:val="en-AU"/>
        </w:rPr>
        <w:t xml:space="preserve"> aged care,</w:t>
      </w:r>
      <w:r w:rsidRPr="006C4283">
        <w:rPr>
          <w:color w:val="auto"/>
          <w:lang w:val="en-AU"/>
        </w:rPr>
        <w:t xml:space="preserve"> </w:t>
      </w:r>
      <w:r w:rsidR="006D7417">
        <w:rPr>
          <w:color w:val="auto"/>
          <w:lang w:val="en-AU"/>
        </w:rPr>
        <w:t>disability</w:t>
      </w:r>
      <w:r w:rsidR="002C029E">
        <w:rPr>
          <w:color w:val="auto"/>
          <w:lang w:val="en-AU"/>
        </w:rPr>
        <w:t xml:space="preserve"> support</w:t>
      </w:r>
      <w:r w:rsidR="006D7417">
        <w:rPr>
          <w:color w:val="auto"/>
          <w:lang w:val="en-AU"/>
        </w:rPr>
        <w:t xml:space="preserve">, </w:t>
      </w:r>
      <w:r w:rsidRPr="006C4283">
        <w:rPr>
          <w:color w:val="auto"/>
          <w:lang w:val="en-AU"/>
        </w:rPr>
        <w:t>adult and youth justice, housing, education and employment</w:t>
      </w:r>
      <w:r w:rsidR="009C6F68">
        <w:rPr>
          <w:color w:val="auto"/>
          <w:lang w:val="en-AU"/>
        </w:rPr>
        <w:t>,</w:t>
      </w:r>
      <w:r w:rsidRPr="006C4283">
        <w:rPr>
          <w:color w:val="auto"/>
          <w:lang w:val="en-AU"/>
        </w:rPr>
        <w:t xml:space="preserve"> to address the social determinants of wellbeing.</w:t>
      </w:r>
    </w:p>
    <w:p w14:paraId="458A7160" w14:textId="77777777" w:rsidR="0064584B" w:rsidRDefault="00FF3BD9" w:rsidP="0091695D">
      <w:pPr>
        <w:spacing w:before="240"/>
        <w:rPr>
          <w:rFonts w:eastAsia="Arial" w:cs="Arial"/>
        </w:rPr>
      </w:pPr>
      <w:r>
        <w:t xml:space="preserve">Businesses and workplaces, including </w:t>
      </w:r>
      <w:r w:rsidRPr="00A12619">
        <w:t>private</w:t>
      </w:r>
      <w:r>
        <w:t xml:space="preserve">, </w:t>
      </w:r>
      <w:r w:rsidRPr="00A12619">
        <w:t>public</w:t>
      </w:r>
      <w:r>
        <w:t xml:space="preserve"> and n</w:t>
      </w:r>
      <w:r w:rsidRPr="00A12619">
        <w:t>ot</w:t>
      </w:r>
      <w:r>
        <w:t>-</w:t>
      </w:r>
      <w:r w:rsidRPr="00A12619">
        <w:t xml:space="preserve">for-profit </w:t>
      </w:r>
      <w:r>
        <w:t>organisations</w:t>
      </w:r>
      <w:r w:rsidR="009C6F68">
        <w:t>,</w:t>
      </w:r>
      <w:r>
        <w:t xml:space="preserve"> can contribute to preventing gender-based violence by supporting and promoting gender equality, taking a firm stance against sexual harassment, and </w:t>
      </w:r>
      <w:r w:rsidR="00A31CA3">
        <w:t xml:space="preserve">complying with their </w:t>
      </w:r>
      <w:r w:rsidR="00A31CA3" w:rsidRPr="0093774F">
        <w:rPr>
          <w:rFonts w:eastAsia="Arial" w:cs="Arial"/>
        </w:rPr>
        <w:t xml:space="preserve">obligations to provide </w:t>
      </w:r>
      <w:r w:rsidRPr="00FC716B">
        <w:rPr>
          <w:rFonts w:eastAsia="Arial" w:cs="Arial"/>
        </w:rPr>
        <w:t>leave entitlements to victim-survivors</w:t>
      </w:r>
      <w:r w:rsidR="002C029E">
        <w:rPr>
          <w:rFonts w:eastAsia="Arial" w:cs="Arial"/>
        </w:rPr>
        <w:t>,</w:t>
      </w:r>
      <w:r w:rsidRPr="0093774F">
        <w:rPr>
          <w:rFonts w:eastAsia="Arial" w:cs="Arial"/>
        </w:rPr>
        <w:t xml:space="preserve"> such as paid Family and Domestic Violence leave. </w:t>
      </w:r>
    </w:p>
    <w:p w14:paraId="05405CD2" w14:textId="6A2FC44B" w:rsidR="00FF3BD9" w:rsidRPr="009F1690" w:rsidRDefault="00FF3BD9" w:rsidP="0091695D">
      <w:pPr>
        <w:spacing w:before="240"/>
        <w:rPr>
          <w:rFonts w:eastAsia="Arial" w:cs="Arial"/>
        </w:rPr>
      </w:pPr>
      <w:r w:rsidRPr="0093774F">
        <w:rPr>
          <w:rFonts w:eastAsia="Arial" w:cs="Arial"/>
        </w:rPr>
        <w:t>All employers</w:t>
      </w:r>
      <w:r w:rsidR="0016362D" w:rsidRPr="00FC716B">
        <w:rPr>
          <w:rFonts w:eastAsia="Arial" w:cs="Arial"/>
        </w:rPr>
        <w:t>, including governments,</w:t>
      </w:r>
      <w:r w:rsidR="00E613F7" w:rsidRPr="00FC716B">
        <w:rPr>
          <w:rFonts w:eastAsia="Arial" w:cs="Arial"/>
        </w:rPr>
        <w:t xml:space="preserve"> </w:t>
      </w:r>
      <w:r w:rsidRPr="00FC716B">
        <w:rPr>
          <w:rFonts w:eastAsia="Arial" w:cs="Arial"/>
        </w:rPr>
        <w:t xml:space="preserve">have a specific role to play – from personnel management right through to corporate/strategy – in </w:t>
      </w:r>
      <w:r w:rsidR="006D3DAD" w:rsidRPr="00FC716B">
        <w:rPr>
          <w:rFonts w:eastAsia="Arial" w:cs="Arial"/>
        </w:rPr>
        <w:t xml:space="preserve">fostering equality, changing attitudes and behaviours and </w:t>
      </w:r>
      <w:r w:rsidRPr="009F1690">
        <w:rPr>
          <w:rFonts w:eastAsia="Arial" w:cs="Arial"/>
        </w:rPr>
        <w:t>creating safe places for their employees.</w:t>
      </w:r>
      <w:r w:rsidR="00F95B1C" w:rsidRPr="009F1690">
        <w:rPr>
          <w:rFonts w:eastAsia="Arial" w:cs="Arial"/>
        </w:rPr>
        <w:t xml:space="preserve"> Promoting women into leadership roles and reducing barriers for women returning to work by providing flexible work arrangements and parental leave to all employees, regardless of gender </w:t>
      </w:r>
      <w:r w:rsidR="00306FED" w:rsidRPr="009F1690">
        <w:rPr>
          <w:rFonts w:eastAsia="Arial" w:cs="Arial"/>
        </w:rPr>
        <w:t xml:space="preserve">will </w:t>
      </w:r>
      <w:r w:rsidR="00F95B1C" w:rsidRPr="009F1690">
        <w:rPr>
          <w:rFonts w:eastAsia="Arial" w:cs="Arial"/>
        </w:rPr>
        <w:t>contribute to achieving gender equality.</w:t>
      </w:r>
    </w:p>
    <w:p w14:paraId="64C72F49" w14:textId="74394E54" w:rsidR="00F95B1C" w:rsidRPr="00FC716B" w:rsidRDefault="00FF3BD9" w:rsidP="009F1690">
      <w:pPr>
        <w:spacing w:before="240"/>
        <w:rPr>
          <w:rFonts w:eastAsia="Arial" w:cs="Arial"/>
        </w:rPr>
      </w:pPr>
      <w:r w:rsidRPr="009F1690">
        <w:rPr>
          <w:rFonts w:eastAsia="Arial" w:cs="Arial"/>
        </w:rPr>
        <w:t xml:space="preserve">Corporate Australia also has a role to play in recognising when </w:t>
      </w:r>
      <w:r w:rsidR="001D70EC" w:rsidRPr="009F1690">
        <w:rPr>
          <w:rFonts w:eastAsia="Arial" w:cs="Arial"/>
        </w:rPr>
        <w:t xml:space="preserve">customers are experiencing violence, and </w:t>
      </w:r>
      <w:r w:rsidR="002C029E">
        <w:rPr>
          <w:rFonts w:eastAsia="Arial" w:cs="Arial"/>
        </w:rPr>
        <w:t xml:space="preserve">knowing how to </w:t>
      </w:r>
      <w:r w:rsidR="001D70EC" w:rsidRPr="0093774F">
        <w:rPr>
          <w:rFonts w:eastAsia="Arial" w:cs="Arial"/>
        </w:rPr>
        <w:t>respond</w:t>
      </w:r>
      <w:r w:rsidR="001D70EC" w:rsidRPr="00FC716B">
        <w:rPr>
          <w:rFonts w:eastAsia="Arial" w:cs="Arial"/>
        </w:rPr>
        <w:t xml:space="preserve"> to it</w:t>
      </w:r>
      <w:r w:rsidR="002C029E">
        <w:rPr>
          <w:rFonts w:eastAsia="Arial" w:cs="Arial"/>
        </w:rPr>
        <w:t xml:space="preserve"> appropriately</w:t>
      </w:r>
      <w:r w:rsidR="00306FED" w:rsidRPr="002C029E">
        <w:rPr>
          <w:rFonts w:eastAsia="Arial" w:cs="Arial"/>
        </w:rPr>
        <w:t xml:space="preserve">. </w:t>
      </w:r>
      <w:r w:rsidR="001D70EC" w:rsidRPr="0093774F">
        <w:rPr>
          <w:rFonts w:eastAsia="Arial" w:cs="Arial"/>
        </w:rPr>
        <w:t>This includes designing products and services that are safe from mis</w:t>
      </w:r>
      <w:r w:rsidR="001D70EC" w:rsidRPr="00FC716B">
        <w:rPr>
          <w:rFonts w:eastAsia="Arial" w:cs="Arial"/>
        </w:rPr>
        <w:t xml:space="preserve">use </w:t>
      </w:r>
      <w:r w:rsidR="00306FED" w:rsidRPr="00FC716B">
        <w:rPr>
          <w:rFonts w:eastAsia="Arial" w:cs="Arial"/>
        </w:rPr>
        <w:t>and working to ensure</w:t>
      </w:r>
      <w:r w:rsidR="001D70EC" w:rsidRPr="00FC716B">
        <w:rPr>
          <w:rFonts w:eastAsia="Arial" w:cs="Arial"/>
        </w:rPr>
        <w:t xml:space="preserve"> perpetrator accountability.</w:t>
      </w:r>
    </w:p>
    <w:p w14:paraId="5A9BDF6F" w14:textId="63FF6E99" w:rsidR="00B24D5D" w:rsidRPr="009F1690" w:rsidRDefault="001D70EC" w:rsidP="009F1690">
      <w:pPr>
        <w:spacing w:before="240"/>
        <w:rPr>
          <w:rFonts w:eastAsia="Arial" w:cs="Arial"/>
        </w:rPr>
      </w:pPr>
      <w:r w:rsidRPr="00FC716B">
        <w:rPr>
          <w:rFonts w:eastAsia="Arial" w:cs="Arial"/>
        </w:rPr>
        <w:t xml:space="preserve">Specific companies, </w:t>
      </w:r>
      <w:r w:rsidR="005A1374" w:rsidRPr="009F1690">
        <w:rPr>
          <w:rFonts w:eastAsia="Arial" w:cs="Arial"/>
        </w:rPr>
        <w:t xml:space="preserve">such as </w:t>
      </w:r>
      <w:r w:rsidR="00BD0149" w:rsidRPr="009F1690">
        <w:rPr>
          <w:rFonts w:eastAsia="Arial" w:cs="Arial"/>
        </w:rPr>
        <w:t>utility providers, financial services</w:t>
      </w:r>
      <w:r w:rsidR="00384F58" w:rsidRPr="009F1690">
        <w:rPr>
          <w:rFonts w:eastAsia="Arial" w:cs="Arial"/>
        </w:rPr>
        <w:t xml:space="preserve">, insurance providers, </w:t>
      </w:r>
      <w:r w:rsidR="008B19E1" w:rsidRPr="009F1690">
        <w:rPr>
          <w:rFonts w:eastAsia="Arial" w:cs="Arial"/>
        </w:rPr>
        <w:t xml:space="preserve">social media platforms </w:t>
      </w:r>
      <w:r w:rsidR="00384F58" w:rsidRPr="009F1690">
        <w:rPr>
          <w:rFonts w:eastAsia="Arial" w:cs="Arial"/>
        </w:rPr>
        <w:t xml:space="preserve">and </w:t>
      </w:r>
      <w:r w:rsidR="005A1374" w:rsidRPr="009F1690">
        <w:rPr>
          <w:rFonts w:eastAsia="Arial" w:cs="Arial"/>
        </w:rPr>
        <w:t xml:space="preserve">those </w:t>
      </w:r>
      <w:r w:rsidRPr="009F1690">
        <w:rPr>
          <w:rFonts w:eastAsia="Arial" w:cs="Arial"/>
        </w:rPr>
        <w:t>responsible for online dating apps</w:t>
      </w:r>
      <w:r w:rsidR="009C6F68">
        <w:rPr>
          <w:rFonts w:eastAsia="Arial" w:cs="Arial"/>
        </w:rPr>
        <w:t>,</w:t>
      </w:r>
      <w:r w:rsidR="00B77656" w:rsidRPr="009F1690">
        <w:rPr>
          <w:rFonts w:eastAsia="Arial" w:cs="Arial"/>
        </w:rPr>
        <w:t xml:space="preserve"> </w:t>
      </w:r>
      <w:r w:rsidR="00306FED" w:rsidRPr="009F1690">
        <w:rPr>
          <w:rFonts w:eastAsia="Arial" w:cs="Arial"/>
        </w:rPr>
        <w:t xml:space="preserve">should </w:t>
      </w:r>
      <w:r w:rsidR="0077538C" w:rsidRPr="009F1690">
        <w:rPr>
          <w:rFonts w:eastAsia="Arial" w:cs="Arial"/>
        </w:rPr>
        <w:t>promote safe and positive experiences and actively work to prevent abuse throughout their organisations and product</w:t>
      </w:r>
      <w:r w:rsidR="00B24D5D" w:rsidRPr="009F1690">
        <w:rPr>
          <w:rFonts w:eastAsia="Arial" w:cs="Arial"/>
        </w:rPr>
        <w:t>s.</w:t>
      </w:r>
    </w:p>
    <w:p w14:paraId="3D202138" w14:textId="7F46B7DE" w:rsidR="006700F0" w:rsidRPr="00FC716B" w:rsidRDefault="00120131" w:rsidP="009F1690">
      <w:pPr>
        <w:spacing w:before="240"/>
        <w:rPr>
          <w:rFonts w:eastAsia="Arial" w:cs="Arial"/>
        </w:rPr>
      </w:pPr>
      <w:r w:rsidRPr="0093774F">
        <w:rPr>
          <w:rFonts w:eastAsia="Arial" w:cs="Arial"/>
        </w:rPr>
        <w:t>T</w:t>
      </w:r>
      <w:r w:rsidR="00FF3BD9" w:rsidRPr="00FC716B">
        <w:rPr>
          <w:rFonts w:eastAsia="Arial" w:cs="Arial"/>
        </w:rPr>
        <w:t xml:space="preserve">he media </w:t>
      </w:r>
      <w:r w:rsidR="00FC716B">
        <w:rPr>
          <w:rFonts w:eastAsia="Arial" w:cs="Arial"/>
        </w:rPr>
        <w:t>has</w:t>
      </w:r>
      <w:r w:rsidR="00A85BB4" w:rsidRPr="00FC716B">
        <w:rPr>
          <w:rFonts w:eastAsia="Arial" w:cs="Arial"/>
        </w:rPr>
        <w:t xml:space="preserve"> an important role </w:t>
      </w:r>
      <w:r w:rsidR="00FC716B">
        <w:rPr>
          <w:rFonts w:eastAsia="Arial" w:cs="Arial"/>
        </w:rPr>
        <w:t>to play in</w:t>
      </w:r>
      <w:r w:rsidR="00FF3BD9" w:rsidRPr="00FC716B">
        <w:rPr>
          <w:rFonts w:eastAsia="Arial" w:cs="Arial"/>
        </w:rPr>
        <w:t xml:space="preserve"> the way they report </w:t>
      </w:r>
      <w:r w:rsidR="00FC716B">
        <w:rPr>
          <w:rFonts w:eastAsia="Arial" w:cs="Arial"/>
        </w:rPr>
        <w:t xml:space="preserve">gender-based </w:t>
      </w:r>
      <w:r w:rsidR="00FF3BD9" w:rsidRPr="00FC716B">
        <w:rPr>
          <w:rFonts w:eastAsia="Arial" w:cs="Arial"/>
        </w:rPr>
        <w:t>violence</w:t>
      </w:r>
      <w:r w:rsidR="00FC716B">
        <w:rPr>
          <w:rFonts w:eastAsia="Arial" w:cs="Arial"/>
        </w:rPr>
        <w:t xml:space="preserve">, </w:t>
      </w:r>
      <w:r w:rsidR="009C6F68">
        <w:rPr>
          <w:rFonts w:eastAsia="Arial" w:cs="Arial"/>
        </w:rPr>
        <w:t>in</w:t>
      </w:r>
      <w:r w:rsidR="0083384E">
        <w:rPr>
          <w:rFonts w:eastAsia="Arial" w:cs="Arial"/>
        </w:rPr>
        <w:t xml:space="preserve"> </w:t>
      </w:r>
      <w:r w:rsidR="00FF3BD9" w:rsidRPr="00FC716B">
        <w:rPr>
          <w:rFonts w:eastAsia="Arial" w:cs="Arial"/>
        </w:rPr>
        <w:t>promoting perpetrator accountability, moving away from victim-blaming narratives</w:t>
      </w:r>
      <w:r w:rsidR="00DF2CF1" w:rsidRPr="00FC716B">
        <w:rPr>
          <w:rFonts w:eastAsia="Arial" w:cs="Arial"/>
        </w:rPr>
        <w:t>,</w:t>
      </w:r>
      <w:r w:rsidR="00FF3BD9" w:rsidRPr="00FC716B">
        <w:rPr>
          <w:rFonts w:eastAsia="Arial" w:cs="Arial"/>
        </w:rPr>
        <w:t xml:space="preserve"> </w:t>
      </w:r>
      <w:r w:rsidR="00FC716B">
        <w:rPr>
          <w:rFonts w:eastAsia="Arial" w:cs="Arial"/>
        </w:rPr>
        <w:t xml:space="preserve">and </w:t>
      </w:r>
      <w:r w:rsidR="00FF3BD9" w:rsidRPr="00FC716B">
        <w:rPr>
          <w:rFonts w:eastAsia="Arial" w:cs="Arial"/>
        </w:rPr>
        <w:t>raising awareness of support services.</w:t>
      </w:r>
    </w:p>
    <w:p w14:paraId="4FF22D0A" w14:textId="7D10E784" w:rsidR="00FF3BD9" w:rsidRPr="0093774F" w:rsidRDefault="000C6B5C" w:rsidP="009F1690">
      <w:pPr>
        <w:spacing w:before="240"/>
        <w:rPr>
          <w:rFonts w:eastAsia="Arial" w:cs="Arial"/>
        </w:rPr>
      </w:pPr>
      <w:r w:rsidRPr="00FC716B">
        <w:rPr>
          <w:rFonts w:eastAsia="Arial" w:cs="Arial"/>
        </w:rPr>
        <w:t>The media can</w:t>
      </w:r>
      <w:r w:rsidR="00FF3BD9" w:rsidRPr="00FC716B">
        <w:rPr>
          <w:rFonts w:eastAsia="Arial" w:cs="Arial"/>
        </w:rPr>
        <w:t xml:space="preserve"> address inequality in how stories involving violence towards Aboriginal and Torres Strait Islander </w:t>
      </w:r>
      <w:r w:rsidR="003D093D" w:rsidRPr="00FC716B">
        <w:rPr>
          <w:rFonts w:eastAsia="Arial" w:cs="Arial"/>
        </w:rPr>
        <w:t>women are</w:t>
      </w:r>
      <w:r w:rsidR="00FF3BD9" w:rsidRPr="00FC716B">
        <w:rPr>
          <w:rFonts w:eastAsia="Arial" w:cs="Arial"/>
        </w:rPr>
        <w:t xml:space="preserve"> reported in comparison to non-Indigenous women</w:t>
      </w:r>
      <w:r w:rsidR="009E56F7">
        <w:t>.</w:t>
      </w:r>
      <w:r w:rsidR="00FF3BD9" w:rsidRPr="0093774F">
        <w:rPr>
          <w:rStyle w:val="EndnoteReference"/>
          <w:rFonts w:eastAsia="Arial" w:cs="Arial"/>
        </w:rPr>
        <w:endnoteReference w:id="6"/>
      </w:r>
      <w:r w:rsidR="0050377F" w:rsidRPr="00FC716B">
        <w:rPr>
          <w:rFonts w:eastAsia="Arial" w:cs="Arial"/>
        </w:rPr>
        <w:t xml:space="preserve"> The same applies to how the media reports on other marginalised and diverse population groups.</w:t>
      </w:r>
    </w:p>
    <w:p w14:paraId="18B6B0C0" w14:textId="277DB310" w:rsidR="00FF3BD9" w:rsidRPr="00FC716B" w:rsidRDefault="009C6F68" w:rsidP="009F1690">
      <w:pPr>
        <w:spacing w:before="240"/>
        <w:rPr>
          <w:rFonts w:eastAsia="Arial" w:cs="Arial"/>
        </w:rPr>
      </w:pPr>
      <w:r>
        <w:rPr>
          <w:rFonts w:eastAsia="Arial" w:cs="Arial"/>
        </w:rPr>
        <w:lastRenderedPageBreak/>
        <w:t>Traditional and</w:t>
      </w:r>
      <w:r w:rsidR="00A31CA3" w:rsidRPr="00FC716B">
        <w:rPr>
          <w:rFonts w:eastAsia="Arial" w:cs="Arial"/>
        </w:rPr>
        <w:t xml:space="preserve"> social media</w:t>
      </w:r>
      <w:r w:rsidR="00FF3BD9" w:rsidRPr="00FC716B">
        <w:rPr>
          <w:rFonts w:eastAsia="Arial" w:cs="Arial"/>
        </w:rPr>
        <w:t xml:space="preserve"> can also work more broadly to counter gender stereotypes and work to end disrespect towards women, </w:t>
      </w:r>
      <w:r>
        <w:rPr>
          <w:rFonts w:eastAsia="Arial" w:cs="Arial"/>
        </w:rPr>
        <w:t>particularly</w:t>
      </w:r>
      <w:r w:rsidR="00FF3BD9" w:rsidRPr="00FC716B">
        <w:rPr>
          <w:rFonts w:eastAsia="Arial" w:cs="Arial"/>
        </w:rPr>
        <w:t xml:space="preserve"> through </w:t>
      </w:r>
      <w:r>
        <w:rPr>
          <w:rFonts w:eastAsia="Arial" w:cs="Arial"/>
        </w:rPr>
        <w:t xml:space="preserve">monitoring </w:t>
      </w:r>
      <w:r w:rsidR="00FF3BD9" w:rsidRPr="00FC716B">
        <w:rPr>
          <w:rFonts w:eastAsia="Arial" w:cs="Arial"/>
        </w:rPr>
        <w:t xml:space="preserve">online platforms </w:t>
      </w:r>
      <w:r>
        <w:rPr>
          <w:rFonts w:eastAsia="Arial" w:cs="Arial"/>
        </w:rPr>
        <w:t>that invite</w:t>
      </w:r>
      <w:r w:rsidR="00FF3BD9" w:rsidRPr="00FC716B">
        <w:rPr>
          <w:rFonts w:eastAsia="Arial" w:cs="Arial"/>
        </w:rPr>
        <w:t xml:space="preserve"> comment from viewers and readers</w:t>
      </w:r>
      <w:r w:rsidR="00E870CD">
        <w:rPr>
          <w:rFonts w:eastAsia="Arial" w:cs="Arial"/>
        </w:rPr>
        <w:t xml:space="preserve"> w</w:t>
      </w:r>
      <w:r w:rsidR="00E870CD">
        <w:t>hich may be harmful or disrespectful</w:t>
      </w:r>
      <w:r w:rsidR="00FF3BD9" w:rsidRPr="00FC716B">
        <w:rPr>
          <w:rFonts w:eastAsia="Arial" w:cs="Arial"/>
        </w:rPr>
        <w:t xml:space="preserve">. The media has the power to </w:t>
      </w:r>
      <w:r w:rsidR="0016362D" w:rsidRPr="00FC716B">
        <w:rPr>
          <w:rFonts w:eastAsia="Arial" w:cs="Arial"/>
        </w:rPr>
        <w:t xml:space="preserve">influence and </w:t>
      </w:r>
      <w:r w:rsidR="00FF3BD9" w:rsidRPr="009F1690">
        <w:rPr>
          <w:rFonts w:eastAsia="Arial" w:cs="Arial"/>
        </w:rPr>
        <w:t>change prejudicial community attitudes that support violence supportive attitudes</w:t>
      </w:r>
      <w:r>
        <w:rPr>
          <w:rFonts w:eastAsia="Arial" w:cs="Arial"/>
        </w:rPr>
        <w:t>.</w:t>
      </w:r>
      <w:r w:rsidR="00FF3BD9" w:rsidRPr="0093774F">
        <w:rPr>
          <w:rStyle w:val="EndnoteReference"/>
          <w:rFonts w:eastAsia="Arial" w:cs="Arial"/>
        </w:rPr>
        <w:endnoteReference w:id="7"/>
      </w:r>
      <w:r w:rsidR="00FF3BD9" w:rsidRPr="0093774F">
        <w:rPr>
          <w:rFonts w:eastAsia="Arial" w:cs="Arial"/>
        </w:rPr>
        <w:t xml:space="preserve"> </w:t>
      </w:r>
      <w:r w:rsidR="004831B3" w:rsidRPr="00FC716B">
        <w:rPr>
          <w:rFonts w:eastAsia="Arial" w:cs="Arial"/>
        </w:rPr>
        <w:t>The media should also be encouraged to provide information in other languages to ensure culturally appropriate services are promoted.</w:t>
      </w:r>
    </w:p>
    <w:p w14:paraId="77253DE3" w14:textId="520ADB57" w:rsidR="001B7EA4" w:rsidRDefault="00B25FBC" w:rsidP="26615B65">
      <w:pPr>
        <w:spacing w:before="240"/>
      </w:pPr>
      <w:r w:rsidRPr="00FC716B">
        <w:rPr>
          <w:rFonts w:eastAsia="Arial" w:cs="Arial"/>
        </w:rPr>
        <w:t xml:space="preserve">Resources including the Our Watch </w:t>
      </w:r>
      <w:hyperlink r:id="rId40" w:history="1">
        <w:r w:rsidRPr="0093774F">
          <w:rPr>
            <w:rFonts w:eastAsia="Arial" w:cs="Arial"/>
          </w:rPr>
          <w:t>National Reporting Guidelines ‘</w:t>
        </w:r>
        <w:r w:rsidRPr="00FC716B">
          <w:rPr>
            <w:rFonts w:eastAsia="Arial" w:cs="Arial"/>
            <w:i/>
          </w:rPr>
          <w:t>How to Report on Violence against Women and Children</w:t>
        </w:r>
        <w:r w:rsidRPr="0093774F">
          <w:rPr>
            <w:rFonts w:eastAsia="Arial" w:cs="Arial"/>
          </w:rPr>
          <w:t>’</w:t>
        </w:r>
      </w:hyperlink>
      <w:r w:rsidR="001B7EA4">
        <w:rPr>
          <w:rFonts w:eastAsia="Arial" w:cs="Arial"/>
        </w:rPr>
        <w:t xml:space="preserve"> are available for the media</w:t>
      </w:r>
      <w:r w:rsidR="009E56F7">
        <w:t>.</w:t>
      </w:r>
      <w:r w:rsidR="00BC4F17" w:rsidRPr="0093774F">
        <w:rPr>
          <w:rStyle w:val="EndnoteReference"/>
          <w:rFonts w:eastAsia="Arial" w:cs="Arial"/>
        </w:rPr>
        <w:endnoteReference w:id="8"/>
      </w:r>
    </w:p>
    <w:p w14:paraId="33A7809B" w14:textId="485728CE" w:rsidR="00FF3BD9" w:rsidRPr="00FC716B" w:rsidRDefault="001B7EA4" w:rsidP="0091695D">
      <w:pPr>
        <w:spacing w:before="240"/>
        <w:rPr>
          <w:rFonts w:eastAsia="Arial" w:cs="Arial"/>
        </w:rPr>
      </w:pPr>
      <w:r>
        <w:rPr>
          <w:rFonts w:eastAsia="Arial" w:cs="Arial"/>
        </w:rPr>
        <w:t>As</w:t>
      </w:r>
      <w:r w:rsidR="00FC716B" w:rsidRPr="00FC716B">
        <w:rPr>
          <w:rFonts w:eastAsia="Arial" w:cs="Arial"/>
        </w:rPr>
        <w:t xml:space="preserve"> large local employers</w:t>
      </w:r>
      <w:r>
        <w:rPr>
          <w:rFonts w:eastAsia="Arial" w:cs="Arial"/>
        </w:rPr>
        <w:t>,</w:t>
      </w:r>
      <w:r w:rsidR="00FC716B" w:rsidRPr="00FC716B">
        <w:rPr>
          <w:rFonts w:eastAsia="Arial" w:cs="Arial"/>
        </w:rPr>
        <w:t xml:space="preserve"> </w:t>
      </w:r>
      <w:r w:rsidR="0016362D" w:rsidRPr="0093774F">
        <w:rPr>
          <w:rFonts w:eastAsia="Arial" w:cs="Arial"/>
        </w:rPr>
        <w:t xml:space="preserve">with reach into </w:t>
      </w:r>
      <w:r w:rsidRPr="005C0EB1">
        <w:rPr>
          <w:rFonts w:eastAsia="Arial" w:cs="Arial"/>
        </w:rPr>
        <w:t>communities</w:t>
      </w:r>
      <w:r w:rsidR="00741960">
        <w:rPr>
          <w:rFonts w:eastAsia="Arial" w:cs="Arial"/>
        </w:rPr>
        <w:t xml:space="preserve"> </w:t>
      </w:r>
      <w:r w:rsidR="0016362D" w:rsidRPr="0093774F">
        <w:rPr>
          <w:rFonts w:eastAsia="Arial" w:cs="Arial"/>
        </w:rPr>
        <w:t xml:space="preserve">through </w:t>
      </w:r>
      <w:r w:rsidR="00FC716B">
        <w:rPr>
          <w:rFonts w:eastAsia="Arial" w:cs="Arial"/>
        </w:rPr>
        <w:t xml:space="preserve">their </w:t>
      </w:r>
      <w:r w:rsidR="0016362D" w:rsidRPr="0093774F">
        <w:rPr>
          <w:rFonts w:eastAsia="Arial" w:cs="Arial"/>
        </w:rPr>
        <w:t>delivery o</w:t>
      </w:r>
      <w:r w:rsidR="0016362D" w:rsidRPr="00FC716B">
        <w:rPr>
          <w:rFonts w:eastAsia="Arial" w:cs="Arial"/>
        </w:rPr>
        <w:t>f community services</w:t>
      </w:r>
      <w:r w:rsidR="00741960">
        <w:rPr>
          <w:rFonts w:eastAsia="Arial" w:cs="Arial"/>
        </w:rPr>
        <w:t xml:space="preserve">, local </w:t>
      </w:r>
      <w:r w:rsidRPr="0093774F">
        <w:rPr>
          <w:rFonts w:eastAsia="Arial" w:cs="Arial"/>
        </w:rPr>
        <w:t>governments are well</w:t>
      </w:r>
      <w:r>
        <w:rPr>
          <w:rFonts w:eastAsia="Arial" w:cs="Arial"/>
        </w:rPr>
        <w:t>-</w:t>
      </w:r>
      <w:r w:rsidRPr="0093774F">
        <w:rPr>
          <w:rFonts w:eastAsia="Arial" w:cs="Arial"/>
        </w:rPr>
        <w:t xml:space="preserve">placed to influence social change and </w:t>
      </w:r>
      <w:r>
        <w:rPr>
          <w:rFonts w:eastAsia="Arial" w:cs="Arial"/>
        </w:rPr>
        <w:t xml:space="preserve">improve </w:t>
      </w:r>
      <w:r w:rsidRPr="0093774F">
        <w:rPr>
          <w:rFonts w:eastAsia="Arial" w:cs="Arial"/>
        </w:rPr>
        <w:t>community attitudes and behaviours</w:t>
      </w:r>
      <w:r>
        <w:rPr>
          <w:rFonts w:eastAsia="Arial" w:cs="Arial"/>
        </w:rPr>
        <w:t>.</w:t>
      </w:r>
      <w:r w:rsidRPr="00FC716B">
        <w:rPr>
          <w:rFonts w:eastAsia="Arial" w:cs="Arial"/>
        </w:rPr>
        <w:t xml:space="preserve"> </w:t>
      </w:r>
      <w:r w:rsidR="00FF3BD9" w:rsidRPr="00FC716B">
        <w:rPr>
          <w:rFonts w:eastAsia="Arial" w:cs="Arial"/>
        </w:rPr>
        <w:t xml:space="preserve">Victoria’s </w:t>
      </w:r>
      <w:r w:rsidR="00FF3BD9" w:rsidRPr="00FD4598">
        <w:rPr>
          <w:i/>
        </w:rPr>
        <w:t xml:space="preserve">Free </w:t>
      </w:r>
      <w:r w:rsidRPr="00F50584">
        <w:rPr>
          <w:rFonts w:eastAsia="Arial" w:cs="Arial"/>
          <w:i/>
        </w:rPr>
        <w:t>from</w:t>
      </w:r>
      <w:r w:rsidR="00FF3BD9" w:rsidRPr="00FD4598">
        <w:rPr>
          <w:i/>
        </w:rPr>
        <w:t xml:space="preserve"> Violence Local Government Program</w:t>
      </w:r>
      <w:r w:rsidR="00FF3BD9" w:rsidRPr="00FC716B">
        <w:rPr>
          <w:rFonts w:eastAsia="Arial" w:cs="Arial"/>
        </w:rPr>
        <w:t>,</w:t>
      </w:r>
      <w:r>
        <w:rPr>
          <w:rStyle w:val="EndnoteReference"/>
          <w:rFonts w:eastAsia="Arial" w:cs="Arial"/>
        </w:rPr>
        <w:endnoteReference w:id="9"/>
      </w:r>
      <w:r w:rsidRPr="005C0EB1">
        <w:rPr>
          <w:rFonts w:eastAsia="Arial" w:cs="Arial"/>
        </w:rPr>
        <w:t xml:space="preserve"> which</w:t>
      </w:r>
      <w:r w:rsidR="00FF3BD9" w:rsidRPr="00FC716B">
        <w:rPr>
          <w:rFonts w:eastAsia="Arial" w:cs="Arial"/>
        </w:rPr>
        <w:t xml:space="preserve"> supports councils to embed gender equality and family violence prevention practices into their work</w:t>
      </w:r>
      <w:r w:rsidRPr="005C0EB1">
        <w:rPr>
          <w:rFonts w:eastAsia="Arial" w:cs="Arial"/>
        </w:rPr>
        <w:t>, is a positive example.</w:t>
      </w:r>
      <w:r w:rsidR="00FF3BD9" w:rsidRPr="00FC716B">
        <w:rPr>
          <w:rFonts w:eastAsia="Arial" w:cs="Arial"/>
        </w:rPr>
        <w:t xml:space="preserve"> </w:t>
      </w:r>
      <w:r w:rsidR="001B20AC" w:rsidRPr="00FC716B">
        <w:rPr>
          <w:rFonts w:eastAsia="Arial" w:cs="Arial"/>
        </w:rPr>
        <w:t xml:space="preserve">Stronger collaboration with local councils could </w:t>
      </w:r>
      <w:r>
        <w:rPr>
          <w:rFonts w:eastAsia="Arial" w:cs="Arial"/>
        </w:rPr>
        <w:t>produce</w:t>
      </w:r>
      <w:r w:rsidR="001B20AC" w:rsidRPr="00FC716B">
        <w:rPr>
          <w:rFonts w:eastAsia="Arial" w:cs="Arial"/>
        </w:rPr>
        <w:t xml:space="preserve"> a more integrated delivery of family violence initiatives.</w:t>
      </w:r>
    </w:p>
    <w:p w14:paraId="30927A6F" w14:textId="33916F4A" w:rsidR="0071248F" w:rsidRPr="00526EEE" w:rsidRDefault="00FF3BD9" w:rsidP="009F1690">
      <w:pPr>
        <w:spacing w:before="240"/>
        <w:rPr>
          <w:rFonts w:eastAsia="Arial" w:cs="Arial"/>
          <w:highlight w:val="yellow"/>
        </w:rPr>
      </w:pPr>
      <w:r w:rsidRPr="00FC716B">
        <w:rPr>
          <w:rFonts w:eastAsia="Arial" w:cs="Arial"/>
        </w:rPr>
        <w:t xml:space="preserve">Schools and educational institutions should engage students </w:t>
      </w:r>
      <w:r w:rsidR="00D711F8" w:rsidRPr="00FC716B">
        <w:rPr>
          <w:rFonts w:eastAsia="Arial" w:cs="Arial"/>
        </w:rPr>
        <w:t xml:space="preserve">in Respectful Relationships </w:t>
      </w:r>
      <w:r w:rsidR="004E2055">
        <w:rPr>
          <w:rFonts w:eastAsia="Arial" w:cs="Arial"/>
        </w:rPr>
        <w:t>E</w:t>
      </w:r>
      <w:r w:rsidR="004E2055" w:rsidRPr="00FC716B">
        <w:rPr>
          <w:rFonts w:eastAsia="Arial" w:cs="Arial"/>
        </w:rPr>
        <w:t>ducation</w:t>
      </w:r>
      <w:r w:rsidR="00D711F8" w:rsidRPr="00FC716B">
        <w:rPr>
          <w:rFonts w:eastAsia="Arial" w:cs="Arial"/>
        </w:rPr>
        <w:t xml:space="preserve"> </w:t>
      </w:r>
      <w:r w:rsidRPr="00FC716B">
        <w:rPr>
          <w:rFonts w:eastAsia="Arial" w:cs="Arial"/>
        </w:rPr>
        <w:t>from very young ages</w:t>
      </w:r>
      <w:r w:rsidR="0061200F">
        <w:rPr>
          <w:rFonts w:eastAsia="Arial" w:cs="Arial"/>
        </w:rPr>
        <w:t xml:space="preserve"> </w:t>
      </w:r>
      <w:r w:rsidRPr="00FC716B">
        <w:rPr>
          <w:rFonts w:eastAsia="Arial" w:cs="Arial"/>
        </w:rPr>
        <w:t xml:space="preserve">to embed respectful behaviours </w:t>
      </w:r>
      <w:r w:rsidR="00075228">
        <w:rPr>
          <w:rFonts w:eastAsia="Arial" w:cs="Arial"/>
        </w:rPr>
        <w:t>in</w:t>
      </w:r>
      <w:r w:rsidRPr="00FC716B">
        <w:rPr>
          <w:rFonts w:eastAsia="Arial" w:cs="Arial"/>
        </w:rPr>
        <w:t xml:space="preserve"> relationships</w:t>
      </w:r>
      <w:r w:rsidR="0071248F" w:rsidRPr="00FC716B">
        <w:rPr>
          <w:rFonts w:eastAsia="Arial" w:cs="Arial"/>
        </w:rPr>
        <w:t>, and facilitate and provide resources that counter</w:t>
      </w:r>
      <w:r w:rsidR="00C8091B" w:rsidRPr="00FC716B">
        <w:rPr>
          <w:rFonts w:eastAsia="Arial" w:cs="Arial"/>
        </w:rPr>
        <w:t xml:space="preserve"> rigid</w:t>
      </w:r>
      <w:r w:rsidR="0071248F" w:rsidRPr="00FC716B">
        <w:rPr>
          <w:rFonts w:eastAsia="Arial" w:cs="Arial"/>
        </w:rPr>
        <w:t xml:space="preserve"> gender stereotypes</w:t>
      </w:r>
      <w:r w:rsidR="00FC716B">
        <w:rPr>
          <w:rFonts w:eastAsia="Arial" w:cs="Arial"/>
        </w:rPr>
        <w:t>.</w:t>
      </w:r>
      <w:r w:rsidRPr="00FC716B">
        <w:rPr>
          <w:rFonts w:eastAsia="Arial" w:cs="Arial"/>
        </w:rPr>
        <w:t xml:space="preserve"> Institutions should also provide a safe environment for children to make disclosures of harm, and provide warm referrals to appropriate support providers</w:t>
      </w:r>
      <w:r w:rsidR="008965BF">
        <w:rPr>
          <w:rFonts w:eastAsia="Arial" w:cs="Arial"/>
        </w:rPr>
        <w:t>.</w:t>
      </w:r>
      <w:r w:rsidRPr="003752C4">
        <w:rPr>
          <w:rStyle w:val="EndnoteReference"/>
          <w:rFonts w:eastAsia="Arial" w:cs="Arial"/>
        </w:rPr>
        <w:endnoteReference w:id="10"/>
      </w:r>
    </w:p>
    <w:p w14:paraId="3BFD7F65" w14:textId="77F11677" w:rsidR="00FF3BD9" w:rsidRPr="00526EEE" w:rsidRDefault="008F4D43" w:rsidP="008F4D43">
      <w:pPr>
        <w:rPr>
          <w:rFonts w:eastAsia="Arial" w:cs="Arial"/>
        </w:rPr>
      </w:pPr>
      <w:r w:rsidRPr="00526EEE">
        <w:rPr>
          <w:rFonts w:eastAsia="Arial" w:cs="Arial"/>
        </w:rPr>
        <w:t xml:space="preserve">Programs should be built on the National Principles for Child Safe Organisations, which </w:t>
      </w:r>
      <w:r w:rsidR="008965BF">
        <w:rPr>
          <w:rFonts w:eastAsia="Arial" w:cs="Arial"/>
        </w:rPr>
        <w:t>are</w:t>
      </w:r>
      <w:r w:rsidRPr="00526EEE">
        <w:rPr>
          <w:rFonts w:eastAsia="Arial" w:cs="Arial"/>
        </w:rPr>
        <w:t xml:space="preserve"> the primary enabler for building organisational capability of this kind</w:t>
      </w:r>
      <w:r w:rsidR="008965BF">
        <w:rPr>
          <w:rFonts w:eastAsia="Arial" w:cs="Arial"/>
        </w:rPr>
        <w:t>.</w:t>
      </w:r>
      <w:r w:rsidRPr="003752C4">
        <w:rPr>
          <w:rStyle w:val="EndnoteReference"/>
          <w:rFonts w:eastAsia="Arial" w:cs="Arial"/>
        </w:rPr>
        <w:endnoteReference w:id="11"/>
      </w:r>
      <w:r w:rsidRPr="003752C4">
        <w:rPr>
          <w:rFonts w:eastAsia="Arial" w:cs="Arial"/>
        </w:rPr>
        <w:t xml:space="preserve"> </w:t>
      </w:r>
      <w:r w:rsidR="0016362D" w:rsidRPr="003752C4">
        <w:rPr>
          <w:rFonts w:eastAsia="Arial" w:cs="Arial"/>
        </w:rPr>
        <w:t>Schools and other institutions should also work to identify and support boys and young men who may be victim-survivors of domestic, family or sexual violence, as they are at greater risk of perpetrating violence</w:t>
      </w:r>
      <w:r w:rsidR="00526EEE">
        <w:rPr>
          <w:rFonts w:eastAsia="Arial" w:cs="Arial"/>
        </w:rPr>
        <w:t xml:space="preserve"> without early intervention</w:t>
      </w:r>
      <w:r w:rsidR="0016362D" w:rsidRPr="003752C4">
        <w:rPr>
          <w:rFonts w:eastAsia="Arial" w:cs="Arial"/>
        </w:rPr>
        <w:t>.</w:t>
      </w:r>
    </w:p>
    <w:p w14:paraId="50DBF2BE" w14:textId="6D6741B2" w:rsidR="00B24D5D" w:rsidRPr="009F1690" w:rsidRDefault="00FF3BD9" w:rsidP="00591F90">
      <w:pPr>
        <w:rPr>
          <w:rFonts w:eastAsia="Arial" w:cs="Arial"/>
        </w:rPr>
      </w:pPr>
      <w:r w:rsidRPr="00526EEE">
        <w:rPr>
          <w:rFonts w:eastAsia="Arial" w:cs="Arial"/>
        </w:rPr>
        <w:t>The health sector must deliver trauma-informed and accessible health services. This sector should take action to support victim-survivors in their short and long-term wellbeing and health needs, and partner with the family, domestic, and sexual violence sect</w:t>
      </w:r>
      <w:r w:rsidRPr="00721846">
        <w:rPr>
          <w:rFonts w:eastAsia="Arial" w:cs="Arial"/>
        </w:rPr>
        <w:t>or</w:t>
      </w:r>
      <w:r w:rsidR="000B37EF" w:rsidRPr="00721846">
        <w:rPr>
          <w:rFonts w:eastAsia="Arial" w:cs="Arial"/>
        </w:rPr>
        <w:t>s</w:t>
      </w:r>
      <w:r w:rsidRPr="009F1690">
        <w:rPr>
          <w:rFonts w:eastAsia="Arial" w:cs="Arial"/>
        </w:rPr>
        <w:t xml:space="preserve"> to ensure wrap-around supports work together.</w:t>
      </w:r>
    </w:p>
    <w:p w14:paraId="070D0B4E" w14:textId="2D50455F" w:rsidR="00FF3BD9" w:rsidRPr="0008575C" w:rsidRDefault="00A31CA3" w:rsidP="00591F90">
      <w:pPr>
        <w:rPr>
          <w:rFonts w:eastAsia="Arial" w:cs="Arial"/>
        </w:rPr>
      </w:pPr>
      <w:r w:rsidRPr="003752C4">
        <w:rPr>
          <w:rFonts w:eastAsia="Arial" w:cs="Arial"/>
        </w:rPr>
        <w:t xml:space="preserve">The aged care </w:t>
      </w:r>
      <w:r w:rsidR="00C20919" w:rsidRPr="00526EEE">
        <w:rPr>
          <w:rFonts w:eastAsia="Arial" w:cs="Arial"/>
        </w:rPr>
        <w:t xml:space="preserve">and disability </w:t>
      </w:r>
      <w:r w:rsidRPr="00526EEE">
        <w:rPr>
          <w:rFonts w:eastAsia="Arial" w:cs="Arial"/>
        </w:rPr>
        <w:t>sector</w:t>
      </w:r>
      <w:r w:rsidR="00C20919" w:rsidRPr="00526EEE">
        <w:rPr>
          <w:rFonts w:eastAsia="Arial" w:cs="Arial"/>
        </w:rPr>
        <w:t>s</w:t>
      </w:r>
      <w:r w:rsidRPr="00526EEE">
        <w:rPr>
          <w:rFonts w:eastAsia="Arial" w:cs="Arial"/>
        </w:rPr>
        <w:t xml:space="preserve"> should safeguard older Australians </w:t>
      </w:r>
      <w:r w:rsidR="00C20919" w:rsidRPr="00526EEE">
        <w:rPr>
          <w:rFonts w:eastAsia="Arial" w:cs="Arial"/>
        </w:rPr>
        <w:t xml:space="preserve">and people with </w:t>
      </w:r>
      <w:r w:rsidR="0028033E">
        <w:rPr>
          <w:rFonts w:eastAsia="Arial" w:cs="Arial"/>
        </w:rPr>
        <w:t>disability</w:t>
      </w:r>
      <w:r w:rsidR="00C20919" w:rsidRPr="00526EEE">
        <w:rPr>
          <w:rFonts w:eastAsia="Arial" w:cs="Arial"/>
        </w:rPr>
        <w:t xml:space="preserve"> </w:t>
      </w:r>
      <w:r w:rsidRPr="00526EEE">
        <w:rPr>
          <w:rFonts w:eastAsia="Arial" w:cs="Arial"/>
        </w:rPr>
        <w:t xml:space="preserve">by equipping staff and volunteers with </w:t>
      </w:r>
      <w:r w:rsidR="00D87CEB">
        <w:rPr>
          <w:rFonts w:eastAsia="Arial" w:cs="Arial"/>
        </w:rPr>
        <w:t xml:space="preserve">the </w:t>
      </w:r>
      <w:r w:rsidRPr="00526EEE">
        <w:rPr>
          <w:rFonts w:eastAsia="Arial" w:cs="Arial"/>
        </w:rPr>
        <w:t xml:space="preserve">skills and knowledge to </w:t>
      </w:r>
      <w:r w:rsidR="00C20919" w:rsidRPr="00526EEE">
        <w:rPr>
          <w:rFonts w:eastAsia="Arial" w:cs="Arial"/>
        </w:rPr>
        <w:t xml:space="preserve">recognise and </w:t>
      </w:r>
      <w:r w:rsidRPr="00526EEE">
        <w:rPr>
          <w:rFonts w:eastAsia="Arial" w:cs="Arial"/>
        </w:rPr>
        <w:t xml:space="preserve">respond </w:t>
      </w:r>
      <w:r w:rsidR="00D87CEB" w:rsidRPr="00526EEE">
        <w:rPr>
          <w:rFonts w:eastAsia="Arial" w:cs="Arial"/>
        </w:rPr>
        <w:t xml:space="preserve">appropriately </w:t>
      </w:r>
      <w:r w:rsidRPr="00526EEE">
        <w:rPr>
          <w:rFonts w:eastAsia="Arial" w:cs="Arial"/>
        </w:rPr>
        <w:t>to situations of abuse.</w:t>
      </w:r>
    </w:p>
    <w:p w14:paraId="1A775900" w14:textId="733AD7AE" w:rsidR="00FF3BD9" w:rsidRPr="002E3DF5" w:rsidRDefault="00FF3BD9" w:rsidP="0091695D">
      <w:pPr>
        <w:spacing w:before="240"/>
        <w:rPr>
          <w:rFonts w:eastAsia="Arial" w:cs="Arial"/>
        </w:rPr>
      </w:pPr>
      <w:r w:rsidRPr="003752C4">
        <w:rPr>
          <w:rFonts w:eastAsia="Arial" w:cs="Arial"/>
        </w:rPr>
        <w:t xml:space="preserve">Sporting </w:t>
      </w:r>
      <w:r>
        <w:t>o</w:t>
      </w:r>
      <w:r w:rsidR="000C6B5C">
        <w:t xml:space="preserve">rganisations </w:t>
      </w:r>
      <w:r w:rsidR="000C6B5C" w:rsidRPr="003752C4">
        <w:rPr>
          <w:rFonts w:eastAsia="Arial" w:cs="Arial"/>
        </w:rPr>
        <w:t>are well</w:t>
      </w:r>
      <w:r w:rsidR="00D87CEB">
        <w:rPr>
          <w:rFonts w:eastAsia="Arial" w:cs="Arial"/>
        </w:rPr>
        <w:t>-</w:t>
      </w:r>
      <w:r w:rsidR="000C6B5C" w:rsidRPr="003752C4">
        <w:rPr>
          <w:rFonts w:eastAsia="Arial" w:cs="Arial"/>
        </w:rPr>
        <w:t>placed to</w:t>
      </w:r>
      <w:r w:rsidRPr="00526EEE">
        <w:rPr>
          <w:rFonts w:eastAsia="Arial" w:cs="Arial"/>
        </w:rPr>
        <w:t xml:space="preserve"> educate </w:t>
      </w:r>
      <w:r w:rsidR="00526EEE">
        <w:rPr>
          <w:rFonts w:eastAsia="Arial" w:cs="Arial"/>
        </w:rPr>
        <w:t xml:space="preserve">children and young people </w:t>
      </w:r>
      <w:r w:rsidRPr="00526EEE">
        <w:rPr>
          <w:rFonts w:eastAsia="Arial" w:cs="Arial"/>
        </w:rPr>
        <w:t xml:space="preserve">about healthy relationships and gender equality </w:t>
      </w:r>
      <w:r w:rsidR="004D1652" w:rsidRPr="00526EEE">
        <w:rPr>
          <w:rFonts w:eastAsia="Arial" w:cs="Arial"/>
        </w:rPr>
        <w:t>and to intervene and respond to men who are using violence and abuse</w:t>
      </w:r>
      <w:r w:rsidR="00DF4276">
        <w:rPr>
          <w:rFonts w:eastAsia="Arial" w:cs="Arial"/>
        </w:rPr>
        <w:t>.</w:t>
      </w:r>
      <w:r w:rsidR="00537336" w:rsidRPr="009F1690">
        <w:rPr>
          <w:rStyle w:val="EndnoteReference"/>
          <w:rFonts w:eastAsia="Arial" w:cs="Arial"/>
        </w:rPr>
        <w:endnoteReference w:id="12"/>
      </w:r>
    </w:p>
    <w:p w14:paraId="36C6D0D6" w14:textId="069CF2F7" w:rsidR="0008575C" w:rsidRDefault="004E7CB5" w:rsidP="009F1690">
      <w:pPr>
        <w:spacing w:before="240"/>
        <w:rPr>
          <w:rFonts w:eastAsia="Arial" w:cs="Arial"/>
        </w:rPr>
      </w:pPr>
      <w:r w:rsidRPr="007B6CD7">
        <w:rPr>
          <w:rFonts w:eastAsia="Arial" w:cs="Arial"/>
        </w:rPr>
        <w:t>Faith organisations have a role to play in recognising and responding to gender-</w:t>
      </w:r>
      <w:r w:rsidR="003D093D" w:rsidRPr="007B6CD7">
        <w:rPr>
          <w:rFonts w:eastAsia="Arial" w:cs="Arial"/>
        </w:rPr>
        <w:t>based violence</w:t>
      </w:r>
      <w:r w:rsidRPr="007B6CD7">
        <w:rPr>
          <w:rFonts w:eastAsia="Arial" w:cs="Arial"/>
        </w:rPr>
        <w:t xml:space="preserve"> and abuse in ways that do not cause further harm</w:t>
      </w:r>
      <w:r w:rsidR="00526EEE">
        <w:rPr>
          <w:rFonts w:eastAsia="Arial" w:cs="Arial"/>
        </w:rPr>
        <w:t xml:space="preserve"> to victim-survivors</w:t>
      </w:r>
      <w:r w:rsidRPr="00526EEE">
        <w:rPr>
          <w:rFonts w:eastAsia="Arial" w:cs="Arial"/>
        </w:rPr>
        <w:t>.</w:t>
      </w:r>
    </w:p>
    <w:p w14:paraId="4E219524" w14:textId="77777777" w:rsidR="0008575C" w:rsidRDefault="0008575C">
      <w:pPr>
        <w:rPr>
          <w:rFonts w:eastAsia="Arial" w:cs="Arial"/>
        </w:rPr>
      </w:pPr>
      <w:r>
        <w:rPr>
          <w:rFonts w:eastAsia="Arial" w:cs="Arial"/>
        </w:rPr>
        <w:br w:type="page"/>
      </w:r>
    </w:p>
    <w:p w14:paraId="2F25D0F1" w14:textId="7907A3F1" w:rsidR="00B00EF6" w:rsidRPr="007B6CD7" w:rsidRDefault="00B00EF6" w:rsidP="00BF6AD8">
      <w:pPr>
        <w:pStyle w:val="Heading2"/>
        <w:rPr>
          <w:rFonts w:eastAsia="Arial"/>
        </w:rPr>
      </w:pPr>
      <w:bookmarkStart w:id="74" w:name="_Toc144909132"/>
      <w:bookmarkStart w:id="75" w:name="_Hlk141792459"/>
      <w:r w:rsidRPr="007B6CD7">
        <w:rPr>
          <w:rFonts w:eastAsia="Arial"/>
        </w:rPr>
        <w:lastRenderedPageBreak/>
        <w:t>The roles of governments</w:t>
      </w:r>
      <w:bookmarkEnd w:id="74"/>
    </w:p>
    <w:p w14:paraId="6F9E082C" w14:textId="4A8B809C" w:rsidR="00FF3BD9" w:rsidRPr="009F1690" w:rsidRDefault="00FF3BD9" w:rsidP="00FF3BD9">
      <w:pPr>
        <w:pStyle w:val="Bodycopy"/>
        <w:rPr>
          <w:rFonts w:eastAsia="Arial"/>
          <w:color w:val="auto"/>
          <w:lang w:val="en-AU"/>
        </w:rPr>
      </w:pPr>
      <w:r w:rsidRPr="007B6CD7">
        <w:rPr>
          <w:rFonts w:eastAsia="Arial"/>
          <w:color w:val="auto"/>
          <w:lang w:val="en-AU"/>
        </w:rPr>
        <w:t>This First Action Plan focuses on actions and activities where</w:t>
      </w:r>
      <w:r w:rsidRPr="009F1690">
        <w:rPr>
          <w:rFonts w:eastAsia="Arial"/>
          <w:color w:val="auto"/>
          <w:lang w:val="en-AU"/>
        </w:rPr>
        <w:t xml:space="preserve"> there is a benefit in having a national approach and recognises the challenges in reforming systems while meeting the needs of all levels of </w:t>
      </w:r>
      <w:r w:rsidR="000B742D">
        <w:rPr>
          <w:rFonts w:eastAsia="Arial"/>
          <w:color w:val="auto"/>
          <w:lang w:val="en-AU"/>
        </w:rPr>
        <w:t>g</w:t>
      </w:r>
      <w:r w:rsidRPr="009F1690">
        <w:rPr>
          <w:rFonts w:eastAsia="Arial"/>
          <w:color w:val="auto"/>
          <w:lang w:val="en-AU"/>
        </w:rPr>
        <w:t>overnment.</w:t>
      </w:r>
    </w:p>
    <w:p w14:paraId="1CAC8283" w14:textId="64D1BACF" w:rsidR="00FF3BD9" w:rsidRPr="007B6CD7" w:rsidRDefault="00FF3BD9" w:rsidP="00FF3BD9">
      <w:pPr>
        <w:pStyle w:val="Bodycopy"/>
        <w:rPr>
          <w:rFonts w:eastAsia="Arial"/>
          <w:color w:val="auto"/>
          <w:lang w:val="en-AU"/>
        </w:rPr>
      </w:pPr>
      <w:r w:rsidRPr="009F1690">
        <w:rPr>
          <w:rFonts w:eastAsia="Arial"/>
        </w:rPr>
        <w:t xml:space="preserve">The </w:t>
      </w:r>
      <w:r w:rsidR="000B742D">
        <w:rPr>
          <w:rFonts w:eastAsia="Arial"/>
        </w:rPr>
        <w:t>Australian</w:t>
      </w:r>
      <w:r w:rsidR="000B742D" w:rsidRPr="009F1690">
        <w:rPr>
          <w:rFonts w:eastAsia="Arial"/>
        </w:rPr>
        <w:t xml:space="preserve"> </w:t>
      </w:r>
      <w:r w:rsidRPr="009F1690">
        <w:rPr>
          <w:rFonts w:eastAsia="Arial"/>
        </w:rPr>
        <w:t xml:space="preserve">Government is responsible for taking national </w:t>
      </w:r>
      <w:r w:rsidR="00243A57">
        <w:rPr>
          <w:rFonts w:eastAsia="Arial"/>
        </w:rPr>
        <w:t xml:space="preserve">and strategic </w:t>
      </w:r>
      <w:r w:rsidRPr="009F1690">
        <w:rPr>
          <w:rFonts w:eastAsia="Arial"/>
        </w:rPr>
        <w:t>leadership in deliverin</w:t>
      </w:r>
      <w:r w:rsidR="00DC6185" w:rsidRPr="009F1690">
        <w:rPr>
          <w:rFonts w:eastAsia="Arial"/>
        </w:rPr>
        <w:t xml:space="preserve">g </w:t>
      </w:r>
      <w:r w:rsidRPr="009F1690">
        <w:rPr>
          <w:rFonts w:eastAsia="Arial"/>
        </w:rPr>
        <w:t xml:space="preserve">overarching national programs designed to </w:t>
      </w:r>
      <w:r w:rsidR="00F5449E" w:rsidRPr="009F1690">
        <w:rPr>
          <w:rFonts w:eastAsia="Arial"/>
        </w:rPr>
        <w:t xml:space="preserve">eliminate </w:t>
      </w:r>
      <w:r w:rsidRPr="009F1690">
        <w:rPr>
          <w:rFonts w:eastAsia="Arial"/>
        </w:rPr>
        <w:t xml:space="preserve">family, domestic and sexual </w:t>
      </w:r>
      <w:r w:rsidR="003D093D" w:rsidRPr="009F1690">
        <w:rPr>
          <w:rFonts w:eastAsia="Arial"/>
        </w:rPr>
        <w:t>violence</w:t>
      </w:r>
      <w:r w:rsidR="003D093D">
        <w:rPr>
          <w:rFonts w:eastAsia="Arial"/>
        </w:rPr>
        <w:t>.</w:t>
      </w:r>
      <w:r w:rsidRPr="007B6CD7">
        <w:rPr>
          <w:rFonts w:eastAsia="Arial"/>
          <w:color w:val="auto"/>
          <w:lang w:val="en-AU"/>
        </w:rPr>
        <w:t xml:space="preserve"> This involves supporting consistent national services and organisations such as 1800RESPECT and DV-alert training.</w:t>
      </w:r>
    </w:p>
    <w:p w14:paraId="62D763C7" w14:textId="6220DFE8" w:rsidR="0071248F" w:rsidRPr="007B6CD7" w:rsidRDefault="00FF3BD9" w:rsidP="00FF3BD9">
      <w:pPr>
        <w:pStyle w:val="Bodycopy"/>
        <w:rPr>
          <w:rFonts w:eastAsia="Arial"/>
          <w:color w:val="auto"/>
          <w:lang w:val="en-AU"/>
        </w:rPr>
      </w:pPr>
      <w:r w:rsidRPr="007B6CD7">
        <w:rPr>
          <w:rFonts w:eastAsia="Arial"/>
          <w:color w:val="auto"/>
          <w:lang w:val="en-AU"/>
        </w:rPr>
        <w:t xml:space="preserve">The </w:t>
      </w:r>
      <w:r w:rsidR="000B742D">
        <w:rPr>
          <w:rFonts w:eastAsia="Arial"/>
          <w:color w:val="auto"/>
          <w:lang w:val="en-AU"/>
        </w:rPr>
        <w:t>Australian</w:t>
      </w:r>
      <w:r w:rsidR="000B742D" w:rsidRPr="007B6CD7">
        <w:rPr>
          <w:rFonts w:eastAsia="Arial"/>
          <w:color w:val="auto"/>
          <w:lang w:val="en-AU"/>
        </w:rPr>
        <w:t xml:space="preserve"> </w:t>
      </w:r>
      <w:r w:rsidRPr="007B6CD7">
        <w:rPr>
          <w:rFonts w:eastAsia="Arial"/>
          <w:color w:val="auto"/>
          <w:lang w:val="en-AU"/>
        </w:rPr>
        <w:t>Gov</w:t>
      </w:r>
      <w:r w:rsidRPr="009F1690">
        <w:rPr>
          <w:rFonts w:eastAsia="Arial"/>
          <w:color w:val="auto"/>
          <w:lang w:val="en-AU"/>
        </w:rPr>
        <w:t>ernment also has a role in providing support for organisations, services and authorities that respond to and address the impacts of gender</w:t>
      </w:r>
      <w:r w:rsidR="00526EEE">
        <w:rPr>
          <w:rFonts w:eastAsia="Arial"/>
          <w:color w:val="auto"/>
          <w:lang w:val="en-AU"/>
        </w:rPr>
        <w:t>-</w:t>
      </w:r>
      <w:r w:rsidRPr="007B6CD7">
        <w:rPr>
          <w:rFonts w:eastAsia="Arial"/>
          <w:color w:val="auto"/>
          <w:lang w:val="en-AU"/>
        </w:rPr>
        <w:t xml:space="preserve">based violence, for example through Medicare, social security, NDIS, mental health services, Aboriginal </w:t>
      </w:r>
      <w:r w:rsidR="00384DBE">
        <w:rPr>
          <w:rFonts w:eastAsia="Arial"/>
          <w:color w:val="auto"/>
          <w:lang w:val="en-AU"/>
        </w:rPr>
        <w:t>c</w:t>
      </w:r>
      <w:r w:rsidR="00713122" w:rsidRPr="007B6CD7">
        <w:rPr>
          <w:rFonts w:eastAsia="Arial"/>
          <w:color w:val="auto"/>
          <w:lang w:val="en-AU"/>
        </w:rPr>
        <w:t xml:space="preserve">ommunity </w:t>
      </w:r>
      <w:r w:rsidR="00384DBE">
        <w:rPr>
          <w:rFonts w:eastAsia="Arial"/>
          <w:color w:val="auto"/>
          <w:lang w:val="en-AU"/>
        </w:rPr>
        <w:t>c</w:t>
      </w:r>
      <w:r w:rsidR="00713122" w:rsidRPr="007B6CD7">
        <w:rPr>
          <w:rFonts w:eastAsia="Arial"/>
          <w:color w:val="auto"/>
          <w:lang w:val="en-AU"/>
        </w:rPr>
        <w:t>ontrolled</w:t>
      </w:r>
      <w:r w:rsidR="00F47E4F" w:rsidRPr="009F1690">
        <w:rPr>
          <w:rFonts w:eastAsia="Arial"/>
          <w:color w:val="auto"/>
          <w:lang w:val="en-AU"/>
        </w:rPr>
        <w:t xml:space="preserve"> </w:t>
      </w:r>
      <w:r w:rsidR="00384DBE">
        <w:rPr>
          <w:rFonts w:eastAsia="Arial"/>
          <w:color w:val="auto"/>
          <w:lang w:val="en-AU"/>
        </w:rPr>
        <w:t>o</w:t>
      </w:r>
      <w:r w:rsidR="00F47E4F" w:rsidRPr="009F1690">
        <w:rPr>
          <w:rFonts w:eastAsia="Arial"/>
          <w:color w:val="auto"/>
          <w:lang w:val="en-AU"/>
        </w:rPr>
        <w:t>rganisations</w:t>
      </w:r>
      <w:r w:rsidR="00713122" w:rsidRPr="009F1690">
        <w:rPr>
          <w:rFonts w:eastAsia="Arial"/>
          <w:color w:val="auto"/>
          <w:lang w:val="en-AU"/>
        </w:rPr>
        <w:t xml:space="preserve"> and broader </w:t>
      </w:r>
      <w:r w:rsidR="00721846">
        <w:rPr>
          <w:rFonts w:eastAsia="Arial"/>
          <w:color w:val="auto"/>
          <w:lang w:val="en-AU"/>
        </w:rPr>
        <w:t>Aboriginal and Torres Strait Islander</w:t>
      </w:r>
      <w:r w:rsidR="00713122" w:rsidRPr="002E3DF5">
        <w:rPr>
          <w:rFonts w:eastAsia="Arial"/>
          <w:color w:val="auto"/>
          <w:lang w:val="en-AU"/>
        </w:rPr>
        <w:t xml:space="preserve"> organisations</w:t>
      </w:r>
      <w:r w:rsidRPr="007B6CD7">
        <w:rPr>
          <w:rFonts w:eastAsia="Arial"/>
          <w:color w:val="auto"/>
          <w:lang w:val="en-AU"/>
        </w:rPr>
        <w:t>, industrial relations, and settlement services.</w:t>
      </w:r>
    </w:p>
    <w:p w14:paraId="21179F41" w14:textId="40719AD8" w:rsidR="00FF3BD9" w:rsidRPr="002E3DF5" w:rsidRDefault="00FF3BD9" w:rsidP="00FF3BD9">
      <w:pPr>
        <w:pStyle w:val="Bodycopy"/>
        <w:rPr>
          <w:rFonts w:eastAsia="Arial"/>
          <w:color w:val="auto"/>
          <w:lang w:val="en-AU"/>
        </w:rPr>
      </w:pPr>
      <w:r w:rsidRPr="007B6CD7">
        <w:rPr>
          <w:rFonts w:eastAsia="Arial"/>
          <w:color w:val="auto"/>
          <w:lang w:val="en-AU"/>
        </w:rPr>
        <w:t xml:space="preserve">The </w:t>
      </w:r>
      <w:r w:rsidR="00862733">
        <w:rPr>
          <w:rFonts w:eastAsia="Arial"/>
          <w:color w:val="auto"/>
          <w:lang w:val="en-AU"/>
        </w:rPr>
        <w:t>Australian</w:t>
      </w:r>
      <w:r w:rsidRPr="007B6CD7">
        <w:rPr>
          <w:rFonts w:eastAsia="Arial"/>
          <w:color w:val="auto"/>
          <w:lang w:val="en-AU"/>
        </w:rPr>
        <w:t xml:space="preserve"> Government is also responsible for improvements to the federal </w:t>
      </w:r>
      <w:r w:rsidR="003D093D" w:rsidRPr="007B6CD7">
        <w:rPr>
          <w:rFonts w:eastAsia="Arial"/>
          <w:color w:val="auto"/>
          <w:lang w:val="en-AU"/>
        </w:rPr>
        <w:t xml:space="preserve">justice system, </w:t>
      </w:r>
      <w:r w:rsidRPr="002E3DF5">
        <w:rPr>
          <w:rFonts w:eastAsia="Arial"/>
          <w:color w:val="auto"/>
          <w:lang w:val="en-AU"/>
        </w:rPr>
        <w:t>reforming the family law system</w:t>
      </w:r>
      <w:r w:rsidRPr="007B6CD7">
        <w:rPr>
          <w:rFonts w:eastAsia="Arial"/>
          <w:color w:val="auto"/>
          <w:lang w:val="en-AU"/>
        </w:rPr>
        <w:t xml:space="preserve"> </w:t>
      </w:r>
      <w:r w:rsidR="00721846">
        <w:rPr>
          <w:rFonts w:eastAsia="Arial"/>
          <w:color w:val="auto"/>
          <w:lang w:val="en-AU"/>
        </w:rPr>
        <w:t>(</w:t>
      </w:r>
      <w:r w:rsidR="00D416C5" w:rsidRPr="002E3DF5">
        <w:rPr>
          <w:rFonts w:eastAsia="Arial"/>
          <w:color w:val="auto"/>
          <w:lang w:val="en-AU"/>
        </w:rPr>
        <w:t xml:space="preserve">including </w:t>
      </w:r>
      <w:r w:rsidRPr="002E3DF5">
        <w:rPr>
          <w:rFonts w:eastAsia="Arial"/>
          <w:color w:val="auto"/>
          <w:lang w:val="en-AU"/>
        </w:rPr>
        <w:t>improving legal responses</w:t>
      </w:r>
      <w:r w:rsidR="00F47E4F" w:rsidRPr="007B6CD7">
        <w:rPr>
          <w:rFonts w:eastAsia="Arial"/>
          <w:color w:val="auto"/>
          <w:lang w:val="en-AU"/>
        </w:rPr>
        <w:t xml:space="preserve"> and preventing re-traumatisation for victim-survivors</w:t>
      </w:r>
      <w:r w:rsidR="00D416C5" w:rsidRPr="007B6CD7">
        <w:rPr>
          <w:rFonts w:eastAsia="Arial"/>
          <w:color w:val="auto"/>
          <w:lang w:val="en-AU"/>
        </w:rPr>
        <w:t xml:space="preserve"> involved in these systems</w:t>
      </w:r>
      <w:r w:rsidR="00721846">
        <w:rPr>
          <w:rFonts w:eastAsia="Arial"/>
          <w:color w:val="auto"/>
          <w:lang w:val="en-AU"/>
        </w:rPr>
        <w:t>)</w:t>
      </w:r>
      <w:r w:rsidR="00221882" w:rsidRPr="00721846">
        <w:rPr>
          <w:rFonts w:eastAsia="Arial"/>
          <w:color w:val="auto"/>
          <w:lang w:val="en-AU"/>
        </w:rPr>
        <w:t>,</w:t>
      </w:r>
      <w:r w:rsidR="00221882" w:rsidRPr="002E3DF5">
        <w:rPr>
          <w:rFonts w:eastAsia="Arial"/>
          <w:color w:val="auto"/>
          <w:lang w:val="en-AU"/>
        </w:rPr>
        <w:t xml:space="preserve"> building and maintaining technological solutions for interstate policing solutions,</w:t>
      </w:r>
      <w:r w:rsidR="006C7573">
        <w:rPr>
          <w:rFonts w:eastAsia="Arial"/>
          <w:color w:val="auto"/>
          <w:lang w:val="en-AU"/>
        </w:rPr>
        <w:t xml:space="preserve"> </w:t>
      </w:r>
      <w:r w:rsidRPr="007B6CD7">
        <w:rPr>
          <w:rFonts w:eastAsia="Arial"/>
          <w:color w:val="auto"/>
          <w:lang w:val="en-AU"/>
        </w:rPr>
        <w:t xml:space="preserve">and supporting legal </w:t>
      </w:r>
      <w:r w:rsidR="00C24F19" w:rsidRPr="007B6CD7">
        <w:rPr>
          <w:rFonts w:eastAsia="Arial"/>
          <w:color w:val="auto"/>
          <w:lang w:val="en-AU"/>
        </w:rPr>
        <w:t xml:space="preserve">assistance </w:t>
      </w:r>
      <w:r w:rsidRPr="007B6CD7">
        <w:rPr>
          <w:rFonts w:eastAsia="Arial"/>
          <w:color w:val="auto"/>
          <w:lang w:val="en-AU"/>
        </w:rPr>
        <w:t>services</w:t>
      </w:r>
      <w:r w:rsidR="00721846">
        <w:rPr>
          <w:rFonts w:eastAsia="Arial"/>
          <w:color w:val="auto"/>
          <w:lang w:val="en-AU"/>
        </w:rPr>
        <w:t>.</w:t>
      </w:r>
    </w:p>
    <w:bookmarkEnd w:id="75"/>
    <w:p w14:paraId="224534EA" w14:textId="3D4DA1AB" w:rsidR="00FF3BD9" w:rsidRPr="009F1690" w:rsidRDefault="00FF3BD9" w:rsidP="00FF3BD9">
      <w:pPr>
        <w:pStyle w:val="Bodycopy"/>
        <w:rPr>
          <w:rFonts w:eastAsia="Arial"/>
          <w:color w:val="auto"/>
          <w:lang w:val="en-AU"/>
        </w:rPr>
      </w:pPr>
      <w:r w:rsidRPr="002E3DF5">
        <w:rPr>
          <w:rFonts w:eastAsia="Arial"/>
          <w:color w:val="auto"/>
          <w:lang w:val="en-AU"/>
        </w:rPr>
        <w:t xml:space="preserve">State and territory governments have primary responsibility for funding and delivering </w:t>
      </w:r>
      <w:r w:rsidR="00BC7F48" w:rsidRPr="007B6CD7">
        <w:rPr>
          <w:rFonts w:eastAsia="Arial"/>
          <w:color w:val="auto"/>
          <w:lang w:val="en-AU"/>
        </w:rPr>
        <w:t>state</w:t>
      </w:r>
      <w:r w:rsidR="00243A57">
        <w:rPr>
          <w:rFonts w:eastAsia="Arial"/>
          <w:color w:val="auto"/>
          <w:lang w:val="en-AU"/>
        </w:rPr>
        <w:t>-</w:t>
      </w:r>
      <w:r w:rsidR="00BC7F48" w:rsidRPr="007B6CD7">
        <w:rPr>
          <w:rFonts w:eastAsia="Arial"/>
          <w:color w:val="auto"/>
          <w:lang w:val="en-AU"/>
        </w:rPr>
        <w:t xml:space="preserve"> based </w:t>
      </w:r>
      <w:r w:rsidRPr="002E3DF5">
        <w:rPr>
          <w:rFonts w:eastAsia="Arial"/>
          <w:color w:val="auto"/>
          <w:lang w:val="en-AU"/>
        </w:rPr>
        <w:t xml:space="preserve">services to respond to </w:t>
      </w:r>
      <w:r w:rsidR="00FD6F15" w:rsidRPr="002E3DF5">
        <w:rPr>
          <w:rFonts w:eastAsia="Arial"/>
        </w:rPr>
        <w:t>gender-based</w:t>
      </w:r>
      <w:r w:rsidRPr="007B6CD7">
        <w:rPr>
          <w:rFonts w:eastAsia="Arial"/>
        </w:rPr>
        <w:t xml:space="preserve"> violence </w:t>
      </w:r>
      <w:r w:rsidRPr="007B6CD7">
        <w:rPr>
          <w:rFonts w:eastAsia="Arial"/>
          <w:color w:val="auto"/>
          <w:lang w:val="en-AU"/>
        </w:rPr>
        <w:t>including justice, policing, housing, health and mental health services</w:t>
      </w:r>
      <w:r w:rsidR="008F7100" w:rsidRPr="007B6CD7">
        <w:rPr>
          <w:rFonts w:eastAsia="Arial"/>
          <w:color w:val="auto"/>
          <w:lang w:val="en-AU"/>
        </w:rPr>
        <w:t>, and child protection services</w:t>
      </w:r>
      <w:r w:rsidRPr="009F1690">
        <w:rPr>
          <w:rFonts w:eastAsia="Arial"/>
          <w:color w:val="auto"/>
          <w:lang w:val="en-AU"/>
        </w:rPr>
        <w:t xml:space="preserve">. Mainstream services, </w:t>
      </w:r>
      <w:r w:rsidR="003D093D" w:rsidRPr="009F1690">
        <w:rPr>
          <w:rFonts w:eastAsia="Arial"/>
          <w:color w:val="auto"/>
          <w:lang w:val="en-AU"/>
        </w:rPr>
        <w:t>i.e.</w:t>
      </w:r>
      <w:r w:rsidRPr="009F1690">
        <w:rPr>
          <w:rFonts w:eastAsia="Arial"/>
          <w:color w:val="auto"/>
          <w:lang w:val="en-AU"/>
        </w:rPr>
        <w:t xml:space="preserve"> those services that are not specialist </w:t>
      </w:r>
      <w:r w:rsidRPr="009F1690">
        <w:rPr>
          <w:rFonts w:eastAsia="Arial"/>
        </w:rPr>
        <w:t xml:space="preserve">family, domestic </w:t>
      </w:r>
      <w:r w:rsidR="00DD303B" w:rsidRPr="009F1690">
        <w:rPr>
          <w:rFonts w:eastAsia="Arial"/>
        </w:rPr>
        <w:t>or</w:t>
      </w:r>
      <w:r w:rsidRPr="009F1690">
        <w:rPr>
          <w:rFonts w:eastAsia="Arial"/>
        </w:rPr>
        <w:t xml:space="preserve"> sexual violence </w:t>
      </w:r>
      <w:r w:rsidRPr="009F1690">
        <w:rPr>
          <w:rFonts w:eastAsia="Arial"/>
          <w:color w:val="auto"/>
          <w:lang w:val="en-AU"/>
        </w:rPr>
        <w:t xml:space="preserve">services, also provide entry pathways to more direct specialist services for victim-survivors experiencing </w:t>
      </w:r>
      <w:r w:rsidR="002A0CF7" w:rsidRPr="009F1690">
        <w:rPr>
          <w:rFonts w:eastAsia="Arial"/>
        </w:rPr>
        <w:t>gender-based</w:t>
      </w:r>
      <w:r w:rsidRPr="009F1690">
        <w:rPr>
          <w:rFonts w:eastAsia="Arial"/>
        </w:rPr>
        <w:t xml:space="preserve"> violence</w:t>
      </w:r>
      <w:r w:rsidR="006F7861" w:rsidRPr="009F1690">
        <w:rPr>
          <w:rFonts w:eastAsia="Arial"/>
        </w:rPr>
        <w:t>.</w:t>
      </w:r>
    </w:p>
    <w:p w14:paraId="540BC69B" w14:textId="0FE83D54" w:rsidR="00FF3BD9" w:rsidRPr="009F1690" w:rsidRDefault="00FF3BD9" w:rsidP="00FF3BD9">
      <w:pPr>
        <w:pStyle w:val="Bodycopy"/>
        <w:rPr>
          <w:rFonts w:eastAsia="Arial"/>
          <w:color w:val="auto"/>
          <w:lang w:val="en-AU"/>
        </w:rPr>
      </w:pPr>
      <w:r w:rsidRPr="009F1690">
        <w:rPr>
          <w:rFonts w:eastAsia="Arial"/>
          <w:color w:val="auto"/>
          <w:lang w:val="en-AU"/>
        </w:rPr>
        <w:t>The Commonwealth, state and territory governments will coordinate to deliver policy, funding and implementation for national strategies</w:t>
      </w:r>
      <w:r w:rsidR="00E870CD">
        <w:rPr>
          <w:rFonts w:eastAsia="Arial"/>
          <w:color w:val="auto"/>
          <w:lang w:val="en-AU"/>
        </w:rPr>
        <w:t xml:space="preserve"> This includes </w:t>
      </w:r>
      <w:r w:rsidRPr="007B6CD7">
        <w:rPr>
          <w:rFonts w:eastAsia="Arial"/>
          <w:color w:val="auto"/>
          <w:lang w:val="en-AU"/>
        </w:rPr>
        <w:t>work</w:t>
      </w:r>
      <w:r w:rsidR="00E870CD">
        <w:rPr>
          <w:rFonts w:eastAsia="Arial"/>
          <w:color w:val="auto"/>
          <w:lang w:val="en-AU"/>
        </w:rPr>
        <w:t>ing</w:t>
      </w:r>
      <w:r w:rsidRPr="007B6CD7">
        <w:rPr>
          <w:rFonts w:eastAsia="Arial"/>
          <w:color w:val="auto"/>
          <w:lang w:val="en-AU"/>
        </w:rPr>
        <w:t xml:space="preserve"> together to support and deliver </w:t>
      </w:r>
      <w:r w:rsidR="00721846">
        <w:rPr>
          <w:rFonts w:eastAsia="Arial"/>
          <w:color w:val="auto"/>
          <w:lang w:val="en-AU"/>
        </w:rPr>
        <w:t xml:space="preserve">the work of </w:t>
      </w:r>
      <w:r w:rsidRPr="002E3DF5">
        <w:rPr>
          <w:rFonts w:eastAsia="Arial"/>
          <w:color w:val="auto"/>
          <w:lang w:val="en-AU"/>
        </w:rPr>
        <w:t>key national organisations</w:t>
      </w:r>
      <w:r w:rsidR="003D3DC5" w:rsidRPr="002E3DF5">
        <w:rPr>
          <w:rFonts w:eastAsia="Arial"/>
          <w:color w:val="auto"/>
          <w:lang w:val="en-AU"/>
        </w:rPr>
        <w:t>,</w:t>
      </w:r>
      <w:r w:rsidRPr="007B6CD7">
        <w:rPr>
          <w:rFonts w:eastAsia="Arial"/>
          <w:color w:val="auto"/>
          <w:lang w:val="en-AU"/>
        </w:rPr>
        <w:t xml:space="preserve"> </w:t>
      </w:r>
      <w:r w:rsidR="003D3DC5" w:rsidRPr="007B6CD7">
        <w:rPr>
          <w:rFonts w:eastAsia="Arial"/>
          <w:color w:val="auto"/>
          <w:lang w:val="en-AU"/>
        </w:rPr>
        <w:t xml:space="preserve">including </w:t>
      </w:r>
      <w:r w:rsidRPr="007B6CD7">
        <w:rPr>
          <w:rFonts w:eastAsia="Arial"/>
          <w:color w:val="auto"/>
          <w:lang w:val="en-AU"/>
        </w:rPr>
        <w:t xml:space="preserve">Our Watch and Australia’s National Research Organisation for Women’s Safety (ANROWS), </w:t>
      </w:r>
      <w:r w:rsidR="00ED30A5">
        <w:rPr>
          <w:rFonts w:eastAsia="Arial"/>
          <w:color w:val="auto"/>
          <w:lang w:val="en-AU"/>
        </w:rPr>
        <w:t>and</w:t>
      </w:r>
      <w:r w:rsidRPr="007B6CD7">
        <w:rPr>
          <w:rFonts w:eastAsia="Arial"/>
          <w:color w:val="auto"/>
          <w:lang w:val="en-AU"/>
        </w:rPr>
        <w:t xml:space="preserve"> supporting behaviour change campaigns and interventions, which will continue to be </w:t>
      </w:r>
      <w:r w:rsidR="00ED30A5">
        <w:rPr>
          <w:rFonts w:eastAsia="Arial"/>
          <w:color w:val="auto"/>
          <w:lang w:val="en-AU"/>
        </w:rPr>
        <w:t xml:space="preserve">a </w:t>
      </w:r>
      <w:r w:rsidRPr="007B6CD7">
        <w:rPr>
          <w:rFonts w:eastAsia="Arial"/>
          <w:color w:val="auto"/>
          <w:lang w:val="en-AU"/>
        </w:rPr>
        <w:t xml:space="preserve">shared </w:t>
      </w:r>
      <w:r w:rsidR="003D3DC5" w:rsidRPr="007B6CD7">
        <w:rPr>
          <w:rFonts w:eastAsia="Arial"/>
          <w:color w:val="auto"/>
          <w:lang w:val="en-AU"/>
        </w:rPr>
        <w:t>responsibility</w:t>
      </w:r>
      <w:r w:rsidRPr="009F1690">
        <w:rPr>
          <w:rFonts w:eastAsia="Arial"/>
          <w:color w:val="auto"/>
          <w:lang w:val="en-AU"/>
        </w:rPr>
        <w:t xml:space="preserve">. Other </w:t>
      </w:r>
      <w:r w:rsidR="00243A57">
        <w:rPr>
          <w:rFonts w:eastAsia="Arial"/>
          <w:color w:val="auto"/>
          <w:lang w:val="en-AU"/>
        </w:rPr>
        <w:t xml:space="preserve">collective </w:t>
      </w:r>
      <w:r w:rsidRPr="009F1690">
        <w:rPr>
          <w:rFonts w:eastAsia="Arial"/>
          <w:color w:val="auto"/>
          <w:lang w:val="en-AU"/>
        </w:rPr>
        <w:t>initiatives include:</w:t>
      </w:r>
    </w:p>
    <w:p w14:paraId="7C4C1145" w14:textId="1F81D2EB" w:rsidR="000038C9" w:rsidRDefault="00FF3BD9" w:rsidP="006A365C">
      <w:pPr>
        <w:pStyle w:val="ListParagraph"/>
        <w:numPr>
          <w:ilvl w:val="0"/>
          <w:numId w:val="2"/>
        </w:numPr>
        <w:spacing w:before="240" w:after="0"/>
        <w:rPr>
          <w:rFonts w:cs="Arial"/>
        </w:rPr>
      </w:pPr>
      <w:r w:rsidRPr="009F1690">
        <w:rPr>
          <w:rFonts w:eastAsia="Arial" w:cs="Arial"/>
        </w:rPr>
        <w:t>Primary prevention activities</w:t>
      </w:r>
    </w:p>
    <w:p w14:paraId="62CEFABA" w14:textId="52853FEF" w:rsidR="00FF3BD9" w:rsidRPr="002B7DF4" w:rsidRDefault="000038C9" w:rsidP="006A365C">
      <w:pPr>
        <w:pStyle w:val="ListParagraph"/>
        <w:numPr>
          <w:ilvl w:val="0"/>
          <w:numId w:val="2"/>
        </w:numPr>
        <w:spacing w:before="240" w:after="0"/>
        <w:rPr>
          <w:rFonts w:cs="Arial"/>
        </w:rPr>
      </w:pPr>
      <w:r w:rsidRPr="002E3DF5">
        <w:rPr>
          <w:rFonts w:eastAsia="Arial" w:cs="Arial"/>
        </w:rPr>
        <w:t>B</w:t>
      </w:r>
      <w:r w:rsidR="00FF3BD9" w:rsidRPr="002E3DF5">
        <w:rPr>
          <w:rFonts w:eastAsia="Arial" w:cs="Arial"/>
        </w:rPr>
        <w:t>ehaviour change campaigns</w:t>
      </w:r>
    </w:p>
    <w:p w14:paraId="3975AA48" w14:textId="0AC7527F" w:rsidR="00FF3BD9" w:rsidRPr="002B7DF4" w:rsidRDefault="00FF3BD9" w:rsidP="006A365C">
      <w:pPr>
        <w:pStyle w:val="ListParagraph"/>
        <w:numPr>
          <w:ilvl w:val="0"/>
          <w:numId w:val="2"/>
        </w:numPr>
        <w:spacing w:before="240" w:after="0"/>
        <w:rPr>
          <w:rFonts w:cs="Arial"/>
        </w:rPr>
      </w:pPr>
      <w:r w:rsidRPr="002E3DF5">
        <w:rPr>
          <w:rFonts w:eastAsia="Arial" w:cs="Arial"/>
        </w:rPr>
        <w:t>Respectful</w:t>
      </w:r>
      <w:r w:rsidR="004E2055">
        <w:rPr>
          <w:rFonts w:eastAsia="Arial" w:cs="Arial"/>
        </w:rPr>
        <w:t xml:space="preserve"> </w:t>
      </w:r>
      <w:r w:rsidR="000F11C3">
        <w:rPr>
          <w:rFonts w:eastAsia="Arial" w:cs="Arial"/>
        </w:rPr>
        <w:t xml:space="preserve">Relationships </w:t>
      </w:r>
      <w:r w:rsidR="004E2055">
        <w:rPr>
          <w:rFonts w:eastAsia="Arial" w:cs="Arial"/>
        </w:rPr>
        <w:t>Education</w:t>
      </w:r>
      <w:r w:rsidRPr="002E3DF5">
        <w:rPr>
          <w:rFonts w:eastAsia="Arial" w:cs="Arial"/>
        </w:rPr>
        <w:t xml:space="preserve"> delivered by schools</w:t>
      </w:r>
    </w:p>
    <w:p w14:paraId="09229B7B" w14:textId="2980E2CD" w:rsidR="008F4975" w:rsidRPr="002B7DF4" w:rsidRDefault="008F4975" w:rsidP="006A365C">
      <w:pPr>
        <w:pStyle w:val="ListParagraph"/>
        <w:numPr>
          <w:ilvl w:val="0"/>
          <w:numId w:val="2"/>
        </w:numPr>
        <w:spacing w:before="240" w:after="0"/>
        <w:rPr>
          <w:rFonts w:cs="Arial"/>
        </w:rPr>
      </w:pPr>
      <w:r w:rsidRPr="002E3DF5">
        <w:rPr>
          <w:rFonts w:eastAsia="Arial" w:cs="Arial"/>
        </w:rPr>
        <w:t>Shared data and research activities</w:t>
      </w:r>
    </w:p>
    <w:p w14:paraId="72125788" w14:textId="77777777" w:rsidR="00FF3BD9" w:rsidRPr="002B7DF4" w:rsidRDefault="00FF3BD9" w:rsidP="006A365C">
      <w:pPr>
        <w:pStyle w:val="ListParagraph"/>
        <w:numPr>
          <w:ilvl w:val="0"/>
          <w:numId w:val="2"/>
        </w:numPr>
        <w:spacing w:before="240" w:after="0"/>
        <w:rPr>
          <w:rFonts w:cs="Arial"/>
        </w:rPr>
      </w:pPr>
      <w:r w:rsidRPr="002E3DF5">
        <w:rPr>
          <w:rFonts w:eastAsia="Arial" w:cs="Arial"/>
        </w:rPr>
        <w:t>Men’s behaviour change and perpetrator interventions</w:t>
      </w:r>
    </w:p>
    <w:p w14:paraId="44B4F245" w14:textId="77777777" w:rsidR="00FF3BD9" w:rsidRPr="002B7DF4" w:rsidRDefault="00FF3BD9" w:rsidP="006A365C">
      <w:pPr>
        <w:pStyle w:val="ListParagraph"/>
        <w:numPr>
          <w:ilvl w:val="0"/>
          <w:numId w:val="2"/>
        </w:numPr>
        <w:spacing w:before="240" w:after="0"/>
        <w:rPr>
          <w:rFonts w:cs="Arial"/>
        </w:rPr>
      </w:pPr>
      <w:r w:rsidRPr="002E3DF5">
        <w:rPr>
          <w:rFonts w:eastAsia="Arial" w:cs="Arial"/>
        </w:rPr>
        <w:t>Counselling and recovery supports for victim-survivors</w:t>
      </w:r>
    </w:p>
    <w:p w14:paraId="6CBF1043" w14:textId="77777777" w:rsidR="00FF3BD9" w:rsidRPr="002B7DF4" w:rsidRDefault="00FF3BD9" w:rsidP="006A365C">
      <w:pPr>
        <w:pStyle w:val="ListParagraph"/>
        <w:numPr>
          <w:ilvl w:val="0"/>
          <w:numId w:val="2"/>
        </w:numPr>
        <w:spacing w:before="240" w:after="0"/>
        <w:rPr>
          <w:rFonts w:cs="Arial"/>
        </w:rPr>
      </w:pPr>
      <w:r w:rsidRPr="002E3DF5">
        <w:rPr>
          <w:rFonts w:eastAsia="Arial" w:cs="Arial"/>
        </w:rPr>
        <w:t>Community services, including family support</w:t>
      </w:r>
    </w:p>
    <w:p w14:paraId="78DFDA50" w14:textId="60B0FC0F" w:rsidR="00FF3BD9" w:rsidRPr="002B7DF4" w:rsidRDefault="003D3DC5" w:rsidP="00A820CC">
      <w:pPr>
        <w:pStyle w:val="ListParagraph"/>
        <w:numPr>
          <w:ilvl w:val="0"/>
          <w:numId w:val="2"/>
        </w:numPr>
        <w:spacing w:before="240" w:after="170"/>
        <w:ind w:left="714" w:hanging="357"/>
        <w:rPr>
          <w:rFonts w:cs="Arial"/>
        </w:rPr>
      </w:pPr>
      <w:r w:rsidRPr="002E3DF5">
        <w:rPr>
          <w:rFonts w:eastAsia="Arial" w:cs="Arial"/>
        </w:rPr>
        <w:t>Funding for legal assistance services, including l</w:t>
      </w:r>
      <w:r w:rsidR="00FF3BD9" w:rsidRPr="002E3DF5">
        <w:rPr>
          <w:rFonts w:eastAsia="Arial" w:cs="Arial"/>
        </w:rPr>
        <w:t xml:space="preserve">egal aid commissions, community legal centres, </w:t>
      </w:r>
      <w:r w:rsidR="00C65B98" w:rsidRPr="007B6CD7">
        <w:rPr>
          <w:rFonts w:eastAsia="Arial" w:cs="Arial"/>
        </w:rPr>
        <w:t xml:space="preserve">women’s legal services, </w:t>
      </w:r>
      <w:r w:rsidR="00FF3BD9" w:rsidRPr="007B6CD7">
        <w:rPr>
          <w:rFonts w:eastAsia="Arial" w:cs="Arial"/>
        </w:rPr>
        <w:t>Aboriginal and Torres Strait Islander Legal Services, and Family Violence Prevention Legal Services</w:t>
      </w:r>
      <w:r w:rsidR="00C929C1">
        <w:rPr>
          <w:rFonts w:eastAsia="Arial" w:cs="Arial"/>
        </w:rPr>
        <w:t>.</w:t>
      </w:r>
    </w:p>
    <w:p w14:paraId="3EC7388E" w14:textId="796374BE" w:rsidR="00FF3BD9" w:rsidRDefault="00FF3BD9" w:rsidP="00FF3BD9">
      <w:pPr>
        <w:pStyle w:val="Bodycopy"/>
        <w:rPr>
          <w:rFonts w:eastAsia="Arial"/>
        </w:rPr>
      </w:pPr>
      <w:r w:rsidRPr="007B6CD7">
        <w:rPr>
          <w:rFonts w:eastAsia="Arial"/>
        </w:rPr>
        <w:t>The Action Plan will intersect with initiatives already being implemented by jurisdictions under their individual strategies. These include:</w:t>
      </w:r>
    </w:p>
    <w:p w14:paraId="5F5AFF00" w14:textId="3E13C6C7" w:rsidR="001A5B4B" w:rsidRPr="001A5B4B" w:rsidRDefault="001A5B4B" w:rsidP="001A5B4B">
      <w:pPr>
        <w:pStyle w:val="Bodycopy"/>
        <w:rPr>
          <w:rFonts w:eastAsia="Arial"/>
          <w:b/>
        </w:rPr>
      </w:pPr>
      <w:r w:rsidRPr="001A5B4B">
        <w:rPr>
          <w:rFonts w:eastAsia="Arial"/>
          <w:b/>
        </w:rPr>
        <w:lastRenderedPageBreak/>
        <w:t>Australian Capital Territory</w:t>
      </w:r>
    </w:p>
    <w:p w14:paraId="079BC9DA" w14:textId="1305C4C9" w:rsidR="001A5B4B" w:rsidRPr="001A5B4B" w:rsidRDefault="001A5B4B" w:rsidP="001A5B4B">
      <w:pPr>
        <w:pStyle w:val="Bodycopy"/>
        <w:rPr>
          <w:rFonts w:eastAsia="Arial"/>
        </w:rPr>
      </w:pPr>
      <w:r w:rsidRPr="001A5B4B">
        <w:rPr>
          <w:rFonts w:eastAsia="Arial"/>
        </w:rPr>
        <w:t>ACT Domestic and Family Violence Risk Assessment and Management Framework</w:t>
      </w:r>
    </w:p>
    <w:p w14:paraId="7E9B6D8F" w14:textId="77777777" w:rsidR="001A5B4B" w:rsidRPr="001A5B4B" w:rsidRDefault="001A5B4B" w:rsidP="001A5B4B">
      <w:pPr>
        <w:pStyle w:val="Bodycopy"/>
        <w:rPr>
          <w:rFonts w:eastAsia="Arial"/>
        </w:rPr>
      </w:pPr>
      <w:r w:rsidRPr="001A5B4B">
        <w:rPr>
          <w:rFonts w:eastAsia="Arial"/>
        </w:rPr>
        <w:t>ACT Government Domestic and Family Violence Training Strategy</w:t>
      </w:r>
    </w:p>
    <w:p w14:paraId="2BC6FE16" w14:textId="77777777" w:rsidR="001A5B4B" w:rsidRPr="001A5B4B" w:rsidRDefault="001A5B4B" w:rsidP="001A5B4B">
      <w:pPr>
        <w:pStyle w:val="Bodycopy"/>
        <w:rPr>
          <w:rFonts w:eastAsia="Arial"/>
        </w:rPr>
      </w:pPr>
      <w:r w:rsidRPr="001A5B4B">
        <w:rPr>
          <w:rFonts w:eastAsia="Arial"/>
        </w:rPr>
        <w:t>ACT Government Response to the Listen, Take Action to Prevent, Believe and Heal Report</w:t>
      </w:r>
    </w:p>
    <w:p w14:paraId="33F269A5" w14:textId="6A7758FD" w:rsidR="001A5B4B" w:rsidRPr="001A5B4B" w:rsidRDefault="001A5B4B" w:rsidP="001A5B4B">
      <w:pPr>
        <w:pStyle w:val="Bodycopy"/>
        <w:rPr>
          <w:rFonts w:eastAsia="Arial"/>
          <w:b/>
        </w:rPr>
      </w:pPr>
      <w:r w:rsidRPr="001A5B4B">
        <w:rPr>
          <w:rFonts w:eastAsia="Arial"/>
          <w:b/>
        </w:rPr>
        <w:t>New South Wales</w:t>
      </w:r>
    </w:p>
    <w:p w14:paraId="0C0E64A4" w14:textId="15AD49BC" w:rsidR="001A5B4B" w:rsidRPr="001A5B4B" w:rsidRDefault="001A5B4B" w:rsidP="001A5B4B">
      <w:pPr>
        <w:pStyle w:val="Bodycopy"/>
        <w:rPr>
          <w:rFonts w:eastAsia="Arial"/>
        </w:rPr>
      </w:pPr>
      <w:r w:rsidRPr="001A5B4B">
        <w:rPr>
          <w:rFonts w:eastAsia="Arial"/>
        </w:rPr>
        <w:t>NSW Sexual Violence Plan 2022–2027</w:t>
      </w:r>
    </w:p>
    <w:p w14:paraId="1F37A878" w14:textId="77777777" w:rsidR="001A5B4B" w:rsidRPr="001A5B4B" w:rsidRDefault="001A5B4B" w:rsidP="001A5B4B">
      <w:pPr>
        <w:pStyle w:val="Bodycopy"/>
        <w:rPr>
          <w:rFonts w:eastAsia="Arial"/>
        </w:rPr>
      </w:pPr>
      <w:r w:rsidRPr="001A5B4B">
        <w:rPr>
          <w:rFonts w:eastAsia="Arial"/>
        </w:rPr>
        <w:t>NSW Domestic and Family Violence Plan 2022–2027</w:t>
      </w:r>
    </w:p>
    <w:p w14:paraId="3546C29C" w14:textId="77777777" w:rsidR="001A5B4B" w:rsidRPr="001A5B4B" w:rsidRDefault="001A5B4B" w:rsidP="001A5B4B">
      <w:pPr>
        <w:pStyle w:val="Bodycopy"/>
        <w:rPr>
          <w:rFonts w:eastAsia="Arial"/>
        </w:rPr>
      </w:pPr>
      <w:r w:rsidRPr="001A5B4B">
        <w:rPr>
          <w:rFonts w:eastAsia="Arial"/>
        </w:rPr>
        <w:t>NSW Primary Prevention Strategy (currently under development)</w:t>
      </w:r>
    </w:p>
    <w:p w14:paraId="2685001F" w14:textId="1C953A2C" w:rsidR="001A5B4B" w:rsidRPr="001A5B4B" w:rsidRDefault="001A5B4B" w:rsidP="001A5B4B">
      <w:pPr>
        <w:pStyle w:val="Bodycopy"/>
        <w:rPr>
          <w:rFonts w:eastAsia="Arial"/>
          <w:b/>
        </w:rPr>
      </w:pPr>
      <w:r w:rsidRPr="001A5B4B">
        <w:rPr>
          <w:rFonts w:eastAsia="Arial"/>
          <w:b/>
        </w:rPr>
        <w:t>Northern Territory</w:t>
      </w:r>
    </w:p>
    <w:p w14:paraId="76A4AB4B" w14:textId="1D3F7555" w:rsidR="001A5B4B" w:rsidRPr="001A5B4B" w:rsidRDefault="001A5B4B" w:rsidP="001A5B4B">
      <w:pPr>
        <w:pStyle w:val="Bodycopy"/>
        <w:rPr>
          <w:rFonts w:eastAsia="Arial"/>
        </w:rPr>
      </w:pPr>
      <w:r w:rsidRPr="001A5B4B">
        <w:rPr>
          <w:rFonts w:eastAsia="Arial"/>
        </w:rPr>
        <w:t>Northern Territory’s Domestic, Family and Sexual Violence Reduction Framework 2018–2028</w:t>
      </w:r>
    </w:p>
    <w:p w14:paraId="264C472C" w14:textId="77777777" w:rsidR="001A5B4B" w:rsidRPr="001A5B4B" w:rsidRDefault="001A5B4B" w:rsidP="001A5B4B">
      <w:pPr>
        <w:pStyle w:val="Bodycopy"/>
        <w:rPr>
          <w:rFonts w:eastAsia="Arial"/>
        </w:rPr>
      </w:pPr>
      <w:r w:rsidRPr="001A5B4B">
        <w:rPr>
          <w:rFonts w:eastAsia="Arial"/>
        </w:rPr>
        <w:t>Sexual Violence Prevention and Response Framework 2020–2028</w:t>
      </w:r>
    </w:p>
    <w:p w14:paraId="57531E40" w14:textId="77777777" w:rsidR="001A5B4B" w:rsidRPr="001A5B4B" w:rsidRDefault="001A5B4B" w:rsidP="001A5B4B">
      <w:pPr>
        <w:pStyle w:val="Bodycopy"/>
        <w:rPr>
          <w:rFonts w:eastAsia="Arial"/>
        </w:rPr>
      </w:pPr>
      <w:r w:rsidRPr="001A5B4B">
        <w:rPr>
          <w:rFonts w:eastAsia="Arial"/>
        </w:rPr>
        <w:t>Northern Territory Government Domestic and Family Violence Risk Assessment and Management Framework</w:t>
      </w:r>
    </w:p>
    <w:p w14:paraId="0600C006" w14:textId="23E56302" w:rsidR="001A5B4B" w:rsidRPr="001A5B4B" w:rsidRDefault="001A5B4B" w:rsidP="001A5B4B">
      <w:pPr>
        <w:pStyle w:val="Bodycopy"/>
        <w:rPr>
          <w:rFonts w:eastAsia="Arial"/>
          <w:b/>
        </w:rPr>
      </w:pPr>
      <w:r w:rsidRPr="001A5B4B">
        <w:rPr>
          <w:rFonts w:eastAsia="Arial"/>
          <w:b/>
        </w:rPr>
        <w:t>Queensland</w:t>
      </w:r>
    </w:p>
    <w:p w14:paraId="2ABC7117" w14:textId="6EA9DFEF" w:rsidR="001A5B4B" w:rsidRPr="001A5B4B" w:rsidRDefault="001A5B4B" w:rsidP="001A5B4B">
      <w:pPr>
        <w:pStyle w:val="Bodycopy"/>
        <w:rPr>
          <w:rFonts w:eastAsia="Arial"/>
        </w:rPr>
      </w:pPr>
      <w:r w:rsidRPr="001A5B4B">
        <w:rPr>
          <w:rFonts w:eastAsia="Arial"/>
        </w:rPr>
        <w:t>Domestic and family violence prevention strategy 2016–2026</w:t>
      </w:r>
    </w:p>
    <w:p w14:paraId="1A4B5227" w14:textId="77777777" w:rsidR="001A5B4B" w:rsidRPr="001A5B4B" w:rsidRDefault="001A5B4B" w:rsidP="001A5B4B">
      <w:pPr>
        <w:pStyle w:val="Bodycopy"/>
        <w:rPr>
          <w:rFonts w:eastAsia="Arial"/>
        </w:rPr>
      </w:pPr>
      <w:r w:rsidRPr="001A5B4B">
        <w:rPr>
          <w:rFonts w:eastAsia="Arial"/>
        </w:rPr>
        <w:t>Prevent. Support. Believe. Queensland's framework to address sexual violence</w:t>
      </w:r>
    </w:p>
    <w:p w14:paraId="569B70FE" w14:textId="77777777" w:rsidR="001A5B4B" w:rsidRPr="001A5B4B" w:rsidRDefault="001A5B4B" w:rsidP="001A5B4B">
      <w:pPr>
        <w:pStyle w:val="Bodycopy"/>
        <w:rPr>
          <w:rFonts w:eastAsia="Arial"/>
        </w:rPr>
      </w:pPr>
      <w:r w:rsidRPr="001A5B4B">
        <w:rPr>
          <w:rFonts w:eastAsia="Arial"/>
        </w:rPr>
        <w:t>Qld Primary Prevention Plan (currently under development)</w:t>
      </w:r>
    </w:p>
    <w:p w14:paraId="682D6C3C" w14:textId="3B7BEF39" w:rsidR="001A5B4B" w:rsidRPr="001A5B4B" w:rsidRDefault="001A5B4B" w:rsidP="001A5B4B">
      <w:pPr>
        <w:pStyle w:val="Bodycopy"/>
        <w:rPr>
          <w:rFonts w:eastAsia="Arial"/>
          <w:b/>
        </w:rPr>
      </w:pPr>
      <w:r w:rsidRPr="001A5B4B">
        <w:rPr>
          <w:rFonts w:eastAsia="Arial"/>
          <w:b/>
        </w:rPr>
        <w:t>South Australia</w:t>
      </w:r>
    </w:p>
    <w:p w14:paraId="244A9D69" w14:textId="2B07E01C" w:rsidR="001A5B4B" w:rsidRPr="001A5B4B" w:rsidRDefault="001A5B4B" w:rsidP="001A5B4B">
      <w:pPr>
        <w:pStyle w:val="Bodycopy"/>
        <w:rPr>
          <w:rFonts w:eastAsia="Arial"/>
        </w:rPr>
      </w:pPr>
      <w:r w:rsidRPr="001A5B4B">
        <w:rPr>
          <w:rFonts w:eastAsia="Arial"/>
        </w:rPr>
        <w:t>South Australia FDSV Strategy (currently under development)</w:t>
      </w:r>
    </w:p>
    <w:p w14:paraId="5D859684" w14:textId="77777777" w:rsidR="001A5B4B" w:rsidRPr="001A5B4B" w:rsidRDefault="001A5B4B" w:rsidP="001A5B4B">
      <w:pPr>
        <w:pStyle w:val="Bodycopy"/>
        <w:rPr>
          <w:rFonts w:eastAsia="Arial"/>
        </w:rPr>
      </w:pPr>
      <w:r w:rsidRPr="001A5B4B">
        <w:rPr>
          <w:rFonts w:eastAsia="Arial"/>
        </w:rPr>
        <w:t>South Australia’s Women’s Equality Blueprint 2023–26</w:t>
      </w:r>
    </w:p>
    <w:p w14:paraId="4C6FB38D" w14:textId="3213FFF8" w:rsidR="001A5B4B" w:rsidRPr="001A5B4B" w:rsidRDefault="001A5B4B" w:rsidP="001A5B4B">
      <w:pPr>
        <w:pStyle w:val="Bodycopy"/>
        <w:rPr>
          <w:rFonts w:eastAsia="Arial"/>
          <w:b/>
        </w:rPr>
      </w:pPr>
      <w:r w:rsidRPr="001A5B4B">
        <w:rPr>
          <w:rFonts w:eastAsia="Arial"/>
          <w:b/>
        </w:rPr>
        <w:t>Tasmania</w:t>
      </w:r>
    </w:p>
    <w:p w14:paraId="68EC29D5" w14:textId="76F2673E" w:rsidR="001A5B4B" w:rsidRPr="001A5B4B" w:rsidRDefault="001A5B4B" w:rsidP="001A5B4B">
      <w:pPr>
        <w:pStyle w:val="Bodycopy"/>
        <w:rPr>
          <w:rFonts w:eastAsia="Arial"/>
        </w:rPr>
      </w:pPr>
      <w:r w:rsidRPr="001A5B4B">
        <w:rPr>
          <w:rFonts w:eastAsia="Arial"/>
        </w:rPr>
        <w:t>Tasmania's Third Family and Sexual Violence Action Plan 2022–2027: Survivors at the Centre – November 2022</w:t>
      </w:r>
    </w:p>
    <w:p w14:paraId="08952EA3" w14:textId="444FA86E" w:rsidR="001A5B4B" w:rsidRPr="001A5B4B" w:rsidRDefault="001A5B4B" w:rsidP="001A5B4B">
      <w:pPr>
        <w:pStyle w:val="Bodycopy"/>
        <w:rPr>
          <w:rFonts w:eastAsia="Arial"/>
          <w:b/>
        </w:rPr>
      </w:pPr>
      <w:r w:rsidRPr="001A5B4B">
        <w:rPr>
          <w:rFonts w:eastAsia="Arial"/>
          <w:b/>
        </w:rPr>
        <w:t>Victoria</w:t>
      </w:r>
    </w:p>
    <w:p w14:paraId="470DAF17" w14:textId="603FBF27" w:rsidR="001A5B4B" w:rsidRPr="001A5B4B" w:rsidRDefault="001A5B4B" w:rsidP="001A5B4B">
      <w:pPr>
        <w:pStyle w:val="Bodycopy"/>
        <w:rPr>
          <w:rFonts w:eastAsia="Arial"/>
        </w:rPr>
      </w:pPr>
      <w:r w:rsidRPr="001A5B4B">
        <w:rPr>
          <w:rFonts w:eastAsia="Arial"/>
        </w:rPr>
        <w:t>Ending Family Violence – Victoria’s 10 year plan for change</w:t>
      </w:r>
    </w:p>
    <w:p w14:paraId="7302CF9B" w14:textId="77777777" w:rsidR="001A5B4B" w:rsidRPr="001A5B4B" w:rsidRDefault="001A5B4B" w:rsidP="001A5B4B">
      <w:pPr>
        <w:pStyle w:val="Bodycopy"/>
        <w:rPr>
          <w:rFonts w:eastAsia="Arial"/>
        </w:rPr>
      </w:pPr>
      <w:r w:rsidRPr="001A5B4B">
        <w:rPr>
          <w:rFonts w:eastAsia="Arial"/>
        </w:rPr>
        <w:t>Second Rolling Action Plan 2020–2023</w:t>
      </w:r>
    </w:p>
    <w:p w14:paraId="4DE36DBC" w14:textId="77777777" w:rsidR="001A5B4B" w:rsidRPr="001A5B4B" w:rsidRDefault="001A5B4B" w:rsidP="001A5B4B">
      <w:pPr>
        <w:pStyle w:val="Bodycopy"/>
        <w:rPr>
          <w:rFonts w:eastAsia="Arial"/>
        </w:rPr>
      </w:pPr>
      <w:r w:rsidRPr="001A5B4B">
        <w:rPr>
          <w:rFonts w:eastAsia="Arial"/>
        </w:rPr>
        <w:t>Family Violence Multi-Agency Risk Assessment and Management Framework</w:t>
      </w:r>
    </w:p>
    <w:p w14:paraId="28F5AC06" w14:textId="77777777" w:rsidR="001A5B4B" w:rsidRPr="001A5B4B" w:rsidRDefault="001A5B4B" w:rsidP="001A5B4B">
      <w:pPr>
        <w:pStyle w:val="Bodycopy"/>
        <w:rPr>
          <w:rFonts w:eastAsia="Arial"/>
        </w:rPr>
      </w:pPr>
      <w:r w:rsidRPr="001A5B4B">
        <w:rPr>
          <w:rFonts w:eastAsia="Arial"/>
        </w:rPr>
        <w:t>Free from violence: Victoria's strategy to prevent family violence | Victorian Government (www.vic.gov.au)</w:t>
      </w:r>
    </w:p>
    <w:p w14:paraId="73D53D24" w14:textId="77777777" w:rsidR="001A5B4B" w:rsidRPr="001A5B4B" w:rsidRDefault="001A5B4B" w:rsidP="001A5B4B">
      <w:pPr>
        <w:pStyle w:val="Bodycopy"/>
        <w:rPr>
          <w:rFonts w:eastAsia="Arial"/>
        </w:rPr>
      </w:pPr>
      <w:r w:rsidRPr="001A5B4B">
        <w:rPr>
          <w:rFonts w:eastAsia="Arial"/>
        </w:rPr>
        <w:t>Family Violence, Sexual Offences and Child Abuse Strategy (police.vic.gov.au)</w:t>
      </w:r>
    </w:p>
    <w:p w14:paraId="56977B8C" w14:textId="77777777" w:rsidR="001A5B4B" w:rsidRPr="001A5B4B" w:rsidRDefault="001A5B4B" w:rsidP="001A5B4B">
      <w:pPr>
        <w:pStyle w:val="Bodycopy"/>
        <w:rPr>
          <w:rFonts w:eastAsia="Arial"/>
        </w:rPr>
      </w:pPr>
      <w:r w:rsidRPr="001A5B4B">
        <w:rPr>
          <w:rFonts w:eastAsia="Arial"/>
        </w:rPr>
        <w:t>Dhelk Dja Second 3-year Action Plan 2022–25</w:t>
      </w:r>
    </w:p>
    <w:p w14:paraId="0C6B923D" w14:textId="77777777" w:rsidR="001A5B4B" w:rsidRPr="001A5B4B" w:rsidRDefault="001A5B4B" w:rsidP="001A5B4B">
      <w:pPr>
        <w:pStyle w:val="Bodycopy"/>
        <w:rPr>
          <w:rFonts w:eastAsia="Arial"/>
        </w:rPr>
      </w:pPr>
      <w:r w:rsidRPr="001A5B4B">
        <w:rPr>
          <w:rFonts w:eastAsia="Arial"/>
        </w:rPr>
        <w:lastRenderedPageBreak/>
        <w:t>Dhelk Dja: Safe Our Way – Strong Culture, Strong Peoples, Strong Families Agreement</w:t>
      </w:r>
    </w:p>
    <w:p w14:paraId="15D5E29D" w14:textId="77777777" w:rsidR="001A5B4B" w:rsidRPr="001A5B4B" w:rsidRDefault="001A5B4B" w:rsidP="001A5B4B">
      <w:pPr>
        <w:pStyle w:val="Bodycopy"/>
        <w:rPr>
          <w:rFonts w:eastAsia="Arial"/>
        </w:rPr>
      </w:pPr>
      <w:r w:rsidRPr="001A5B4B">
        <w:rPr>
          <w:rFonts w:eastAsia="Arial"/>
        </w:rPr>
        <w:t>Building from Strength: 10 Year industry plan for family violence prevention and response 2017–2027</w:t>
      </w:r>
    </w:p>
    <w:p w14:paraId="12C27258" w14:textId="3EFD6DE9" w:rsidR="001A5B4B" w:rsidRPr="001A5B4B" w:rsidRDefault="001A5B4B" w:rsidP="001A5B4B">
      <w:pPr>
        <w:pStyle w:val="Bodycopy"/>
        <w:rPr>
          <w:rFonts w:eastAsia="Arial"/>
          <w:b/>
        </w:rPr>
      </w:pPr>
      <w:r w:rsidRPr="001A5B4B">
        <w:rPr>
          <w:rFonts w:eastAsia="Arial"/>
          <w:b/>
        </w:rPr>
        <w:t>Western Australia</w:t>
      </w:r>
    </w:p>
    <w:p w14:paraId="49635A35" w14:textId="038B5181" w:rsidR="001A5B4B" w:rsidRPr="001A5B4B" w:rsidRDefault="001A5B4B" w:rsidP="001A5B4B">
      <w:pPr>
        <w:pStyle w:val="Bodycopy"/>
        <w:rPr>
          <w:rFonts w:eastAsia="Arial"/>
        </w:rPr>
      </w:pPr>
      <w:r w:rsidRPr="001A5B4B">
        <w:rPr>
          <w:rFonts w:eastAsia="Arial"/>
        </w:rPr>
        <w:t>Path to Safety: Western Australia’s Strategy to Reduce Family and Domestic Violence 2020–2030</w:t>
      </w:r>
    </w:p>
    <w:p w14:paraId="23DB0E6C" w14:textId="77777777" w:rsidR="001A5B4B" w:rsidRPr="001A5B4B" w:rsidRDefault="001A5B4B" w:rsidP="001A5B4B">
      <w:pPr>
        <w:pStyle w:val="Bodycopy"/>
        <w:rPr>
          <w:rFonts w:eastAsia="Arial"/>
        </w:rPr>
      </w:pPr>
      <w:r w:rsidRPr="001A5B4B">
        <w:rPr>
          <w:rFonts w:eastAsia="Arial"/>
        </w:rPr>
        <w:t>Aboriginal Family Safety Strategy 2022–2032</w:t>
      </w:r>
    </w:p>
    <w:p w14:paraId="5288315D" w14:textId="4D140EE2" w:rsidR="001A5B4B" w:rsidRDefault="001A5B4B" w:rsidP="001A5B4B">
      <w:pPr>
        <w:pStyle w:val="Bodycopy"/>
        <w:rPr>
          <w:rFonts w:eastAsia="Arial"/>
        </w:rPr>
      </w:pPr>
      <w:r w:rsidRPr="001A5B4B">
        <w:rPr>
          <w:rFonts w:eastAsia="Arial"/>
        </w:rPr>
        <w:t>Sexual Violence Prevention and Response Strategy (in development)</w:t>
      </w:r>
    </w:p>
    <w:p w14:paraId="385E752D" w14:textId="0E87D3AE" w:rsidR="00FF3BD9" w:rsidRPr="00647AEE" w:rsidRDefault="00FF3BD9" w:rsidP="001A5B4B">
      <w:pPr>
        <w:pStyle w:val="Bodycopy"/>
        <w:rPr>
          <w:rFonts w:eastAsia="Arial"/>
        </w:rPr>
      </w:pPr>
      <w:r w:rsidRPr="002321AF">
        <w:rPr>
          <w:rFonts w:eastAsia="Arial"/>
        </w:rPr>
        <w:t xml:space="preserve">The </w:t>
      </w:r>
      <w:r w:rsidR="004D45B8" w:rsidRPr="002321AF">
        <w:rPr>
          <w:rFonts w:eastAsia="Arial"/>
        </w:rPr>
        <w:t xml:space="preserve">First </w:t>
      </w:r>
      <w:r w:rsidRPr="00647AEE">
        <w:rPr>
          <w:rFonts w:eastAsia="Arial"/>
        </w:rPr>
        <w:t>Action Plan also intersect</w:t>
      </w:r>
      <w:r w:rsidR="004D45B8" w:rsidRPr="00647AEE">
        <w:rPr>
          <w:rFonts w:eastAsia="Arial"/>
        </w:rPr>
        <w:t>s</w:t>
      </w:r>
      <w:r w:rsidRPr="00647AEE">
        <w:rPr>
          <w:rFonts w:eastAsia="Arial"/>
        </w:rPr>
        <w:t xml:space="preserve"> with other national initiatives that support systemic change for women and children. </w:t>
      </w:r>
      <w:r w:rsidR="00615D15">
        <w:rPr>
          <w:rFonts w:eastAsia="Arial"/>
        </w:rPr>
        <w:t>These include</w:t>
      </w:r>
      <w:r w:rsidRPr="00647AEE">
        <w:rPr>
          <w:rFonts w:eastAsia="Arial"/>
        </w:rPr>
        <w:t>:</w:t>
      </w:r>
    </w:p>
    <w:p w14:paraId="1AC2227B" w14:textId="77777777" w:rsidR="00FF3BD9" w:rsidRDefault="00FF3BD9" w:rsidP="006A365C">
      <w:pPr>
        <w:numPr>
          <w:ilvl w:val="0"/>
          <w:numId w:val="1"/>
        </w:numPr>
        <w:spacing w:before="240" w:after="160" w:line="259" w:lineRule="auto"/>
      </w:pPr>
      <w:r w:rsidRPr="00647AEE">
        <w:rPr>
          <w:rFonts w:eastAsia="Arial" w:cs="Arial"/>
        </w:rPr>
        <w:t>National Principles to Address Coercive Control in Family and Domestic Violence</w:t>
      </w:r>
    </w:p>
    <w:p w14:paraId="24B18813" w14:textId="49E8C9BE" w:rsidR="00FF3BD9" w:rsidRDefault="00FF3BD9" w:rsidP="006A365C">
      <w:pPr>
        <w:numPr>
          <w:ilvl w:val="0"/>
          <w:numId w:val="1"/>
        </w:numPr>
        <w:spacing w:before="240" w:after="160" w:line="259" w:lineRule="auto"/>
      </w:pPr>
      <w:r w:rsidRPr="002321AF">
        <w:rPr>
          <w:rFonts w:eastAsia="Arial" w:cs="Arial"/>
        </w:rPr>
        <w:t>Standing Council of Attorneys-General Work Plan to Strengthen Criminal Justice Responses to Sexual Assault 2022</w:t>
      </w:r>
      <w:r w:rsidR="0058730E">
        <w:rPr>
          <w:rFonts w:eastAsia="Arial"/>
        </w:rPr>
        <w:t>–</w:t>
      </w:r>
      <w:r w:rsidRPr="002321AF">
        <w:rPr>
          <w:rFonts w:eastAsia="Arial" w:cs="Arial"/>
        </w:rPr>
        <w:t>2027</w:t>
      </w:r>
    </w:p>
    <w:p w14:paraId="49BE0E01" w14:textId="77777777" w:rsidR="00FF3BD9" w:rsidRPr="00920ED7" w:rsidRDefault="00FF3BD9" w:rsidP="006A365C">
      <w:pPr>
        <w:numPr>
          <w:ilvl w:val="0"/>
          <w:numId w:val="1"/>
        </w:numPr>
        <w:spacing w:before="240" w:after="160" w:line="259" w:lineRule="auto"/>
      </w:pPr>
      <w:r w:rsidRPr="002321AF">
        <w:rPr>
          <w:rFonts w:eastAsia="Arial" w:cs="Arial"/>
        </w:rPr>
        <w:t>Safe and Supported: the National Framework for Protecting Australia’s Children 2021–2031</w:t>
      </w:r>
    </w:p>
    <w:p w14:paraId="1B2C12AF" w14:textId="77777777" w:rsidR="00FF3BD9" w:rsidRPr="00920ED7" w:rsidRDefault="00FF3BD9" w:rsidP="006A365C">
      <w:pPr>
        <w:numPr>
          <w:ilvl w:val="0"/>
          <w:numId w:val="1"/>
        </w:numPr>
        <w:spacing w:before="240" w:after="160" w:line="259" w:lineRule="auto"/>
      </w:pPr>
      <w:r w:rsidRPr="002321AF">
        <w:rPr>
          <w:rFonts w:eastAsia="Arial" w:cs="Arial"/>
        </w:rPr>
        <w:t>National Agreement on Closing the Gap</w:t>
      </w:r>
    </w:p>
    <w:p w14:paraId="04D580A5" w14:textId="0290679A" w:rsidR="00FF3BD9" w:rsidRPr="00920ED7" w:rsidRDefault="00FF3BD9" w:rsidP="006A365C">
      <w:pPr>
        <w:numPr>
          <w:ilvl w:val="0"/>
          <w:numId w:val="1"/>
        </w:numPr>
        <w:spacing w:before="240" w:after="160" w:line="259" w:lineRule="auto"/>
      </w:pPr>
      <w:r w:rsidRPr="002321AF">
        <w:rPr>
          <w:rFonts w:eastAsia="Arial" w:cs="Arial"/>
        </w:rPr>
        <w:t>Australia’s Disability Strategy 2021</w:t>
      </w:r>
      <w:r w:rsidR="0058730E">
        <w:rPr>
          <w:rFonts w:eastAsia="Arial"/>
        </w:rPr>
        <w:t>–</w:t>
      </w:r>
      <w:r w:rsidRPr="002321AF">
        <w:rPr>
          <w:rFonts w:eastAsia="Arial" w:cs="Arial"/>
        </w:rPr>
        <w:t>2031</w:t>
      </w:r>
    </w:p>
    <w:p w14:paraId="0DB4EED8" w14:textId="78E32FCC" w:rsidR="00FF3BD9" w:rsidRPr="00920ED7" w:rsidRDefault="00FF3BD9" w:rsidP="006A365C">
      <w:pPr>
        <w:numPr>
          <w:ilvl w:val="0"/>
          <w:numId w:val="1"/>
        </w:numPr>
        <w:spacing w:before="240" w:after="160" w:line="259" w:lineRule="auto"/>
      </w:pPr>
      <w:r w:rsidRPr="002321AF">
        <w:rPr>
          <w:rFonts w:eastAsia="Arial" w:cs="Arial"/>
        </w:rPr>
        <w:t>National Strategy to Achieve Gender Equality (in development)</w:t>
      </w:r>
    </w:p>
    <w:p w14:paraId="713B9115" w14:textId="77777777" w:rsidR="00FF3BD9" w:rsidRDefault="00FF3BD9" w:rsidP="006A365C">
      <w:pPr>
        <w:numPr>
          <w:ilvl w:val="0"/>
          <w:numId w:val="1"/>
        </w:numPr>
        <w:spacing w:before="240" w:after="160" w:line="259" w:lineRule="auto"/>
      </w:pPr>
      <w:r w:rsidRPr="002321AF">
        <w:rPr>
          <w:rFonts w:eastAsia="Arial" w:cs="Arial"/>
        </w:rPr>
        <w:t>National Aboriginal and Torres Strait Islander Early Childhood Strategy</w:t>
      </w:r>
    </w:p>
    <w:p w14:paraId="1539D0D0" w14:textId="3EAD8F6F" w:rsidR="00FF3BD9" w:rsidRDefault="00FF3BD9" w:rsidP="006A365C">
      <w:pPr>
        <w:numPr>
          <w:ilvl w:val="0"/>
          <w:numId w:val="1"/>
        </w:numPr>
        <w:spacing w:before="240" w:after="160" w:line="259" w:lineRule="auto"/>
      </w:pPr>
      <w:r w:rsidRPr="002321AF">
        <w:rPr>
          <w:rFonts w:eastAsia="Arial" w:cs="Arial"/>
        </w:rPr>
        <w:t xml:space="preserve">National </w:t>
      </w:r>
      <w:r w:rsidR="003D3DC5" w:rsidRPr="002321AF">
        <w:rPr>
          <w:rFonts w:eastAsia="Arial" w:cs="Arial"/>
        </w:rPr>
        <w:t xml:space="preserve">Strategy </w:t>
      </w:r>
      <w:r w:rsidRPr="00647AEE">
        <w:rPr>
          <w:rFonts w:eastAsia="Arial" w:cs="Arial"/>
        </w:rPr>
        <w:t>to Prevent and Respond to Child Sexual Abuse 2021</w:t>
      </w:r>
      <w:r w:rsidR="0058730E">
        <w:rPr>
          <w:rFonts w:eastAsia="Arial"/>
        </w:rPr>
        <w:t>–</w:t>
      </w:r>
      <w:r w:rsidRPr="00647AEE">
        <w:rPr>
          <w:rFonts w:eastAsia="Arial" w:cs="Arial"/>
        </w:rPr>
        <w:t>2030</w:t>
      </w:r>
    </w:p>
    <w:p w14:paraId="660C6A8A" w14:textId="77777777" w:rsidR="00FF3BD9" w:rsidRDefault="00FF3BD9" w:rsidP="006A365C">
      <w:pPr>
        <w:numPr>
          <w:ilvl w:val="0"/>
          <w:numId w:val="1"/>
        </w:numPr>
        <w:spacing w:before="240" w:after="160" w:line="259" w:lineRule="auto"/>
      </w:pPr>
      <w:r w:rsidRPr="002321AF">
        <w:rPr>
          <w:rFonts w:eastAsia="Arial" w:cs="Arial"/>
        </w:rPr>
        <w:t>National Children’s Mental Health and Wellbeing Strategy: Good mental health and wellbeing</w:t>
      </w:r>
    </w:p>
    <w:p w14:paraId="05602C11" w14:textId="77777777" w:rsidR="00FF3BD9" w:rsidRDefault="00FF3BD9" w:rsidP="006A365C">
      <w:pPr>
        <w:numPr>
          <w:ilvl w:val="0"/>
          <w:numId w:val="1"/>
        </w:numPr>
        <w:spacing w:before="240" w:after="160" w:line="259" w:lineRule="auto"/>
      </w:pPr>
      <w:r w:rsidRPr="002321AF">
        <w:rPr>
          <w:rFonts w:eastAsia="Arial" w:cs="Arial"/>
        </w:rPr>
        <w:t>National Mental Health and Suicide Prevention Agreement</w:t>
      </w:r>
    </w:p>
    <w:p w14:paraId="55874C49" w14:textId="610918E8" w:rsidR="00FF3BD9" w:rsidRDefault="00FF3BD9" w:rsidP="006A365C">
      <w:pPr>
        <w:numPr>
          <w:ilvl w:val="0"/>
          <w:numId w:val="1"/>
        </w:numPr>
        <w:spacing w:before="240" w:after="160" w:line="259" w:lineRule="auto"/>
      </w:pPr>
      <w:r w:rsidRPr="002321AF">
        <w:rPr>
          <w:rFonts w:eastAsia="Arial" w:cs="Arial"/>
        </w:rPr>
        <w:t>National Action Plan for the Health of</w:t>
      </w:r>
      <w:r w:rsidR="00E613F7" w:rsidRPr="002321AF">
        <w:rPr>
          <w:rFonts w:eastAsia="Arial" w:cs="Arial"/>
        </w:rPr>
        <w:t xml:space="preserve"> </w:t>
      </w:r>
      <w:r w:rsidRPr="00647AEE">
        <w:rPr>
          <w:rFonts w:eastAsia="Arial" w:cs="Arial"/>
        </w:rPr>
        <w:t>Children of Young People 2020</w:t>
      </w:r>
      <w:r w:rsidR="0058730E">
        <w:rPr>
          <w:rFonts w:eastAsia="Arial"/>
        </w:rPr>
        <w:t>–</w:t>
      </w:r>
      <w:r w:rsidRPr="00647AEE">
        <w:rPr>
          <w:rFonts w:eastAsia="Arial" w:cs="Arial"/>
        </w:rPr>
        <w:t>2030</w:t>
      </w:r>
    </w:p>
    <w:p w14:paraId="42866AA1" w14:textId="350D7764" w:rsidR="00FF3BD9" w:rsidRPr="00920ED7" w:rsidRDefault="00FF3BD9" w:rsidP="006A365C">
      <w:pPr>
        <w:numPr>
          <w:ilvl w:val="0"/>
          <w:numId w:val="1"/>
        </w:numPr>
        <w:spacing w:before="240" w:after="160" w:line="259" w:lineRule="auto"/>
      </w:pPr>
      <w:r w:rsidRPr="002321AF">
        <w:rPr>
          <w:rFonts w:eastAsia="Arial" w:cs="Arial"/>
        </w:rPr>
        <w:t>National Women’s Health Strategy 2020</w:t>
      </w:r>
      <w:r w:rsidR="0058730E">
        <w:rPr>
          <w:rFonts w:eastAsia="Arial"/>
        </w:rPr>
        <w:t>–</w:t>
      </w:r>
      <w:r w:rsidRPr="002321AF">
        <w:rPr>
          <w:rFonts w:eastAsia="Arial" w:cs="Arial"/>
        </w:rPr>
        <w:t>2030</w:t>
      </w:r>
    </w:p>
    <w:p w14:paraId="72B8336A" w14:textId="60A9FB83" w:rsidR="003D3DC5" w:rsidRPr="005E345A" w:rsidRDefault="003D3DC5" w:rsidP="006A365C">
      <w:pPr>
        <w:numPr>
          <w:ilvl w:val="0"/>
          <w:numId w:val="1"/>
        </w:numPr>
        <w:spacing w:before="240" w:after="160" w:line="259" w:lineRule="auto"/>
      </w:pPr>
      <w:r w:rsidRPr="002321AF">
        <w:rPr>
          <w:rFonts w:eastAsia="Arial" w:cs="Arial"/>
        </w:rPr>
        <w:t>National Action Plan to Combat Modern Slavery 2020</w:t>
      </w:r>
      <w:r w:rsidR="0058730E">
        <w:rPr>
          <w:rFonts w:eastAsia="Arial"/>
        </w:rPr>
        <w:t>–</w:t>
      </w:r>
      <w:r w:rsidRPr="002321AF">
        <w:rPr>
          <w:rFonts w:eastAsia="Arial" w:cs="Arial"/>
        </w:rPr>
        <w:t>2025</w:t>
      </w:r>
    </w:p>
    <w:p w14:paraId="033E6AE1" w14:textId="7422B5AA" w:rsidR="00FF3BD9" w:rsidRPr="00920ED7" w:rsidRDefault="00FF3BD9" w:rsidP="006A365C">
      <w:pPr>
        <w:numPr>
          <w:ilvl w:val="0"/>
          <w:numId w:val="1"/>
        </w:numPr>
        <w:spacing w:before="240" w:after="160" w:line="259" w:lineRule="auto"/>
      </w:pPr>
      <w:r w:rsidRPr="002321AF">
        <w:rPr>
          <w:rFonts w:eastAsia="Arial" w:cs="Arial"/>
        </w:rPr>
        <w:t>National Housing and Homelessness Plan (10</w:t>
      </w:r>
      <w:r w:rsidR="0058730E">
        <w:rPr>
          <w:rFonts w:eastAsia="Arial" w:cs="Arial"/>
        </w:rPr>
        <w:t>-</w:t>
      </w:r>
      <w:r w:rsidRPr="002321AF">
        <w:rPr>
          <w:rFonts w:eastAsia="Arial" w:cs="Arial"/>
        </w:rPr>
        <w:t>year strategy in development)</w:t>
      </w:r>
    </w:p>
    <w:p w14:paraId="0C96F6F5" w14:textId="72A03C3B" w:rsidR="00FF3BD9" w:rsidRDefault="00FF3BD9" w:rsidP="006A365C">
      <w:pPr>
        <w:numPr>
          <w:ilvl w:val="0"/>
          <w:numId w:val="1"/>
        </w:numPr>
        <w:spacing w:before="240" w:after="160" w:line="259" w:lineRule="auto"/>
      </w:pPr>
      <w:r w:rsidRPr="002321AF">
        <w:rPr>
          <w:rFonts w:eastAsia="Arial" w:cs="Arial"/>
        </w:rPr>
        <w:t>National Action Plan on Women, Peace and Security 2021</w:t>
      </w:r>
      <w:r w:rsidR="0058730E">
        <w:rPr>
          <w:rFonts w:eastAsia="Arial"/>
        </w:rPr>
        <w:t>–</w:t>
      </w:r>
      <w:r w:rsidRPr="002321AF">
        <w:rPr>
          <w:rFonts w:eastAsia="Arial" w:cs="Arial"/>
        </w:rPr>
        <w:t>2031</w:t>
      </w:r>
    </w:p>
    <w:p w14:paraId="5E3E6E70" w14:textId="77777777" w:rsidR="003D3DC5" w:rsidRPr="00920ED7" w:rsidRDefault="003D3DC5" w:rsidP="006A365C">
      <w:pPr>
        <w:numPr>
          <w:ilvl w:val="0"/>
          <w:numId w:val="1"/>
        </w:numPr>
        <w:spacing w:before="240" w:after="160" w:line="259" w:lineRule="auto"/>
      </w:pPr>
      <w:r w:rsidRPr="002321AF">
        <w:rPr>
          <w:rFonts w:eastAsia="Arial" w:cs="Arial"/>
        </w:rPr>
        <w:t>National Strategic Framework for Information Sharing between the Family Law and Family Violence and Child Protection Systems</w:t>
      </w:r>
    </w:p>
    <w:p w14:paraId="53D1BB0C" w14:textId="65CF8E21" w:rsidR="008C4B7E" w:rsidRPr="008C4B7E" w:rsidRDefault="003D3DC5" w:rsidP="008C4B7E">
      <w:pPr>
        <w:numPr>
          <w:ilvl w:val="0"/>
          <w:numId w:val="1"/>
        </w:numPr>
        <w:spacing w:before="240" w:after="160" w:line="259" w:lineRule="auto"/>
        <w:rPr>
          <w:rFonts w:eastAsia="Arial" w:cs="Arial"/>
        </w:rPr>
      </w:pPr>
      <w:r w:rsidRPr="0008575C">
        <w:rPr>
          <w:rFonts w:eastAsia="Arial" w:cs="Arial"/>
        </w:rPr>
        <w:t>National Drug and Alcohol Strategy (2017</w:t>
      </w:r>
      <w:r w:rsidR="0058730E" w:rsidRPr="008C4B7E">
        <w:rPr>
          <w:rFonts w:eastAsia="Arial" w:cs="Arial"/>
        </w:rPr>
        <w:t>–</w:t>
      </w:r>
      <w:r w:rsidRPr="0008575C">
        <w:rPr>
          <w:rFonts w:eastAsia="Arial" w:cs="Arial"/>
        </w:rPr>
        <w:t>2026)</w:t>
      </w:r>
      <w:r w:rsidR="0058730E" w:rsidRPr="0008575C">
        <w:rPr>
          <w:rFonts w:eastAsia="Arial" w:cs="Arial"/>
        </w:rPr>
        <w:t>.</w:t>
      </w:r>
      <w:bookmarkStart w:id="76" w:name="_Toc127441217"/>
      <w:bookmarkStart w:id="77" w:name="_Toc127776200"/>
      <w:bookmarkStart w:id="78" w:name="_Toc127800125"/>
      <w:bookmarkStart w:id="79" w:name="_Toc128734615"/>
      <w:bookmarkStart w:id="80" w:name="_Toc132805048"/>
      <w:bookmarkStart w:id="81" w:name="_Toc132805389"/>
      <w:bookmarkStart w:id="82" w:name="_Toc134621943"/>
      <w:bookmarkStart w:id="83" w:name="_Toc134622035"/>
      <w:bookmarkStart w:id="84" w:name="_Toc134622137"/>
      <w:bookmarkStart w:id="85" w:name="_Toc134624191"/>
      <w:bookmarkStart w:id="86" w:name="_Toc134624226"/>
      <w:bookmarkStart w:id="87" w:name="_Toc134628755"/>
      <w:bookmarkStart w:id="88" w:name="_Toc136254996"/>
      <w:bookmarkStart w:id="89" w:name="_Toc136261691"/>
      <w:bookmarkStart w:id="90" w:name="_Toc136268780"/>
      <w:bookmarkStart w:id="91" w:name="_Toc136272357"/>
      <w:bookmarkStart w:id="92" w:name="_Toc136278736"/>
      <w:bookmarkStart w:id="93" w:name="_Toc136279953"/>
      <w:r w:rsidR="008C4B7E" w:rsidRPr="008C4B7E">
        <w:rPr>
          <w:rFonts w:eastAsia="Arial" w:cs="Arial"/>
        </w:rPr>
        <w:t xml:space="preserve"> </w:t>
      </w:r>
    </w:p>
    <w:p w14:paraId="377A268A" w14:textId="2CD18A5D" w:rsidR="008C4B7E" w:rsidRPr="008C4B7E" w:rsidRDefault="008C4B7E" w:rsidP="008C4B7E">
      <w:pPr>
        <w:numPr>
          <w:ilvl w:val="0"/>
          <w:numId w:val="1"/>
        </w:numPr>
        <w:spacing w:before="240" w:after="160" w:line="259" w:lineRule="auto"/>
        <w:rPr>
          <w:rFonts w:eastAsia="Arial" w:cs="Arial"/>
        </w:rPr>
      </w:pPr>
      <w:r w:rsidRPr="008C4B7E">
        <w:rPr>
          <w:rFonts w:eastAsia="Arial" w:cs="Arial"/>
        </w:rPr>
        <w:lastRenderedPageBreak/>
        <w:t>National Plan to Respond to the Abuse of Older Australians (Elder Abuse) 2019-2023</w:t>
      </w:r>
    </w:p>
    <w:p w14:paraId="320AABA5" w14:textId="27D78561" w:rsidR="008D2AC5" w:rsidRPr="0008575C" w:rsidRDefault="008D2AC5" w:rsidP="0063300B">
      <w:pPr>
        <w:pStyle w:val="ListParagraph"/>
        <w:numPr>
          <w:ilvl w:val="0"/>
          <w:numId w:val="1"/>
        </w:numPr>
        <w:rPr>
          <w:rFonts w:eastAsia="Arial" w:cstheme="majorBidi"/>
          <w:b/>
          <w:bCs/>
          <w:sz w:val="32"/>
          <w:szCs w:val="26"/>
        </w:rPr>
      </w:pPr>
      <w:r w:rsidRPr="0008575C">
        <w:rPr>
          <w:rFonts w:eastAsia="Arial"/>
        </w:rPr>
        <w:br w:type="page"/>
      </w:r>
    </w:p>
    <w:p w14:paraId="1843E66E" w14:textId="002BF961" w:rsidR="00FF3BD9" w:rsidRPr="002321AF" w:rsidRDefault="00616D2C" w:rsidP="00BF6AD8">
      <w:pPr>
        <w:pStyle w:val="Heading1"/>
        <w:rPr>
          <w:rFonts w:eastAsia="Arial"/>
        </w:rPr>
      </w:pPr>
      <w:bookmarkStart w:id="94" w:name="_Toc144909133"/>
      <w:r w:rsidRPr="002321AF">
        <w:rPr>
          <w:rFonts w:eastAsia="Arial"/>
        </w:rPr>
        <w:lastRenderedPageBreak/>
        <w:t>A</w:t>
      </w:r>
      <w:r w:rsidR="00FF3BD9" w:rsidRPr="002321AF">
        <w:rPr>
          <w:rFonts w:eastAsia="Arial"/>
        </w:rPr>
        <w:t>ctions</w:t>
      </w:r>
      <w:bookmarkEnd w:id="76"/>
      <w:bookmarkEnd w:id="77"/>
      <w:bookmarkEnd w:id="78"/>
      <w:r w:rsidR="00FF3BD9" w:rsidRPr="002321AF">
        <w:rPr>
          <w:rFonts w:eastAsia="Arial"/>
        </w:rPr>
        <w:t xml:space="preserve"> to drive change</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7FEBB9E9" w14:textId="3F617E3D" w:rsidR="00FF3BD9" w:rsidRPr="00735042" w:rsidRDefault="00FF3BD9" w:rsidP="0091695D">
      <w:pPr>
        <w:autoSpaceDE w:val="0"/>
        <w:autoSpaceDN w:val="0"/>
        <w:adjustRightInd w:val="0"/>
        <w:spacing w:before="240" w:after="0" w:line="240" w:lineRule="auto"/>
        <w:rPr>
          <w:rFonts w:eastAsia="Arial" w:cs="Arial"/>
          <w:b/>
          <w:bCs/>
          <w:sz w:val="28"/>
          <w:szCs w:val="28"/>
        </w:rPr>
      </w:pPr>
      <w:r w:rsidRPr="00735042">
        <w:rPr>
          <w:rFonts w:eastAsia="Arial" w:cs="Arial"/>
          <w:b/>
          <w:bCs/>
          <w:sz w:val="28"/>
          <w:szCs w:val="28"/>
        </w:rPr>
        <w:t>Shared Commonwealth, state and territory actions have been designed to drive change and achieve the vision of the National Plan – to end gender-based violence in one generation</w:t>
      </w:r>
      <w:r w:rsidR="00F70EFD" w:rsidRPr="00735042">
        <w:rPr>
          <w:rFonts w:eastAsia="Arial" w:cs="Arial"/>
          <w:b/>
          <w:bCs/>
          <w:sz w:val="28"/>
          <w:szCs w:val="28"/>
        </w:rPr>
        <w:t>.</w:t>
      </w:r>
    </w:p>
    <w:p w14:paraId="19CAB93F" w14:textId="759222B2" w:rsidR="00E963BB" w:rsidRPr="00647AEE" w:rsidRDefault="00B24D5D" w:rsidP="009F1690">
      <w:pPr>
        <w:autoSpaceDE w:val="0"/>
        <w:autoSpaceDN w:val="0"/>
        <w:adjustRightInd w:val="0"/>
        <w:spacing w:before="240" w:after="0" w:line="240" w:lineRule="auto"/>
        <w:rPr>
          <w:rFonts w:eastAsia="Arial" w:cs="Arial"/>
        </w:rPr>
      </w:pPr>
      <w:r w:rsidRPr="00647AEE">
        <w:rPr>
          <w:rFonts w:eastAsia="Arial" w:cs="Arial"/>
        </w:rPr>
        <w:t>The National Plan sets out an ambitious long-term policy platform. The First Action Plan is not expected to achieve all ambitions of the National Plan. The</w:t>
      </w:r>
      <w:r w:rsidR="00AF1373">
        <w:rPr>
          <w:rFonts w:eastAsia="Arial" w:cs="Arial"/>
        </w:rPr>
        <w:t xml:space="preserve"> </w:t>
      </w:r>
      <w:r w:rsidRPr="00647AEE">
        <w:rPr>
          <w:rFonts w:eastAsia="Arial" w:cs="Arial"/>
        </w:rPr>
        <w:t>Actions under this First Action Plan provide a roadmap that will drive the first 5</w:t>
      </w:r>
      <w:r w:rsidR="00647AEE">
        <w:rPr>
          <w:rFonts w:eastAsia="Arial" w:cs="Arial"/>
        </w:rPr>
        <w:t>-</w:t>
      </w:r>
      <w:r w:rsidRPr="00647AEE">
        <w:rPr>
          <w:rFonts w:eastAsia="Arial" w:cs="Arial"/>
        </w:rPr>
        <w:t>year effort toward the change we want to see.</w:t>
      </w:r>
    </w:p>
    <w:p w14:paraId="11482971" w14:textId="6A304443" w:rsidR="00FF3BD9" w:rsidRPr="00647AEE" w:rsidRDefault="00FF3BD9" w:rsidP="009F1690">
      <w:pPr>
        <w:autoSpaceDE w:val="0"/>
        <w:autoSpaceDN w:val="0"/>
        <w:adjustRightInd w:val="0"/>
        <w:spacing w:before="240" w:after="0" w:line="240" w:lineRule="auto"/>
        <w:rPr>
          <w:rFonts w:eastAsia="Arial" w:cs="Arial"/>
        </w:rPr>
      </w:pPr>
      <w:r w:rsidRPr="00647AEE">
        <w:rPr>
          <w:rFonts w:eastAsia="Arial" w:cs="Arial"/>
        </w:rPr>
        <w:t xml:space="preserve">Each action will be implemented through specific activities undertaken by the Commonwealth, states and territories. </w:t>
      </w:r>
      <w:r w:rsidR="000C6B5C" w:rsidRPr="00647AEE">
        <w:rPr>
          <w:rFonts w:eastAsia="Arial" w:cs="Arial"/>
        </w:rPr>
        <w:t>Activities can be found in</w:t>
      </w:r>
      <w:r w:rsidR="009A08C7" w:rsidRPr="00647AEE">
        <w:rPr>
          <w:rFonts w:eastAsia="Arial" w:cs="Arial"/>
        </w:rPr>
        <w:t xml:space="preserve"> </w:t>
      </w:r>
      <w:r w:rsidR="00901882">
        <w:rPr>
          <w:rFonts w:eastAsia="Arial" w:cs="Arial"/>
        </w:rPr>
        <w:t xml:space="preserve">the </w:t>
      </w:r>
      <w:r w:rsidR="00F70EFD" w:rsidRPr="006C7573">
        <w:t>Addendum</w:t>
      </w:r>
      <w:r w:rsidR="00E36E00" w:rsidRPr="00647AEE">
        <w:rPr>
          <w:rFonts w:eastAsia="Arial" w:cs="Arial"/>
        </w:rPr>
        <w:t>.</w:t>
      </w:r>
    </w:p>
    <w:p w14:paraId="4A179521" w14:textId="6D1CB7BC" w:rsidR="00FF3BD9" w:rsidRPr="00647AEE" w:rsidRDefault="00FF3BD9" w:rsidP="009F1690">
      <w:pPr>
        <w:autoSpaceDE w:val="0"/>
        <w:autoSpaceDN w:val="0"/>
        <w:adjustRightInd w:val="0"/>
        <w:spacing w:before="240" w:after="0" w:line="240" w:lineRule="auto"/>
        <w:rPr>
          <w:rFonts w:eastAsia="Arial" w:cs="Arial"/>
        </w:rPr>
      </w:pPr>
      <w:r w:rsidRPr="00647AEE">
        <w:rPr>
          <w:rFonts w:eastAsia="Arial" w:cs="Arial"/>
        </w:rPr>
        <w:t xml:space="preserve">We also recognise </w:t>
      </w:r>
      <w:r w:rsidR="007F302F" w:rsidRPr="00647AEE">
        <w:rPr>
          <w:rFonts w:eastAsia="Arial" w:cs="Arial"/>
        </w:rPr>
        <w:t>and champion the</w:t>
      </w:r>
      <w:r w:rsidRPr="00647AEE">
        <w:rPr>
          <w:rFonts w:eastAsia="Arial" w:cs="Arial"/>
        </w:rPr>
        <w:t xml:space="preserve"> significant societal efforts </w:t>
      </w:r>
      <w:r w:rsidR="00615D15">
        <w:rPr>
          <w:rFonts w:eastAsia="Arial" w:cs="Arial"/>
        </w:rPr>
        <w:t xml:space="preserve">already </w:t>
      </w:r>
      <w:r w:rsidRPr="00647AEE">
        <w:rPr>
          <w:rFonts w:eastAsia="Arial" w:cs="Arial"/>
        </w:rPr>
        <w:t xml:space="preserve">underway that have an essential role in ending gender-based </w:t>
      </w:r>
      <w:r w:rsidR="003D093D" w:rsidRPr="00647AEE">
        <w:rPr>
          <w:rFonts w:eastAsia="Arial" w:cs="Arial"/>
        </w:rPr>
        <w:t>violence</w:t>
      </w:r>
      <w:r w:rsidR="003D093D">
        <w:rPr>
          <w:rFonts w:eastAsia="Arial" w:cs="Arial"/>
        </w:rPr>
        <w:t>. We</w:t>
      </w:r>
      <w:r w:rsidR="007F302F" w:rsidRPr="00647AEE">
        <w:rPr>
          <w:rFonts w:eastAsia="Arial" w:cs="Arial"/>
        </w:rPr>
        <w:t xml:space="preserve"> will continue to engage with all sectors to facilitate a shared understanding of the National Plan and to promote collective action across the community</w:t>
      </w:r>
      <w:r w:rsidR="00FC35EA" w:rsidRPr="00647AEE">
        <w:rPr>
          <w:rFonts w:eastAsia="Arial" w:cs="Arial"/>
        </w:rPr>
        <w:t>.</w:t>
      </w:r>
    </w:p>
    <w:p w14:paraId="4CC5184B" w14:textId="19173F08" w:rsidR="00FF3BD9" w:rsidRPr="00647AEE" w:rsidRDefault="00FF3BD9" w:rsidP="009F1690">
      <w:pPr>
        <w:spacing w:before="240" w:after="0"/>
        <w:rPr>
          <w:rFonts w:eastAsia="Arial" w:cs="Arial"/>
        </w:rPr>
      </w:pPr>
      <w:r w:rsidRPr="00647AEE">
        <w:rPr>
          <w:rFonts w:eastAsia="Arial" w:cs="Arial"/>
        </w:rPr>
        <w:t>The term ‘trauma-informed’ is used in some actions. In practice, this means recognising and understanding the impacts of trauma and delivering dignity-affirming care that engenders trust and a feeling of safety.</w:t>
      </w:r>
    </w:p>
    <w:p w14:paraId="27247981" w14:textId="195582DC" w:rsidR="007A26A9" w:rsidRPr="00647AEE" w:rsidRDefault="007A26A9" w:rsidP="009F1690">
      <w:pPr>
        <w:spacing w:before="240" w:after="0"/>
        <w:rPr>
          <w:rFonts w:eastAsia="Arial" w:cs="Arial"/>
        </w:rPr>
      </w:pPr>
      <w:r w:rsidRPr="00647AEE">
        <w:rPr>
          <w:rFonts w:eastAsia="Arial" w:cs="Arial"/>
        </w:rPr>
        <w:t>The term ‘healing-informed’ is used in the Action Plan</w:t>
      </w:r>
      <w:r w:rsidR="00AF1373">
        <w:rPr>
          <w:rFonts w:eastAsia="Arial" w:cs="Arial"/>
        </w:rPr>
        <w:t xml:space="preserve"> and </w:t>
      </w:r>
      <w:r w:rsidRPr="00647AEE">
        <w:rPr>
          <w:rFonts w:eastAsia="Arial" w:cs="Arial"/>
        </w:rPr>
        <w:t xml:space="preserve">refers to care principles which are strengths-based and specific to cultures and communities. Healing-informed care principles for Aboriginal and Torres Strait Islander peoples and communities are tied to holistic views of health </w:t>
      </w:r>
      <w:r w:rsidR="009F71E7">
        <w:rPr>
          <w:rFonts w:eastAsia="Arial" w:cs="Arial"/>
        </w:rPr>
        <w:t>and</w:t>
      </w:r>
      <w:r w:rsidRPr="00647AEE">
        <w:rPr>
          <w:rFonts w:eastAsia="Arial" w:cs="Arial"/>
        </w:rPr>
        <w:t xml:space="preserve"> connection to kinship and Country, and address the sociocultural determinants of health.</w:t>
      </w:r>
    </w:p>
    <w:p w14:paraId="4041CB1D" w14:textId="0089E819" w:rsidR="00FF3BD9" w:rsidRPr="009F1690" w:rsidDel="00403CDD" w:rsidRDefault="00FF3BD9" w:rsidP="009F1690">
      <w:pPr>
        <w:spacing w:before="240" w:after="0"/>
        <w:rPr>
          <w:rFonts w:eastAsia="Arial" w:cs="Arial"/>
        </w:rPr>
      </w:pPr>
      <w:r w:rsidRPr="00647AEE">
        <w:rPr>
          <w:rFonts w:eastAsia="Arial" w:cs="Arial"/>
        </w:rPr>
        <w:t xml:space="preserve">Where the term ‘mainstream services’ is used, it denotes services that are not specific to </w:t>
      </w:r>
      <w:r w:rsidR="00F70EFD" w:rsidRPr="00647AEE">
        <w:rPr>
          <w:rFonts w:eastAsia="Arial" w:cs="Arial"/>
        </w:rPr>
        <w:t>gender-based</w:t>
      </w:r>
      <w:r w:rsidRPr="00647AEE">
        <w:rPr>
          <w:rFonts w:eastAsia="Arial" w:cs="Arial"/>
        </w:rPr>
        <w:t xml:space="preserve"> violence. These may include </w:t>
      </w:r>
      <w:r w:rsidR="00267419" w:rsidRPr="00647AEE">
        <w:rPr>
          <w:rFonts w:eastAsia="Arial" w:cs="Arial"/>
        </w:rPr>
        <w:t xml:space="preserve">local governments, </w:t>
      </w:r>
      <w:r w:rsidRPr="00C27077">
        <w:rPr>
          <w:rFonts w:eastAsia="Arial" w:cs="Arial"/>
        </w:rPr>
        <w:t>services delivering healthcare,</w:t>
      </w:r>
      <w:r w:rsidR="001C68F7" w:rsidRPr="00201BB0">
        <w:rPr>
          <w:rFonts w:eastAsia="Arial" w:cs="Arial"/>
        </w:rPr>
        <w:t xml:space="preserve"> aged care,</w:t>
      </w:r>
      <w:r w:rsidRPr="00201BB0">
        <w:rPr>
          <w:rFonts w:eastAsia="Arial" w:cs="Arial"/>
        </w:rPr>
        <w:t xml:space="preserve"> legal and justice services, education</w:t>
      </w:r>
      <w:r w:rsidR="00344686">
        <w:rPr>
          <w:rFonts w:eastAsia="Arial" w:cs="Arial"/>
        </w:rPr>
        <w:t xml:space="preserve"> and higher education</w:t>
      </w:r>
      <w:r w:rsidRPr="00201BB0">
        <w:rPr>
          <w:rFonts w:eastAsia="Arial" w:cs="Arial"/>
        </w:rPr>
        <w:t xml:space="preserve">, </w:t>
      </w:r>
      <w:r w:rsidR="005A241F" w:rsidRPr="00C27077">
        <w:rPr>
          <w:rFonts w:eastAsia="Arial" w:cs="Arial"/>
        </w:rPr>
        <w:t xml:space="preserve">income support </w:t>
      </w:r>
      <w:r w:rsidRPr="00201BB0">
        <w:rPr>
          <w:rFonts w:eastAsia="Arial" w:cs="Arial"/>
        </w:rPr>
        <w:t>payments, emergency relief, and other forms of support.</w:t>
      </w:r>
      <w:r w:rsidR="00E613F7" w:rsidRPr="009F1690">
        <w:rPr>
          <w:rFonts w:eastAsia="Arial" w:cs="Arial"/>
        </w:rPr>
        <w:t xml:space="preserve"> </w:t>
      </w:r>
      <w:r w:rsidR="009F71E7">
        <w:rPr>
          <w:rFonts w:eastAsia="Arial" w:cs="Arial"/>
        </w:rPr>
        <w:t>This</w:t>
      </w:r>
      <w:r w:rsidR="00FC35EA" w:rsidRPr="009F1690">
        <w:rPr>
          <w:rFonts w:eastAsia="Arial" w:cs="Arial"/>
        </w:rPr>
        <w:t xml:space="preserve"> also includes businesses delivering services essential to survival, such as energy and water services, financial services, housing, food or telecommunications.</w:t>
      </w:r>
    </w:p>
    <w:p w14:paraId="7881589E" w14:textId="77777777" w:rsidR="008D2AC5" w:rsidRDefault="008D2AC5">
      <w:pPr>
        <w:rPr>
          <w:rFonts w:eastAsiaTheme="majorEastAsia" w:cstheme="majorBidi"/>
          <w:b/>
          <w:bCs/>
          <w:sz w:val="32"/>
          <w:szCs w:val="26"/>
        </w:rPr>
      </w:pPr>
      <w:bookmarkStart w:id="95" w:name="_Toc132805049"/>
      <w:bookmarkStart w:id="96" w:name="_Toc132805390"/>
      <w:bookmarkStart w:id="97" w:name="_Toc134621944"/>
      <w:bookmarkStart w:id="98" w:name="_Toc134622036"/>
      <w:bookmarkStart w:id="99" w:name="_Toc134622138"/>
      <w:bookmarkStart w:id="100" w:name="_Toc134624192"/>
      <w:bookmarkStart w:id="101" w:name="_Toc134624227"/>
      <w:bookmarkStart w:id="102" w:name="_Toc134628756"/>
      <w:bookmarkStart w:id="103" w:name="_Toc136254997"/>
      <w:bookmarkStart w:id="104" w:name="_Toc136261692"/>
      <w:bookmarkStart w:id="105" w:name="_Toc136268781"/>
      <w:bookmarkStart w:id="106" w:name="_Toc136272358"/>
      <w:bookmarkStart w:id="107" w:name="_Toc136279954"/>
      <w:bookmarkStart w:id="108" w:name="_Toc136278737"/>
      <w:bookmarkStart w:id="109" w:name="_Toc127776211"/>
      <w:bookmarkStart w:id="110" w:name="_Toc127800136"/>
      <w:bookmarkStart w:id="111" w:name="_Toc128734626"/>
      <w:bookmarkStart w:id="112" w:name="_Toc127441231"/>
      <w:r>
        <w:br w:type="page"/>
      </w:r>
    </w:p>
    <w:p w14:paraId="1D54E43B" w14:textId="77777777" w:rsidR="0008575C" w:rsidRDefault="00FF3BD9" w:rsidP="00BF6AD8">
      <w:pPr>
        <w:pStyle w:val="Heading1"/>
      </w:pPr>
      <w:bookmarkStart w:id="113" w:name="_Toc144909134"/>
      <w:r w:rsidRPr="00426D33">
        <w:lastRenderedPageBreak/>
        <w:t>Action 1</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13"/>
    </w:p>
    <w:p w14:paraId="0994DC49" w14:textId="305739E5" w:rsidR="00FF3BD9" w:rsidRPr="0008575C" w:rsidRDefault="00FF3BD9" w:rsidP="0008575C">
      <w:pPr>
        <w:pStyle w:val="Heading2"/>
      </w:pPr>
      <w:bookmarkStart w:id="114" w:name="_Toc144909135"/>
      <w:r w:rsidRPr="0008575C">
        <w:t>Advance gender equality and address the drivers of all forms of gender-based violence, including through initiatives aimed to improve community attitudes and norms toward family, domestic, and sexual violence.</w:t>
      </w:r>
      <w:bookmarkEnd w:id="114"/>
    </w:p>
    <w:p w14:paraId="2ED3A32E" w14:textId="0ACC015A" w:rsidR="00FF3BD9" w:rsidRPr="0008575C" w:rsidRDefault="00FF3BD9" w:rsidP="00FF3BD9">
      <w:pPr>
        <w:rPr>
          <w:rFonts w:eastAsia="Arial" w:cs="Arial"/>
          <w:b/>
          <w:bCs/>
        </w:rPr>
      </w:pPr>
      <w:r w:rsidRPr="0008575C">
        <w:rPr>
          <w:rFonts w:eastAsia="Arial" w:cs="Arial"/>
          <w:b/>
          <w:bCs/>
          <w:color w:val="000000" w:themeColor="text1"/>
        </w:rPr>
        <w:t xml:space="preserve">Ending </w:t>
      </w:r>
      <w:r w:rsidR="00647AEE" w:rsidRPr="0008575C">
        <w:rPr>
          <w:rFonts w:eastAsia="Arial" w:cs="Arial"/>
          <w:b/>
          <w:bCs/>
          <w:color w:val="000000" w:themeColor="text1"/>
        </w:rPr>
        <w:t xml:space="preserve">gender-based </w:t>
      </w:r>
      <w:r w:rsidRPr="0008575C">
        <w:rPr>
          <w:rFonts w:eastAsia="Arial" w:cs="Arial"/>
          <w:b/>
          <w:bCs/>
          <w:color w:val="000000" w:themeColor="text1"/>
        </w:rPr>
        <w:t xml:space="preserve">violence is everybody’s business. </w:t>
      </w:r>
      <w:r w:rsidRPr="0008575C">
        <w:rPr>
          <w:rFonts w:eastAsia="Arial" w:cs="Arial"/>
          <w:b/>
          <w:bCs/>
        </w:rPr>
        <w:t>All governments and society as a whole must work together to address the social, cultural, political, and economic factors that drive gendered violence through a range of national activities including nationally coordinated education and behaviour change campaigns.</w:t>
      </w:r>
    </w:p>
    <w:p w14:paraId="423E5AA0" w14:textId="4599C712" w:rsidR="00305358" w:rsidRPr="005E42FC" w:rsidRDefault="00305358" w:rsidP="003A6759">
      <w:pPr>
        <w:rPr>
          <w:rFonts w:eastAsia="Arial" w:cs="Arial"/>
        </w:rPr>
      </w:pPr>
      <w:r w:rsidRPr="005E42FC">
        <w:rPr>
          <w:rFonts w:eastAsia="Arial" w:cs="Arial"/>
        </w:rPr>
        <w:t xml:space="preserve">Drawing on </w:t>
      </w:r>
      <w:r w:rsidR="0016285E">
        <w:rPr>
          <w:rFonts w:eastAsia="Arial" w:cs="Arial"/>
        </w:rPr>
        <w:t xml:space="preserve">the </w:t>
      </w:r>
      <w:r w:rsidR="00E8742E" w:rsidRPr="005E42FC">
        <w:rPr>
          <w:rFonts w:eastAsia="Arial" w:cs="Arial"/>
        </w:rPr>
        <w:t>Our Watch</w:t>
      </w:r>
      <w:r w:rsidRPr="006D69B3">
        <w:rPr>
          <w:rFonts w:eastAsia="Arial" w:cs="Arial"/>
          <w:i/>
        </w:rPr>
        <w:t xml:space="preserve"> Change the Story</w:t>
      </w:r>
      <w:r w:rsidR="00B5470C">
        <w:rPr>
          <w:rFonts w:eastAsia="Arial" w:cs="Arial"/>
          <w:i/>
          <w:iCs/>
        </w:rPr>
        <w:t>,</w:t>
      </w:r>
      <w:r w:rsidRPr="00C27077">
        <w:rPr>
          <w:rStyle w:val="EndnoteReference"/>
          <w:rFonts w:eastAsia="Arial" w:cs="Arial"/>
        </w:rPr>
        <w:endnoteReference w:id="13"/>
      </w:r>
      <w:r w:rsidR="00B5470C">
        <w:rPr>
          <w:rFonts w:eastAsia="Arial" w:cs="Arial"/>
        </w:rPr>
        <w:t xml:space="preserve"> </w:t>
      </w:r>
      <w:r w:rsidRPr="005E42FC">
        <w:rPr>
          <w:rFonts w:eastAsia="Arial" w:cs="Arial"/>
        </w:rPr>
        <w:t>and informed by victim-survivors,</w:t>
      </w:r>
      <w:r w:rsidR="00B24D5D" w:rsidRPr="005E42FC">
        <w:rPr>
          <w:rFonts w:eastAsia="Arial" w:cs="Arial"/>
        </w:rPr>
        <w:t xml:space="preserve"> </w:t>
      </w:r>
      <w:r w:rsidRPr="005E42FC">
        <w:rPr>
          <w:rFonts w:eastAsia="Arial" w:cs="Arial"/>
        </w:rPr>
        <w:t>we will embed prevention activities in all settings.</w:t>
      </w:r>
    </w:p>
    <w:p w14:paraId="31A8D32E" w14:textId="3776DC07" w:rsidR="003A6759" w:rsidRPr="005E42FC" w:rsidRDefault="0046644F" w:rsidP="003A6759">
      <w:pPr>
        <w:rPr>
          <w:rFonts w:eastAsia="Arial" w:cs="Arial"/>
        </w:rPr>
      </w:pPr>
      <w:r w:rsidRPr="005E42FC">
        <w:rPr>
          <w:rFonts w:eastAsia="Arial" w:cs="Arial"/>
        </w:rPr>
        <w:t>W</w:t>
      </w:r>
      <w:r w:rsidR="00997AF6" w:rsidRPr="005E42FC">
        <w:rPr>
          <w:rFonts w:eastAsia="Arial" w:cs="Arial"/>
        </w:rPr>
        <w:t xml:space="preserve">e </w:t>
      </w:r>
      <w:r w:rsidR="003A6759" w:rsidRPr="005E42FC">
        <w:rPr>
          <w:rFonts w:eastAsia="Arial" w:cs="Arial"/>
        </w:rPr>
        <w:t xml:space="preserve">will work to continue to shift community attitudes and social norms that justify, excuse, trivialise, normalise or downplay gender-based violence, and </w:t>
      </w:r>
      <w:r w:rsidR="005E42FC">
        <w:rPr>
          <w:rFonts w:eastAsia="Arial" w:cs="Arial"/>
        </w:rPr>
        <w:t>attitudes</w:t>
      </w:r>
      <w:r w:rsidR="003A6759" w:rsidRPr="005E42FC">
        <w:rPr>
          <w:rFonts w:eastAsia="Arial" w:cs="Arial"/>
        </w:rPr>
        <w:t xml:space="preserve"> that continue to place the onus on </w:t>
      </w:r>
      <w:r w:rsidR="00647AEE">
        <w:rPr>
          <w:rFonts w:eastAsia="Arial" w:cs="Arial"/>
        </w:rPr>
        <w:t>victim-survivors</w:t>
      </w:r>
      <w:r w:rsidR="00997AF6" w:rsidRPr="005E42FC">
        <w:rPr>
          <w:rFonts w:eastAsia="Arial" w:cs="Arial"/>
        </w:rPr>
        <w:t xml:space="preserve"> </w:t>
      </w:r>
      <w:r w:rsidR="00997AF6" w:rsidRPr="00C27077">
        <w:rPr>
          <w:rFonts w:eastAsia="Arial" w:cs="Arial"/>
        </w:rPr>
        <w:t xml:space="preserve">to stop the violence. </w:t>
      </w:r>
      <w:r w:rsidR="003A6759" w:rsidRPr="005E42FC">
        <w:rPr>
          <w:rFonts w:eastAsia="Arial" w:cs="Arial"/>
        </w:rPr>
        <w:t xml:space="preserve">We will also work to challenge the condoning of other forms of violence based on discriminatory attitudes </w:t>
      </w:r>
      <w:r w:rsidR="0016285E">
        <w:rPr>
          <w:rFonts w:eastAsia="Arial" w:cs="Arial"/>
        </w:rPr>
        <w:t xml:space="preserve">such as </w:t>
      </w:r>
      <w:r w:rsidR="003A6759" w:rsidRPr="005E42FC">
        <w:rPr>
          <w:rFonts w:eastAsia="Arial" w:cs="Arial"/>
        </w:rPr>
        <w:t>race, culture, sexuality, gender and level of ability.</w:t>
      </w:r>
    </w:p>
    <w:p w14:paraId="17995C30" w14:textId="6F0A1019" w:rsidR="003A6759" w:rsidRPr="005E42FC" w:rsidRDefault="003A6759" w:rsidP="003A6759">
      <w:pPr>
        <w:rPr>
          <w:rFonts w:eastAsia="Arial" w:cs="Arial"/>
        </w:rPr>
      </w:pPr>
      <w:r w:rsidRPr="005E42FC">
        <w:rPr>
          <w:rFonts w:eastAsia="Arial" w:cs="Arial"/>
        </w:rPr>
        <w:t>This includes challenging stereotyped views that normalise male control and dominance, privilege masculine behaviours and character traits, and promote male control over decision-making in public life and in relationships.</w:t>
      </w:r>
      <w:r w:rsidR="00997AF6" w:rsidRPr="005E42FC">
        <w:rPr>
          <w:rFonts w:eastAsia="Arial" w:cs="Arial"/>
        </w:rPr>
        <w:t xml:space="preserve"> </w:t>
      </w:r>
      <w:r w:rsidRPr="005E42FC">
        <w:rPr>
          <w:rFonts w:eastAsia="Arial" w:cs="Arial"/>
        </w:rPr>
        <w:t>Primary prevention works across the whole population to address attitudes, norms</w:t>
      </w:r>
      <w:r w:rsidR="009F71E7">
        <w:rPr>
          <w:rFonts w:eastAsia="Arial" w:cs="Arial"/>
        </w:rPr>
        <w:t>,</w:t>
      </w:r>
      <w:r w:rsidRPr="005E42FC">
        <w:rPr>
          <w:rFonts w:eastAsia="Arial" w:cs="Arial"/>
        </w:rPr>
        <w:t xml:space="preserve"> practices, structures and power imbalances that drive </w:t>
      </w:r>
      <w:r w:rsidR="005E42FC">
        <w:rPr>
          <w:rFonts w:eastAsia="Arial" w:cs="Arial"/>
        </w:rPr>
        <w:t xml:space="preserve">gender-based </w:t>
      </w:r>
      <w:r w:rsidRPr="005E42FC">
        <w:rPr>
          <w:rFonts w:eastAsia="Arial" w:cs="Arial"/>
        </w:rPr>
        <w:t>violence.</w:t>
      </w:r>
    </w:p>
    <w:p w14:paraId="12F3BED6" w14:textId="65E3B95B" w:rsidR="00556E13" w:rsidRPr="006D69B3" w:rsidRDefault="00556E13" w:rsidP="00556E13">
      <w:pPr>
        <w:rPr>
          <w:rFonts w:eastAsia="Arial" w:cs="Arial"/>
        </w:rPr>
      </w:pPr>
      <w:r w:rsidRPr="005E42FC">
        <w:rPr>
          <w:rFonts w:eastAsia="Arial" w:cs="Arial"/>
        </w:rPr>
        <w:t>E</w:t>
      </w:r>
      <w:r w:rsidRPr="006C7573">
        <w:t xml:space="preserve">vidence-based and resourced </w:t>
      </w:r>
      <w:r w:rsidR="004E2055">
        <w:rPr>
          <w:rFonts w:eastAsia="Arial" w:cs="Arial"/>
        </w:rPr>
        <w:t xml:space="preserve">Respectful Relationships </w:t>
      </w:r>
      <w:r w:rsidR="003D093D">
        <w:rPr>
          <w:rFonts w:eastAsia="Arial" w:cs="Arial"/>
        </w:rPr>
        <w:t xml:space="preserve">Education </w:t>
      </w:r>
      <w:r w:rsidR="003D093D" w:rsidRPr="006C7573">
        <w:t>can</w:t>
      </w:r>
      <w:r w:rsidRPr="006C7573">
        <w:t xml:space="preserve"> help create the generational change needed to free Australia from gender-based violence. </w:t>
      </w:r>
      <w:r w:rsidRPr="005E42FC">
        <w:rPr>
          <w:rFonts w:eastAsia="Arial" w:cs="Arial"/>
        </w:rPr>
        <w:t>Governments will continue to deliver evidence</w:t>
      </w:r>
      <w:r w:rsidR="00361503">
        <w:rPr>
          <w:rFonts w:eastAsia="Arial" w:cs="Arial"/>
        </w:rPr>
        <w:t>-</w:t>
      </w:r>
      <w:r w:rsidRPr="005E42FC">
        <w:rPr>
          <w:rFonts w:eastAsia="Arial" w:cs="Arial"/>
        </w:rPr>
        <w:t xml:space="preserve">based, Respectful Relationships Education that will support changing violence supportive behaviours. Whole-of-school approaches will </w:t>
      </w:r>
      <w:r w:rsidR="009F71E7">
        <w:rPr>
          <w:rFonts w:eastAsia="Arial" w:cs="Arial"/>
        </w:rPr>
        <w:t>improve</w:t>
      </w:r>
      <w:r w:rsidRPr="005E42FC">
        <w:rPr>
          <w:rFonts w:eastAsia="Arial" w:cs="Arial"/>
        </w:rPr>
        <w:t xml:space="preserve"> schools’ culture, policies and procedures, promote gender equality among staff and engage parents and guardians.</w:t>
      </w:r>
    </w:p>
    <w:p w14:paraId="0233D559" w14:textId="013243DF" w:rsidR="00FF3BD9" w:rsidRPr="00741032" w:rsidRDefault="00FF3BD9" w:rsidP="00FF3BD9">
      <w:pPr>
        <w:rPr>
          <w:rStyle w:val="normaltextrun"/>
          <w:rFonts w:eastAsia="Arial" w:cs="Arial"/>
          <w:color w:val="000000" w:themeColor="text1"/>
        </w:rPr>
      </w:pPr>
      <w:r w:rsidRPr="006D69B3">
        <w:rPr>
          <w:rFonts w:eastAsia="Arial" w:cs="Arial"/>
        </w:rPr>
        <w:t>We will work together to address gender inequality in all its forms</w:t>
      </w:r>
      <w:r w:rsidRPr="00741032">
        <w:rPr>
          <w:rFonts w:eastAsia="Arial" w:cs="Arial"/>
        </w:rPr>
        <w:t>. This includes addressing barriers to women’s economic and financial security,</w:t>
      </w:r>
      <w:r w:rsidR="00541FAA">
        <w:rPr>
          <w:rFonts w:eastAsia="Arial" w:cs="Arial"/>
        </w:rPr>
        <w:t xml:space="preserve"> </w:t>
      </w:r>
      <w:r w:rsidRPr="00741032">
        <w:rPr>
          <w:rFonts w:eastAsia="Arial" w:cs="Arial"/>
        </w:rPr>
        <w:t>independence, social, political and economic participation, and decision-making in public life, giving all people equal access to power</w:t>
      </w:r>
      <w:r w:rsidR="00541FAA">
        <w:rPr>
          <w:rFonts w:eastAsia="Arial" w:cs="Arial"/>
        </w:rPr>
        <w:t xml:space="preserve"> </w:t>
      </w:r>
      <w:r w:rsidRPr="00741032">
        <w:rPr>
          <w:rFonts w:eastAsia="Arial" w:cs="Arial"/>
        </w:rPr>
        <w:t>and</w:t>
      </w:r>
      <w:r w:rsidR="00541FAA">
        <w:rPr>
          <w:rFonts w:eastAsia="Arial" w:cs="Arial"/>
        </w:rPr>
        <w:t xml:space="preserve"> </w:t>
      </w:r>
      <w:r w:rsidRPr="00741032">
        <w:rPr>
          <w:rFonts w:eastAsia="Arial" w:cs="Arial"/>
        </w:rPr>
        <w:t>resources.</w:t>
      </w:r>
    </w:p>
    <w:p w14:paraId="198C7035" w14:textId="77777777" w:rsidR="00FF3BD9" w:rsidRPr="009F1690" w:rsidRDefault="00FF3BD9" w:rsidP="00FF3BD9">
      <w:pPr>
        <w:rPr>
          <w:rFonts w:eastAsia="Arial" w:cs="Arial"/>
        </w:rPr>
      </w:pPr>
      <w:r w:rsidRPr="009F1690">
        <w:rPr>
          <w:rFonts w:eastAsia="Arial" w:cs="Arial"/>
        </w:rPr>
        <w:t>We are restoring Australia’s leadership on gender equality by developing the National Strategy to Achieve Gender Equality to guide whole-of-community action.</w:t>
      </w:r>
    </w:p>
    <w:p w14:paraId="4F2E1B88" w14:textId="00626156" w:rsidR="00FF3BD9" w:rsidRDefault="001B5B51" w:rsidP="00FF3BD9">
      <w:r w:rsidRPr="009F1690">
        <w:rPr>
          <w:rStyle w:val="eop"/>
          <w:rFonts w:eastAsia="Arial" w:cs="Arial"/>
          <w:color w:val="000000"/>
          <w:shd w:val="clear" w:color="auto" w:fill="FFFFFF"/>
        </w:rPr>
        <w:t xml:space="preserve">We will work with victim-survivors to </w:t>
      </w:r>
      <w:r w:rsidR="00FF3BD9" w:rsidRPr="009F1690">
        <w:rPr>
          <w:rFonts w:eastAsia="Arial" w:cs="Arial"/>
        </w:rPr>
        <w:t xml:space="preserve">ensure primary prevention activities are designed by, and tailored for, the communities </w:t>
      </w:r>
      <w:r w:rsidR="003E78C1">
        <w:rPr>
          <w:rFonts w:eastAsia="Arial" w:cs="Arial"/>
        </w:rPr>
        <w:t>that use them</w:t>
      </w:r>
      <w:r w:rsidR="006C7573">
        <w:rPr>
          <w:rFonts w:eastAsia="Arial" w:cs="Arial"/>
        </w:rPr>
        <w:t xml:space="preserve">, including </w:t>
      </w:r>
      <w:r w:rsidR="00FF3BD9" w:rsidRPr="006D69B3">
        <w:rPr>
          <w:rFonts w:eastAsia="Arial" w:cs="Arial"/>
        </w:rPr>
        <w:t>Aboriginal and Torres Strait Islander communities, LGBTIQA+ people</w:t>
      </w:r>
      <w:r w:rsidR="00416751" w:rsidRPr="00741032">
        <w:rPr>
          <w:rFonts w:eastAsia="Arial" w:cs="Arial"/>
        </w:rPr>
        <w:t xml:space="preserve"> </w:t>
      </w:r>
      <w:r w:rsidR="005E42FC">
        <w:rPr>
          <w:rFonts w:eastAsia="Arial" w:cs="Arial"/>
        </w:rPr>
        <w:t>(</w:t>
      </w:r>
      <w:r w:rsidR="00416751" w:rsidRPr="006D69B3">
        <w:rPr>
          <w:rFonts w:eastAsia="Arial" w:cs="Arial"/>
        </w:rPr>
        <w:t>in</w:t>
      </w:r>
      <w:r w:rsidR="00416751">
        <w:t>cluding Sistergirl</w:t>
      </w:r>
      <w:r w:rsidR="005E42FC">
        <w:t>s</w:t>
      </w:r>
      <w:r w:rsidR="00416751">
        <w:t xml:space="preserve"> and Brotherboy</w:t>
      </w:r>
      <w:r w:rsidR="005E42FC">
        <w:t>s)</w:t>
      </w:r>
      <w:r w:rsidR="00FF3BD9">
        <w:t xml:space="preserve">, women and children with disability, children and young people, </w:t>
      </w:r>
      <w:r w:rsidR="00B24922">
        <w:t xml:space="preserve">men and boys, </w:t>
      </w:r>
      <w:r w:rsidR="00FF3BD9">
        <w:t xml:space="preserve">older women, migrant </w:t>
      </w:r>
      <w:r w:rsidR="00FF3BD9">
        <w:lastRenderedPageBreak/>
        <w:t>and refugee women, women on temporary visas, and people in remote and rural communities.</w:t>
      </w:r>
    </w:p>
    <w:p w14:paraId="36E3108A" w14:textId="77777777" w:rsidR="00FF3BD9" w:rsidRPr="00BF6AD8" w:rsidRDefault="00FF3BD9" w:rsidP="00BF6AD8">
      <w:pPr>
        <w:rPr>
          <w:b/>
          <w:bCs/>
          <w:i/>
          <w:iCs/>
        </w:rPr>
      </w:pPr>
      <w:r w:rsidRPr="00BF6AD8">
        <w:rPr>
          <w:b/>
          <w:bCs/>
          <w:i/>
          <w:iCs/>
        </w:rPr>
        <w:t>What difference will we make?</w:t>
      </w:r>
    </w:p>
    <w:p w14:paraId="3FFE59B2" w14:textId="58473CB9" w:rsidR="00FF3BD9" w:rsidRPr="007B7415" w:rsidRDefault="00FF3BD9" w:rsidP="00FF3BD9">
      <w:pPr>
        <w:spacing w:before="240"/>
        <w:rPr>
          <w:rFonts w:ascii="Calibri" w:hAnsi="Calibri"/>
        </w:rPr>
      </w:pPr>
      <w:r>
        <w:t xml:space="preserve">Implementing this action will work towards the following outcomes as identified in the </w:t>
      </w:r>
      <w:r w:rsidRPr="007B7415">
        <w:t>Outcomes Framework</w:t>
      </w:r>
      <w:r w:rsidR="006C7573">
        <w:t>:</w:t>
      </w:r>
    </w:p>
    <w:p w14:paraId="1BC3DA28" w14:textId="593CD0DF" w:rsidR="00FF3BD9" w:rsidRDefault="00FF3BD9" w:rsidP="006A365C">
      <w:pPr>
        <w:numPr>
          <w:ilvl w:val="0"/>
          <w:numId w:val="6"/>
        </w:numPr>
        <w:spacing w:before="240"/>
      </w:pPr>
      <w:r w:rsidRPr="007B7415">
        <w:t>Community attitudes and beliefs embrace gender equality and condemn all forms of gendered violence without exception</w:t>
      </w:r>
      <w:r w:rsidR="005839AF">
        <w:t>.</w:t>
      </w:r>
    </w:p>
    <w:p w14:paraId="62C014B5" w14:textId="0D25DBEF" w:rsidR="002F6601" w:rsidRPr="002F6601" w:rsidRDefault="002F6601" w:rsidP="006A365C">
      <w:pPr>
        <w:numPr>
          <w:ilvl w:val="0"/>
          <w:numId w:val="6"/>
        </w:numPr>
        <w:spacing w:before="240"/>
      </w:pPr>
      <w:r w:rsidRPr="002F6601">
        <w:t>People who choose to use violence are accountable for their actions and stop their violent, coercive, and abusive behaviours</w:t>
      </w:r>
      <w:r w:rsidR="005839AF">
        <w:t>.</w:t>
      </w:r>
    </w:p>
    <w:p w14:paraId="44F5B021" w14:textId="2AAA0F81" w:rsidR="00FF3BD9" w:rsidRDefault="00FF3BD9" w:rsidP="006A365C">
      <w:pPr>
        <w:pStyle w:val="ListParagraph"/>
        <w:numPr>
          <w:ilvl w:val="0"/>
          <w:numId w:val="6"/>
        </w:numPr>
      </w:pPr>
      <w:r w:rsidRPr="007B7415">
        <w:rPr>
          <w:rFonts w:cs="Arial"/>
          <w:lang w:val="en-US"/>
        </w:rPr>
        <w:t xml:space="preserve">Systems and institutions effectively support and protect people impacted by </w:t>
      </w:r>
      <w:r w:rsidR="00972957">
        <w:rPr>
          <w:rFonts w:cs="Arial"/>
          <w:lang w:val="en-US"/>
        </w:rPr>
        <w:t>gender-based</w:t>
      </w:r>
      <w:r w:rsidRPr="007B7415">
        <w:rPr>
          <w:rFonts w:cs="Arial"/>
          <w:lang w:val="en-US"/>
        </w:rPr>
        <w:t xml:space="preserve"> violence</w:t>
      </w:r>
      <w:r w:rsidR="005839AF">
        <w:t>.</w:t>
      </w:r>
    </w:p>
    <w:p w14:paraId="59218F58" w14:textId="77777777" w:rsidR="00890C31" w:rsidRPr="007B7415" w:rsidRDefault="00890C31" w:rsidP="00781BDA">
      <w:pPr>
        <w:pStyle w:val="ListParagraph"/>
      </w:pPr>
    </w:p>
    <w:p w14:paraId="2072A979" w14:textId="594DE76E" w:rsidR="00FF3BD9" w:rsidRPr="007B7415" w:rsidRDefault="00FF3BD9" w:rsidP="006C7573">
      <w:pPr>
        <w:pStyle w:val="ListParagraph"/>
        <w:numPr>
          <w:ilvl w:val="0"/>
          <w:numId w:val="6"/>
        </w:numPr>
      </w:pPr>
      <w:r w:rsidRPr="006C7573">
        <w:rPr>
          <w:color w:val="000000" w:themeColor="text1"/>
          <w:kern w:val="24"/>
        </w:rPr>
        <w:t xml:space="preserve">Women are safe and </w:t>
      </w:r>
      <w:r w:rsidR="001A003D" w:rsidRPr="00AC7EB2">
        <w:rPr>
          <w:rFonts w:cs="Arial"/>
          <w:bCs/>
          <w:color w:val="000000" w:themeColor="text1"/>
          <w:kern w:val="24"/>
        </w:rPr>
        <w:t xml:space="preserve">respected in all settings, and </w:t>
      </w:r>
      <w:r w:rsidRPr="006C7573">
        <w:rPr>
          <w:color w:val="000000" w:themeColor="text1"/>
          <w:kern w:val="24"/>
        </w:rPr>
        <w:t>experience economic, social, political and cultural equality</w:t>
      </w:r>
      <w:r w:rsidR="005839AF">
        <w:t>.</w:t>
      </w:r>
    </w:p>
    <w:p w14:paraId="73C901AD" w14:textId="1CB43F61" w:rsidR="003D4055" w:rsidRPr="007B7415" w:rsidRDefault="00FF3BD9" w:rsidP="00A820CC">
      <w:pPr>
        <w:numPr>
          <w:ilvl w:val="0"/>
          <w:numId w:val="6"/>
        </w:numPr>
        <w:spacing w:before="240"/>
      </w:pPr>
      <w:r w:rsidRPr="007B7415">
        <w:t>Children and young people are safe in all settings and are effectively supported by systems and services</w:t>
      </w:r>
      <w:r w:rsidR="005839AF">
        <w:t>.</w:t>
      </w:r>
    </w:p>
    <w:p w14:paraId="32DBC510" w14:textId="45FFE7C8" w:rsidR="00FF3BD9" w:rsidRDefault="00FF3BD9" w:rsidP="00FF3BD9">
      <w:pPr>
        <w:rPr>
          <w:bCs/>
        </w:rPr>
      </w:pPr>
      <w:r w:rsidRPr="2A73AA60">
        <w:rPr>
          <w:u w:val="single"/>
        </w:rPr>
        <w:t>Responsibility for implementation</w:t>
      </w:r>
      <w:r>
        <w:t xml:space="preserve">: </w:t>
      </w:r>
      <w:r w:rsidR="00833FEA">
        <w:t>Australian</w:t>
      </w:r>
      <w:r>
        <w:t>, state and territory governments</w:t>
      </w:r>
      <w:r w:rsidR="000873F7">
        <w:t xml:space="preserve"> and local governments</w:t>
      </w:r>
      <w:r>
        <w:t xml:space="preserve">; society more broadly including workplaces, institutions, </w:t>
      </w:r>
      <w:r w:rsidRPr="2A73AA60">
        <w:rPr>
          <w:rFonts w:eastAsia="Times New Roman"/>
        </w:rPr>
        <w:t xml:space="preserve">educational and faith-based settings, care settings, </w:t>
      </w:r>
      <w:r>
        <w:rPr>
          <w:rFonts w:eastAsia="Times New Roman"/>
        </w:rPr>
        <w:t xml:space="preserve">frontline services, </w:t>
      </w:r>
      <w:r w:rsidR="00B24922">
        <w:t xml:space="preserve">justice and legal sectors, </w:t>
      </w:r>
      <w:r w:rsidRPr="2A73AA60">
        <w:rPr>
          <w:rFonts w:eastAsia="Times New Roman"/>
        </w:rPr>
        <w:t>community and sporting organisations</w:t>
      </w:r>
      <w:r>
        <w:rPr>
          <w:rFonts w:eastAsia="Times New Roman"/>
        </w:rPr>
        <w:t xml:space="preserve">, </w:t>
      </w:r>
      <w:r w:rsidR="00FF61B2">
        <w:rPr>
          <w:rFonts w:eastAsia="Times New Roman"/>
        </w:rPr>
        <w:t xml:space="preserve">media and social media organisations, </w:t>
      </w:r>
      <w:r>
        <w:rPr>
          <w:rFonts w:eastAsia="Times New Roman"/>
        </w:rPr>
        <w:t>police, data custodians</w:t>
      </w:r>
      <w:r w:rsidR="005839AF">
        <w:rPr>
          <w:rFonts w:eastAsia="Times New Roman"/>
        </w:rPr>
        <w:t xml:space="preserve">, </w:t>
      </w:r>
      <w:r>
        <w:rPr>
          <w:rFonts w:eastAsia="Times New Roman"/>
        </w:rPr>
        <w:t xml:space="preserve">the </w:t>
      </w:r>
      <w:r w:rsidRPr="0037768E">
        <w:t xml:space="preserve">family, </w:t>
      </w:r>
      <w:r w:rsidR="005839AF">
        <w:t xml:space="preserve">and </w:t>
      </w:r>
      <w:r w:rsidRPr="0037768E">
        <w:t>domestic and sexual violence sector</w:t>
      </w:r>
      <w:r w:rsidR="000B37EF">
        <w:t>s</w:t>
      </w:r>
      <w:r w:rsidRPr="2A73AA60">
        <w:rPr>
          <w:rFonts w:eastAsia="Times New Roman"/>
        </w:rPr>
        <w:t>.</w:t>
      </w:r>
    </w:p>
    <w:p w14:paraId="3423D560" w14:textId="2361C507" w:rsidR="00FF3BD9" w:rsidRPr="00FD77A7" w:rsidRDefault="00FF3BD9" w:rsidP="00FF3BD9">
      <w:r w:rsidRPr="2A73AA60">
        <w:rPr>
          <w:u w:val="single"/>
        </w:rPr>
        <w:t>Domains:</w:t>
      </w:r>
      <w:r>
        <w:t xml:space="preserve"> prevention; early intervention</w:t>
      </w:r>
      <w:r w:rsidR="005839AF">
        <w:t>.</w:t>
      </w:r>
    </w:p>
    <w:p w14:paraId="341D7604" w14:textId="77777777" w:rsidR="000C6B5C" w:rsidRDefault="000C6B5C">
      <w:pPr>
        <w:rPr>
          <w:b/>
        </w:rPr>
      </w:pPr>
      <w:bookmarkStart w:id="115" w:name="_Toc128734616"/>
      <w:bookmarkStart w:id="116" w:name="_Toc132805051"/>
      <w:bookmarkStart w:id="117" w:name="_Toc132805392"/>
      <w:bookmarkStart w:id="118" w:name="_Toc134621945"/>
      <w:bookmarkStart w:id="119" w:name="_Toc134622037"/>
      <w:bookmarkStart w:id="120" w:name="_Toc134622139"/>
      <w:bookmarkStart w:id="121" w:name="_Toc134624193"/>
      <w:bookmarkStart w:id="122" w:name="_Toc134624228"/>
      <w:bookmarkStart w:id="123" w:name="_Toc134628757"/>
      <w:r>
        <w:rPr>
          <w:b/>
        </w:rPr>
        <w:br w:type="page"/>
      </w:r>
    </w:p>
    <w:p w14:paraId="6CF1D0CA" w14:textId="77777777" w:rsidR="0008575C" w:rsidRDefault="00FF3BD9" w:rsidP="00BF6AD8">
      <w:pPr>
        <w:pStyle w:val="Heading1"/>
      </w:pPr>
      <w:bookmarkStart w:id="124" w:name="_Toc144909136"/>
      <w:r w:rsidRPr="00426D33">
        <w:lastRenderedPageBreak/>
        <w:t>Action 2</w:t>
      </w:r>
      <w:bookmarkEnd w:id="115"/>
      <w:bookmarkEnd w:id="116"/>
      <w:bookmarkEnd w:id="117"/>
      <w:bookmarkEnd w:id="118"/>
      <w:bookmarkEnd w:id="119"/>
      <w:bookmarkEnd w:id="120"/>
      <w:bookmarkEnd w:id="121"/>
      <w:bookmarkEnd w:id="122"/>
      <w:bookmarkEnd w:id="123"/>
      <w:bookmarkEnd w:id="124"/>
    </w:p>
    <w:p w14:paraId="49EBBA1B" w14:textId="12F21A90" w:rsidR="00FF3BD9" w:rsidRPr="00426D33" w:rsidRDefault="00FF3BD9" w:rsidP="0008575C">
      <w:pPr>
        <w:pStyle w:val="Heading2"/>
      </w:pPr>
      <w:bookmarkStart w:id="125" w:name="_Toc144909137"/>
      <w:r w:rsidRPr="00426D33">
        <w:t xml:space="preserve">Improve the national evidence base by </w:t>
      </w:r>
      <w:r w:rsidR="00184445" w:rsidRPr="00426D33">
        <w:t xml:space="preserve">working towards </w:t>
      </w:r>
      <w:r w:rsidRPr="00426D33">
        <w:t xml:space="preserve">consistent terminology and monitoring and evaluation frameworks, and by </w:t>
      </w:r>
      <w:r w:rsidR="00333AAF" w:rsidRPr="00426D33">
        <w:t xml:space="preserve">strengthening </w:t>
      </w:r>
      <w:r w:rsidRPr="00426D33">
        <w:t>collection and sharing of data and evidence.</w:t>
      </w:r>
      <w:bookmarkEnd w:id="125"/>
    </w:p>
    <w:p w14:paraId="734F83A2" w14:textId="5C4FDDEA" w:rsidR="00FF3BD9" w:rsidRPr="0008575C" w:rsidRDefault="00FF3BD9" w:rsidP="0008575C">
      <w:pPr>
        <w:rPr>
          <w:b/>
          <w:bCs/>
        </w:rPr>
      </w:pPr>
      <w:r w:rsidRPr="0008575C">
        <w:rPr>
          <w:b/>
          <w:bCs/>
        </w:rPr>
        <w:t>Definitions of gender-based violence are a whole-of-system issue.</w:t>
      </w:r>
      <w:r w:rsidR="00201BB0" w:rsidRPr="0008575C">
        <w:rPr>
          <w:b/>
          <w:bCs/>
        </w:rPr>
        <w:t xml:space="preserve"> </w:t>
      </w:r>
      <w:r w:rsidR="00BC7F48" w:rsidRPr="0008575C">
        <w:rPr>
          <w:b/>
          <w:bCs/>
        </w:rPr>
        <w:t>Better aligning definitions across systems and sectors will assist in building more robust national data on the prevalence and types of gender-based violence that perpetrators use and victim-survivors experience</w:t>
      </w:r>
      <w:r w:rsidR="003E78C1" w:rsidRPr="0008575C">
        <w:rPr>
          <w:b/>
          <w:bCs/>
        </w:rPr>
        <w:t>,</w:t>
      </w:r>
      <w:r w:rsidR="00BC7F48" w:rsidRPr="0008575C">
        <w:rPr>
          <w:b/>
          <w:bCs/>
        </w:rPr>
        <w:t xml:space="preserve"> as well as the immediate and long-term impacts of </w:t>
      </w:r>
      <w:r w:rsidR="00A65DD8" w:rsidRPr="0008575C">
        <w:rPr>
          <w:b/>
          <w:bCs/>
        </w:rPr>
        <w:t>violence. Greater</w:t>
      </w:r>
      <w:r w:rsidRPr="0008575C">
        <w:rPr>
          <w:b/>
          <w:bCs/>
        </w:rPr>
        <w:t xml:space="preserve"> consistency of national terminology will also support a shared understanding of, and consistent response to, gender-based violence in Australia.</w:t>
      </w:r>
    </w:p>
    <w:p w14:paraId="71DC4B49" w14:textId="1FA3B720" w:rsidR="00510563" w:rsidRDefault="00510563" w:rsidP="00510563">
      <w:r>
        <w:t xml:space="preserve">Victim-survivors have told us that we need to regularly collect data, conduct surveys, and engage in qualitative research to </w:t>
      </w:r>
      <w:r w:rsidR="00F10465">
        <w:t xml:space="preserve">understand and measure changes </w:t>
      </w:r>
      <w:r>
        <w:t xml:space="preserve">in </w:t>
      </w:r>
      <w:r w:rsidR="00F10465">
        <w:t>p</w:t>
      </w:r>
      <w:r w:rsidR="00642713">
        <w:t>erpetration</w:t>
      </w:r>
      <w:r w:rsidR="00261DF2">
        <w:t>, prevalence</w:t>
      </w:r>
      <w:r w:rsidR="00F10465">
        <w:t xml:space="preserve">, </w:t>
      </w:r>
      <w:r>
        <w:t>attitudes, behaviours, and knowledge related to gender-based violence.</w:t>
      </w:r>
      <w:r w:rsidR="00B24D5D">
        <w:t xml:space="preserve"> </w:t>
      </w:r>
      <w:r w:rsidR="00136A38">
        <w:t xml:space="preserve">This will help us </w:t>
      </w:r>
      <w:r w:rsidR="00136A38" w:rsidRPr="000F49BB">
        <w:t xml:space="preserve">to identify mechanisms and early intervention strategies to </w:t>
      </w:r>
      <w:r w:rsidR="00271932">
        <w:t>help</w:t>
      </w:r>
      <w:r w:rsidR="00136A38" w:rsidRPr="000F49BB">
        <w:t xml:space="preserve"> </w:t>
      </w:r>
      <w:r w:rsidR="00201BB0" w:rsidRPr="000F49BB">
        <w:t xml:space="preserve">people at </w:t>
      </w:r>
      <w:r w:rsidR="00201BB0" w:rsidRPr="001C219F">
        <w:t>risk</w:t>
      </w:r>
      <w:r w:rsidR="00136A38" w:rsidRPr="000F49BB">
        <w:t>.</w:t>
      </w:r>
    </w:p>
    <w:p w14:paraId="4C79D849" w14:textId="7EB23F05" w:rsidR="00FF3BD9" w:rsidRPr="00002EF6" w:rsidRDefault="00FF3BD9" w:rsidP="00510563">
      <w:r w:rsidRPr="00002EF6">
        <w:t xml:space="preserve">The </w:t>
      </w:r>
      <w:r w:rsidR="000F49BB">
        <w:t>Australian,</w:t>
      </w:r>
      <w:r w:rsidRPr="00002EF6">
        <w:t xml:space="preserve"> </w:t>
      </w:r>
      <w:r w:rsidR="00333AAF">
        <w:t>state and territory g</w:t>
      </w:r>
      <w:r w:rsidRPr="00002EF6">
        <w:t>overnment</w:t>
      </w:r>
      <w:r w:rsidR="00333AAF">
        <w:t>s</w:t>
      </w:r>
      <w:r w:rsidRPr="00002EF6">
        <w:t xml:space="preserve"> will continue to work to improve national level data collection and </w:t>
      </w:r>
      <w:r w:rsidR="00184445">
        <w:t xml:space="preserve">sharing capability and </w:t>
      </w:r>
      <w:r w:rsidRPr="00002EF6">
        <w:t>development processes to measure changes in population-level attitudes to gender-based violence.</w:t>
      </w:r>
    </w:p>
    <w:p w14:paraId="0945336F" w14:textId="12C2B6B6" w:rsidR="00A43B88" w:rsidRPr="000F49BB" w:rsidRDefault="00A43B88" w:rsidP="000F49BB">
      <w:r w:rsidRPr="000F49BB">
        <w:t xml:space="preserve">All governments will continue their ongoing commitment to develop appropriate infrastructure to support evidence building and </w:t>
      </w:r>
      <w:r w:rsidRPr="006D69B3">
        <w:rPr>
          <w:rFonts w:eastAsiaTheme="minorEastAsia"/>
        </w:rPr>
        <w:t xml:space="preserve">evidence </w:t>
      </w:r>
      <w:r w:rsidRPr="000F49BB">
        <w:t xml:space="preserve">use, </w:t>
      </w:r>
      <w:r w:rsidRPr="001C219F">
        <w:t>support</w:t>
      </w:r>
      <w:r w:rsidRPr="000F49BB">
        <w:t xml:space="preserve"> ethical and strategic research, data collection and data analysis</w:t>
      </w:r>
      <w:r w:rsidR="003E78C1">
        <w:t>, improve our understanding of the drivers</w:t>
      </w:r>
      <w:r w:rsidR="00271932">
        <w:t xml:space="preserve">, </w:t>
      </w:r>
      <w:r w:rsidR="008353BA">
        <w:t xml:space="preserve">of </w:t>
      </w:r>
      <w:r w:rsidRPr="000F49BB">
        <w:t>violence against women,</w:t>
      </w:r>
      <w:r w:rsidRPr="006D69B3">
        <w:rPr>
          <w:rFonts w:eastAsiaTheme="minorEastAsia"/>
        </w:rPr>
        <w:t xml:space="preserve"> </w:t>
      </w:r>
      <w:r w:rsidRPr="000F49BB">
        <w:t xml:space="preserve">and </w:t>
      </w:r>
      <w:r w:rsidR="003E78C1">
        <w:t>implement</w:t>
      </w:r>
      <w:r w:rsidRPr="001C219F">
        <w:t xml:space="preserve"> </w:t>
      </w:r>
      <w:r w:rsidRPr="000F49BB">
        <w:t>effective approaches across the domains.</w:t>
      </w:r>
    </w:p>
    <w:p w14:paraId="6ABB4950" w14:textId="52E82D19" w:rsidR="00403A87" w:rsidRDefault="003E78C1" w:rsidP="00FF3BD9">
      <w:r w:rsidRPr="00D64912">
        <w:t>We will expand disaggregated data collection</w:t>
      </w:r>
      <w:r w:rsidR="00FF3BD9" w:rsidRPr="00002EF6">
        <w:t xml:space="preserve"> for </w:t>
      </w:r>
      <w:r w:rsidRPr="00D64912">
        <w:t>groups</w:t>
      </w:r>
      <w:r w:rsidR="00FF3BD9" w:rsidRPr="00002EF6">
        <w:t xml:space="preserve"> who experience </w:t>
      </w:r>
      <w:r w:rsidR="003B06C0">
        <w:t>forms of structural</w:t>
      </w:r>
      <w:r w:rsidR="00FF3BD9" w:rsidRPr="00002EF6">
        <w:t xml:space="preserve"> violence, </w:t>
      </w:r>
      <w:r w:rsidR="007258AB">
        <w:t>expand disaggregated data collection</w:t>
      </w:r>
      <w:r w:rsidR="00A62006" w:rsidRPr="00A62006">
        <w:t xml:space="preserve"> </w:t>
      </w:r>
      <w:r w:rsidR="00233476">
        <w:t xml:space="preserve">for diverse groups, including </w:t>
      </w:r>
      <w:r w:rsidR="00233476" w:rsidRPr="00511921">
        <w:rPr>
          <w:rFonts w:eastAsiaTheme="minorEastAsia" w:cs="Arial"/>
        </w:rPr>
        <w:t xml:space="preserve">Aboriginal and Torres Strait Islander </w:t>
      </w:r>
      <w:r w:rsidR="00233476">
        <w:t>w</w:t>
      </w:r>
      <w:r w:rsidR="00233476" w:rsidRPr="00002EF6">
        <w:t>omen and children</w:t>
      </w:r>
      <w:r w:rsidRPr="00D64912">
        <w:t>,</w:t>
      </w:r>
      <w:r w:rsidR="00233476" w:rsidRPr="00002EF6">
        <w:t xml:space="preserve"> </w:t>
      </w:r>
      <w:r w:rsidR="00271932">
        <w:t xml:space="preserve">those </w:t>
      </w:r>
      <w:r w:rsidR="00233476" w:rsidRPr="00002EF6">
        <w:t>from diverse cultural, ethnic, religious and linguistic backgrounds</w:t>
      </w:r>
      <w:r w:rsidR="00233476">
        <w:t>,</w:t>
      </w:r>
      <w:r w:rsidR="00233476" w:rsidRPr="00002EF6">
        <w:t xml:space="preserve"> </w:t>
      </w:r>
      <w:r w:rsidR="00233476">
        <w:t xml:space="preserve">including </w:t>
      </w:r>
      <w:r w:rsidR="00233476" w:rsidRPr="00002EF6">
        <w:t xml:space="preserve">migrant and refugee women and children, </w:t>
      </w:r>
      <w:r w:rsidR="00233476">
        <w:t>older women, women and children with disability</w:t>
      </w:r>
      <w:r w:rsidR="00271932">
        <w:t>,</w:t>
      </w:r>
      <w:r w:rsidR="00233476">
        <w:t xml:space="preserve"> and people </w:t>
      </w:r>
      <w:r w:rsidR="00F10465">
        <w:t>with</w:t>
      </w:r>
      <w:r w:rsidR="00FF3BD9" w:rsidRPr="00002EF6">
        <w:t xml:space="preserve"> </w:t>
      </w:r>
      <w:r w:rsidR="00F10465">
        <w:t xml:space="preserve">diverse sexualities and gender </w:t>
      </w:r>
      <w:r w:rsidR="00A62006">
        <w:t>and/</w:t>
      </w:r>
      <w:r w:rsidR="00F10465">
        <w:t>or intersex variations</w:t>
      </w:r>
      <w:r>
        <w:t>. This expanded data will be used</w:t>
      </w:r>
      <w:r w:rsidR="00F10465" w:rsidRPr="00002EF6">
        <w:t xml:space="preserve"> </w:t>
      </w:r>
      <w:r w:rsidR="00FF3BD9" w:rsidRPr="00002EF6">
        <w:t xml:space="preserve">to </w:t>
      </w:r>
      <w:r>
        <w:t>develop</w:t>
      </w:r>
      <w:r w:rsidR="00FF3BD9" w:rsidRPr="00002EF6">
        <w:t xml:space="preserve"> targeted activities and track progress</w:t>
      </w:r>
      <w:r>
        <w:t xml:space="preserve"> toward outcomes.</w:t>
      </w:r>
    </w:p>
    <w:p w14:paraId="796B3ADD" w14:textId="33B2D408" w:rsidR="00FF3BD9" w:rsidRDefault="00DC11F1" w:rsidP="00FF3BD9">
      <w:r w:rsidRPr="00002EF6">
        <w:t>With improved data and research we will be better able t</w:t>
      </w:r>
      <w:r>
        <w:t xml:space="preserve">o </w:t>
      </w:r>
      <w:r w:rsidR="003E78C1">
        <w:t xml:space="preserve">improve services and </w:t>
      </w:r>
      <w:r>
        <w:t>understand and respond to</w:t>
      </w:r>
      <w:r w:rsidRPr="00002EF6">
        <w:t xml:space="preserve"> </w:t>
      </w:r>
      <w:r w:rsidR="003E78C1">
        <w:t xml:space="preserve">the needs of </w:t>
      </w:r>
      <w:r w:rsidRPr="00002EF6">
        <w:t xml:space="preserve">specific </w:t>
      </w:r>
      <w:r w:rsidR="003E78C1">
        <w:t>cohorts</w:t>
      </w:r>
      <w:r w:rsidRPr="78059673">
        <w:t>.</w:t>
      </w:r>
      <w:r w:rsidR="00FF3BD9" w:rsidRPr="78059673">
        <w:t xml:space="preserve"> </w:t>
      </w:r>
      <w:r w:rsidR="00BF2090">
        <w:t>C</w:t>
      </w:r>
      <w:r w:rsidR="00FF3BD9" w:rsidRPr="00002EF6">
        <w:t xml:space="preserve">ommunity representatives and experts will be </w:t>
      </w:r>
      <w:r w:rsidR="003E78C1">
        <w:t>engaged</w:t>
      </w:r>
      <w:r w:rsidR="00FF3BD9" w:rsidRPr="00002EF6">
        <w:t xml:space="preserve"> to assist with the design of research and datasets</w:t>
      </w:r>
      <w:r w:rsidR="003E78C1">
        <w:t xml:space="preserve"> and to ensure data is reflective of communities</w:t>
      </w:r>
      <w:r w:rsidR="00FF3BD9" w:rsidRPr="00002EF6">
        <w:t>.</w:t>
      </w:r>
    </w:p>
    <w:p w14:paraId="4F1379EF" w14:textId="3016EEC6" w:rsidR="00BC7F48" w:rsidRPr="00BC7F48" w:rsidRDefault="00FF3BD9" w:rsidP="00BC7F48">
      <w:pPr>
        <w:widowControl w:val="0"/>
        <w:rPr>
          <w:rFonts w:cs="Arial"/>
        </w:rPr>
      </w:pPr>
      <w:r w:rsidRPr="00002EF6">
        <w:t xml:space="preserve">We will work towards </w:t>
      </w:r>
      <w:r w:rsidRPr="00002EF6">
        <w:rPr>
          <w:rStyle w:val="ui-provider"/>
        </w:rPr>
        <w:t>building the data and evidence</w:t>
      </w:r>
      <w:r w:rsidR="00224954">
        <w:rPr>
          <w:rStyle w:val="ui-provider"/>
        </w:rPr>
        <w:t xml:space="preserve"> </w:t>
      </w:r>
      <w:r w:rsidRPr="00002EF6">
        <w:rPr>
          <w:rStyle w:val="ui-provider"/>
        </w:rPr>
        <w:t xml:space="preserve">base on the nature and characteristics of the perpetration of </w:t>
      </w:r>
      <w:r w:rsidR="000873F7">
        <w:rPr>
          <w:rStyle w:val="ui-provider"/>
        </w:rPr>
        <w:t xml:space="preserve">different types of </w:t>
      </w:r>
      <w:r w:rsidRPr="00002EF6">
        <w:rPr>
          <w:rStyle w:val="ui-provider"/>
        </w:rPr>
        <w:t>violence</w:t>
      </w:r>
      <w:r w:rsidR="00224954">
        <w:rPr>
          <w:rStyle w:val="ui-provider"/>
        </w:rPr>
        <w:t>,</w:t>
      </w:r>
      <w:r w:rsidRPr="00002EF6">
        <w:rPr>
          <w:rStyle w:val="ui-provider"/>
        </w:rPr>
        <w:t xml:space="preserve"> to identify mechanisms and early intervention strategies</w:t>
      </w:r>
      <w:r w:rsidR="00224954">
        <w:rPr>
          <w:rStyle w:val="ui-provider"/>
        </w:rPr>
        <w:t>. We will work</w:t>
      </w:r>
      <w:r w:rsidR="000F49BB">
        <w:rPr>
          <w:rStyle w:val="ui-provider"/>
        </w:rPr>
        <w:t xml:space="preserve"> to </w:t>
      </w:r>
      <w:r w:rsidR="00224954">
        <w:rPr>
          <w:rStyle w:val="ui-provider"/>
        </w:rPr>
        <w:t>ensure</w:t>
      </w:r>
      <w:r w:rsidR="00BC7F48">
        <w:rPr>
          <w:rStyle w:val="ui-provider"/>
        </w:rPr>
        <w:t xml:space="preserve"> that</w:t>
      </w:r>
      <w:r w:rsidR="0091788D">
        <w:rPr>
          <w:rStyle w:val="ui-provider"/>
        </w:rPr>
        <w:t xml:space="preserve"> </w:t>
      </w:r>
      <w:r w:rsidR="00BC7F48" w:rsidRPr="00A9564C">
        <w:t xml:space="preserve">data </w:t>
      </w:r>
      <w:r w:rsidR="00BC7F48">
        <w:t>is</w:t>
      </w:r>
      <w:r w:rsidR="00BC7F48" w:rsidRPr="00A9564C">
        <w:t xml:space="preserve"> collected in a way that</w:t>
      </w:r>
      <w:r w:rsidR="000F49BB">
        <w:t xml:space="preserve"> </w:t>
      </w:r>
      <w:r w:rsidR="00BC7F48" w:rsidRPr="00A9564C">
        <w:t>safeguards individual privacy and minimises re-traumatisation of victim-survivors.</w:t>
      </w:r>
    </w:p>
    <w:p w14:paraId="2DF86C63" w14:textId="7AD301D6" w:rsidR="000873F7" w:rsidRPr="00002EF6" w:rsidRDefault="000873F7" w:rsidP="00FF3BD9">
      <w:r>
        <w:lastRenderedPageBreak/>
        <w:t xml:space="preserve">We </w:t>
      </w:r>
      <w:r w:rsidR="00EF17C4">
        <w:t xml:space="preserve">will </w:t>
      </w:r>
      <w:r>
        <w:t xml:space="preserve">further explore how we can measure improvements of </w:t>
      </w:r>
      <w:r w:rsidR="00224954">
        <w:t>victim-survivors</w:t>
      </w:r>
      <w:r>
        <w:t xml:space="preserve"> health and wellbeing </w:t>
      </w:r>
      <w:r w:rsidR="00ED30A5">
        <w:t>during</w:t>
      </w:r>
      <w:r>
        <w:t xml:space="preserve"> their recovery and healing.</w:t>
      </w:r>
    </w:p>
    <w:p w14:paraId="162C3632" w14:textId="34AAB8C4" w:rsidR="00FF3BD9" w:rsidRPr="00002EF6" w:rsidRDefault="00FF3BD9" w:rsidP="00FF3BD9">
      <w:r w:rsidRPr="00002EF6">
        <w:t xml:space="preserve">This Action recognises that jurisdictions are at different points in the development of their data collection processes. While some jurisdictions have robust data collection systems in place, others are </w:t>
      </w:r>
      <w:r w:rsidR="00660CD6">
        <w:t xml:space="preserve">at an earlier stage of </w:t>
      </w:r>
      <w:r w:rsidRPr="00002EF6">
        <w:t>developing data strategies.</w:t>
      </w:r>
    </w:p>
    <w:p w14:paraId="3927D2DD" w14:textId="0BFA5BC4" w:rsidR="00FF3BD9" w:rsidRDefault="007411D8" w:rsidP="00FF3BD9">
      <w:r>
        <w:t>P</w:t>
      </w:r>
      <w:r w:rsidR="00136A38">
        <w:t xml:space="preserve">rograms funded by the Commonwealth, states and territories must be rigorously evaluated to </w:t>
      </w:r>
      <w:r>
        <w:t xml:space="preserve">ensure accountability and </w:t>
      </w:r>
      <w:r w:rsidR="00136A38">
        <w:t xml:space="preserve">provide reliable information on </w:t>
      </w:r>
      <w:r>
        <w:t xml:space="preserve">the </w:t>
      </w:r>
      <w:r w:rsidR="00136A38">
        <w:t>success and progress of initiatives</w:t>
      </w:r>
      <w:r>
        <w:t>. Evaluations must</w:t>
      </w:r>
      <w:r w:rsidR="00136A38">
        <w:t xml:space="preserve"> inform future policy</w:t>
      </w:r>
      <w:r>
        <w:t>. We</w:t>
      </w:r>
      <w:r w:rsidR="00136A38">
        <w:t xml:space="preserve"> must have </w:t>
      </w:r>
      <w:r w:rsidR="00FF3BD9" w:rsidRPr="00002EF6">
        <w:t xml:space="preserve">ambitious and measurable targets </w:t>
      </w:r>
      <w:r>
        <w:t xml:space="preserve">in place </w:t>
      </w:r>
      <w:r w:rsidR="00FF3BD9" w:rsidRPr="00002EF6">
        <w:t>to demonstrate progress over time towards ending gender-based violence.</w:t>
      </w:r>
    </w:p>
    <w:p w14:paraId="47D132B0" w14:textId="1E9F2CC5" w:rsidR="00FF3BD9" w:rsidRPr="00044F07" w:rsidRDefault="00FF3BD9" w:rsidP="00FF3BD9">
      <w:r>
        <w:t xml:space="preserve">This Action </w:t>
      </w:r>
      <w:r w:rsidR="00DC11F1">
        <w:t xml:space="preserve">will work to </w:t>
      </w:r>
      <w:r>
        <w:t>support Priority Reform 4 of the National Agreement on Closing the Gap, to ‘</w:t>
      </w:r>
      <w:r w:rsidRPr="2508AF37">
        <w:rPr>
          <w:i/>
        </w:rPr>
        <w:t xml:space="preserve">share access to data and information at a regional </w:t>
      </w:r>
      <w:r w:rsidRPr="00F50584">
        <w:rPr>
          <w:i/>
        </w:rPr>
        <w:t>level</w:t>
      </w:r>
      <w:r w:rsidR="007411D8" w:rsidRPr="00F50584">
        <w:rPr>
          <w:i/>
        </w:rPr>
        <w:t>,</w:t>
      </w:r>
      <w:r w:rsidRPr="00F50584">
        <w:rPr>
          <w:i/>
        </w:rPr>
        <w:t>’</w:t>
      </w:r>
      <w:r>
        <w:t xml:space="preserve"> ensuring that </w:t>
      </w:r>
      <w:r w:rsidRPr="2508AF37">
        <w:rPr>
          <w:i/>
        </w:rPr>
        <w:t>‘Aboriginal and Torres Strait Islander people have access to, and the capability to use, locally-relevant data and information to set and monitor the implementation of efforts to close the gap, their priorities and drive their own development’.</w:t>
      </w:r>
      <w:r w:rsidRPr="009F1690">
        <w:rPr>
          <w:rStyle w:val="EndnoteReference"/>
          <w:i/>
        </w:rPr>
        <w:endnoteReference w:id="14"/>
      </w:r>
    </w:p>
    <w:p w14:paraId="7029E285" w14:textId="77777777" w:rsidR="00FF3BD9" w:rsidRPr="00BF6AD8" w:rsidRDefault="00FF3BD9" w:rsidP="00BF6AD8">
      <w:pPr>
        <w:rPr>
          <w:b/>
          <w:bCs/>
          <w:i/>
          <w:iCs/>
        </w:rPr>
      </w:pPr>
      <w:r w:rsidRPr="00BF6AD8">
        <w:rPr>
          <w:b/>
          <w:bCs/>
          <w:i/>
          <w:iCs/>
        </w:rPr>
        <w:t>What difference will we make?</w:t>
      </w:r>
    </w:p>
    <w:p w14:paraId="11E3FC75" w14:textId="77777777" w:rsidR="00FF3BD9" w:rsidRPr="00002EF6" w:rsidRDefault="00FF3BD9" w:rsidP="00FF3BD9">
      <w:pPr>
        <w:spacing w:before="240"/>
        <w:rPr>
          <w:rFonts w:ascii="Calibri" w:hAnsi="Calibri"/>
        </w:rPr>
      </w:pPr>
      <w:r w:rsidRPr="00002EF6">
        <w:t>Implementing this action will work towards the following outcomes as identified in the Outcomes Framework:</w:t>
      </w:r>
    </w:p>
    <w:p w14:paraId="5A554FCF" w14:textId="5B854EBE" w:rsidR="003D4055" w:rsidRPr="00512D9E" w:rsidRDefault="00FF3BD9" w:rsidP="003D4055">
      <w:pPr>
        <w:pStyle w:val="ListParagraph"/>
        <w:numPr>
          <w:ilvl w:val="0"/>
          <w:numId w:val="6"/>
        </w:numPr>
      </w:pPr>
      <w:r w:rsidRPr="00002EF6">
        <w:rPr>
          <w:rFonts w:cs="Arial"/>
          <w:lang w:val="en-US"/>
        </w:rPr>
        <w:t xml:space="preserve">Systems and institutions effectively support and protect people impacted by </w:t>
      </w:r>
      <w:r w:rsidRPr="00002EF6">
        <w:rPr>
          <w:lang w:val="en-US"/>
        </w:rPr>
        <w:t>gender-based violence</w:t>
      </w:r>
      <w:r w:rsidR="006A3906">
        <w:rPr>
          <w:lang w:val="en-US"/>
        </w:rPr>
        <w:t>.</w:t>
      </w:r>
    </w:p>
    <w:p w14:paraId="0AEFFE5D" w14:textId="77777777" w:rsidR="00512D9E" w:rsidRPr="00002EF6" w:rsidRDefault="00512D9E" w:rsidP="00512D9E">
      <w:pPr>
        <w:pStyle w:val="ListParagraph"/>
      </w:pPr>
    </w:p>
    <w:p w14:paraId="562195A5" w14:textId="242AAC50" w:rsidR="00FF3BD9" w:rsidRPr="002230FE" w:rsidRDefault="001A003D" w:rsidP="002230FE">
      <w:pPr>
        <w:pStyle w:val="ListParagraph"/>
        <w:numPr>
          <w:ilvl w:val="0"/>
          <w:numId w:val="6"/>
        </w:numPr>
      </w:pPr>
      <w:r w:rsidRPr="00AC7EB2">
        <w:rPr>
          <w:rFonts w:cs="Arial"/>
          <w:bCs/>
          <w:color w:val="000000" w:themeColor="text1"/>
          <w:kern w:val="24"/>
        </w:rPr>
        <w:t>Women</w:t>
      </w:r>
      <w:r w:rsidR="00FF3BD9" w:rsidRPr="002230FE">
        <w:rPr>
          <w:color w:val="000000" w:themeColor="text1"/>
          <w:kern w:val="24"/>
        </w:rPr>
        <w:t xml:space="preserve"> are safe </w:t>
      </w:r>
      <w:r w:rsidRPr="00AC7EB2">
        <w:rPr>
          <w:rFonts w:cs="Arial"/>
          <w:bCs/>
          <w:color w:val="000000" w:themeColor="text1"/>
          <w:kern w:val="24"/>
        </w:rPr>
        <w:t xml:space="preserve">and respected </w:t>
      </w:r>
      <w:r w:rsidR="00FF3BD9" w:rsidRPr="002230FE">
        <w:rPr>
          <w:color w:val="000000" w:themeColor="text1"/>
          <w:kern w:val="24"/>
        </w:rPr>
        <w:t>in all settings</w:t>
      </w:r>
      <w:r w:rsidRPr="00AC7EB2">
        <w:rPr>
          <w:rFonts w:cs="Arial"/>
          <w:bCs/>
          <w:color w:val="000000" w:themeColor="text1"/>
          <w:kern w:val="24"/>
        </w:rPr>
        <w:t>, and experience economic, social, political</w:t>
      </w:r>
      <w:r w:rsidR="00FF3BD9" w:rsidRPr="002230FE">
        <w:rPr>
          <w:color w:val="000000" w:themeColor="text1"/>
          <w:kern w:val="24"/>
        </w:rPr>
        <w:t xml:space="preserve"> and </w:t>
      </w:r>
      <w:r w:rsidRPr="00AC7EB2">
        <w:rPr>
          <w:rFonts w:cs="Arial"/>
          <w:bCs/>
          <w:color w:val="000000" w:themeColor="text1"/>
          <w:kern w:val="24"/>
        </w:rPr>
        <w:t>cultural equality</w:t>
      </w:r>
      <w:r w:rsidR="006A3906">
        <w:t>.</w:t>
      </w:r>
    </w:p>
    <w:p w14:paraId="6176B17B" w14:textId="553A3FD5" w:rsidR="00FF3BD9" w:rsidRPr="00002EF6" w:rsidRDefault="00FF3BD9" w:rsidP="00FF3BD9">
      <w:r w:rsidRPr="00002EF6">
        <w:rPr>
          <w:u w:val="single"/>
        </w:rPr>
        <w:t>Responsibility for implementation</w:t>
      </w:r>
      <w:r w:rsidRPr="00002EF6">
        <w:t xml:space="preserve">: </w:t>
      </w:r>
      <w:r w:rsidR="00833FEA">
        <w:t>Australian</w:t>
      </w:r>
      <w:r w:rsidRPr="00002EF6">
        <w:t>, state and territory governments; health sector; police</w:t>
      </w:r>
      <w:r w:rsidR="00997AF6">
        <w:t xml:space="preserve"> and justice system</w:t>
      </w:r>
      <w:r w:rsidRPr="00002EF6">
        <w:t>; family, domestic and sexual violence sector</w:t>
      </w:r>
      <w:r w:rsidR="000B37EF">
        <w:t>s</w:t>
      </w:r>
      <w:r w:rsidRPr="00002EF6">
        <w:t>; mainstream services</w:t>
      </w:r>
      <w:r w:rsidR="00A43B88">
        <w:t>, Our Watch, ANROWS</w:t>
      </w:r>
      <w:r w:rsidR="006968C5">
        <w:t>, data custodians</w:t>
      </w:r>
      <w:r w:rsidR="00A43B88">
        <w:t xml:space="preserve"> and researchers.</w:t>
      </w:r>
    </w:p>
    <w:p w14:paraId="20C88980" w14:textId="77777777" w:rsidR="005C0816" w:rsidRDefault="00FF3BD9" w:rsidP="00FF3BD9">
      <w:r w:rsidRPr="00002EF6">
        <w:rPr>
          <w:u w:val="single"/>
        </w:rPr>
        <w:t>Domains</w:t>
      </w:r>
      <w:r w:rsidRPr="00002EF6">
        <w:t>: prevention; early intervention; response; recovery and healing</w:t>
      </w:r>
      <w:r w:rsidR="006A3906">
        <w:t>.</w:t>
      </w:r>
      <w:bookmarkStart w:id="126" w:name="_Toc127800143"/>
      <w:bookmarkStart w:id="127" w:name="_Toc127950239"/>
    </w:p>
    <w:p w14:paraId="549DF2B7" w14:textId="094E6D6C" w:rsidR="00FF3BD9" w:rsidRDefault="00FF3BD9" w:rsidP="00FF3BD9">
      <w:pPr>
        <w:rPr>
          <w:b/>
        </w:rPr>
      </w:pPr>
      <w:r>
        <w:rPr>
          <w:color w:val="FF0000"/>
          <w:sz w:val="18"/>
        </w:rPr>
        <w:br w:type="page"/>
      </w:r>
    </w:p>
    <w:p w14:paraId="53C072EF" w14:textId="77777777" w:rsidR="0008575C" w:rsidRDefault="00FF3BD9" w:rsidP="00BF6AD8">
      <w:pPr>
        <w:pStyle w:val="Heading1"/>
      </w:pPr>
      <w:bookmarkStart w:id="128" w:name="_Toc144909138"/>
      <w:r w:rsidRPr="00426D33">
        <w:lastRenderedPageBreak/>
        <w:t>Action 3</w:t>
      </w:r>
      <w:bookmarkEnd w:id="128"/>
    </w:p>
    <w:p w14:paraId="7B60B246" w14:textId="08C04915" w:rsidR="00FF3BD9" w:rsidRPr="00426D33" w:rsidRDefault="00847306" w:rsidP="0008575C">
      <w:pPr>
        <w:pStyle w:val="Heading2"/>
      </w:pPr>
      <w:bookmarkStart w:id="129" w:name="_Toc144909139"/>
      <w:r w:rsidRPr="00426D33">
        <w:t>Increase and s</w:t>
      </w:r>
      <w:r w:rsidR="00FF3BD9" w:rsidRPr="00426D33">
        <w:t xml:space="preserve">trengthen the capability of </w:t>
      </w:r>
      <w:r w:rsidR="00710B14" w:rsidRPr="00426D33">
        <w:t xml:space="preserve">mainstream and specialist </w:t>
      </w:r>
      <w:r w:rsidR="00FF3BD9" w:rsidRPr="00426D33">
        <w:t>workforces to deliver quality services</w:t>
      </w:r>
      <w:r w:rsidR="00667B67" w:rsidRPr="00426D33">
        <w:t>, activities and programs</w:t>
      </w:r>
      <w:r w:rsidR="009A08C7" w:rsidRPr="00426D33">
        <w:t xml:space="preserve"> across the four domains</w:t>
      </w:r>
      <w:r w:rsidR="00FF3BD9" w:rsidRPr="00426D33">
        <w:t>,</w:t>
      </w:r>
      <w:r w:rsidR="00602EB6" w:rsidRPr="00426D33">
        <w:t xml:space="preserve"> </w:t>
      </w:r>
      <w:r w:rsidR="00667B67" w:rsidRPr="00426D33">
        <w:t xml:space="preserve">including those </w:t>
      </w:r>
      <w:r w:rsidR="00B104EC" w:rsidRPr="00426D33">
        <w:t xml:space="preserve">that </w:t>
      </w:r>
      <w:r w:rsidR="00FF3BD9" w:rsidRPr="00426D33">
        <w:t xml:space="preserve">are tailored to respond to the unique experiences of </w:t>
      </w:r>
      <w:r w:rsidR="009535C9" w:rsidRPr="00426D33">
        <w:t xml:space="preserve">all </w:t>
      </w:r>
      <w:r w:rsidR="00FF3BD9" w:rsidRPr="00426D33">
        <w:t>victim-survivors.</w:t>
      </w:r>
      <w:bookmarkEnd w:id="129"/>
    </w:p>
    <w:p w14:paraId="0E680718" w14:textId="00CC993F" w:rsidR="00364BE7" w:rsidRPr="0008575C" w:rsidRDefault="00364BE7" w:rsidP="0008575C">
      <w:pPr>
        <w:rPr>
          <w:b/>
          <w:bCs/>
        </w:rPr>
      </w:pPr>
      <w:r w:rsidRPr="0008575C">
        <w:rPr>
          <w:b/>
          <w:bCs/>
        </w:rPr>
        <w:t xml:space="preserve">As outlined in </w:t>
      </w:r>
      <w:r w:rsidR="0063121F" w:rsidRPr="0008575C">
        <w:rPr>
          <w:b/>
          <w:bCs/>
        </w:rPr>
        <w:t xml:space="preserve">the </w:t>
      </w:r>
      <w:r w:rsidRPr="0008575C">
        <w:rPr>
          <w:b/>
          <w:bCs/>
        </w:rPr>
        <w:t xml:space="preserve">Our Watch </w:t>
      </w:r>
      <w:r w:rsidRPr="0008575C">
        <w:rPr>
          <w:b/>
          <w:bCs/>
          <w:i/>
        </w:rPr>
        <w:t>Growing with change: Developing an expert workforce to prevent violence against women</w:t>
      </w:r>
      <w:r w:rsidRPr="0008575C">
        <w:rPr>
          <w:b/>
          <w:bCs/>
        </w:rPr>
        <w:t>, the success of Australia’s efforts to prevent violence against women depends in part on the size and strength of an expert, national primary prevention workforce and the capacity of this workforce to plan, implement, scale-up, monitor and evaluate primary prevention initiatives.</w:t>
      </w:r>
    </w:p>
    <w:p w14:paraId="47A428FB" w14:textId="1349B9C2" w:rsidR="00FF3BD9" w:rsidRPr="00002EF6" w:rsidRDefault="008A7456" w:rsidP="00883C3A">
      <w:r>
        <w:t>V</w:t>
      </w:r>
      <w:r w:rsidR="00FF3BD9" w:rsidRPr="00002EF6">
        <w:t>iolence impacts people in different ways</w:t>
      </w:r>
      <w:r w:rsidR="00883C3A">
        <w:t xml:space="preserve">. </w:t>
      </w:r>
      <w:r w:rsidR="00B20A5E">
        <w:t xml:space="preserve">Gender-based violence </w:t>
      </w:r>
      <w:r w:rsidR="00FF3BD9" w:rsidRPr="00002EF6">
        <w:t>can be exacerbated</w:t>
      </w:r>
      <w:r w:rsidR="00E613F7">
        <w:t xml:space="preserve"> </w:t>
      </w:r>
      <w:r w:rsidR="00FF3BD9" w:rsidRPr="00002EF6">
        <w:t>where gender inequality intersects with other forms of disadvantage and discrimination such as racism, colonialism, ableism, homophobia, biphobia and transphobia, and ageism. Class discrimination and poverty also compromise the health and safety of women and children.</w:t>
      </w:r>
    </w:p>
    <w:p w14:paraId="7FC50144" w14:textId="441FC919" w:rsidR="00FF3BD9" w:rsidRPr="00002EF6" w:rsidRDefault="00DB1B31" w:rsidP="00FF3BD9">
      <w:r>
        <w:t>Victim-survivors</w:t>
      </w:r>
      <w:r w:rsidR="00FF3BD9" w:rsidRPr="00002EF6">
        <w:t xml:space="preserve"> from diverse cultural, ethnic, religious and linguistic backgrounds and migrant and refugee women and children, including those on temporary visas, can face specific challenges. </w:t>
      </w:r>
      <w:r w:rsidR="00262B1A">
        <w:t>Such challenges</w:t>
      </w:r>
      <w:r w:rsidR="00FF3BD9" w:rsidRPr="00002EF6">
        <w:t xml:space="preserve"> can be exacerbated when </w:t>
      </w:r>
      <w:r>
        <w:t>people</w:t>
      </w:r>
      <w:r w:rsidR="00FF3BD9" w:rsidRPr="00002EF6">
        <w:t xml:space="preserve"> are dependent on a partner for residency </w:t>
      </w:r>
      <w:r w:rsidR="00262B1A">
        <w:t>or have</w:t>
      </w:r>
      <w:r w:rsidR="00FF3BD9" w:rsidRPr="00002EF6">
        <w:t xml:space="preserve"> limited access to government supports and services.</w:t>
      </w:r>
    </w:p>
    <w:p w14:paraId="1E171A36" w14:textId="12729B4E" w:rsidR="00847306" w:rsidRPr="00002EF6" w:rsidRDefault="00847306" w:rsidP="00FF3BD9">
      <w:r>
        <w:t xml:space="preserve">Older women can be vulnerable to various form of violence and abuse, including sexual violence, </w:t>
      </w:r>
      <w:r w:rsidR="00D96119">
        <w:t xml:space="preserve">economic abuse and </w:t>
      </w:r>
      <w:r>
        <w:t>over and under medicating. Mainstream workforces need to develop the skills to recognise when these forms of abuse are occurring.</w:t>
      </w:r>
    </w:p>
    <w:p w14:paraId="43CE96F9" w14:textId="51BCA865" w:rsidR="00FF3BD9" w:rsidRPr="00002EF6" w:rsidRDefault="00FF3BD9" w:rsidP="00FF3BD9">
      <w:r w:rsidRPr="00002EF6">
        <w:t>The Royal Commission into Violence, Abuse, Neglect and Exploitation of People with Disability highlighted the challenges that people with disability face in being heard and responded to when they have experienced violence</w:t>
      </w:r>
      <w:r w:rsidR="00DF4276">
        <w:t>.</w:t>
      </w:r>
      <w:r w:rsidR="00DF4276">
        <w:rPr>
          <w:rStyle w:val="EndnoteReference"/>
        </w:rPr>
        <w:endnoteReference w:id="15"/>
      </w:r>
      <w:r w:rsidR="00B5470C">
        <w:t xml:space="preserve"> </w:t>
      </w:r>
      <w:r w:rsidRPr="00002EF6">
        <w:t xml:space="preserve">This includes women </w:t>
      </w:r>
      <w:r w:rsidR="00217F67">
        <w:t>and children</w:t>
      </w:r>
      <w:r w:rsidR="008A7456">
        <w:t>,</w:t>
      </w:r>
      <w:r w:rsidR="00B5470C">
        <w:rPr>
          <w:rStyle w:val="EndnoteReference"/>
        </w:rPr>
        <w:endnoteReference w:id="16"/>
      </w:r>
      <w:r w:rsidR="00B5470C" w:rsidDel="00B5470C">
        <w:rPr>
          <w:rStyle w:val="EndnoteReference"/>
        </w:rPr>
        <w:t xml:space="preserve"> </w:t>
      </w:r>
      <w:r w:rsidR="00E613F7">
        <w:t xml:space="preserve"> </w:t>
      </w:r>
      <w:r w:rsidRPr="00002EF6">
        <w:t>in all settings, including institutions.</w:t>
      </w:r>
      <w:r w:rsidR="00770BBD">
        <w:rPr>
          <w:rStyle w:val="EndnoteReference"/>
        </w:rPr>
        <w:endnoteReference w:id="17"/>
      </w:r>
    </w:p>
    <w:p w14:paraId="67829F4D" w14:textId="4D951936" w:rsidR="00FF3BD9" w:rsidRPr="00002EF6" w:rsidRDefault="00FF3BD9" w:rsidP="00FF3BD9">
      <w:r w:rsidRPr="00002EF6">
        <w:t>Gender-based violence against people with disability tends to occur more frequently, over a longer period of time and across a wider range of settings</w:t>
      </w:r>
      <w:r w:rsidR="00B5470C">
        <w:t>.</w:t>
      </w:r>
      <w:r w:rsidR="00B5470C">
        <w:rPr>
          <w:rStyle w:val="EndnoteReference"/>
        </w:rPr>
        <w:endnoteReference w:id="18"/>
      </w:r>
      <w:r w:rsidR="00B5470C">
        <w:t xml:space="preserve"> </w:t>
      </w:r>
      <w:r w:rsidR="009952CB">
        <w:t>Violence</w:t>
      </w:r>
      <w:r w:rsidRPr="00002EF6">
        <w:t xml:space="preserve"> can be perpetrated by a </w:t>
      </w:r>
      <w:r w:rsidR="009952CB">
        <w:t>wider</w:t>
      </w:r>
      <w:r w:rsidRPr="00002EF6">
        <w:t xml:space="preserve"> range of people than violence against people without disability, including by carers, guardians and support workers, in both home and institutional settings</w:t>
      </w:r>
      <w:r w:rsidR="00B5470C">
        <w:t>.</w:t>
      </w:r>
      <w:r w:rsidR="00C21399">
        <w:rPr>
          <w:rStyle w:val="EndnoteReference"/>
        </w:rPr>
        <w:endnoteReference w:id="19"/>
      </w:r>
      <w:r w:rsidR="00B5470C">
        <w:t xml:space="preserve"> </w:t>
      </w:r>
      <w:r w:rsidRPr="00002EF6">
        <w:t xml:space="preserve">We need to ensure people with disability are safe and feel safe from violence, abuse, neglect and exploitation, aligning responses with </w:t>
      </w:r>
      <w:r w:rsidRPr="001A1D02">
        <w:rPr>
          <w:i/>
        </w:rPr>
        <w:t>Australia’s Disability Strategy 2021-2031</w:t>
      </w:r>
      <w:r w:rsidR="00DF4276">
        <w:t>.</w:t>
      </w:r>
      <w:r w:rsidR="00C21399">
        <w:rPr>
          <w:rStyle w:val="EndnoteReference"/>
        </w:rPr>
        <w:endnoteReference w:id="20"/>
      </w:r>
    </w:p>
    <w:p w14:paraId="15E7860C" w14:textId="3585FF88" w:rsidR="00883C3A" w:rsidRDefault="00883C3A" w:rsidP="00883C3A">
      <w:r>
        <w:t>Victim-survivors tell us that supports and services must be accessible to all individuals regardless of their background, culture and socioeconomic status.</w:t>
      </w:r>
    </w:p>
    <w:p w14:paraId="3A1A6697" w14:textId="1A21D0D2" w:rsidR="00883C3A" w:rsidRPr="009667C2" w:rsidRDefault="00883C3A" w:rsidP="00883C3A">
      <w:pPr>
        <w:rPr>
          <w:rFonts w:cs="Arial"/>
        </w:rPr>
      </w:pPr>
      <w:r w:rsidRPr="00443BD9">
        <w:rPr>
          <w:rFonts w:cs="Arial"/>
        </w:rPr>
        <w:t>We will work toward</w:t>
      </w:r>
      <w:r w:rsidRPr="00443BD9">
        <w:rPr>
          <w:rFonts w:cs="Arial"/>
          <w:shd w:val="clear" w:color="auto" w:fill="FFFFFF"/>
        </w:rPr>
        <w:t xml:space="preserve"> developing and sustaining a strong national workforce by addressing </w:t>
      </w:r>
      <w:r w:rsidRPr="002079F9">
        <w:rPr>
          <w:rFonts w:cs="Arial"/>
        </w:rPr>
        <w:t>workforce planning</w:t>
      </w:r>
      <w:r w:rsidR="009952CB">
        <w:rPr>
          <w:rFonts w:cs="Arial"/>
        </w:rPr>
        <w:t>,</w:t>
      </w:r>
      <w:r w:rsidRPr="002079F9">
        <w:rPr>
          <w:rFonts w:cs="Arial"/>
        </w:rPr>
        <w:t xml:space="preserve"> workforce preparation</w:t>
      </w:r>
      <w:r w:rsidRPr="00EB54A1">
        <w:rPr>
          <w:rFonts w:cs="Arial"/>
        </w:rPr>
        <w:t xml:space="preserve"> and pathways</w:t>
      </w:r>
      <w:r w:rsidR="009952CB">
        <w:rPr>
          <w:rFonts w:cs="Arial"/>
        </w:rPr>
        <w:t>,</w:t>
      </w:r>
      <w:r w:rsidRPr="00EB54A1">
        <w:rPr>
          <w:rFonts w:cs="Arial"/>
        </w:rPr>
        <w:t xml:space="preserve"> sector governance and coordination</w:t>
      </w:r>
      <w:r w:rsidR="009952CB">
        <w:rPr>
          <w:rFonts w:cs="Arial"/>
        </w:rPr>
        <w:t>,</w:t>
      </w:r>
      <w:r w:rsidRPr="00EB54A1">
        <w:rPr>
          <w:rFonts w:cs="Arial"/>
        </w:rPr>
        <w:t xml:space="preserve"> working conditions and professional development.</w:t>
      </w:r>
    </w:p>
    <w:p w14:paraId="05B4213A" w14:textId="21AAEF9C" w:rsidR="0088735C" w:rsidRDefault="0088735C" w:rsidP="0088735C">
      <w:pPr>
        <w:rPr>
          <w:rFonts w:eastAsia="Arial" w:cs="Arial"/>
        </w:rPr>
      </w:pPr>
      <w:r>
        <w:rPr>
          <w:rFonts w:eastAsia="Arial" w:cs="Arial"/>
        </w:rPr>
        <w:lastRenderedPageBreak/>
        <w:t xml:space="preserve">We acknowledge that practitioners and first responders will require </w:t>
      </w:r>
      <w:r w:rsidR="009952CB">
        <w:rPr>
          <w:rFonts w:eastAsia="Arial" w:cs="Arial"/>
        </w:rPr>
        <w:t xml:space="preserve">training and support </w:t>
      </w:r>
      <w:r>
        <w:rPr>
          <w:rFonts w:eastAsia="Arial" w:cs="Arial"/>
        </w:rPr>
        <w:t xml:space="preserve">to maintain their own mental health and wellbeing while supporting victim-survivors. This is important </w:t>
      </w:r>
      <w:r w:rsidR="009952CB">
        <w:rPr>
          <w:rFonts w:eastAsia="Arial" w:cs="Arial"/>
        </w:rPr>
        <w:t>for reducing</w:t>
      </w:r>
      <w:r>
        <w:rPr>
          <w:rFonts w:eastAsia="Arial" w:cs="Arial"/>
        </w:rPr>
        <w:t xml:space="preserve"> the impact </w:t>
      </w:r>
      <w:r w:rsidR="00FF5E0B">
        <w:rPr>
          <w:rFonts w:eastAsia="Arial" w:cs="Arial"/>
        </w:rPr>
        <w:t>of</w:t>
      </w:r>
      <w:r>
        <w:rPr>
          <w:rFonts w:eastAsia="Arial" w:cs="Arial"/>
        </w:rPr>
        <w:t xml:space="preserve"> stress and trauma responses in the workforce</w:t>
      </w:r>
      <w:r w:rsidR="00FF5E0B">
        <w:rPr>
          <w:rFonts w:eastAsia="Arial" w:cs="Arial"/>
        </w:rPr>
        <w:t>, which can lead</w:t>
      </w:r>
      <w:r>
        <w:rPr>
          <w:rFonts w:eastAsia="Arial" w:cs="Arial"/>
        </w:rPr>
        <w:t xml:space="preserve"> to sub-optimal care for victim-survivors.</w:t>
      </w:r>
    </w:p>
    <w:p w14:paraId="4FE0A500" w14:textId="318FAD7B" w:rsidR="000E5A90" w:rsidRPr="000F1649" w:rsidRDefault="000F1649" w:rsidP="00A820CC">
      <w:pPr>
        <w:spacing w:line="240" w:lineRule="auto"/>
      </w:pPr>
      <w:r>
        <w:t>We need to i</w:t>
      </w:r>
      <w:r w:rsidRPr="000F1649">
        <w:t>mprov</w:t>
      </w:r>
      <w:r>
        <w:t>e</w:t>
      </w:r>
      <w:r w:rsidRPr="000F1649">
        <w:t xml:space="preserve"> the capacity and capability of the specialist men’s family violence workforce. For programs to be effective, we need to grow the pool of qualified men’s family violence workers so that services can recruit and retain staff to meet demand.</w:t>
      </w:r>
    </w:p>
    <w:p w14:paraId="70EAEEF3" w14:textId="389B92FB" w:rsidR="008A7456" w:rsidRDefault="00FF3BD9" w:rsidP="008A7456">
      <w:r w:rsidRPr="00002EF6">
        <w:t xml:space="preserve">Together, the </w:t>
      </w:r>
      <w:r w:rsidR="008353BA">
        <w:t>Australian</w:t>
      </w:r>
      <w:r w:rsidR="000E5A90">
        <w:t xml:space="preserve">, </w:t>
      </w:r>
      <w:r w:rsidRPr="00002EF6">
        <w:t>state and territory governments will support workforces to access training and information to build their ability to deliver evidence-based and trauma-</w:t>
      </w:r>
      <w:r w:rsidR="00AE6F94">
        <w:t>specialist</w:t>
      </w:r>
      <w:r w:rsidRPr="00002EF6">
        <w:t xml:space="preserve"> services to</w:t>
      </w:r>
      <w:r w:rsidR="0088735C">
        <w:t xml:space="preserve"> all</w:t>
      </w:r>
      <w:r w:rsidRPr="00002EF6">
        <w:t xml:space="preserve"> victim-survivors and perpetrators. This includes strengthening the capacity of our prevention workforce </w:t>
      </w:r>
      <w:r w:rsidR="0088735C">
        <w:t xml:space="preserve">and perpetrator intervention workforces, </w:t>
      </w:r>
      <w:r w:rsidRPr="00002EF6">
        <w:t xml:space="preserve">our specialist </w:t>
      </w:r>
      <w:r w:rsidR="0088735C">
        <w:t>gender-based</w:t>
      </w:r>
      <w:r w:rsidRPr="00002EF6">
        <w:t xml:space="preserve"> violence services</w:t>
      </w:r>
      <w:r w:rsidR="004922F0">
        <w:t>, and drawing on the expertise of victim-survivors</w:t>
      </w:r>
      <w:r w:rsidRPr="00002EF6">
        <w:t>.</w:t>
      </w:r>
    </w:p>
    <w:p w14:paraId="69BE6D5A" w14:textId="4362745C" w:rsidR="004922F0" w:rsidRPr="00002EF6" w:rsidRDefault="004922F0" w:rsidP="004922F0">
      <w:r w:rsidRPr="00002EF6">
        <w:t>Workforce training should support culturally safe services and healing for Aboriginal and Torres Strait Islander peoples</w:t>
      </w:r>
      <w:r>
        <w:t>, and</w:t>
      </w:r>
      <w:r w:rsidRPr="004922F0">
        <w:t xml:space="preserve"> build capability for specialised responses </w:t>
      </w:r>
      <w:r w:rsidR="00E90A0E">
        <w:t>for</w:t>
      </w:r>
      <w:r w:rsidRPr="004922F0">
        <w:t xml:space="preserve"> children and young people.</w:t>
      </w:r>
    </w:p>
    <w:p w14:paraId="6D5D29AA" w14:textId="3316CAB5" w:rsidR="00FF3BD9" w:rsidRDefault="00710B14" w:rsidP="00FF3BD9">
      <w:r>
        <w:t xml:space="preserve">In </w:t>
      </w:r>
      <w:r w:rsidR="00E36E00">
        <w:t>supporting these</w:t>
      </w:r>
      <w:r w:rsidR="009A08C7">
        <w:t xml:space="preserve"> services, we </w:t>
      </w:r>
      <w:r w:rsidR="0088735C">
        <w:t xml:space="preserve">will </w:t>
      </w:r>
      <w:r w:rsidR="009A08C7">
        <w:t xml:space="preserve">acknowledge </w:t>
      </w:r>
      <w:r>
        <w:t>the distinction between the family and domestic violence workforce and sexual violence workforce</w:t>
      </w:r>
      <w:r w:rsidR="009A08C7">
        <w:t>, and the unique needs and requirements of each.</w:t>
      </w:r>
    </w:p>
    <w:p w14:paraId="64A23697" w14:textId="0E777E74" w:rsidR="00FF3BD9" w:rsidRPr="00002EF6" w:rsidRDefault="00FF3BD9" w:rsidP="00FF3BD9">
      <w:r w:rsidRPr="00002EF6">
        <w:t xml:space="preserve">We will also work to increase the capability of mainstream services to identify, respond </w:t>
      </w:r>
      <w:r w:rsidR="00AE6F94">
        <w:t>to and refer people who have experienced gender-based violence</w:t>
      </w:r>
      <w:r w:rsidRPr="00002EF6">
        <w:t>. Workers across</w:t>
      </w:r>
      <w:r w:rsidR="00962547">
        <w:t xml:space="preserve"> all settings</w:t>
      </w:r>
      <w:r w:rsidRPr="00002EF6">
        <w:t xml:space="preserve"> encounter victim-survivors and pe</w:t>
      </w:r>
      <w:r w:rsidR="00DB1B31">
        <w:t>ople who use violence</w:t>
      </w:r>
      <w:r w:rsidR="00E90A0E">
        <w:t>, but</w:t>
      </w:r>
      <w:r w:rsidR="001A1D02">
        <w:t xml:space="preserve"> </w:t>
      </w:r>
      <w:r w:rsidRPr="00002EF6">
        <w:t xml:space="preserve">understanding of the drivers of gender-based violence and </w:t>
      </w:r>
      <w:r w:rsidR="00E90A0E">
        <w:t>strategies for responding</w:t>
      </w:r>
      <w:r w:rsidRPr="00002EF6">
        <w:t xml:space="preserve"> safely, respectfully, and compassionately</w:t>
      </w:r>
      <w:r w:rsidR="00E90A0E">
        <w:t xml:space="preserve"> are limited</w:t>
      </w:r>
      <w:r w:rsidRPr="00002EF6">
        <w:t>.</w:t>
      </w:r>
      <w:r w:rsidR="000E4E22">
        <w:t xml:space="preserve"> This supports what we have heard from victim-survivors </w:t>
      </w:r>
      <w:r w:rsidR="000E5A90">
        <w:t>–</w:t>
      </w:r>
      <w:r w:rsidR="000E4E22">
        <w:t xml:space="preserve"> that it is essential to prioritise trauma-informed care across services and provide training and resources to service providers to strength</w:t>
      </w:r>
      <w:r w:rsidR="000E5A90">
        <w:t>en</w:t>
      </w:r>
      <w:r w:rsidR="000E4E22">
        <w:t xml:space="preserve"> trauma-informed practices.</w:t>
      </w:r>
    </w:p>
    <w:p w14:paraId="3E152522" w14:textId="193AE13D" w:rsidR="00FF3BD9" w:rsidRPr="00002EF6" w:rsidRDefault="00FF3BD9" w:rsidP="00FF3BD9">
      <w:r w:rsidRPr="00002EF6">
        <w:t xml:space="preserve">Through this work, we will incorporate an understanding </w:t>
      </w:r>
      <w:r w:rsidR="00E90A0E">
        <w:t>of,</w:t>
      </w:r>
      <w:r w:rsidRPr="00002EF6">
        <w:t xml:space="preserve"> and appropriate response to the specific challenges </w:t>
      </w:r>
      <w:r w:rsidR="000E5A90">
        <w:t xml:space="preserve">that </w:t>
      </w:r>
      <w:r w:rsidRPr="00002EF6">
        <w:t xml:space="preserve">diverse communities face in relation to family, domestic and sexual violence. It is important </w:t>
      </w:r>
      <w:r w:rsidR="000E5A90">
        <w:t xml:space="preserve">that </w:t>
      </w:r>
      <w:r w:rsidRPr="00002EF6">
        <w:t>specialist and mainstream workforces are able to recognise and respond to people with diverse experiences through an intersectional lens, understanding that different approaches may be needed for different people.</w:t>
      </w:r>
    </w:p>
    <w:p w14:paraId="4C3E60DE" w14:textId="02DFA460" w:rsidR="00FF3BD9" w:rsidRPr="00002EF6" w:rsidRDefault="00FF3BD9" w:rsidP="00FF3BD9">
      <w:r w:rsidRPr="00002EF6">
        <w:t xml:space="preserve">This includes culturally safe, community-led policy and practice responses that meet the needs of </w:t>
      </w:r>
      <w:r w:rsidR="00EC72CD">
        <w:t>Aboriginal and Torres Strait Islander</w:t>
      </w:r>
      <w:r w:rsidRPr="00002EF6">
        <w:t xml:space="preserve"> children and their families</w:t>
      </w:r>
      <w:r w:rsidR="00E90A0E">
        <w:t>. This will ensure alignment</w:t>
      </w:r>
      <w:r w:rsidRPr="00002EF6">
        <w:t xml:space="preserve"> with </w:t>
      </w:r>
      <w:r w:rsidR="00DB1B31">
        <w:t xml:space="preserve">Closing the Gap priorities, specifically </w:t>
      </w:r>
      <w:r w:rsidR="00EC72CD">
        <w:t>Priority Reform One</w:t>
      </w:r>
      <w:r w:rsidR="00E90A0E">
        <w:t>, sharing decision-making authority with Aboriginal</w:t>
      </w:r>
      <w:r w:rsidR="00EC72CD">
        <w:t xml:space="preserve"> and </w:t>
      </w:r>
      <w:r w:rsidR="00E90A0E">
        <w:t>Torres Strait Islander people</w:t>
      </w:r>
      <w:r w:rsidR="000E5A90">
        <w:t>s</w:t>
      </w:r>
      <w:r w:rsidR="00E90A0E">
        <w:t xml:space="preserve"> and organisations,</w:t>
      </w:r>
      <w:r w:rsidR="00077B55">
        <w:t xml:space="preserve"> </w:t>
      </w:r>
      <w:r w:rsidR="008C4DD4">
        <w:t xml:space="preserve">and </w:t>
      </w:r>
      <w:r w:rsidR="00B952AF">
        <w:t>Priority Reform Three</w:t>
      </w:r>
      <w:r w:rsidR="00E90A0E">
        <w:t>, transforming government organisations to improve accountability and respond to the needs of Aboriginal and Torres Strait Islander people</w:t>
      </w:r>
      <w:r w:rsidR="000E5A90">
        <w:t>s</w:t>
      </w:r>
      <w:r w:rsidR="00E94308">
        <w:t>,</w:t>
      </w:r>
      <w:r w:rsidR="00B952AF">
        <w:t xml:space="preserve"> to improve and build the capacity in mainstream government institutions, services and responses, so that these are culturally safe and can better meet the needs of Aboriginal and Torres Strait Islander peoples and communities.</w:t>
      </w:r>
    </w:p>
    <w:p w14:paraId="1017047C" w14:textId="77777777" w:rsidR="00FF3BD9" w:rsidRPr="00BF6AD8" w:rsidRDefault="00FF3BD9" w:rsidP="00BF6AD8">
      <w:pPr>
        <w:rPr>
          <w:b/>
          <w:bCs/>
          <w:i/>
          <w:iCs/>
        </w:rPr>
      </w:pPr>
      <w:r w:rsidRPr="00BF6AD8">
        <w:rPr>
          <w:b/>
          <w:bCs/>
          <w:i/>
          <w:iCs/>
        </w:rPr>
        <w:t>What difference will we make?</w:t>
      </w:r>
    </w:p>
    <w:p w14:paraId="5E13C8BC" w14:textId="77777777" w:rsidR="00FF3BD9" w:rsidRPr="00002EF6" w:rsidRDefault="00FF3BD9" w:rsidP="001A1D02">
      <w:r w:rsidRPr="00002EF6">
        <w:t>Implementing this action will work towards the following outcomes as identified in the Outcomes Framework:</w:t>
      </w:r>
    </w:p>
    <w:p w14:paraId="3808BD46" w14:textId="58B1A7BA" w:rsidR="00FF3BD9" w:rsidRPr="001A1D02" w:rsidRDefault="00E646E7" w:rsidP="001A1D02">
      <w:pPr>
        <w:pStyle w:val="ListParagraph"/>
        <w:numPr>
          <w:ilvl w:val="0"/>
          <w:numId w:val="6"/>
        </w:numPr>
        <w:rPr>
          <w:lang w:val="en-US"/>
        </w:rPr>
      </w:pPr>
      <w:r>
        <w:lastRenderedPageBreak/>
        <w:t>S</w:t>
      </w:r>
      <w:r w:rsidR="00FF3BD9" w:rsidRPr="00002EF6">
        <w:t>ervices</w:t>
      </w:r>
      <w:r w:rsidR="00FF3BD9" w:rsidRPr="001A1D02">
        <w:rPr>
          <w:lang w:val="en-US"/>
        </w:rPr>
        <w:t xml:space="preserve"> and prevention programs are effective, culturally </w:t>
      </w:r>
      <w:r w:rsidR="00512D9E" w:rsidRPr="00512D9E">
        <w:rPr>
          <w:rFonts w:cs="Arial"/>
          <w:lang w:val="en-US"/>
        </w:rPr>
        <w:t>responsive</w:t>
      </w:r>
      <w:r w:rsidR="00FF3BD9" w:rsidRPr="001A1D02">
        <w:rPr>
          <w:lang w:val="en-US"/>
        </w:rPr>
        <w:t>, intersectional and accessible</w:t>
      </w:r>
      <w:r w:rsidR="00390003">
        <w:rPr>
          <w:lang w:val="en-US"/>
        </w:rPr>
        <w:t>.</w:t>
      </w:r>
    </w:p>
    <w:p w14:paraId="4251EC43" w14:textId="327C74E6" w:rsidR="00FF3BD9" w:rsidRPr="001A1D02" w:rsidRDefault="00FF3BD9" w:rsidP="001A1D02">
      <w:pPr>
        <w:pStyle w:val="ListParagraph"/>
        <w:numPr>
          <w:ilvl w:val="0"/>
          <w:numId w:val="6"/>
        </w:numPr>
        <w:rPr>
          <w:lang w:val="en-US"/>
        </w:rPr>
      </w:pPr>
      <w:r w:rsidRPr="001A1D02">
        <w:rPr>
          <w:lang w:val="en-US"/>
        </w:rPr>
        <w:t>Community attitudes and beliefs embrace gender equality and condemn all forms of gendered violence without exception</w:t>
      </w:r>
      <w:r w:rsidR="00390003">
        <w:rPr>
          <w:lang w:val="en-US"/>
        </w:rPr>
        <w:t>.</w:t>
      </w:r>
    </w:p>
    <w:p w14:paraId="7388544A" w14:textId="6B9D5C5E" w:rsidR="00512D9E" w:rsidRPr="00512D9E" w:rsidRDefault="001A003D" w:rsidP="00512D9E">
      <w:pPr>
        <w:pStyle w:val="ListParagraph"/>
        <w:numPr>
          <w:ilvl w:val="0"/>
          <w:numId w:val="6"/>
        </w:numPr>
        <w:rPr>
          <w:rFonts w:cs="Arial"/>
          <w:lang w:val="en-US"/>
        </w:rPr>
      </w:pPr>
      <w:r w:rsidRPr="00AC7EB2">
        <w:rPr>
          <w:rFonts w:cs="Arial"/>
          <w:bCs/>
          <w:color w:val="000000" w:themeColor="text1"/>
          <w:kern w:val="24"/>
        </w:rPr>
        <w:t>Women are safe and respected in all settings, and experience economic, social, political and cultural equality</w:t>
      </w:r>
      <w:r w:rsidR="00390003">
        <w:rPr>
          <w:rFonts w:cs="Arial"/>
          <w:lang w:val="en-US"/>
        </w:rPr>
        <w:t>.</w:t>
      </w:r>
    </w:p>
    <w:p w14:paraId="5FAF53EF" w14:textId="0EED6090" w:rsidR="00930F43" w:rsidRPr="00845C06" w:rsidRDefault="00972957" w:rsidP="00A820CC">
      <w:pPr>
        <w:pStyle w:val="ListParagraph"/>
        <w:numPr>
          <w:ilvl w:val="0"/>
          <w:numId w:val="6"/>
        </w:numPr>
        <w:rPr>
          <w:u w:val="single"/>
        </w:rPr>
      </w:pPr>
      <w:r w:rsidRPr="00845C06">
        <w:rPr>
          <w:rFonts w:cs="Arial"/>
          <w:lang w:val="en-US"/>
        </w:rPr>
        <w:t>Systems and institutions effectively support and protect</w:t>
      </w:r>
      <w:r w:rsidR="00FF3BD9" w:rsidRPr="00845C06">
        <w:rPr>
          <w:lang w:val="en-US"/>
        </w:rPr>
        <w:t xml:space="preserve"> people </w:t>
      </w:r>
      <w:r w:rsidRPr="00845C06">
        <w:rPr>
          <w:rFonts w:cs="Arial"/>
          <w:lang w:val="en-US"/>
        </w:rPr>
        <w:t>impacted by</w:t>
      </w:r>
      <w:r w:rsidR="00FF3BD9" w:rsidRPr="00845C06">
        <w:rPr>
          <w:lang w:val="en-US"/>
        </w:rPr>
        <w:t xml:space="preserve"> gender-based violence</w:t>
      </w:r>
      <w:r w:rsidR="00845C06" w:rsidRPr="00845C06">
        <w:rPr>
          <w:lang w:val="en-US"/>
        </w:rPr>
        <w:t>.</w:t>
      </w:r>
    </w:p>
    <w:p w14:paraId="7B74433D" w14:textId="48C90E15" w:rsidR="00FF3BD9" w:rsidRPr="00002EF6" w:rsidRDefault="00FF3BD9" w:rsidP="00FF3BD9">
      <w:r w:rsidRPr="00002EF6">
        <w:rPr>
          <w:u w:val="single"/>
        </w:rPr>
        <w:t>Responsibility for implementation:</w:t>
      </w:r>
      <w:r w:rsidRPr="00002EF6">
        <w:t xml:space="preserve"> </w:t>
      </w:r>
      <w:r w:rsidR="00833FEA">
        <w:t>Australian</w:t>
      </w:r>
      <w:r w:rsidRPr="00002EF6">
        <w:t>, state and territory governments; family, domestic and sexual violence sector</w:t>
      </w:r>
      <w:r w:rsidR="000B37EF">
        <w:t>s</w:t>
      </w:r>
      <w:r w:rsidRPr="00002EF6">
        <w:t xml:space="preserve">; </w:t>
      </w:r>
      <w:r w:rsidR="0043228E">
        <w:t xml:space="preserve">other </w:t>
      </w:r>
      <w:r w:rsidRPr="00002EF6">
        <w:t xml:space="preserve">frontline services including </w:t>
      </w:r>
      <w:r w:rsidR="0043228E">
        <w:t>Services Australia</w:t>
      </w:r>
      <w:r w:rsidRPr="00002EF6">
        <w:t xml:space="preserve">, NDIS, aged care, health services; </w:t>
      </w:r>
      <w:r w:rsidR="00A2689F">
        <w:t xml:space="preserve">police and the justice system, </w:t>
      </w:r>
      <w:r w:rsidR="00AE6F94">
        <w:t xml:space="preserve">business and corporate sectors; </w:t>
      </w:r>
      <w:r w:rsidRPr="00002EF6">
        <w:t>and whole of society.</w:t>
      </w:r>
    </w:p>
    <w:p w14:paraId="7CC1AA94" w14:textId="5ACFC13F" w:rsidR="00FF3BD9" w:rsidRPr="00DF4276" w:rsidRDefault="00FF3BD9" w:rsidP="00FF3BD9">
      <w:pPr>
        <w:rPr>
          <w:rFonts w:eastAsiaTheme="majorEastAsia" w:cstheme="majorBidi"/>
          <w:b/>
          <w:sz w:val="26"/>
          <w:szCs w:val="26"/>
        </w:rPr>
      </w:pPr>
      <w:r w:rsidRPr="00002EF6">
        <w:rPr>
          <w:u w:val="single"/>
        </w:rPr>
        <w:t>Domains</w:t>
      </w:r>
      <w:r w:rsidRPr="00002EF6">
        <w:t>: prevention; early intervention; response</w:t>
      </w:r>
      <w:r w:rsidR="00FE4EF0">
        <w:t>;</w:t>
      </w:r>
      <w:r w:rsidR="009C1E58">
        <w:t xml:space="preserve"> recovery and healing</w:t>
      </w:r>
      <w:bookmarkStart w:id="130" w:name="_Toc132805053"/>
      <w:bookmarkStart w:id="131" w:name="_Toc132805394"/>
      <w:bookmarkStart w:id="132" w:name="_Toc134621947"/>
      <w:bookmarkStart w:id="133" w:name="_Toc134622039"/>
      <w:bookmarkStart w:id="134" w:name="_Toc134622141"/>
      <w:bookmarkStart w:id="135" w:name="_Toc134624195"/>
      <w:bookmarkStart w:id="136" w:name="_Toc134624230"/>
      <w:bookmarkStart w:id="137" w:name="_Toc134628759"/>
      <w:r w:rsidR="00845C06">
        <w:t>.</w:t>
      </w:r>
    </w:p>
    <w:p w14:paraId="551390C0" w14:textId="77777777" w:rsidR="0043228E" w:rsidRDefault="0043228E">
      <w:pPr>
        <w:rPr>
          <w:b/>
        </w:rPr>
      </w:pPr>
      <w:r>
        <w:rPr>
          <w:b/>
        </w:rPr>
        <w:br w:type="page"/>
      </w:r>
    </w:p>
    <w:p w14:paraId="23EFBCBC" w14:textId="77777777" w:rsidR="0008575C" w:rsidRDefault="00FF3BD9" w:rsidP="00BF6AD8">
      <w:pPr>
        <w:pStyle w:val="Heading1"/>
      </w:pPr>
      <w:bookmarkStart w:id="138" w:name="_Toc144909140"/>
      <w:r w:rsidRPr="00426D33">
        <w:lastRenderedPageBreak/>
        <w:t>Action 4</w:t>
      </w:r>
      <w:bookmarkEnd w:id="130"/>
      <w:bookmarkEnd w:id="131"/>
      <w:bookmarkEnd w:id="132"/>
      <w:bookmarkEnd w:id="133"/>
      <w:bookmarkEnd w:id="134"/>
      <w:bookmarkEnd w:id="135"/>
      <w:bookmarkEnd w:id="136"/>
      <w:bookmarkEnd w:id="137"/>
      <w:bookmarkEnd w:id="138"/>
    </w:p>
    <w:p w14:paraId="75881FA2" w14:textId="598D7C8B" w:rsidR="00FF3BD9" w:rsidRPr="00426D33" w:rsidRDefault="00FF3BD9" w:rsidP="0008575C">
      <w:pPr>
        <w:pStyle w:val="Heading2"/>
      </w:pPr>
      <w:bookmarkStart w:id="139" w:name="_Toc144909141"/>
      <w:r w:rsidRPr="00426D33">
        <w:t xml:space="preserve">Build the capacity of services and systems that support victim-survivors to provide trauma-informed, connected and coordinated responses that support long-term </w:t>
      </w:r>
      <w:r w:rsidR="0078741E" w:rsidRPr="00426D33">
        <w:t xml:space="preserve">recovery, </w:t>
      </w:r>
      <w:r w:rsidRPr="00426D33">
        <w:t>health and wellbeing.</w:t>
      </w:r>
      <w:bookmarkEnd w:id="139"/>
    </w:p>
    <w:p w14:paraId="023273CE" w14:textId="24A5CADA" w:rsidR="00FF3BD9" w:rsidRPr="0008575C" w:rsidRDefault="00FF3BD9" w:rsidP="0008575C">
      <w:pPr>
        <w:rPr>
          <w:b/>
          <w:bCs/>
        </w:rPr>
      </w:pPr>
      <w:r w:rsidRPr="0008575C">
        <w:rPr>
          <w:b/>
          <w:bCs/>
        </w:rPr>
        <w:t xml:space="preserve">Victim-survivors need survivor-centred, holistic responses involving multiple sectors that will meet their diverse needs. The </w:t>
      </w:r>
      <w:r w:rsidR="00BD7671" w:rsidRPr="0008575C">
        <w:rPr>
          <w:b/>
          <w:bCs/>
        </w:rPr>
        <w:t>Australian</w:t>
      </w:r>
      <w:r w:rsidR="00DB1B31" w:rsidRPr="0008575C">
        <w:rPr>
          <w:b/>
          <w:bCs/>
        </w:rPr>
        <w:t>,</w:t>
      </w:r>
      <w:r w:rsidRPr="0008575C">
        <w:rPr>
          <w:b/>
          <w:bCs/>
        </w:rPr>
        <w:t xml:space="preserve"> state and territory governments </w:t>
      </w:r>
      <w:r w:rsidR="0094443C" w:rsidRPr="0008575C">
        <w:rPr>
          <w:b/>
          <w:bCs/>
        </w:rPr>
        <w:t xml:space="preserve">will work together </w:t>
      </w:r>
      <w:r w:rsidRPr="0008575C">
        <w:rPr>
          <w:b/>
          <w:bCs/>
        </w:rPr>
        <w:t xml:space="preserve">to build </w:t>
      </w:r>
      <w:r w:rsidR="009F447D" w:rsidRPr="0008575C">
        <w:rPr>
          <w:b/>
          <w:bCs/>
        </w:rPr>
        <w:t xml:space="preserve">the </w:t>
      </w:r>
      <w:r w:rsidRPr="0008575C">
        <w:rPr>
          <w:b/>
          <w:bCs/>
        </w:rPr>
        <w:t xml:space="preserve">capacity </w:t>
      </w:r>
      <w:r w:rsidR="009F447D" w:rsidRPr="0008575C">
        <w:rPr>
          <w:b/>
          <w:bCs/>
        </w:rPr>
        <w:t>of</w:t>
      </w:r>
      <w:r w:rsidRPr="0008575C">
        <w:rPr>
          <w:b/>
          <w:bCs/>
        </w:rPr>
        <w:t xml:space="preserve"> mainstream </w:t>
      </w:r>
      <w:r w:rsidR="00AE6F94" w:rsidRPr="0008575C">
        <w:rPr>
          <w:b/>
          <w:bCs/>
        </w:rPr>
        <w:t xml:space="preserve">and specialist </w:t>
      </w:r>
      <w:r w:rsidRPr="0008575C">
        <w:rPr>
          <w:b/>
          <w:bCs/>
        </w:rPr>
        <w:t>services</w:t>
      </w:r>
      <w:r w:rsidR="0078276A" w:rsidRPr="0008575C">
        <w:rPr>
          <w:b/>
          <w:bCs/>
        </w:rPr>
        <w:t>. In particular, governments will help cultivate</w:t>
      </w:r>
      <w:r w:rsidRPr="0008575C">
        <w:rPr>
          <w:b/>
          <w:bCs/>
        </w:rPr>
        <w:t xml:space="preserve"> a coordinated, integrated and appropriately skilled, qualified and resourced workforce to support all victim-survivors</w:t>
      </w:r>
      <w:r w:rsidR="00A00BB7" w:rsidRPr="0008575C">
        <w:rPr>
          <w:b/>
          <w:bCs/>
        </w:rPr>
        <w:t xml:space="preserve"> and cater to people’s individual background and circumstances.</w:t>
      </w:r>
    </w:p>
    <w:p w14:paraId="64915351" w14:textId="0763CBEA" w:rsidR="00FF3BD9" w:rsidRDefault="0038547E" w:rsidP="00FF3BD9">
      <w:r>
        <w:t>Experiences of t</w:t>
      </w:r>
      <w:r w:rsidR="00FF3BD9">
        <w:t>he family and domestic</w:t>
      </w:r>
      <w:r w:rsidR="00B952AF">
        <w:t xml:space="preserve"> violence</w:t>
      </w:r>
      <w:r w:rsidR="00FF3BD9">
        <w:t xml:space="preserve"> support landscape </w:t>
      </w:r>
      <w:r>
        <w:t xml:space="preserve">can be </w:t>
      </w:r>
      <w:r w:rsidR="00FF3BD9">
        <w:t>fragmented and complex to navigate, making it difficult for people to access the supports they need.</w:t>
      </w:r>
    </w:p>
    <w:p w14:paraId="22533938" w14:textId="43D664D9" w:rsidR="0094443C" w:rsidRDefault="00FF3BD9" w:rsidP="00FF3BD9">
      <w:r>
        <w:t>Recent inquiries and strategies, including Senate and House of Representatives Inquiries</w:t>
      </w:r>
      <w:r w:rsidR="00B973F6">
        <w:t>,</w:t>
      </w:r>
      <w:r>
        <w:rPr>
          <w:rStyle w:val="EndnoteReference"/>
        </w:rPr>
        <w:endnoteReference w:id="21"/>
      </w:r>
      <w:r>
        <w:t xml:space="preserve"> the Productivity Commission inquiry into mental health</w:t>
      </w:r>
      <w:r w:rsidR="00B973F6">
        <w:t>,</w:t>
      </w:r>
      <w:r>
        <w:rPr>
          <w:rStyle w:val="EndnoteReference"/>
        </w:rPr>
        <w:endnoteReference w:id="22"/>
      </w:r>
      <w:r>
        <w:t xml:space="preserve"> the </w:t>
      </w:r>
      <w:r w:rsidR="00AD418F">
        <w:t xml:space="preserve">National </w:t>
      </w:r>
      <w:r>
        <w:t>Women’s Health Strategy</w:t>
      </w:r>
      <w:r w:rsidR="00B973F6">
        <w:t>,</w:t>
      </w:r>
      <w:r>
        <w:rPr>
          <w:rStyle w:val="EndnoteReference"/>
        </w:rPr>
        <w:endnoteReference w:id="23"/>
      </w:r>
      <w:r w:rsidR="00DA519A">
        <w:t xml:space="preserve"> </w:t>
      </w:r>
      <w:r>
        <w:t>and the 2021 National Safety Summit</w:t>
      </w:r>
      <w:r w:rsidR="00B973F6">
        <w:t>,</w:t>
      </w:r>
      <w:r>
        <w:rPr>
          <w:rStyle w:val="EndnoteReference"/>
        </w:rPr>
        <w:endnoteReference w:id="24"/>
      </w:r>
      <w:r>
        <w:t xml:space="preserve"> have reviewed the services landscape and stressed the need for coordinated care and a joining up of all levels of government.</w:t>
      </w:r>
    </w:p>
    <w:p w14:paraId="5792BC6F" w14:textId="205C91F2" w:rsidR="00FF3BD9" w:rsidRDefault="00FF3BD9" w:rsidP="00FF3BD9">
      <w:r>
        <w:t>Better coordination and integration of systems that assist and support women and children experiencing, or at risk of</w:t>
      </w:r>
      <w:r w:rsidR="0078276A">
        <w:t xml:space="preserve"> experiencing</w:t>
      </w:r>
      <w:r w:rsidR="00C557D9">
        <w:t>,</w:t>
      </w:r>
      <w:r>
        <w:t xml:space="preserve"> violence is integral to creating a person-centred service system where </w:t>
      </w:r>
      <w:r w:rsidR="00DB1B31">
        <w:t>victim-survivors</w:t>
      </w:r>
      <w:r>
        <w:t xml:space="preserve"> do not have to tell their stories repeatedly at multiple contact points.</w:t>
      </w:r>
      <w:r w:rsidR="00E613F7">
        <w:t xml:space="preserve"> </w:t>
      </w:r>
      <w:r w:rsidR="003033BA">
        <w:t xml:space="preserve">Victim-survivors have told us that mechanisms need to be established for information sharing, referral pathways and joint case management to provide a cohesive and integrated approach to support. </w:t>
      </w:r>
      <w:r w:rsidR="009B1B58">
        <w:t>L</w:t>
      </w:r>
      <w:r w:rsidR="009B1B58" w:rsidRPr="001A1D02">
        <w:t>egal assistance for victim</w:t>
      </w:r>
      <w:r w:rsidR="00DB1B31" w:rsidRPr="001A1D02">
        <w:t>-</w:t>
      </w:r>
      <w:r w:rsidR="009B1B58" w:rsidRPr="001A1D02">
        <w:t>survivors of family violence must be part of a connected and coordinated response</w:t>
      </w:r>
      <w:r w:rsidR="00DB1B31" w:rsidRPr="001A1D02">
        <w:t>.</w:t>
      </w:r>
    </w:p>
    <w:p w14:paraId="3353E23D" w14:textId="59345E6A" w:rsidR="00FF3BD9" w:rsidRPr="00CE6A77" w:rsidRDefault="00FF3BD9" w:rsidP="00FF3BD9">
      <w:r>
        <w:t xml:space="preserve">The experiences, recovery and safety needs of groups facing intersecting forms of discrimination, inequality and violence are a key priority of the National Plan. Collaboration and partnerships between specialist </w:t>
      </w:r>
      <w:r w:rsidR="00850993">
        <w:t>gender-based violence</w:t>
      </w:r>
      <w:r>
        <w:t xml:space="preserve"> services and other services such as Aboriginal </w:t>
      </w:r>
      <w:r w:rsidR="00815251">
        <w:t>c</w:t>
      </w:r>
      <w:r>
        <w:t xml:space="preserve">ommunity </w:t>
      </w:r>
      <w:r w:rsidR="00815251">
        <w:t>c</w:t>
      </w:r>
      <w:r>
        <w:t xml:space="preserve">ontrolled </w:t>
      </w:r>
      <w:r w:rsidR="00815251">
        <w:t>o</w:t>
      </w:r>
      <w:r>
        <w:t>rganisations, LGBTIQA+ community organisations, organisations supporting people with disability</w:t>
      </w:r>
      <w:r w:rsidR="00754047">
        <w:t xml:space="preserve">, organisations supporting the elderly, </w:t>
      </w:r>
      <w:r>
        <w:t xml:space="preserve">and culturally diverse </w:t>
      </w:r>
      <w:r w:rsidRPr="00713122">
        <w:t xml:space="preserve">communities are critical in increasing the ability to provide tailored, expert care and support. </w:t>
      </w:r>
      <w:r w:rsidR="00850993" w:rsidRPr="00713122">
        <w:t>Children and y</w:t>
      </w:r>
      <w:r w:rsidR="00850993" w:rsidRPr="00713122">
        <w:rPr>
          <w:rFonts w:cs="Arial"/>
        </w:rPr>
        <w:t>oung people need person-centred care that provides integrated, holistic supports to avoid re-traumatisation.</w:t>
      </w:r>
    </w:p>
    <w:p w14:paraId="341B17ED" w14:textId="4916FB86" w:rsidR="00FF3BD9" w:rsidRDefault="00FF3BD9" w:rsidP="00FF3BD9">
      <w:r>
        <w:t>Mechanisms that respond to and manage risk and provide a pathway for victim-survivors, for example risk assessments and safety plans, are needed to enable coordination and collaboration across jurisdictions, sectors and settings</w:t>
      </w:r>
      <w:r w:rsidR="00ED6747">
        <w:t>.</w:t>
      </w:r>
      <w:r w:rsidR="00312E90">
        <w:t xml:space="preserve"> Such mechanisms will also</w:t>
      </w:r>
      <w:r>
        <w:t xml:space="preserve"> promote consistency between legislative and policy reforms</w:t>
      </w:r>
      <w:r w:rsidR="00312E90">
        <w:t>,</w:t>
      </w:r>
      <w:r>
        <w:t xml:space="preserve"> </w:t>
      </w:r>
      <w:r w:rsidRPr="007A63E7">
        <w:t>where appropriate and practicable</w:t>
      </w:r>
      <w:r w:rsidR="00312E90">
        <w:t>,</w:t>
      </w:r>
      <w:r>
        <w:t xml:space="preserve"> programs, and other response and prevention efforts. </w:t>
      </w:r>
      <w:r w:rsidR="00EF7E5C">
        <w:t>These should be designed in partnership with victim-survivors.</w:t>
      </w:r>
    </w:p>
    <w:p w14:paraId="0E71A9CE" w14:textId="11BC168E" w:rsidR="00FF3BD9" w:rsidRDefault="00FF3BD9" w:rsidP="00FF3BD9">
      <w:r>
        <w:lastRenderedPageBreak/>
        <w:t>There are currently also gaps in the capacity of</w:t>
      </w:r>
      <w:r w:rsidR="0038547E">
        <w:t xml:space="preserve"> some</w:t>
      </w:r>
      <w:r>
        <w:t xml:space="preserve"> existing services to provide holistic, integrated and tailored responses. Career pathways into the </w:t>
      </w:r>
      <w:r w:rsidR="0038547E">
        <w:t xml:space="preserve">family and domestic violence </w:t>
      </w:r>
      <w:r>
        <w:t>sector are not always clear and specialist skills are often learned on the job and under immense pressure. There are additional challenges and barriers to attracting, developing and retaining skilled and qualified staff in regional, rural and remote communities.</w:t>
      </w:r>
    </w:p>
    <w:p w14:paraId="62A15D7C" w14:textId="33F97378" w:rsidR="0043228E" w:rsidRDefault="0043228E" w:rsidP="00FF3BD9">
      <w:r w:rsidRPr="00002EF6">
        <w:t xml:space="preserve">Economic </w:t>
      </w:r>
      <w:r>
        <w:t>and financial</w:t>
      </w:r>
      <w:r w:rsidRPr="00002EF6">
        <w:t xml:space="preserve"> abuse often occur alongside other forms of abuse. The impacts of economic abuse can result in victim-survivors leaving </w:t>
      </w:r>
      <w:r w:rsidR="00E927BF">
        <w:t xml:space="preserve">their homes </w:t>
      </w:r>
      <w:r w:rsidRPr="00002EF6">
        <w:t>with no resources to rebuild their lives. Services need to have or develop the expertise to assist victim-survivors in establishing financial security</w:t>
      </w:r>
      <w:r w:rsidR="0026139A">
        <w:t xml:space="preserve"> as part of their recovery</w:t>
      </w:r>
      <w:r w:rsidRPr="00002EF6">
        <w:t>.</w:t>
      </w:r>
    </w:p>
    <w:p w14:paraId="398BFAFC" w14:textId="366284D6" w:rsidR="00FF3BD9" w:rsidRDefault="00FF3BD9" w:rsidP="00FF3BD9">
      <w:r>
        <w:t xml:space="preserve">We will work together to ensure services are able to contribute to victim-survivors’ long-term recovery and healing by addressing a range of complex needs, including access to stable </w:t>
      </w:r>
      <w:r w:rsidR="003B3AA1">
        <w:t xml:space="preserve">and secure </w:t>
      </w:r>
      <w:r>
        <w:t>housing. This could include care coordination, psychological and mental health support and assistance with substance use.</w:t>
      </w:r>
    </w:p>
    <w:p w14:paraId="4A286366" w14:textId="03CF9458" w:rsidR="00FF3BD9" w:rsidRDefault="00FF3BD9" w:rsidP="00FF3BD9">
      <w:r>
        <w:t xml:space="preserve">Building the </w:t>
      </w:r>
      <w:r w:rsidR="0038547E">
        <w:t xml:space="preserve">family, domestic and sexual violence </w:t>
      </w:r>
      <w:r>
        <w:t>sector</w:t>
      </w:r>
      <w:r w:rsidR="0038547E">
        <w:t>s</w:t>
      </w:r>
      <w:r>
        <w:t xml:space="preserve">, both in size and capability, will help to ensure that victim-survivors can access the support they need no matter where they live, or where they are on </w:t>
      </w:r>
      <w:r w:rsidR="003B3AA1">
        <w:t>their</w:t>
      </w:r>
      <w:r>
        <w:t xml:space="preserve"> path to recovery.</w:t>
      </w:r>
    </w:p>
    <w:p w14:paraId="0A7A0F55" w14:textId="77777777" w:rsidR="00FF3BD9" w:rsidRPr="00B454A5" w:rsidRDefault="00FF3BD9" w:rsidP="00BF6AD8">
      <w:pPr>
        <w:rPr>
          <w:b/>
          <w:bCs/>
          <w:i/>
          <w:iCs/>
        </w:rPr>
      </w:pPr>
      <w:r w:rsidRPr="00B454A5">
        <w:rPr>
          <w:b/>
          <w:bCs/>
          <w:i/>
          <w:iCs/>
        </w:rPr>
        <w:t>What difference will we make?</w:t>
      </w:r>
    </w:p>
    <w:p w14:paraId="07AAEA1A" w14:textId="77777777" w:rsidR="00FF3BD9" w:rsidRDefault="00FF3BD9" w:rsidP="00FF3BD9">
      <w:pPr>
        <w:spacing w:before="240"/>
        <w:rPr>
          <w:rFonts w:ascii="Calibri" w:hAnsi="Calibri"/>
        </w:rPr>
      </w:pPr>
      <w:r>
        <w:t>Implementing this action will work towards the following outcomes as identified in the Outcomes Framework:</w:t>
      </w:r>
    </w:p>
    <w:p w14:paraId="42E3A017" w14:textId="4D7AADF6" w:rsidR="00FF3BD9" w:rsidRPr="00034283" w:rsidRDefault="003F3C61" w:rsidP="006A365C">
      <w:pPr>
        <w:pStyle w:val="ListParagraph"/>
        <w:numPr>
          <w:ilvl w:val="0"/>
          <w:numId w:val="6"/>
        </w:numPr>
        <w:rPr>
          <w:rFonts w:cs="Arial"/>
        </w:rPr>
      </w:pPr>
      <w:r>
        <w:t>Services</w:t>
      </w:r>
      <w:r w:rsidR="00FF3BD9" w:rsidRPr="001A1D02">
        <w:t xml:space="preserve"> and prevention programs are effective, culturally </w:t>
      </w:r>
      <w:r>
        <w:t>responsive</w:t>
      </w:r>
      <w:r w:rsidR="00FF3BD9" w:rsidRPr="001A1D02">
        <w:t>, intersectional and accessible</w:t>
      </w:r>
      <w:r w:rsidR="00487699">
        <w:t>.</w:t>
      </w:r>
    </w:p>
    <w:p w14:paraId="3181787C" w14:textId="7670A6D5" w:rsidR="00FF3BD9" w:rsidRPr="00000D6B" w:rsidRDefault="00FF3BD9" w:rsidP="006A365C">
      <w:pPr>
        <w:numPr>
          <w:ilvl w:val="0"/>
          <w:numId w:val="6"/>
        </w:numPr>
        <w:spacing w:before="240"/>
        <w:rPr>
          <w:lang w:val="en-US"/>
        </w:rPr>
      </w:pPr>
      <w:r w:rsidRPr="2A73AA60">
        <w:rPr>
          <w:lang w:val="en-US"/>
        </w:rPr>
        <w:t>Community attitudes and beliefs embrace gender equality and condemn all forms of gendered violence without exception</w:t>
      </w:r>
      <w:r w:rsidR="00487699">
        <w:rPr>
          <w:lang w:val="en-US"/>
        </w:rPr>
        <w:t>.</w:t>
      </w:r>
    </w:p>
    <w:p w14:paraId="4EF7F6A0" w14:textId="5ABD2BDE" w:rsidR="00FF3BD9" w:rsidRPr="001A1D02" w:rsidRDefault="001A003D" w:rsidP="001A1D02">
      <w:pPr>
        <w:pStyle w:val="ListParagraph"/>
        <w:numPr>
          <w:ilvl w:val="0"/>
          <w:numId w:val="6"/>
        </w:numPr>
      </w:pPr>
      <w:r w:rsidRPr="00AC7EB2">
        <w:rPr>
          <w:rFonts w:cs="Arial"/>
          <w:bCs/>
          <w:color w:val="000000" w:themeColor="text1"/>
          <w:kern w:val="24"/>
        </w:rPr>
        <w:t xml:space="preserve">Women </w:t>
      </w:r>
      <w:r w:rsidR="00FF3BD9" w:rsidRPr="001A1D02">
        <w:rPr>
          <w:color w:val="000000" w:themeColor="text1"/>
          <w:kern w:val="24"/>
        </w:rPr>
        <w:t xml:space="preserve">are safe </w:t>
      </w:r>
      <w:r w:rsidRPr="00AC7EB2">
        <w:rPr>
          <w:rFonts w:cs="Arial"/>
          <w:bCs/>
          <w:color w:val="000000" w:themeColor="text1"/>
          <w:kern w:val="24"/>
        </w:rPr>
        <w:t xml:space="preserve">and respected </w:t>
      </w:r>
      <w:r w:rsidR="00FF3BD9" w:rsidRPr="001A1D02">
        <w:rPr>
          <w:color w:val="000000" w:themeColor="text1"/>
          <w:kern w:val="24"/>
        </w:rPr>
        <w:t>in all settings</w:t>
      </w:r>
      <w:r w:rsidRPr="00AC7EB2">
        <w:rPr>
          <w:rFonts w:cs="Arial"/>
          <w:bCs/>
          <w:color w:val="000000" w:themeColor="text1"/>
          <w:kern w:val="24"/>
        </w:rPr>
        <w:t>,</w:t>
      </w:r>
      <w:r w:rsidR="00FF3BD9" w:rsidRPr="001A1D02">
        <w:rPr>
          <w:color w:val="000000" w:themeColor="text1"/>
          <w:kern w:val="24"/>
        </w:rPr>
        <w:t xml:space="preserve"> and </w:t>
      </w:r>
      <w:r w:rsidRPr="00AC7EB2">
        <w:rPr>
          <w:rFonts w:cs="Arial"/>
          <w:bCs/>
          <w:color w:val="000000" w:themeColor="text1"/>
          <w:kern w:val="24"/>
        </w:rPr>
        <w:t>experience economic, social, political and cultural equality</w:t>
      </w:r>
      <w:r w:rsidR="00487699">
        <w:t>.</w:t>
      </w:r>
    </w:p>
    <w:p w14:paraId="19BD4034" w14:textId="4F131A7E" w:rsidR="00FF3BD9" w:rsidRDefault="00FF3BD9" w:rsidP="00FF3BD9">
      <w:r w:rsidRPr="2A73AA60">
        <w:rPr>
          <w:u w:val="single"/>
        </w:rPr>
        <w:t>Responsibility for implementation:</w:t>
      </w:r>
      <w:r>
        <w:t xml:space="preserve"> </w:t>
      </w:r>
      <w:r w:rsidR="00833FEA">
        <w:t>Australian</w:t>
      </w:r>
      <w:r>
        <w:t>, state and territory governments; family, domestic and sexual violence sector</w:t>
      </w:r>
      <w:r w:rsidR="000B37EF">
        <w:t>s</w:t>
      </w:r>
      <w:r>
        <w:t>;</w:t>
      </w:r>
      <w:r w:rsidR="00334A89">
        <w:t xml:space="preserve"> police and justice system;</w:t>
      </w:r>
      <w:r>
        <w:t xml:space="preserve"> </w:t>
      </w:r>
      <w:r w:rsidR="00487699">
        <w:t xml:space="preserve">and </w:t>
      </w:r>
      <w:r>
        <w:t>mainstream services</w:t>
      </w:r>
      <w:r w:rsidR="00487699">
        <w:t>.</w:t>
      </w:r>
    </w:p>
    <w:p w14:paraId="0C54C9D5" w14:textId="1D3EC1E9" w:rsidR="00B454A5" w:rsidRDefault="00FF3BD9" w:rsidP="00FF3BD9">
      <w:r w:rsidRPr="2A73AA60">
        <w:rPr>
          <w:u w:val="single"/>
        </w:rPr>
        <w:t>Domains:</w:t>
      </w:r>
      <w:r w:rsidRPr="00F65B05">
        <w:t xml:space="preserve"> early intervention</w:t>
      </w:r>
      <w:r>
        <w:t>; response; recovery and healing</w:t>
      </w:r>
      <w:r w:rsidR="00487699">
        <w:t>.</w:t>
      </w:r>
    </w:p>
    <w:p w14:paraId="0BA1CA1C" w14:textId="77777777" w:rsidR="00B454A5" w:rsidRDefault="00B454A5">
      <w:r>
        <w:br w:type="page"/>
      </w:r>
    </w:p>
    <w:p w14:paraId="043FF0C2" w14:textId="77777777" w:rsidR="00B454A5" w:rsidRDefault="00FF3BD9" w:rsidP="00BF6AD8">
      <w:pPr>
        <w:pStyle w:val="Heading1"/>
      </w:pPr>
      <w:bookmarkStart w:id="140" w:name="_Toc132805054"/>
      <w:bookmarkStart w:id="141" w:name="_Toc132805395"/>
      <w:bookmarkStart w:id="142" w:name="_Toc134621948"/>
      <w:bookmarkStart w:id="143" w:name="_Toc134622040"/>
      <w:bookmarkStart w:id="144" w:name="_Toc134622142"/>
      <w:bookmarkStart w:id="145" w:name="_Toc134624196"/>
      <w:bookmarkStart w:id="146" w:name="_Toc134624231"/>
      <w:bookmarkStart w:id="147" w:name="_Toc134628760"/>
      <w:bookmarkStart w:id="148" w:name="_Toc136254998"/>
      <w:bookmarkStart w:id="149" w:name="_Toc136261693"/>
      <w:bookmarkStart w:id="150" w:name="_Toc136268782"/>
      <w:bookmarkStart w:id="151" w:name="_Toc144909142"/>
      <w:bookmarkEnd w:id="126"/>
      <w:bookmarkEnd w:id="127"/>
      <w:r w:rsidRPr="00426D33">
        <w:lastRenderedPageBreak/>
        <w:t>Action 5</w:t>
      </w:r>
      <w:bookmarkEnd w:id="140"/>
      <w:bookmarkEnd w:id="141"/>
      <w:bookmarkEnd w:id="142"/>
      <w:bookmarkEnd w:id="143"/>
      <w:bookmarkEnd w:id="144"/>
      <w:bookmarkEnd w:id="145"/>
      <w:bookmarkEnd w:id="146"/>
      <w:bookmarkEnd w:id="147"/>
      <w:bookmarkEnd w:id="148"/>
      <w:bookmarkEnd w:id="149"/>
      <w:bookmarkEnd w:id="150"/>
      <w:bookmarkEnd w:id="151"/>
    </w:p>
    <w:p w14:paraId="556E4D50" w14:textId="0261FD52" w:rsidR="00FF3BD9" w:rsidRPr="00426D33" w:rsidRDefault="00FF3BD9" w:rsidP="00B454A5">
      <w:pPr>
        <w:pStyle w:val="Heading2"/>
      </w:pPr>
      <w:bookmarkStart w:id="152" w:name="_Toc144909143"/>
      <w:r w:rsidRPr="00426D33">
        <w:t>Strengthen systems and services to better hold people who choose to use violence to account, and provide opportunities to support people who have used violence, or are at risk of using violence, to change their behaviours</w:t>
      </w:r>
      <w:r w:rsidR="00A00BB7" w:rsidRPr="00426D33">
        <w:t xml:space="preserve">, with the aim of protecting the safety and wellbeing of current and </w:t>
      </w:r>
      <w:r w:rsidR="00221362" w:rsidRPr="00426D33">
        <w:t>potential</w:t>
      </w:r>
      <w:r w:rsidR="00A00BB7" w:rsidRPr="00426D33">
        <w:t xml:space="preserve"> victim-survivors</w:t>
      </w:r>
      <w:r w:rsidRPr="00426D33">
        <w:t>.</w:t>
      </w:r>
      <w:bookmarkEnd w:id="152"/>
    </w:p>
    <w:p w14:paraId="0398CB56" w14:textId="2648D278" w:rsidR="00FF3BD9" w:rsidRPr="00B454A5" w:rsidRDefault="00FF3BD9" w:rsidP="00B454A5">
      <w:pPr>
        <w:rPr>
          <w:b/>
          <w:bCs/>
        </w:rPr>
      </w:pPr>
      <w:r w:rsidRPr="00B454A5">
        <w:rPr>
          <w:b/>
          <w:bCs/>
        </w:rPr>
        <w:t>Violence against women and children will not end without a clear and sustained focus on those who choose to use violence. The responsibility to stop using violence belongs to the person who chooses to use violence.</w:t>
      </w:r>
      <w:r w:rsidR="004C5758" w:rsidRPr="00B454A5">
        <w:rPr>
          <w:b/>
          <w:bCs/>
        </w:rPr>
        <w:t xml:space="preserve"> We need to acknowledge that the perpetrators of </w:t>
      </w:r>
      <w:r w:rsidR="00B35798" w:rsidRPr="00B454A5">
        <w:rPr>
          <w:b/>
          <w:bCs/>
        </w:rPr>
        <w:t>gender-based</w:t>
      </w:r>
      <w:r w:rsidR="004C5758" w:rsidRPr="00B454A5">
        <w:rPr>
          <w:b/>
          <w:bCs/>
        </w:rPr>
        <w:t xml:space="preserve"> violence are overwhelmingly men.</w:t>
      </w:r>
    </w:p>
    <w:p w14:paraId="17BD4A7B" w14:textId="0F214FD2" w:rsidR="00FF3BD9" w:rsidRDefault="003C2B42" w:rsidP="00FF3BD9">
      <w:r w:rsidRPr="003C2B42">
        <w:t xml:space="preserve">Evidence demonstrates that men's violence against women is underpinned by gendered dynamics. Australia's shared framework for the prevention of violence against women, </w:t>
      </w:r>
      <w:r w:rsidRPr="00A820CC">
        <w:rPr>
          <w:i/>
        </w:rPr>
        <w:t xml:space="preserve">Change the </w:t>
      </w:r>
      <w:r w:rsidR="00BD7671" w:rsidRPr="00A820CC">
        <w:rPr>
          <w:i/>
        </w:rPr>
        <w:t>S</w:t>
      </w:r>
      <w:r w:rsidRPr="00A820CC">
        <w:rPr>
          <w:i/>
        </w:rPr>
        <w:t>tory</w:t>
      </w:r>
      <w:r w:rsidRPr="003C2B42">
        <w:t>, outlines how violence against women is driven by men's control of decision-making and resources, gender stereotypes that constrain women and promote dominant forms of masculinit</w:t>
      </w:r>
      <w:r w:rsidR="00484B7E">
        <w:t>y</w:t>
      </w:r>
      <w:r w:rsidRPr="003C2B42">
        <w:t>, the condoning of violence against women in the community and male peer relations that emphasis</w:t>
      </w:r>
      <w:r w:rsidR="00A16114">
        <w:t>e</w:t>
      </w:r>
      <w:r w:rsidRPr="003C2B42">
        <w:t xml:space="preserve"> aggression</w:t>
      </w:r>
      <w:r w:rsidR="00484B7E">
        <w:t>,</w:t>
      </w:r>
      <w:r w:rsidRPr="003C2B42">
        <w:t xml:space="preserve"> dominance and control. These strong links between socially dominant forms and patterns of masculinity are critical to address in preventing men's perpetration of violence against women.</w:t>
      </w:r>
      <w:r w:rsidR="00FF3BD9">
        <w:rPr>
          <w:rStyle w:val="EndnoteReference"/>
        </w:rPr>
        <w:endnoteReference w:id="25"/>
      </w:r>
    </w:p>
    <w:p w14:paraId="050CF2D7" w14:textId="0BFFDC12" w:rsidR="004C5758" w:rsidRDefault="004C5758" w:rsidP="00FF3BD9">
      <w:r>
        <w:t>I</w:t>
      </w:r>
      <w:r w:rsidRPr="00320D11">
        <w:rPr>
          <w:rFonts w:cs="Arial"/>
        </w:rPr>
        <w:t xml:space="preserve">t is the role and responsibility of a wide range of services and agencies to keep </w:t>
      </w:r>
      <w:r w:rsidR="00460B8B">
        <w:rPr>
          <w:rFonts w:cs="Arial"/>
        </w:rPr>
        <w:t>people who use violence</w:t>
      </w:r>
      <w:r w:rsidRPr="00320D11">
        <w:rPr>
          <w:rFonts w:cs="Arial"/>
        </w:rPr>
        <w:t xml:space="preserve"> in view, directly or indirectly</w:t>
      </w:r>
      <w:r>
        <w:rPr>
          <w:rFonts w:cs="Arial"/>
        </w:rPr>
        <w:t>, to</w:t>
      </w:r>
      <w:r w:rsidRPr="00320D11">
        <w:rPr>
          <w:rFonts w:cs="Arial"/>
        </w:rPr>
        <w:t xml:space="preserve"> address the risk posed and scaffold pathways toward non-violence</w:t>
      </w:r>
      <w:r>
        <w:rPr>
          <w:rFonts w:cs="Arial"/>
        </w:rPr>
        <w:t xml:space="preserve">. </w:t>
      </w:r>
      <w:r w:rsidR="003E14E6">
        <w:t>We will work to support individuals to change their behaviour by providing</w:t>
      </w:r>
      <w:r w:rsidRPr="00320D11">
        <w:rPr>
          <w:rFonts w:cs="Arial"/>
        </w:rPr>
        <w:t xml:space="preserve"> effective early engagement, referral pathways and evidence-based treatment programs</w:t>
      </w:r>
      <w:r w:rsidR="003E14E6">
        <w:t>.</w:t>
      </w:r>
    </w:p>
    <w:p w14:paraId="53DF18EA" w14:textId="71AA5B87" w:rsidR="00FF3BD9" w:rsidRDefault="00FF3BD9" w:rsidP="00FF3BD9">
      <w:r>
        <w:t>We will work to reshape the social, political and economic aspects of our society that allow gender inequality and discrimination to continue, including by working with men and boys to disrupt and prevent the attitudes and behaviours that can lead to violence</w:t>
      </w:r>
      <w:r w:rsidR="00B93881">
        <w:t xml:space="preserve"> and through ongoing work in prevention</w:t>
      </w:r>
      <w:r>
        <w:t>.</w:t>
      </w:r>
    </w:p>
    <w:p w14:paraId="30CBA6BF" w14:textId="2F8644B4" w:rsidR="00FF3BD9" w:rsidRDefault="00FF3BD9" w:rsidP="00FF3BD9">
      <w:r w:rsidRPr="00355BB1">
        <w:t xml:space="preserve">While teaching consent and </w:t>
      </w:r>
      <w:r w:rsidR="00BD7671">
        <w:t xml:space="preserve">implementing </w:t>
      </w:r>
      <w:r w:rsidRPr="00355BB1">
        <w:t xml:space="preserve">prevention activities is important to prevent violence, it </w:t>
      </w:r>
      <w:r w:rsidR="00FE4EF0">
        <w:t>may</w:t>
      </w:r>
      <w:r w:rsidR="00FE4EF0" w:rsidRPr="00355BB1">
        <w:t xml:space="preserve"> </w:t>
      </w:r>
      <w:r w:rsidRPr="00355BB1">
        <w:t xml:space="preserve">not change the behaviour of </w:t>
      </w:r>
      <w:r>
        <w:t>people</w:t>
      </w:r>
      <w:r w:rsidRPr="00355BB1">
        <w:t xml:space="preserve"> who are already using violence</w:t>
      </w:r>
      <w:r>
        <w:t xml:space="preserve">. As 97 per cent of sexual violence is perpetrated by males toward women and </w:t>
      </w:r>
      <w:r w:rsidR="003E14E6">
        <w:t xml:space="preserve">other </w:t>
      </w:r>
      <w:r>
        <w:t xml:space="preserve">men, we need to </w:t>
      </w:r>
      <w:r w:rsidR="003E14E6">
        <w:t>focus on</w:t>
      </w:r>
      <w:r>
        <w:t xml:space="preserve"> changing the behaviour of men who perpetrate sexual violence and male bystanders who give tacit agreement by failing to speak out against sexis</w:t>
      </w:r>
      <w:r w:rsidR="003E14E6">
        <w:t>m</w:t>
      </w:r>
      <w:r>
        <w:t xml:space="preserve"> and violence</w:t>
      </w:r>
      <w:r w:rsidR="004C350E">
        <w:t>.</w:t>
      </w:r>
      <w:r>
        <w:rPr>
          <w:rStyle w:val="EndnoteReference"/>
        </w:rPr>
        <w:endnoteReference w:id="26"/>
      </w:r>
    </w:p>
    <w:p w14:paraId="64BBF70A" w14:textId="4D066E34" w:rsidR="006D7B5E" w:rsidRDefault="00C23F38" w:rsidP="006D7B5E">
      <w:r>
        <w:t>This Action requires</w:t>
      </w:r>
      <w:r w:rsidRPr="00B17A4E">
        <w:t xml:space="preserve"> working with pe</w:t>
      </w:r>
      <w:r>
        <w:t>ople</w:t>
      </w:r>
      <w:r w:rsidRPr="00B17A4E">
        <w:t xml:space="preserve"> using violence at every stage, including holding them to account through justice systems.</w:t>
      </w:r>
      <w:r w:rsidR="00C17C1F">
        <w:t xml:space="preserve"> </w:t>
      </w:r>
      <w:r w:rsidR="006D7B5E">
        <w:t>Perpetrators charged with violence must be held to account through existing laws and interventions, and laws and systems need to be strengthened to support victims.</w:t>
      </w:r>
    </w:p>
    <w:p w14:paraId="1987B689" w14:textId="4DF221B7" w:rsidR="007906A5" w:rsidRPr="007906A5" w:rsidRDefault="007906A5">
      <w:r>
        <w:lastRenderedPageBreak/>
        <w:t>T</w:t>
      </w:r>
      <w:r>
        <w:rPr>
          <w:rFonts w:eastAsia="Times New Roman"/>
        </w:rPr>
        <w:t>ailored interventions are required for men who use family violence</w:t>
      </w:r>
      <w:r w:rsidR="001A1D02">
        <w:rPr>
          <w:rFonts w:eastAsia="Times New Roman"/>
        </w:rPr>
        <w:t>, and</w:t>
      </w:r>
      <w:r>
        <w:rPr>
          <w:rFonts w:eastAsia="Times New Roman"/>
        </w:rPr>
        <w:t xml:space="preserve"> </w:t>
      </w:r>
      <w:r w:rsidR="003E14E6">
        <w:t xml:space="preserve">need </w:t>
      </w:r>
      <w:r>
        <w:rPr>
          <w:rFonts w:eastAsia="Times New Roman"/>
        </w:rPr>
        <w:t xml:space="preserve">to </w:t>
      </w:r>
      <w:r w:rsidR="003E14E6">
        <w:t>address</w:t>
      </w:r>
      <w:r>
        <w:rPr>
          <w:rFonts w:eastAsia="Times New Roman"/>
        </w:rPr>
        <w:t xml:space="preserve"> the needs </w:t>
      </w:r>
      <w:r w:rsidR="003E14E6">
        <w:t>of</w:t>
      </w:r>
      <w:r w:rsidR="001A1D02">
        <w:t xml:space="preserve">, </w:t>
      </w:r>
      <w:r>
        <w:rPr>
          <w:rFonts w:eastAsia="Times New Roman"/>
        </w:rPr>
        <w:t>and risks present for</w:t>
      </w:r>
      <w:r w:rsidR="001A1D02">
        <w:rPr>
          <w:rFonts w:eastAsia="Times New Roman"/>
        </w:rPr>
        <w:t xml:space="preserve">, </w:t>
      </w:r>
      <w:r>
        <w:rPr>
          <w:rFonts w:eastAsia="Times New Roman"/>
        </w:rPr>
        <w:t>men in different communities and from diverse groups</w:t>
      </w:r>
      <w:r w:rsidR="003E14E6">
        <w:t xml:space="preserve"> and communities</w:t>
      </w:r>
      <w:r w:rsidRPr="003D3328">
        <w:rPr>
          <w:rFonts w:eastAsiaTheme="minorEastAsia"/>
        </w:rPr>
        <w:t>.</w:t>
      </w:r>
    </w:p>
    <w:p w14:paraId="0DEC19B3" w14:textId="5D045407" w:rsidR="00C23F38" w:rsidRDefault="00836DFE" w:rsidP="00FF3BD9">
      <w:r>
        <w:t>Addressing cyclical</w:t>
      </w:r>
      <w:r w:rsidR="00C17C1F" w:rsidRPr="002E6EAA">
        <w:rPr>
          <w:rFonts w:cs="Arial"/>
        </w:rPr>
        <w:t xml:space="preserve"> and intergenerational violence </w:t>
      </w:r>
      <w:r>
        <w:t>must</w:t>
      </w:r>
      <w:r w:rsidR="00C17C1F" w:rsidRPr="002E6EAA">
        <w:rPr>
          <w:rFonts w:cs="Arial"/>
        </w:rPr>
        <w:t xml:space="preserve"> be a priority</w:t>
      </w:r>
      <w:r>
        <w:t>, since</w:t>
      </w:r>
      <w:r w:rsidR="00C17C1F">
        <w:rPr>
          <w:rFonts w:cs="Arial"/>
        </w:rPr>
        <w:t xml:space="preserve"> we know </w:t>
      </w:r>
      <w:r>
        <w:t xml:space="preserve">that </w:t>
      </w:r>
      <w:r w:rsidR="00C17C1F">
        <w:rPr>
          <w:rFonts w:cs="Arial"/>
        </w:rPr>
        <w:t xml:space="preserve">many people </w:t>
      </w:r>
      <w:r>
        <w:t>who use</w:t>
      </w:r>
      <w:r w:rsidR="00C17C1F">
        <w:rPr>
          <w:rFonts w:cs="Arial"/>
        </w:rPr>
        <w:t xml:space="preserve"> violence have been victims of violence </w:t>
      </w:r>
      <w:r>
        <w:t>themselves during childhood</w:t>
      </w:r>
      <w:r w:rsidR="00536498">
        <w:rPr>
          <w:rFonts w:cs="Arial"/>
        </w:rPr>
        <w:t>.</w:t>
      </w:r>
    </w:p>
    <w:p w14:paraId="0FC8A9C8" w14:textId="1C0B8613" w:rsidR="00FF3BD9" w:rsidRPr="001A1D02" w:rsidRDefault="00836DFE" w:rsidP="001A1D02">
      <w:pPr>
        <w:pStyle w:val="CommentText"/>
        <w:rPr>
          <w:rFonts w:ascii="Arial" w:hAnsi="Arial"/>
          <w:sz w:val="22"/>
        </w:rPr>
      </w:pPr>
      <w:r w:rsidRPr="003D3328">
        <w:rPr>
          <w:rFonts w:ascii="Arial" w:hAnsi="Arial" w:cs="Arial"/>
          <w:sz w:val="22"/>
          <w:szCs w:val="22"/>
        </w:rPr>
        <w:t>We will work to support individuals to change their behaviour prior to interactions with criminal justice systems by</w:t>
      </w:r>
      <w:r w:rsidR="00FF3BD9" w:rsidRPr="001A1D02">
        <w:rPr>
          <w:rFonts w:ascii="Arial" w:hAnsi="Arial"/>
          <w:sz w:val="22"/>
        </w:rPr>
        <w:t xml:space="preserve"> improving </w:t>
      </w:r>
      <w:r w:rsidRPr="003D3328">
        <w:rPr>
          <w:rFonts w:ascii="Arial" w:hAnsi="Arial" w:cs="Arial"/>
          <w:sz w:val="22"/>
          <w:szCs w:val="22"/>
        </w:rPr>
        <w:t>the timeliness of</w:t>
      </w:r>
      <w:r w:rsidR="00FF3BD9" w:rsidRPr="001A1D02">
        <w:rPr>
          <w:rFonts w:ascii="Arial" w:hAnsi="Arial"/>
          <w:sz w:val="22"/>
        </w:rPr>
        <w:t xml:space="preserve"> identification and responses to at-risk behaviours or attitudes and providing effective early engagement, referral pathways and evidence-based treatment programs.</w:t>
      </w:r>
    </w:p>
    <w:p w14:paraId="20262092" w14:textId="334779BE" w:rsidR="00FF3BD9" w:rsidRPr="00BF6AD8" w:rsidRDefault="00FF3BD9" w:rsidP="00BF6AD8">
      <w:pPr>
        <w:rPr>
          <w:b/>
          <w:bCs/>
          <w:i/>
          <w:iCs/>
        </w:rPr>
      </w:pPr>
      <w:r w:rsidRPr="00BF6AD8">
        <w:rPr>
          <w:b/>
          <w:bCs/>
          <w:i/>
          <w:iCs/>
        </w:rPr>
        <w:t>What difference will we make?</w:t>
      </w:r>
    </w:p>
    <w:p w14:paraId="71BC3C61" w14:textId="77777777" w:rsidR="00FF3BD9" w:rsidRDefault="00FF3BD9" w:rsidP="00FF3BD9">
      <w:pPr>
        <w:spacing w:before="240"/>
        <w:rPr>
          <w:rFonts w:ascii="Calibri" w:hAnsi="Calibri"/>
        </w:rPr>
      </w:pPr>
      <w:r>
        <w:t>Implementing this action will work towards the following outcomes as identified in the Outcomes Framework:</w:t>
      </w:r>
    </w:p>
    <w:p w14:paraId="45DF2F98" w14:textId="67652FDF" w:rsidR="00C763C8" w:rsidRPr="00A820CC" w:rsidRDefault="00266CC6" w:rsidP="00C634A0">
      <w:pPr>
        <w:pStyle w:val="ListParagraph"/>
        <w:numPr>
          <w:ilvl w:val="0"/>
          <w:numId w:val="6"/>
        </w:numPr>
        <w:ind w:left="714" w:hanging="357"/>
      </w:pPr>
      <w:r w:rsidRPr="007B7415">
        <w:t>Children and young people are safe in all settings and are effectively supported by systems and services</w:t>
      </w:r>
      <w:r w:rsidR="00C763C8">
        <w:t>.</w:t>
      </w:r>
    </w:p>
    <w:p w14:paraId="12BCAB1D" w14:textId="2FEA796B" w:rsidR="00FF3BD9" w:rsidRPr="00034283" w:rsidRDefault="00FF3BD9" w:rsidP="00A820CC">
      <w:pPr>
        <w:pStyle w:val="ListParagraph"/>
        <w:numPr>
          <w:ilvl w:val="0"/>
          <w:numId w:val="6"/>
        </w:numPr>
        <w:ind w:left="714" w:hanging="357"/>
      </w:pPr>
      <w:r w:rsidRPr="00034283">
        <w:rPr>
          <w:rFonts w:cs="Arial"/>
          <w:lang w:val="en-US"/>
        </w:rPr>
        <w:t xml:space="preserve">Systems and institutions effectively support </w:t>
      </w:r>
      <w:r>
        <w:rPr>
          <w:rFonts w:cs="Arial"/>
          <w:lang w:val="en-US"/>
        </w:rPr>
        <w:t xml:space="preserve">and protect </w:t>
      </w:r>
      <w:r w:rsidRPr="00034283">
        <w:rPr>
          <w:rFonts w:cs="Arial"/>
          <w:lang w:val="en-US"/>
        </w:rPr>
        <w:t xml:space="preserve">people impacted by </w:t>
      </w:r>
      <w:r w:rsidR="00972957">
        <w:rPr>
          <w:rFonts w:cs="Arial"/>
          <w:lang w:val="en-US"/>
        </w:rPr>
        <w:t>gender-based</w:t>
      </w:r>
      <w:r>
        <w:rPr>
          <w:rFonts w:cs="Arial"/>
          <w:lang w:val="en-US"/>
        </w:rPr>
        <w:t xml:space="preserve"> violence</w:t>
      </w:r>
      <w:r w:rsidR="00C763C8">
        <w:rPr>
          <w:rFonts w:cs="Arial"/>
          <w:lang w:val="en-US"/>
        </w:rPr>
        <w:t>.</w:t>
      </w:r>
    </w:p>
    <w:p w14:paraId="0CDB0A1A" w14:textId="5140DDEE" w:rsidR="00FF3BD9" w:rsidRPr="00034283" w:rsidRDefault="0046555C" w:rsidP="00C634A0">
      <w:pPr>
        <w:pStyle w:val="ListParagraph"/>
        <w:numPr>
          <w:ilvl w:val="0"/>
          <w:numId w:val="6"/>
        </w:numPr>
        <w:rPr>
          <w:rFonts w:cs="Arial"/>
        </w:rPr>
      </w:pPr>
      <w:r>
        <w:t>Services</w:t>
      </w:r>
      <w:r w:rsidR="00FF3BD9" w:rsidRPr="001A1D02">
        <w:t xml:space="preserve"> and prevention programs are effective, culturally </w:t>
      </w:r>
      <w:r>
        <w:t>responsive</w:t>
      </w:r>
      <w:r w:rsidR="00FF3BD9" w:rsidRPr="001A1D02">
        <w:t>, intersectional and accessible</w:t>
      </w:r>
      <w:r w:rsidR="00B92319">
        <w:t>.</w:t>
      </w:r>
    </w:p>
    <w:p w14:paraId="4A1F44A9" w14:textId="408EC80E" w:rsidR="00FF3BD9" w:rsidRPr="001A1D02" w:rsidRDefault="001A003D" w:rsidP="00C634A0">
      <w:pPr>
        <w:pStyle w:val="ListParagraph"/>
        <w:numPr>
          <w:ilvl w:val="0"/>
          <w:numId w:val="6"/>
        </w:numPr>
      </w:pPr>
      <w:r w:rsidRPr="00AC7EB2">
        <w:rPr>
          <w:rFonts w:cs="Arial"/>
          <w:bCs/>
          <w:color w:val="000000" w:themeColor="text1"/>
          <w:kern w:val="24"/>
        </w:rPr>
        <w:t xml:space="preserve">Women </w:t>
      </w:r>
      <w:r w:rsidR="00FF3BD9" w:rsidRPr="001A1D02">
        <w:rPr>
          <w:color w:val="000000" w:themeColor="text1"/>
          <w:kern w:val="24"/>
        </w:rPr>
        <w:t xml:space="preserve">are safe </w:t>
      </w:r>
      <w:r w:rsidRPr="00AC7EB2">
        <w:rPr>
          <w:rFonts w:cs="Arial"/>
          <w:bCs/>
          <w:color w:val="000000" w:themeColor="text1"/>
          <w:kern w:val="24"/>
        </w:rPr>
        <w:t xml:space="preserve">and respected </w:t>
      </w:r>
      <w:r w:rsidR="00FF3BD9" w:rsidRPr="001A1D02">
        <w:rPr>
          <w:color w:val="000000" w:themeColor="text1"/>
          <w:kern w:val="24"/>
        </w:rPr>
        <w:t>in all settings</w:t>
      </w:r>
      <w:r w:rsidRPr="00AC7EB2">
        <w:rPr>
          <w:rFonts w:cs="Arial"/>
          <w:bCs/>
          <w:color w:val="000000" w:themeColor="text1"/>
          <w:kern w:val="24"/>
        </w:rPr>
        <w:t>, and experience economic, social, political</w:t>
      </w:r>
      <w:r w:rsidR="00FF3BD9" w:rsidRPr="001A1D02">
        <w:rPr>
          <w:color w:val="000000" w:themeColor="text1"/>
          <w:kern w:val="24"/>
        </w:rPr>
        <w:t xml:space="preserve"> and </w:t>
      </w:r>
      <w:r w:rsidRPr="00AC7EB2">
        <w:rPr>
          <w:rFonts w:cs="Arial"/>
          <w:bCs/>
          <w:color w:val="000000" w:themeColor="text1"/>
          <w:kern w:val="24"/>
        </w:rPr>
        <w:t>cultural equality</w:t>
      </w:r>
      <w:r w:rsidR="00C763C8">
        <w:rPr>
          <w:rFonts w:cs="Arial"/>
          <w:lang w:val="en-US"/>
        </w:rPr>
        <w:t>.</w:t>
      </w:r>
    </w:p>
    <w:p w14:paraId="28AFD1F5" w14:textId="5AF2501B" w:rsidR="00FF3BD9" w:rsidRDefault="00FF3BD9" w:rsidP="00FF3BD9">
      <w:r w:rsidRPr="2A73AA60">
        <w:rPr>
          <w:u w:val="single"/>
        </w:rPr>
        <w:t>Responsibility for implementation:</w:t>
      </w:r>
      <w:r>
        <w:t xml:space="preserve"> </w:t>
      </w:r>
      <w:r w:rsidR="00833FEA">
        <w:t>Australian</w:t>
      </w:r>
      <w:r>
        <w:t>, state and territory governments; police; justice systems; frontline services; FDSV sector</w:t>
      </w:r>
      <w:r w:rsidR="000B37EF">
        <w:t>s</w:t>
      </w:r>
      <w:r>
        <w:t xml:space="preserve">; </w:t>
      </w:r>
      <w:r w:rsidR="00B93881">
        <w:t>workplaces and mainstream services</w:t>
      </w:r>
      <w:r w:rsidR="00BD7671">
        <w:t>, and</w:t>
      </w:r>
      <w:r>
        <w:t xml:space="preserve"> men’s behavioural change programs</w:t>
      </w:r>
      <w:r w:rsidR="00B92319">
        <w:t>.</w:t>
      </w:r>
    </w:p>
    <w:p w14:paraId="7C167C91" w14:textId="795B4B0A" w:rsidR="00B454A5" w:rsidRDefault="00FF3BD9" w:rsidP="00FF3BD9">
      <w:pPr>
        <w:spacing w:before="240"/>
      </w:pPr>
      <w:r w:rsidRPr="2A73AA60">
        <w:rPr>
          <w:u w:val="single"/>
        </w:rPr>
        <w:t>Domains:</w:t>
      </w:r>
      <w:r w:rsidRPr="003031D9">
        <w:t xml:space="preserve"> prevention;</w:t>
      </w:r>
      <w:r>
        <w:t xml:space="preserve"> early intervention; response</w:t>
      </w:r>
      <w:r w:rsidR="00B92319">
        <w:t>.</w:t>
      </w:r>
    </w:p>
    <w:p w14:paraId="3E5AA80F" w14:textId="77777777" w:rsidR="00B454A5" w:rsidRDefault="00B454A5">
      <w:r>
        <w:br w:type="page"/>
      </w:r>
    </w:p>
    <w:p w14:paraId="053EC571" w14:textId="77777777" w:rsidR="00B454A5" w:rsidRDefault="00FF3BD9" w:rsidP="00BF6AD8">
      <w:pPr>
        <w:pStyle w:val="Heading1"/>
      </w:pPr>
      <w:bookmarkStart w:id="153" w:name="_Toc132805055"/>
      <w:bookmarkStart w:id="154" w:name="_Toc132805396"/>
      <w:bookmarkStart w:id="155" w:name="_Toc134621949"/>
      <w:bookmarkStart w:id="156" w:name="_Toc134622041"/>
      <w:bookmarkStart w:id="157" w:name="_Toc134622143"/>
      <w:bookmarkStart w:id="158" w:name="_Toc134624197"/>
      <w:bookmarkStart w:id="159" w:name="_Toc134624232"/>
      <w:bookmarkStart w:id="160" w:name="_Toc134628761"/>
      <w:bookmarkStart w:id="161" w:name="_Toc136254999"/>
      <w:bookmarkStart w:id="162" w:name="_Toc136261694"/>
      <w:bookmarkStart w:id="163" w:name="_Toc136268783"/>
      <w:bookmarkStart w:id="164" w:name="_Toc136272359"/>
      <w:bookmarkStart w:id="165" w:name="_Toc136278738"/>
      <w:bookmarkStart w:id="166" w:name="_Toc136279955"/>
      <w:bookmarkStart w:id="167" w:name="_Toc144909144"/>
      <w:bookmarkStart w:id="168" w:name="_Toc128734622"/>
      <w:bookmarkStart w:id="169" w:name="_Toc127800148"/>
      <w:bookmarkStart w:id="170" w:name="_Toc127950244"/>
      <w:r w:rsidRPr="00426D33">
        <w:lastRenderedPageBreak/>
        <w:t>Action 6</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20178C74" w14:textId="49135207" w:rsidR="00FE4EF0" w:rsidRPr="00426D33" w:rsidRDefault="00FE4EF0" w:rsidP="00B454A5">
      <w:pPr>
        <w:pStyle w:val="Heading2"/>
      </w:pPr>
      <w:bookmarkStart w:id="171" w:name="_Toc144909145"/>
      <w:r w:rsidRPr="00426D33">
        <w:t xml:space="preserve">Improve action to </w:t>
      </w:r>
      <w:r w:rsidR="009102DF" w:rsidRPr="00426D33">
        <w:t xml:space="preserve">prevent and </w:t>
      </w:r>
      <w:r w:rsidRPr="00426D33">
        <w:t>address sexual violence and harassment in all settings, across the four domains</w:t>
      </w:r>
      <w:r w:rsidR="008835A3" w:rsidRPr="00426D33">
        <w:t xml:space="preserve"> of the National Plan</w:t>
      </w:r>
      <w:r w:rsidRPr="00426D33">
        <w:t>.</w:t>
      </w:r>
      <w:bookmarkEnd w:id="171"/>
    </w:p>
    <w:p w14:paraId="5FEB10A8" w14:textId="01A901E3" w:rsidR="00FF3BD9" w:rsidRPr="00B454A5" w:rsidRDefault="00FF3BD9" w:rsidP="00B454A5">
      <w:pPr>
        <w:rPr>
          <w:b/>
          <w:bCs/>
        </w:rPr>
      </w:pPr>
      <w:r w:rsidRPr="00B454A5">
        <w:rPr>
          <w:b/>
          <w:bCs/>
        </w:rPr>
        <w:t xml:space="preserve">Sexual </w:t>
      </w:r>
      <w:r w:rsidR="0012093A" w:rsidRPr="00B454A5">
        <w:rPr>
          <w:b/>
          <w:bCs/>
        </w:rPr>
        <w:t>violence</w:t>
      </w:r>
      <w:r w:rsidR="00A3607F" w:rsidRPr="00B454A5">
        <w:rPr>
          <w:b/>
          <w:bCs/>
        </w:rPr>
        <w:t xml:space="preserve"> </w:t>
      </w:r>
      <w:r w:rsidRPr="00B454A5">
        <w:rPr>
          <w:b/>
          <w:bCs/>
        </w:rPr>
        <w:t xml:space="preserve">includes – but is not limited to – sexual assault, rape, sexual harassment, </w:t>
      </w:r>
      <w:r w:rsidR="001D59C5" w:rsidRPr="00B454A5">
        <w:rPr>
          <w:b/>
          <w:bCs/>
        </w:rPr>
        <w:t xml:space="preserve">reproductive coercion, </w:t>
      </w:r>
      <w:r w:rsidRPr="00B454A5">
        <w:rPr>
          <w:b/>
          <w:bCs/>
        </w:rPr>
        <w:t>stalking, image-based abuse, forced sex work and sex trafficking. It occurs within intimate relationships, between people who are dating, colleagues, friends and acquaintances</w:t>
      </w:r>
      <w:r w:rsidR="0012093A" w:rsidRPr="00B454A5">
        <w:rPr>
          <w:b/>
          <w:bCs/>
        </w:rPr>
        <w:t>, in car</w:t>
      </w:r>
      <w:r w:rsidR="006E2357" w:rsidRPr="00B454A5">
        <w:rPr>
          <w:b/>
          <w:bCs/>
        </w:rPr>
        <w:t>e</w:t>
      </w:r>
      <w:r w:rsidR="0012093A" w:rsidRPr="00B454A5">
        <w:rPr>
          <w:b/>
          <w:bCs/>
        </w:rPr>
        <w:t>, education, community and faith settings, as well as</w:t>
      </w:r>
      <w:r w:rsidRPr="00B454A5">
        <w:rPr>
          <w:b/>
          <w:bCs/>
        </w:rPr>
        <w:t xml:space="preserve"> between strangers</w:t>
      </w:r>
      <w:r w:rsidR="004F0701" w:rsidRPr="00B454A5">
        <w:rPr>
          <w:b/>
          <w:bCs/>
        </w:rPr>
        <w:t xml:space="preserve">. </w:t>
      </w:r>
      <w:r w:rsidR="00D85B42" w:rsidRPr="00B454A5">
        <w:rPr>
          <w:b/>
          <w:bCs/>
        </w:rPr>
        <w:t>It can also occur between young people and within families.</w:t>
      </w:r>
      <w:r w:rsidR="00E613F7" w:rsidRPr="00B454A5">
        <w:rPr>
          <w:b/>
          <w:bCs/>
        </w:rPr>
        <w:t xml:space="preserve"> </w:t>
      </w:r>
      <w:r w:rsidR="00A3607F" w:rsidRPr="00B454A5">
        <w:rPr>
          <w:b/>
          <w:bCs/>
        </w:rPr>
        <w:t xml:space="preserve">Sexual </w:t>
      </w:r>
      <w:r w:rsidR="0012093A" w:rsidRPr="00B454A5">
        <w:rPr>
          <w:b/>
          <w:bCs/>
        </w:rPr>
        <w:t>violence</w:t>
      </w:r>
      <w:r w:rsidR="00A3607F" w:rsidRPr="00B454A5">
        <w:rPr>
          <w:b/>
          <w:bCs/>
        </w:rPr>
        <w:t xml:space="preserve"> is often gender</w:t>
      </w:r>
      <w:r w:rsidR="003A45D7" w:rsidRPr="00B454A5">
        <w:rPr>
          <w:b/>
          <w:bCs/>
        </w:rPr>
        <w:t>-</w:t>
      </w:r>
      <w:r w:rsidR="00A3607F" w:rsidRPr="00B454A5">
        <w:rPr>
          <w:b/>
          <w:bCs/>
        </w:rPr>
        <w:t>based, and can occur in any life stage.</w:t>
      </w:r>
    </w:p>
    <w:p w14:paraId="57EAF4D7" w14:textId="4BBA0594" w:rsidR="00FF3BD9" w:rsidRDefault="00FF3BD9" w:rsidP="00FF3BD9">
      <w:r>
        <w:t>Sexual violence can also occur online</w:t>
      </w:r>
      <w:r w:rsidR="00836DFE">
        <w:t>. T</w:t>
      </w:r>
      <w:r>
        <w:t>echnology-facilitated abuse can consist of sexual extortion (blackmail), threats of sexual violence, the sharing of explicit images or videos without consent</w:t>
      </w:r>
      <w:r w:rsidR="00334022">
        <w:t xml:space="preserve"> (including </w:t>
      </w:r>
      <w:r w:rsidR="006D7417">
        <w:t>digitally altered</w:t>
      </w:r>
      <w:r w:rsidR="00334022">
        <w:t xml:space="preserve"> images or videos)</w:t>
      </w:r>
      <w:r>
        <w:t>, unwanted sexual requests or comments targeting someone due to their sexual orientation.</w:t>
      </w:r>
    </w:p>
    <w:p w14:paraId="6BBFC6F3" w14:textId="3A74EDBC" w:rsidR="00FF3BD9" w:rsidRDefault="00FF3BD9" w:rsidP="00FF3BD9">
      <w:r>
        <w:t>Sexual harassment is part of the continuum of sexual violence and abuse, and reflects unequal gender power dynamics.</w:t>
      </w:r>
    </w:p>
    <w:p w14:paraId="3740593B" w14:textId="32D12AFA" w:rsidR="00FF3BD9" w:rsidRDefault="006E2357" w:rsidP="00FF3BD9">
      <w:r>
        <w:t xml:space="preserve">Businesses and workplaces have a role in preventing gender-based violence, </w:t>
      </w:r>
      <w:r w:rsidR="00B63C16">
        <w:t>and</w:t>
      </w:r>
      <w:r w:rsidR="004F0701">
        <w:t xml:space="preserve"> </w:t>
      </w:r>
      <w:r>
        <w:t>providing a workplace environment that is safe and free from harassment and abuse</w:t>
      </w:r>
      <w:r w:rsidR="004F0701">
        <w:t xml:space="preserve">. </w:t>
      </w:r>
      <w:r w:rsidR="00FF3BD9">
        <w:t>Effective processes and policies can enable employees experiencing gender-based violence to seek support and receive assistance from their employers</w:t>
      </w:r>
      <w:r w:rsidR="004F0701">
        <w:t xml:space="preserve">. </w:t>
      </w:r>
      <w:r w:rsidR="00A41DDA">
        <w:t>Workplaces also</w:t>
      </w:r>
      <w:r w:rsidR="00A41DDA" w:rsidRPr="00266375">
        <w:t xml:space="preserve"> have a role in holding workplace perpetrators of violence and harassment to account</w:t>
      </w:r>
      <w:r w:rsidR="00A41DDA">
        <w:t xml:space="preserve">. </w:t>
      </w:r>
      <w:r w:rsidR="00FF3BD9">
        <w:t>B</w:t>
      </w:r>
      <w:r w:rsidR="00FF3BD9" w:rsidRPr="00350DB8">
        <w:t>usinesses and workplaces</w:t>
      </w:r>
      <w:r w:rsidR="00FF3BD9">
        <w:t xml:space="preserve"> also </w:t>
      </w:r>
      <w:r w:rsidR="00FF3BD9" w:rsidRPr="00350DB8">
        <w:t>have legal responsibilities under the</w:t>
      </w:r>
      <w:r w:rsidR="00AC56F8">
        <w:t xml:space="preserve"> </w:t>
      </w:r>
      <w:r w:rsidR="00AC56F8">
        <w:rPr>
          <w:i/>
        </w:rPr>
        <w:t>Fair Work Act 2009</w:t>
      </w:r>
      <w:r w:rsidR="00AC56F8">
        <w:t>, the</w:t>
      </w:r>
      <w:r w:rsidR="00FF3BD9" w:rsidRPr="00350DB8">
        <w:t xml:space="preserve"> </w:t>
      </w:r>
      <w:r w:rsidR="00FB5602">
        <w:t>Work Health and Safety</w:t>
      </w:r>
      <w:r w:rsidR="00FF3BD9" w:rsidRPr="00350DB8">
        <w:t xml:space="preserve"> framework and the </w:t>
      </w:r>
      <w:r w:rsidR="00FF3BD9" w:rsidRPr="00DF4276">
        <w:rPr>
          <w:i/>
        </w:rPr>
        <w:t>Sex Discrimination Act 1984</w:t>
      </w:r>
      <w:r w:rsidR="00FF3BD9" w:rsidRPr="00350DB8">
        <w:t xml:space="preserve"> at the C</w:t>
      </w:r>
      <w:r w:rsidR="00FF3BD9">
        <w:t>ommonwealth</w:t>
      </w:r>
      <w:r w:rsidR="00FF3BD9" w:rsidRPr="00350DB8">
        <w:t xml:space="preserve"> level.</w:t>
      </w:r>
    </w:p>
    <w:p w14:paraId="3AABF723" w14:textId="1BF78C80" w:rsidR="00FF3BD9" w:rsidRPr="00941308" w:rsidRDefault="00FF3BD9" w:rsidP="00FF3BD9">
      <w:r>
        <w:t xml:space="preserve">While knowledge about what </w:t>
      </w:r>
      <w:r w:rsidR="00836DFE">
        <w:t xml:space="preserve">constitutes </w:t>
      </w:r>
      <w:r>
        <w:t xml:space="preserve">sexual violence and who </w:t>
      </w:r>
      <w:r w:rsidR="00836DFE">
        <w:t>perpetrators are has increased,</w:t>
      </w:r>
      <w:r>
        <w:t xml:space="preserve"> attitudes</w:t>
      </w:r>
      <w:r w:rsidR="00836DFE">
        <w:t xml:space="preserve"> and behaviours such as</w:t>
      </w:r>
      <w:r>
        <w:t xml:space="preserve"> victim-blaming and justifying violence</w:t>
      </w:r>
      <w:r w:rsidR="00116755">
        <w:t xml:space="preserve"> </w:t>
      </w:r>
      <w:r>
        <w:t xml:space="preserve">remain at problematic levels. </w:t>
      </w:r>
      <w:r w:rsidR="00402663">
        <w:t>Further work is required in the prevention domain to educate and shift these attitudes.</w:t>
      </w:r>
    </w:p>
    <w:p w14:paraId="587A30A3" w14:textId="1D6A7EF5" w:rsidR="00C17C60" w:rsidRDefault="00023851" w:rsidP="00FF3BD9">
      <w:pPr>
        <w:rPr>
          <w:rFonts w:cs="Arial"/>
          <w:color w:val="000000" w:themeColor="text1"/>
        </w:rPr>
      </w:pPr>
      <w:r w:rsidRPr="2A73AA60">
        <w:rPr>
          <w:rFonts w:cs="Arial"/>
          <w:color w:val="000000" w:themeColor="text1"/>
        </w:rPr>
        <w:t xml:space="preserve">The implementation of </w:t>
      </w:r>
      <w:r w:rsidR="004E2055">
        <w:rPr>
          <w:rFonts w:cs="Arial"/>
          <w:color w:val="000000" w:themeColor="text1"/>
        </w:rPr>
        <w:t>Respectful Relationships Education</w:t>
      </w:r>
      <w:r w:rsidRPr="2A73AA60">
        <w:rPr>
          <w:rFonts w:cs="Arial"/>
          <w:color w:val="000000" w:themeColor="text1"/>
        </w:rPr>
        <w:t xml:space="preserve"> in schools</w:t>
      </w:r>
      <w:r w:rsidR="00871343">
        <w:rPr>
          <w:rFonts w:cs="Arial"/>
          <w:color w:val="000000" w:themeColor="text1"/>
        </w:rPr>
        <w:t>,</w:t>
      </w:r>
      <w:r w:rsidRPr="2A73AA60">
        <w:rPr>
          <w:rFonts w:cs="Arial"/>
          <w:color w:val="000000" w:themeColor="text1"/>
        </w:rPr>
        <w:t xml:space="preserve"> and campaigns on consent</w:t>
      </w:r>
      <w:r w:rsidR="00871343">
        <w:rPr>
          <w:rFonts w:cs="Arial"/>
          <w:color w:val="000000" w:themeColor="text1"/>
        </w:rPr>
        <w:t>,</w:t>
      </w:r>
      <w:r w:rsidRPr="2A73AA60">
        <w:rPr>
          <w:rFonts w:cs="Arial"/>
          <w:color w:val="000000" w:themeColor="text1"/>
        </w:rPr>
        <w:t xml:space="preserve"> have resulted in a greater readiness to talk about gender equality, relationships and sex but there is still a long way to go.</w:t>
      </w:r>
      <w:r w:rsidR="00762D12">
        <w:rPr>
          <w:rFonts w:cs="Arial"/>
          <w:color w:val="000000" w:themeColor="text1"/>
        </w:rPr>
        <w:t xml:space="preserve"> Men and boys need to be </w:t>
      </w:r>
      <w:r w:rsidR="006E2357">
        <w:rPr>
          <w:rFonts w:cs="Arial"/>
          <w:color w:val="000000" w:themeColor="text1"/>
        </w:rPr>
        <w:t>a focus of</w:t>
      </w:r>
      <w:r w:rsidR="00606CF0">
        <w:rPr>
          <w:rFonts w:cs="Arial"/>
          <w:color w:val="000000" w:themeColor="text1"/>
        </w:rPr>
        <w:t xml:space="preserve"> </w:t>
      </w:r>
      <w:r w:rsidR="00762D12">
        <w:rPr>
          <w:rFonts w:cs="Arial"/>
          <w:color w:val="000000" w:themeColor="text1"/>
        </w:rPr>
        <w:t>primary prevention activities around sexual violence.</w:t>
      </w:r>
    </w:p>
    <w:p w14:paraId="703199EB" w14:textId="19953115" w:rsidR="00FF3BD9" w:rsidRPr="00B462BA" w:rsidRDefault="00C17C60" w:rsidP="00FF3BD9">
      <w:r>
        <w:t>Community mistrust can adversely affect victims’ and survivors’ treatment through the justice system, as myths and misconceptions can undermine police, legal and juror perceptions about the seriousness and credibility of sexual assault allegations. The fear of not being believed is also a key factor in whether women identify their experience as sexual assault, disclose their assault to informal support networks or report their assault to authorities.</w:t>
      </w:r>
    </w:p>
    <w:p w14:paraId="39EAC216" w14:textId="6056190A" w:rsidR="00FF3BD9" w:rsidRDefault="00FF3BD9" w:rsidP="00FF3BD9">
      <w:r>
        <w:lastRenderedPageBreak/>
        <w:t xml:space="preserve">Some </w:t>
      </w:r>
      <w:r w:rsidR="00F22B26">
        <w:t>victim-survivors</w:t>
      </w:r>
      <w:r>
        <w:t xml:space="preserve"> experience </w:t>
      </w:r>
      <w:r w:rsidR="00D324B0">
        <w:t>unique</w:t>
      </w:r>
      <w:r>
        <w:t xml:space="preserve"> barriers when reporting sexual assault, including women with disability, </w:t>
      </w:r>
      <w:r w:rsidR="00D94795">
        <w:t xml:space="preserve">older women, </w:t>
      </w:r>
      <w:r>
        <w:t xml:space="preserve">women with limited English proficiency, women with uncertain visa status and sex workers. </w:t>
      </w:r>
      <w:r w:rsidR="00116755">
        <w:t xml:space="preserve">In many instances, women may need support to identify </w:t>
      </w:r>
      <w:r w:rsidR="00D324B0">
        <w:t>their experiences as worthy of reporting</w:t>
      </w:r>
      <w:r w:rsidR="00116755">
        <w:t xml:space="preserve"> and to </w:t>
      </w:r>
      <w:r w:rsidR="00D324B0">
        <w:t>engage in reporting processes</w:t>
      </w:r>
      <w:r w:rsidR="00116755">
        <w:t>.</w:t>
      </w:r>
      <w:r w:rsidR="00334022">
        <w:t xml:space="preserve"> LGBTIQA+ people can also face their own unique barriers to reporting.</w:t>
      </w:r>
    </w:p>
    <w:p w14:paraId="5A65AA78" w14:textId="0B88AF53" w:rsidR="00FF3BD9" w:rsidRDefault="00FF3BD9" w:rsidP="00FF3BD9">
      <w:r>
        <w:t>Institutional responses to victim-survivors seeking to report or seek</w:t>
      </w:r>
      <w:r w:rsidR="005527D4">
        <w:t>ing</w:t>
      </w:r>
      <w:r>
        <w:t xml:space="preserve"> help following a sexual assault have often been underpinned by barriers of unfair social stigma, discrimination or promoting feelings of shame preventing them from seeking appropriate support services</w:t>
      </w:r>
      <w:r w:rsidR="004C350E">
        <w:t>.</w:t>
      </w:r>
      <w:r>
        <w:rPr>
          <w:rStyle w:val="EndnoteReference"/>
        </w:rPr>
        <w:endnoteReference w:id="27"/>
      </w:r>
      <w:r w:rsidR="00762D12">
        <w:t xml:space="preserve"> </w:t>
      </w:r>
      <w:r w:rsidR="0015170F">
        <w:t>Victim-survivors</w:t>
      </w:r>
      <w:r w:rsidR="00762D12">
        <w:t xml:space="preserve"> with disability face particular barriers in seeking support when services are not fully accessible.</w:t>
      </w:r>
    </w:p>
    <w:p w14:paraId="27DB6D86" w14:textId="13891B12" w:rsidR="002C7194" w:rsidRDefault="002C7194" w:rsidP="002C7194">
      <w:r>
        <w:t xml:space="preserve">Targeted work is needed to address sexual violence in all settings. The activities under this action will work across </w:t>
      </w:r>
      <w:r w:rsidR="00FC159C">
        <w:t xml:space="preserve">specialist sexual assault services, </w:t>
      </w:r>
      <w:r w:rsidR="00B0730D">
        <w:t>generalist</w:t>
      </w:r>
      <w:r>
        <w:t xml:space="preserve"> services, the justice system, education institutions</w:t>
      </w:r>
      <w:r w:rsidR="00D94795">
        <w:t>, aged care</w:t>
      </w:r>
      <w:r w:rsidR="58AA41FC" w:rsidRPr="33A47DEB">
        <w:t>,</w:t>
      </w:r>
      <w:r w:rsidR="00D94795">
        <w:t xml:space="preserve"> disability care settings, </w:t>
      </w:r>
      <w:r>
        <w:t xml:space="preserve">and workplaces. </w:t>
      </w:r>
      <w:r w:rsidR="00D94795">
        <w:t xml:space="preserve">This includes work to </w:t>
      </w:r>
      <w:r w:rsidR="33A47DEB">
        <w:t>improve</w:t>
      </w:r>
      <w:r w:rsidR="00D94795">
        <w:t xml:space="preserve"> cohesion and collaboration between specialist family violence and sexual assault workforces.</w:t>
      </w:r>
    </w:p>
    <w:p w14:paraId="2BA4433E" w14:textId="0DE04221" w:rsidR="006224F0" w:rsidRDefault="00FF3BD9" w:rsidP="00FF3BD9">
      <w:r>
        <w:t>We will work to make victims of sexual violence feel safe to report their experiences by embedding trauma-informed and culturally safe response models that treat victim-survivors with sensitivity and empathy, and</w:t>
      </w:r>
      <w:r w:rsidR="4B988442" w:rsidRPr="0AFE089A">
        <w:t>,</w:t>
      </w:r>
      <w:r>
        <w:t xml:space="preserve"> most importantly, believe victim-survivors’ reports of violence.</w:t>
      </w:r>
      <w:r w:rsidR="00A3607F">
        <w:t xml:space="preserve"> We will also work to support sexual violence specific services to effectively perform their role in supporting victim-survivors.</w:t>
      </w:r>
    </w:p>
    <w:p w14:paraId="0949A021" w14:textId="462083E1" w:rsidR="00FF3BD9" w:rsidRDefault="006224F0" w:rsidP="00FF3BD9">
      <w:r>
        <w:t xml:space="preserve">This Action will embed Closing the Gap Priority Reform </w:t>
      </w:r>
      <w:r w:rsidR="00040050">
        <w:t>Three</w:t>
      </w:r>
      <w:r w:rsidR="134DACC7">
        <w:t xml:space="preserve">, </w:t>
      </w:r>
      <w:r w:rsidR="0AFE089A" w:rsidRPr="003D3328">
        <w:rPr>
          <w:rFonts w:eastAsia="Arial" w:cs="Arial"/>
        </w:rPr>
        <w:t>transforming government organisations</w:t>
      </w:r>
      <w:r>
        <w:t xml:space="preserve"> to improve </w:t>
      </w:r>
      <w:r w:rsidR="0AFE089A" w:rsidRPr="003D3328">
        <w:rPr>
          <w:rFonts w:eastAsia="Arial" w:cs="Arial"/>
        </w:rPr>
        <w:t xml:space="preserve">accountability </w:t>
      </w:r>
      <w:r>
        <w:t xml:space="preserve">and </w:t>
      </w:r>
      <w:r w:rsidR="0AFE089A" w:rsidRPr="003D3328">
        <w:rPr>
          <w:rFonts w:eastAsia="Arial" w:cs="Arial"/>
        </w:rPr>
        <w:t>respond to</w:t>
      </w:r>
      <w:r>
        <w:t xml:space="preserve"> the needs of Aboriginal and Torres Strait Islander </w:t>
      </w:r>
      <w:r w:rsidR="0AFE089A" w:rsidRPr="003D3328">
        <w:rPr>
          <w:rFonts w:eastAsia="Arial" w:cs="Arial"/>
        </w:rPr>
        <w:t>people</w:t>
      </w:r>
      <w:r w:rsidR="00040050">
        <w:rPr>
          <w:rFonts w:eastAsia="Arial" w:cs="Arial"/>
        </w:rPr>
        <w:t>s</w:t>
      </w:r>
      <w:r w:rsidR="0AFE089A" w:rsidRPr="003D3328">
        <w:rPr>
          <w:rFonts w:eastAsia="Arial" w:cs="Arial"/>
        </w:rPr>
        <w:t>.</w:t>
      </w:r>
    </w:p>
    <w:p w14:paraId="09D98F81" w14:textId="2367F847" w:rsidR="00064EC2" w:rsidRPr="00DF4276" w:rsidRDefault="00064EC2" w:rsidP="00064EC2">
      <w:pPr>
        <w:rPr>
          <w:i/>
        </w:rPr>
      </w:pPr>
      <w:r>
        <w:t xml:space="preserve">Sexual violence perpetrated against children is child sexual abuse. The drivers and impacts of child sexual abuse can be vastly different to those of adult sexual abuse, and they require different responses. Although these issues are interrelated, the </w:t>
      </w:r>
      <w:r w:rsidR="00871343">
        <w:t>Australian</w:t>
      </w:r>
      <w:r w:rsidR="00040050">
        <w:t xml:space="preserve">, </w:t>
      </w:r>
      <w:r w:rsidR="009102DF" w:rsidRPr="00A02B23">
        <w:t xml:space="preserve">state and territory governments’ response to </w:t>
      </w:r>
      <w:r>
        <w:t xml:space="preserve">child sexual abuse is covered by the </w:t>
      </w:r>
      <w:r w:rsidRPr="00DF4276">
        <w:rPr>
          <w:i/>
        </w:rPr>
        <w:t>National Strategy to Prevent and Respond to Child Sexual Abuse 2021–2030.</w:t>
      </w:r>
    </w:p>
    <w:p w14:paraId="6890BFFE" w14:textId="77777777" w:rsidR="00FF3BD9" w:rsidRPr="00BF6AD8" w:rsidRDefault="00FF3BD9" w:rsidP="00BF6AD8">
      <w:pPr>
        <w:rPr>
          <w:b/>
          <w:bCs/>
          <w:i/>
          <w:iCs/>
        </w:rPr>
      </w:pPr>
      <w:r w:rsidRPr="00BF6AD8">
        <w:rPr>
          <w:b/>
          <w:bCs/>
          <w:i/>
          <w:iCs/>
        </w:rPr>
        <w:t>What difference will we make?</w:t>
      </w:r>
    </w:p>
    <w:p w14:paraId="14226159" w14:textId="77777777" w:rsidR="00FF3BD9" w:rsidRDefault="00FF3BD9" w:rsidP="00FF3BD9">
      <w:pPr>
        <w:spacing w:before="240"/>
        <w:rPr>
          <w:rFonts w:ascii="Calibri" w:hAnsi="Calibri"/>
        </w:rPr>
      </w:pPr>
      <w:r>
        <w:t>Implementing this action will work towards the following outcomes as identified in the Outcomes Framework:</w:t>
      </w:r>
    </w:p>
    <w:p w14:paraId="3D099156" w14:textId="057F5ED4" w:rsidR="006852BF" w:rsidRPr="00A820CC" w:rsidRDefault="00FF3BD9" w:rsidP="00C634A0">
      <w:pPr>
        <w:pStyle w:val="ListParagraph"/>
        <w:numPr>
          <w:ilvl w:val="0"/>
          <w:numId w:val="6"/>
        </w:numPr>
        <w:ind w:left="714" w:hanging="357"/>
      </w:pPr>
      <w:r w:rsidRPr="00C74808">
        <w:rPr>
          <w:lang w:val="en-US"/>
        </w:rPr>
        <w:t>Community attitudes and beliefs embrace gender equality and condemn all forms of gendered violence without exception</w:t>
      </w:r>
      <w:r w:rsidR="00C634A0">
        <w:rPr>
          <w:lang w:val="en-US"/>
        </w:rPr>
        <w:t>.</w:t>
      </w:r>
    </w:p>
    <w:p w14:paraId="05204A59" w14:textId="08EC27D5" w:rsidR="00C634A0" w:rsidRPr="00C634A0" w:rsidRDefault="00FF3BD9" w:rsidP="00C634A0">
      <w:pPr>
        <w:pStyle w:val="ListParagraph"/>
        <w:numPr>
          <w:ilvl w:val="0"/>
          <w:numId w:val="6"/>
        </w:numPr>
        <w:ind w:left="714" w:hanging="357"/>
        <w:rPr>
          <w:rFonts w:cs="Arial"/>
        </w:rPr>
      </w:pPr>
      <w:r w:rsidRPr="00C634A0">
        <w:rPr>
          <w:rFonts w:cs="Arial"/>
          <w:lang w:val="en-US"/>
        </w:rPr>
        <w:t xml:space="preserve">Systems and institutions effectively support and protect people impacted by </w:t>
      </w:r>
      <w:r w:rsidR="00972957" w:rsidRPr="00C634A0">
        <w:rPr>
          <w:rFonts w:cs="Arial"/>
          <w:lang w:val="en-US"/>
        </w:rPr>
        <w:t>gender-based</w:t>
      </w:r>
      <w:r w:rsidRPr="00C634A0">
        <w:rPr>
          <w:rFonts w:cs="Arial"/>
          <w:lang w:val="en-US"/>
        </w:rPr>
        <w:t xml:space="preserve"> violence</w:t>
      </w:r>
      <w:r w:rsidR="00C634A0" w:rsidRPr="00C634A0">
        <w:rPr>
          <w:rFonts w:cs="Arial"/>
          <w:lang w:val="en-US"/>
        </w:rPr>
        <w:t>.</w:t>
      </w:r>
    </w:p>
    <w:p w14:paraId="4589F5A2" w14:textId="0E8AF709" w:rsidR="00841CA5" w:rsidRDefault="0046555C" w:rsidP="00A820CC">
      <w:pPr>
        <w:pStyle w:val="ListParagraph"/>
        <w:numPr>
          <w:ilvl w:val="0"/>
          <w:numId w:val="6"/>
        </w:numPr>
        <w:ind w:left="714" w:hanging="357"/>
      </w:pPr>
      <w:r>
        <w:t>Services</w:t>
      </w:r>
      <w:r w:rsidR="00FF3BD9" w:rsidRPr="00A02B23">
        <w:t xml:space="preserve"> and prevention programs are effective, culturally </w:t>
      </w:r>
      <w:r>
        <w:t>responsive</w:t>
      </w:r>
      <w:r w:rsidR="00FF3BD9" w:rsidRPr="00A02B23">
        <w:t>, intersectional and accessible</w:t>
      </w:r>
      <w:r w:rsidR="00C634A0">
        <w:t>.</w:t>
      </w:r>
    </w:p>
    <w:p w14:paraId="544F35AA" w14:textId="0433BC49" w:rsidR="00FF3BD9" w:rsidRPr="00A02B23" w:rsidRDefault="001A003D" w:rsidP="00A820CC">
      <w:pPr>
        <w:pStyle w:val="ListParagraph"/>
        <w:numPr>
          <w:ilvl w:val="0"/>
          <w:numId w:val="6"/>
        </w:numPr>
        <w:ind w:left="714" w:hanging="357"/>
      </w:pPr>
      <w:r w:rsidRPr="00AC7EB2">
        <w:rPr>
          <w:rFonts w:cs="Arial"/>
          <w:bCs/>
          <w:color w:val="000000" w:themeColor="text1"/>
          <w:kern w:val="24"/>
        </w:rPr>
        <w:t xml:space="preserve">Women </w:t>
      </w:r>
      <w:r w:rsidR="00FF3BD9" w:rsidRPr="00A02B23">
        <w:rPr>
          <w:color w:val="000000" w:themeColor="text1"/>
          <w:kern w:val="24"/>
        </w:rPr>
        <w:t xml:space="preserve">are safe </w:t>
      </w:r>
      <w:r w:rsidRPr="00AC7EB2">
        <w:rPr>
          <w:rFonts w:cs="Arial"/>
          <w:bCs/>
          <w:color w:val="000000" w:themeColor="text1"/>
          <w:kern w:val="24"/>
        </w:rPr>
        <w:t xml:space="preserve">and respected </w:t>
      </w:r>
      <w:r w:rsidR="00FF3BD9" w:rsidRPr="00A02B23">
        <w:rPr>
          <w:color w:val="000000" w:themeColor="text1"/>
          <w:kern w:val="24"/>
        </w:rPr>
        <w:t>in all settings</w:t>
      </w:r>
      <w:r w:rsidRPr="00AC7EB2">
        <w:rPr>
          <w:rFonts w:cs="Arial"/>
          <w:bCs/>
          <w:color w:val="000000" w:themeColor="text1"/>
          <w:kern w:val="24"/>
        </w:rPr>
        <w:t>, and experience economic, social, political</w:t>
      </w:r>
      <w:r w:rsidR="00FF3BD9" w:rsidRPr="00A02B23">
        <w:rPr>
          <w:color w:val="000000" w:themeColor="text1"/>
          <w:kern w:val="24"/>
        </w:rPr>
        <w:t xml:space="preserve"> and </w:t>
      </w:r>
      <w:r w:rsidRPr="00AC7EB2">
        <w:rPr>
          <w:rFonts w:cs="Arial"/>
          <w:bCs/>
          <w:color w:val="000000" w:themeColor="text1"/>
          <w:kern w:val="24"/>
        </w:rPr>
        <w:t>cultural equality</w:t>
      </w:r>
      <w:r w:rsidR="00C634A0">
        <w:rPr>
          <w:rFonts w:cs="Arial"/>
          <w:lang w:val="en-US"/>
        </w:rPr>
        <w:t>.</w:t>
      </w:r>
    </w:p>
    <w:p w14:paraId="7DCAA9A6" w14:textId="4FCAEFD8" w:rsidR="00FF3BD9" w:rsidRDefault="00FF3BD9" w:rsidP="00FF3BD9">
      <w:pPr>
        <w:spacing w:before="240"/>
      </w:pPr>
      <w:r w:rsidRPr="2A73AA60">
        <w:rPr>
          <w:u w:val="single"/>
        </w:rPr>
        <w:t>Responsibility for implementation</w:t>
      </w:r>
      <w:r>
        <w:t xml:space="preserve">: </w:t>
      </w:r>
      <w:r w:rsidR="00871343">
        <w:t>Australian</w:t>
      </w:r>
      <w:r>
        <w:t xml:space="preserve">, state and territory governments; businesses and workplaces; </w:t>
      </w:r>
      <w:r w:rsidR="001D59C5">
        <w:t>police and justice systems;</w:t>
      </w:r>
      <w:r w:rsidR="00762D12">
        <w:t xml:space="preserve"> legal sector; </w:t>
      </w:r>
      <w:r w:rsidR="00DE548B">
        <w:t xml:space="preserve">and </w:t>
      </w:r>
      <w:r>
        <w:t>whole of society.</w:t>
      </w:r>
    </w:p>
    <w:p w14:paraId="62DB3EE9" w14:textId="7B965096" w:rsidR="00FF3BD9" w:rsidRDefault="00FF3BD9" w:rsidP="00FF3BD9">
      <w:pPr>
        <w:spacing w:before="240"/>
      </w:pPr>
      <w:r w:rsidRPr="2A73AA60">
        <w:rPr>
          <w:u w:val="single"/>
        </w:rPr>
        <w:lastRenderedPageBreak/>
        <w:t>Domains</w:t>
      </w:r>
      <w:r>
        <w:t>: prevention; early intervention; response; recovery and healing</w:t>
      </w:r>
      <w:r w:rsidR="00DE548B">
        <w:t>.</w:t>
      </w:r>
    </w:p>
    <w:p w14:paraId="3E657F1C" w14:textId="6F3FD867" w:rsidR="00DE548B" w:rsidRDefault="00DE548B">
      <w:r>
        <w:br w:type="page"/>
      </w:r>
    </w:p>
    <w:p w14:paraId="5279064F" w14:textId="77777777" w:rsidR="00B454A5" w:rsidRDefault="00FF3BD9" w:rsidP="00BF6AD8">
      <w:pPr>
        <w:pStyle w:val="Heading1"/>
      </w:pPr>
      <w:bookmarkStart w:id="172" w:name="_Toc132805056"/>
      <w:bookmarkStart w:id="173" w:name="_Toc132805397"/>
      <w:bookmarkStart w:id="174" w:name="_Toc134621951"/>
      <w:bookmarkStart w:id="175" w:name="_Toc134622043"/>
      <w:bookmarkStart w:id="176" w:name="_Toc134622145"/>
      <w:bookmarkStart w:id="177" w:name="_Toc134624199"/>
      <w:bookmarkStart w:id="178" w:name="_Toc134624234"/>
      <w:bookmarkStart w:id="179" w:name="_Toc134628763"/>
      <w:bookmarkStart w:id="180" w:name="_Toc136255000"/>
      <w:bookmarkStart w:id="181" w:name="_Toc136261695"/>
      <w:bookmarkStart w:id="182" w:name="_Toc136268784"/>
      <w:bookmarkStart w:id="183" w:name="_Toc136272360"/>
      <w:bookmarkStart w:id="184" w:name="_Toc136278739"/>
      <w:bookmarkStart w:id="185" w:name="_Toc136279956"/>
      <w:bookmarkStart w:id="186" w:name="_Toc144909146"/>
      <w:r w:rsidRPr="00426D33">
        <w:lastRenderedPageBreak/>
        <w:t>Action 7</w:t>
      </w:r>
      <w:bookmarkEnd w:id="168"/>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40F3FF30" w14:textId="4B77EAD7" w:rsidR="00FF3BD9" w:rsidRPr="00426D33" w:rsidRDefault="00FF3BD9" w:rsidP="00B454A5">
      <w:pPr>
        <w:pStyle w:val="Heading2"/>
      </w:pPr>
      <w:bookmarkStart w:id="187" w:name="_Toc144909147"/>
      <w:r w:rsidRPr="00426D33">
        <w:t>Work in formal partnership with Aboriginal and Torres Strait Islander peoples to ensure policies and services are culturally competent, strengths-based and trauma</w:t>
      </w:r>
      <w:r w:rsidR="00AA13D2" w:rsidRPr="00426D33">
        <w:t>-</w:t>
      </w:r>
      <w:r w:rsidRPr="00426D33">
        <w:t>informed and meet the needs of Aboriginal and Torres Strait Islander peoples and communities</w:t>
      </w:r>
      <w:r w:rsidR="00616D2C" w:rsidRPr="00426D33">
        <w:t>, aligning with the goals of the Aboriginal and Torres Strait Islander Action Plan</w:t>
      </w:r>
      <w:r w:rsidR="7655E2BC" w:rsidRPr="00426D33">
        <w:t>.</w:t>
      </w:r>
      <w:bookmarkEnd w:id="187"/>
    </w:p>
    <w:p w14:paraId="6B91A38F" w14:textId="37601B91" w:rsidR="00FF3BD9" w:rsidRPr="00B454A5" w:rsidRDefault="00FF3BD9" w:rsidP="00B454A5">
      <w:pPr>
        <w:rPr>
          <w:b/>
          <w:bCs/>
        </w:rPr>
      </w:pPr>
      <w:r w:rsidRPr="00B454A5">
        <w:rPr>
          <w:b/>
          <w:bCs/>
        </w:rPr>
        <w:t xml:space="preserve">Every day, </w:t>
      </w:r>
      <w:r w:rsidRPr="00B454A5">
        <w:rPr>
          <w:rFonts w:cs="Arial"/>
          <w:b/>
          <w:bCs/>
        </w:rPr>
        <w:t xml:space="preserve">Aboriginal and Torres Strait Islander </w:t>
      </w:r>
      <w:r w:rsidRPr="00B454A5">
        <w:rPr>
          <w:b/>
          <w:bCs/>
        </w:rPr>
        <w:t>people</w:t>
      </w:r>
      <w:r w:rsidR="0015170F" w:rsidRPr="00B454A5">
        <w:rPr>
          <w:b/>
          <w:bCs/>
        </w:rPr>
        <w:t>s</w:t>
      </w:r>
      <w:r w:rsidRPr="00B454A5">
        <w:rPr>
          <w:b/>
          <w:bCs/>
        </w:rPr>
        <w:t xml:space="preserve"> bring ways of knowing, being, and doing that are key to overcoming social, economic and environmental injustices</w:t>
      </w:r>
      <w:r w:rsidR="00FF73C7" w:rsidRPr="00B454A5">
        <w:rPr>
          <w:b/>
          <w:bCs/>
        </w:rPr>
        <w:t>,</w:t>
      </w:r>
      <w:r w:rsidRPr="00B454A5">
        <w:rPr>
          <w:b/>
          <w:bCs/>
        </w:rPr>
        <w:t xml:space="preserve"> and healing from centuries of trauma.</w:t>
      </w:r>
    </w:p>
    <w:p w14:paraId="4D3C9DF5" w14:textId="7D0E6B4E" w:rsidR="00FF3BD9" w:rsidRPr="00ED3994" w:rsidRDefault="00FF3BD9" w:rsidP="00FF3BD9">
      <w:r>
        <w:t xml:space="preserve">Aboriginal and Torres Strait Islander women experience disproportionately higher rates of </w:t>
      </w:r>
      <w:r w:rsidR="0078665B">
        <w:t>gender-based</w:t>
      </w:r>
      <w:r w:rsidR="00140663">
        <w:t xml:space="preserve"> </w:t>
      </w:r>
      <w:r>
        <w:t>violence than non-Indigenous women</w:t>
      </w:r>
      <w:r w:rsidR="004C350E">
        <w:t>.</w:t>
      </w:r>
      <w:r>
        <w:rPr>
          <w:rStyle w:val="EndnoteReference"/>
        </w:rPr>
        <w:endnoteReference w:id="28"/>
      </w:r>
      <w:r>
        <w:t xml:space="preserve"> This violence occurs concurrently with multiple, intersecting and layered forms of discrimination and disadvantage affecting the safety of Aboriginal and Torres Strait Islander families and communities.</w:t>
      </w:r>
      <w:r w:rsidR="00B93881">
        <w:t xml:space="preserve"> In order to address violence in Aboriginal and Torres Strait Islander communities, these intersecting and structural forms of abuse</w:t>
      </w:r>
      <w:r w:rsidR="00C47030">
        <w:t>,</w:t>
      </w:r>
      <w:r w:rsidR="00B93881">
        <w:t xml:space="preserve"> discrimination </w:t>
      </w:r>
      <w:r w:rsidR="00C47030">
        <w:t xml:space="preserve">and disadvantage </w:t>
      </w:r>
      <w:r w:rsidR="00B93881">
        <w:t>also need to be addressed.</w:t>
      </w:r>
    </w:p>
    <w:p w14:paraId="2984A755" w14:textId="2D37832D" w:rsidR="00FF3BD9" w:rsidRDefault="00FF3BD9" w:rsidP="00FF3BD9">
      <w:r>
        <w:t xml:space="preserve">Fear </w:t>
      </w:r>
      <w:r w:rsidR="00D1486D">
        <w:t>and mistrust</w:t>
      </w:r>
      <w:r>
        <w:t xml:space="preserve"> of mainstream institutions and systems, including child protection, can lead to lower levels of reporting of violence and seeking assistance, including from specialist services, than is the case for </w:t>
      </w:r>
      <w:r w:rsidR="00D1486D">
        <w:t xml:space="preserve">some </w:t>
      </w:r>
      <w:r>
        <w:t>non-Indigenous women</w:t>
      </w:r>
      <w:r w:rsidR="004C350E">
        <w:t>.</w:t>
      </w:r>
      <w:r>
        <w:rPr>
          <w:rStyle w:val="EndnoteReference"/>
        </w:rPr>
        <w:endnoteReference w:id="29"/>
      </w:r>
      <w:r>
        <w:t xml:space="preserve"> Aboriginal and Torres Strait Islander women are also at higher risk of being misidentified as perpetrators when they seek assistance.</w:t>
      </w:r>
    </w:p>
    <w:p w14:paraId="1B9E2FCF" w14:textId="781825C2" w:rsidR="00A071FA" w:rsidRDefault="00A071FA" w:rsidP="00FF3BD9">
      <w:r>
        <w:t>C</w:t>
      </w:r>
      <w:r>
        <w:rPr>
          <w:rFonts w:cs="Arial"/>
        </w:rPr>
        <w:t>apacity building is required to address the fear of mainstream institutions and systems.</w:t>
      </w:r>
      <w:r w:rsidR="00096326" w:rsidRPr="00096326">
        <w:t xml:space="preserve"> </w:t>
      </w:r>
      <w:r w:rsidR="00E03F70">
        <w:t xml:space="preserve">This fear and mistrust is grounded in a very real experience of institutional violence perpetrated against Aboriginal women and children, and the historical failure of protective institutions to respond to the needs of Aboriginal women and children reporting violence. </w:t>
      </w:r>
      <w:r w:rsidR="00096326">
        <w:t>Outcomes are more likely to be positive when initiatives are community-controlled, or addressed within communities by Aboriginal and Torres Strait Islander people</w:t>
      </w:r>
      <w:r w:rsidR="00EC586A">
        <w:t>s</w:t>
      </w:r>
      <w:r w:rsidR="00096326">
        <w:t xml:space="preserve"> for Aboriginal and Torres Strait Islander people</w:t>
      </w:r>
      <w:r w:rsidR="00EC586A">
        <w:t>s</w:t>
      </w:r>
      <w:r w:rsidR="00096326">
        <w:t>.</w:t>
      </w:r>
    </w:p>
    <w:p w14:paraId="61142DDC" w14:textId="08F5D146" w:rsidR="00FF3BD9" w:rsidRDefault="00FF3BD9" w:rsidP="00FF3BD9">
      <w:r>
        <w:t>Aboriginal and Torres Strait Islander organisations, service providers and professionals who work in the family, domestic and sexual violence sector</w:t>
      </w:r>
      <w:r w:rsidR="000B37EF">
        <w:t>s</w:t>
      </w:r>
      <w:r>
        <w:t xml:space="preserve"> are expert knowledge holders in understanding the drivers of violence against Aboriginal and Torres Strait Islander women. They must lead the design and delivery of preventions and interventions. </w:t>
      </w:r>
      <w:r w:rsidR="005C57F4">
        <w:t>G</w:t>
      </w:r>
      <w:r>
        <w:t>overnments must listen</w:t>
      </w:r>
      <w:r w:rsidR="00334A89">
        <w:t xml:space="preserve"> to</w:t>
      </w:r>
      <w:r>
        <w:t>, support, strengthen and empower Aboriginal and Torres Strait Islander people</w:t>
      </w:r>
      <w:r w:rsidR="00C00DE0">
        <w:t>s</w:t>
      </w:r>
      <w:r>
        <w:t xml:space="preserve"> by working </w:t>
      </w:r>
      <w:r w:rsidR="506D3A67">
        <w:t>with them</w:t>
      </w:r>
      <w:r w:rsidR="506D3A67" w:rsidRPr="0FF9B1E2">
        <w:t xml:space="preserve"> </w:t>
      </w:r>
      <w:r>
        <w:t>in genuine partnership.</w:t>
      </w:r>
    </w:p>
    <w:p w14:paraId="5E3043C9" w14:textId="1A475DB8" w:rsidR="00FF3BD9" w:rsidRDefault="00FF3BD9" w:rsidP="00FF3BD9">
      <w:r>
        <w:t>Services need to recognise the effects of</w:t>
      </w:r>
      <w:r w:rsidRPr="00B1727D">
        <w:t xml:space="preserve"> colonisation </w:t>
      </w:r>
      <w:r>
        <w:t xml:space="preserve">as a key </w:t>
      </w:r>
      <w:r w:rsidRPr="00B1727D">
        <w:t>driver</w:t>
      </w:r>
      <w:r>
        <w:t xml:space="preserve"> of violence alongside addressing </w:t>
      </w:r>
      <w:r w:rsidRPr="00B1727D">
        <w:t xml:space="preserve">the gendered drivers of violence. </w:t>
      </w:r>
      <w:r>
        <w:t>Recognising t</w:t>
      </w:r>
      <w:r w:rsidRPr="00B1727D">
        <w:t xml:space="preserve">his link is important </w:t>
      </w:r>
      <w:r>
        <w:t xml:space="preserve">for </w:t>
      </w:r>
      <w:r w:rsidRPr="00B1727D">
        <w:t>healing-informed work</w:t>
      </w:r>
      <w:r w:rsidR="004C350E">
        <w:t>.</w:t>
      </w:r>
      <w:r>
        <w:rPr>
          <w:rStyle w:val="EndnoteReference"/>
        </w:rPr>
        <w:endnoteReference w:id="30"/>
      </w:r>
    </w:p>
    <w:p w14:paraId="7CA56150" w14:textId="0F83BF1D" w:rsidR="00FF3BD9" w:rsidRDefault="00D324B0" w:rsidP="00FF3BD9">
      <w:r>
        <w:lastRenderedPageBreak/>
        <w:t>To</w:t>
      </w:r>
      <w:r w:rsidR="00FF3BD9" w:rsidRPr="00645919">
        <w:t xml:space="preserve"> ensure the best </w:t>
      </w:r>
      <w:r w:rsidR="00112775">
        <w:t>and</w:t>
      </w:r>
      <w:r w:rsidR="00112775" w:rsidRPr="00645919">
        <w:t xml:space="preserve"> </w:t>
      </w:r>
      <w:r w:rsidR="00FF3BD9" w:rsidRPr="00645919">
        <w:t>safe</w:t>
      </w:r>
      <w:r w:rsidR="00112775">
        <w:t>st</w:t>
      </w:r>
      <w:r w:rsidR="00FF3BD9" w:rsidRPr="00645919">
        <w:t xml:space="preserve"> outcomes for </w:t>
      </w:r>
      <w:r w:rsidR="00FF3BD9">
        <w:t>Aboriginal and Torres Strait Islander peoples</w:t>
      </w:r>
      <w:r>
        <w:t>, systems, institutions and services should strive for cultural competency, ongoing improvement and best practice</w:t>
      </w:r>
      <w:r w:rsidR="008B5069">
        <w:t>.</w:t>
      </w:r>
    </w:p>
    <w:p w14:paraId="5A3C34AA" w14:textId="45B0284B" w:rsidR="007E330F" w:rsidRDefault="007E330F" w:rsidP="00FF3BD9">
      <w:r>
        <w:t>In alignment with the National Plan</w:t>
      </w:r>
      <w:r w:rsidR="00E852F5">
        <w:t>,</w:t>
      </w:r>
      <w:r>
        <w:t xml:space="preserve"> </w:t>
      </w:r>
      <w:r w:rsidR="3C275232">
        <w:t>this</w:t>
      </w:r>
      <w:r>
        <w:t xml:space="preserve"> First Action Plan commits to improving and building capacity in mainstream government institutions, services and responses in line with Priority Reform Three of Closing the Gap, so </w:t>
      </w:r>
      <w:r w:rsidR="3C275232">
        <w:t>they</w:t>
      </w:r>
      <w:r>
        <w:t xml:space="preserve"> are culturally safe and can better meet the needs of Aboriginal and Torres Strait Islander peoples and communities. The Action Plan also simultaneously supports building the </w:t>
      </w:r>
      <w:r w:rsidR="00A02B23">
        <w:t>community-controlled</w:t>
      </w:r>
      <w:r>
        <w:t xml:space="preserve"> sector to enable community-driven, strengths-based, localised approaches to prevent violence against Aboriginal and Torres Strait Islander peoples in line with Priority Reform Two.</w:t>
      </w:r>
    </w:p>
    <w:p w14:paraId="4BE3AFD2" w14:textId="2381FB9F" w:rsidR="00112775" w:rsidRPr="00112775" w:rsidRDefault="00112775" w:rsidP="00FF3BD9">
      <w:r>
        <w:t xml:space="preserve">This Action will embed Closing the Gap </w:t>
      </w:r>
      <w:r w:rsidR="0078665B">
        <w:t>Priority Reform One through a commitment to building and strengthening structures that empower Aboriginal and Torres Strait Islander people to share decision-making authority with governments to accelerate policy and place</w:t>
      </w:r>
      <w:r w:rsidR="008B5069">
        <w:t>-</w:t>
      </w:r>
      <w:r w:rsidR="0078665B">
        <w:t>based progress against Closing the Gap</w:t>
      </w:r>
      <w:r w:rsidR="00CC0D17">
        <w:t>.</w:t>
      </w:r>
    </w:p>
    <w:p w14:paraId="0E978A17" w14:textId="4C9ED4E2" w:rsidR="00FF3BD9" w:rsidRDefault="000177E9" w:rsidP="00FF3BD9">
      <w:pPr>
        <w:rPr>
          <w:rFonts w:eastAsia="Times New Roman" w:cs="Arial"/>
        </w:rPr>
      </w:pPr>
      <w:r>
        <w:rPr>
          <w:rFonts w:eastAsia="Times New Roman" w:cs="Arial"/>
        </w:rPr>
        <w:t xml:space="preserve">Victim-survivors have told us that collaboration at all levels is required to develop community-led initiatives that promote cultural understanding, empowerment and resilience within communities. </w:t>
      </w:r>
      <w:r w:rsidR="00FF3BD9" w:rsidRPr="2A73AA60">
        <w:rPr>
          <w:rFonts w:eastAsia="Times New Roman" w:cs="Arial"/>
        </w:rPr>
        <w:t>This Action is in addition to community-led, community</w:t>
      </w:r>
      <w:r w:rsidR="00FF3BD9">
        <w:rPr>
          <w:rFonts w:eastAsia="Times New Roman" w:cs="Arial"/>
        </w:rPr>
        <w:t>-</w:t>
      </w:r>
      <w:r w:rsidR="00FF3BD9" w:rsidRPr="2A73AA60">
        <w:rPr>
          <w:rFonts w:eastAsia="Times New Roman" w:cs="Arial"/>
        </w:rPr>
        <w:t>controlled supports to be delivered under the dedicated Aboriginal and Torres Strait Islander Action Plan.</w:t>
      </w:r>
    </w:p>
    <w:p w14:paraId="3F2A6CC0" w14:textId="01FED90E" w:rsidR="00F22B26" w:rsidRDefault="008E403F" w:rsidP="00FF3BD9">
      <w:pPr>
        <w:rPr>
          <w:iCs/>
        </w:rPr>
      </w:pPr>
      <w:r>
        <w:t xml:space="preserve">Work under this Action will align with priorities being addressed in the dedicated </w:t>
      </w:r>
      <w:r w:rsidRPr="002079F9">
        <w:t>Aboriginal and Torres Strait Islander Action Plan</w:t>
      </w:r>
      <w:r>
        <w:t xml:space="preserve">. </w:t>
      </w:r>
      <w:r w:rsidR="00C933B7" w:rsidRPr="002079F9">
        <w:t xml:space="preserve">The development and implementation of the First Action Plan and the dedicated Aboriginal and Torres Strait Islander Action Plan is fundamental to addressing Target 13 of </w:t>
      </w:r>
      <w:r w:rsidR="008B5069">
        <w:t xml:space="preserve">the </w:t>
      </w:r>
      <w:r w:rsidR="00C933B7" w:rsidRPr="002079F9">
        <w:t xml:space="preserve">National Agreement on Closing the Gap </w:t>
      </w:r>
      <w:r w:rsidR="008B5069">
        <w:t>–</w:t>
      </w:r>
      <w:r w:rsidR="00C933B7" w:rsidRPr="002079F9">
        <w:t xml:space="preserve"> to reduce all forms of violence against A</w:t>
      </w:r>
      <w:r w:rsidR="00C933B7" w:rsidRPr="00EB54A1">
        <w:t>boriginal and Torres Strait Islander women and children by at least 50 per cent by 2031, as progress towards zero</w:t>
      </w:r>
      <w:r w:rsidR="00F22B26" w:rsidRPr="00EB54A1">
        <w:t>.</w:t>
      </w:r>
    </w:p>
    <w:p w14:paraId="233CF2D8" w14:textId="1D59376C" w:rsidR="00FF3BD9" w:rsidRPr="00BF6AD8" w:rsidRDefault="00FF3BD9" w:rsidP="00BF6AD8">
      <w:pPr>
        <w:rPr>
          <w:b/>
          <w:bCs/>
          <w:i/>
          <w:iCs/>
        </w:rPr>
      </w:pPr>
      <w:r w:rsidRPr="00BF6AD8">
        <w:rPr>
          <w:b/>
          <w:bCs/>
          <w:i/>
          <w:iCs/>
        </w:rPr>
        <w:t>What difference will we make?</w:t>
      </w:r>
    </w:p>
    <w:p w14:paraId="743D0A2E" w14:textId="77777777" w:rsidR="00FF3BD9" w:rsidRDefault="00FF3BD9" w:rsidP="00FF3BD9">
      <w:pPr>
        <w:spacing w:before="240"/>
        <w:rPr>
          <w:rFonts w:ascii="Calibri" w:hAnsi="Calibri"/>
        </w:rPr>
      </w:pPr>
      <w:r>
        <w:t>Implementing this action will work towards the following outcomes as identified in the Outcomes Framework:</w:t>
      </w:r>
    </w:p>
    <w:p w14:paraId="2B889F1C" w14:textId="3E51B76C" w:rsidR="00FF3BD9" w:rsidRPr="00032090" w:rsidRDefault="00E646E7" w:rsidP="00A820CC">
      <w:pPr>
        <w:pStyle w:val="ListParagraph"/>
        <w:numPr>
          <w:ilvl w:val="0"/>
          <w:numId w:val="6"/>
        </w:numPr>
        <w:rPr>
          <w:rFonts w:cs="Arial"/>
        </w:rPr>
      </w:pPr>
      <w:r w:rsidRPr="00032090">
        <w:rPr>
          <w:rFonts w:cs="Arial"/>
          <w:lang w:val="en-US"/>
        </w:rPr>
        <w:t>S</w:t>
      </w:r>
      <w:r w:rsidR="00FF3BD9" w:rsidRPr="00032090">
        <w:rPr>
          <w:rFonts w:cs="Arial"/>
          <w:lang w:val="en-US"/>
        </w:rPr>
        <w:t>ervices and prevention programs are effective, culturally safe, intersectional and accessible.</w:t>
      </w:r>
    </w:p>
    <w:p w14:paraId="5C646F04" w14:textId="0CAEDBAD" w:rsidR="00032090" w:rsidRPr="00A820CC" w:rsidRDefault="00FF3BD9" w:rsidP="00032090">
      <w:pPr>
        <w:pStyle w:val="ListParagraph"/>
        <w:numPr>
          <w:ilvl w:val="0"/>
          <w:numId w:val="6"/>
        </w:numPr>
        <w:spacing w:before="240" w:after="0" w:line="240" w:lineRule="auto"/>
      </w:pPr>
      <w:r w:rsidRPr="00032090">
        <w:rPr>
          <w:rFonts w:cs="Arial"/>
          <w:lang w:val="en-US"/>
        </w:rPr>
        <w:t xml:space="preserve">Systems and institutions effectively support and protect people impacted by </w:t>
      </w:r>
      <w:r w:rsidR="00972957" w:rsidRPr="00032090">
        <w:rPr>
          <w:rFonts w:cs="Arial"/>
          <w:lang w:val="en-US"/>
        </w:rPr>
        <w:t>gender-based</w:t>
      </w:r>
      <w:r w:rsidRPr="00032090">
        <w:rPr>
          <w:rFonts w:cs="Arial"/>
          <w:lang w:val="en-US"/>
        </w:rPr>
        <w:t xml:space="preserve"> violence</w:t>
      </w:r>
      <w:r w:rsidR="00032090" w:rsidRPr="00032090">
        <w:rPr>
          <w:rFonts w:cs="Arial"/>
          <w:lang w:val="en-US"/>
        </w:rPr>
        <w:t>.</w:t>
      </w:r>
    </w:p>
    <w:p w14:paraId="64A86803" w14:textId="2B2E3565" w:rsidR="00A64C19" w:rsidRPr="00855707" w:rsidRDefault="00FF3BD9" w:rsidP="00A820CC">
      <w:pPr>
        <w:pStyle w:val="ListParagraph"/>
        <w:numPr>
          <w:ilvl w:val="0"/>
          <w:numId w:val="6"/>
        </w:numPr>
        <w:spacing w:before="240" w:after="0" w:line="240" w:lineRule="auto"/>
      </w:pPr>
      <w:r w:rsidRPr="00032090">
        <w:rPr>
          <w:lang w:val="en-US"/>
        </w:rPr>
        <w:t>Children and young people are safe in all settings and are effectively supported by systems and services</w:t>
      </w:r>
      <w:r w:rsidR="00032090" w:rsidRPr="00032090">
        <w:rPr>
          <w:lang w:val="en-US"/>
        </w:rPr>
        <w:t>.</w:t>
      </w:r>
    </w:p>
    <w:p w14:paraId="2F389445" w14:textId="26C32A5A" w:rsidR="00FF3BD9" w:rsidRPr="00A02B23" w:rsidRDefault="001A003D" w:rsidP="00A820CC">
      <w:pPr>
        <w:pStyle w:val="ListParagraph"/>
        <w:numPr>
          <w:ilvl w:val="0"/>
          <w:numId w:val="6"/>
        </w:numPr>
        <w:ind w:left="714" w:hanging="357"/>
      </w:pPr>
      <w:r w:rsidRPr="00AC7EB2">
        <w:rPr>
          <w:rFonts w:cs="Arial"/>
          <w:bCs/>
          <w:color w:val="000000" w:themeColor="text1"/>
          <w:kern w:val="24"/>
        </w:rPr>
        <w:t xml:space="preserve">Women </w:t>
      </w:r>
      <w:r w:rsidR="00FF3BD9" w:rsidRPr="00A02B23">
        <w:rPr>
          <w:color w:val="000000" w:themeColor="text1"/>
          <w:kern w:val="24"/>
        </w:rPr>
        <w:t xml:space="preserve">are safe </w:t>
      </w:r>
      <w:r w:rsidRPr="00AC7EB2">
        <w:rPr>
          <w:rFonts w:cs="Arial"/>
          <w:bCs/>
          <w:color w:val="000000" w:themeColor="text1"/>
          <w:kern w:val="24"/>
        </w:rPr>
        <w:t xml:space="preserve">and respected </w:t>
      </w:r>
      <w:r w:rsidR="00FF3BD9" w:rsidRPr="00A02B23">
        <w:rPr>
          <w:color w:val="000000" w:themeColor="text1"/>
          <w:kern w:val="24"/>
        </w:rPr>
        <w:t>in all settings</w:t>
      </w:r>
      <w:r w:rsidRPr="00AC7EB2">
        <w:rPr>
          <w:rFonts w:cs="Arial"/>
          <w:bCs/>
          <w:color w:val="000000" w:themeColor="text1"/>
          <w:kern w:val="24"/>
        </w:rPr>
        <w:t>,</w:t>
      </w:r>
      <w:r w:rsidR="00FF3BD9" w:rsidRPr="00A02B23">
        <w:rPr>
          <w:color w:val="000000" w:themeColor="text1"/>
          <w:kern w:val="24"/>
        </w:rPr>
        <w:t xml:space="preserve"> and </w:t>
      </w:r>
      <w:r w:rsidRPr="00AC7EB2">
        <w:rPr>
          <w:rFonts w:cs="Arial"/>
          <w:bCs/>
          <w:color w:val="000000" w:themeColor="text1"/>
          <w:kern w:val="24"/>
        </w:rPr>
        <w:t>experience economic, social, political and cultural equality</w:t>
      </w:r>
      <w:r w:rsidR="00032090">
        <w:t>.</w:t>
      </w:r>
    </w:p>
    <w:p w14:paraId="289CE03A" w14:textId="339B60A5" w:rsidR="00FF3BD9" w:rsidRDefault="00FF3BD9" w:rsidP="00FF3BD9">
      <w:pPr>
        <w:rPr>
          <w:bCs/>
        </w:rPr>
      </w:pPr>
      <w:r w:rsidRPr="2A73AA60">
        <w:rPr>
          <w:u w:val="single"/>
        </w:rPr>
        <w:t>Responsibility for implementation</w:t>
      </w:r>
      <w:r>
        <w:t xml:space="preserve">: </w:t>
      </w:r>
      <w:r w:rsidR="0048450B">
        <w:t>Australian</w:t>
      </w:r>
      <w:r>
        <w:t>, state and territory governments; family, domestic and sexual violence sector</w:t>
      </w:r>
      <w:r w:rsidR="000B37EF">
        <w:t>s</w:t>
      </w:r>
      <w:r>
        <w:t>;</w:t>
      </w:r>
      <w:r w:rsidR="003E6A88">
        <w:t xml:space="preserve"> and</w:t>
      </w:r>
      <w:r>
        <w:t xml:space="preserve"> frontline services.</w:t>
      </w:r>
    </w:p>
    <w:p w14:paraId="2C155D6B" w14:textId="4AADA258" w:rsidR="008D2AC5" w:rsidRDefault="00FF3BD9">
      <w:pPr>
        <w:rPr>
          <w:rFonts w:eastAsiaTheme="majorEastAsia" w:cstheme="majorBidi"/>
          <w:b/>
          <w:bCs/>
          <w:sz w:val="32"/>
          <w:szCs w:val="26"/>
        </w:rPr>
      </w:pPr>
      <w:r w:rsidRPr="2A73AA60">
        <w:rPr>
          <w:u w:val="single"/>
        </w:rPr>
        <w:t>Domains</w:t>
      </w:r>
      <w:r>
        <w:t>: prevention; early intervention; response; recovery and healing</w:t>
      </w:r>
      <w:r w:rsidR="003E6A88">
        <w:t>.</w:t>
      </w:r>
      <w:bookmarkStart w:id="188" w:name="_Toc128734621"/>
      <w:bookmarkStart w:id="189" w:name="_Toc132805057"/>
      <w:bookmarkStart w:id="190" w:name="_Toc132805398"/>
      <w:bookmarkStart w:id="191" w:name="_Toc134621952"/>
      <w:bookmarkStart w:id="192" w:name="_Toc134622044"/>
      <w:bookmarkStart w:id="193" w:name="_Toc134622146"/>
      <w:bookmarkStart w:id="194" w:name="_Toc134624200"/>
      <w:bookmarkStart w:id="195" w:name="_Toc134624235"/>
      <w:bookmarkStart w:id="196" w:name="_Toc134628764"/>
      <w:bookmarkStart w:id="197" w:name="_Toc136255001"/>
      <w:bookmarkStart w:id="198" w:name="_Toc136261696"/>
      <w:bookmarkStart w:id="199" w:name="_Toc136272361"/>
      <w:bookmarkStart w:id="200" w:name="_Toc136278740"/>
      <w:bookmarkStart w:id="201" w:name="_Toc136279957"/>
      <w:bookmarkStart w:id="202" w:name="_Toc136268785"/>
      <w:bookmarkStart w:id="203" w:name="_Toc127800147"/>
      <w:bookmarkStart w:id="204" w:name="_Toc127950243"/>
      <w:r w:rsidR="008D2AC5">
        <w:br w:type="page"/>
      </w:r>
    </w:p>
    <w:p w14:paraId="6533F752" w14:textId="77777777" w:rsidR="00B454A5" w:rsidRDefault="00FF3BD9" w:rsidP="00BF6AD8">
      <w:pPr>
        <w:pStyle w:val="Heading1"/>
      </w:pPr>
      <w:bookmarkStart w:id="205" w:name="_Toc144909148"/>
      <w:r>
        <w:lastRenderedPageBreak/>
        <w:t>Action 8</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5"/>
    </w:p>
    <w:p w14:paraId="4832DB44" w14:textId="54A1FB56" w:rsidR="00FF3BD9" w:rsidRPr="00EC7393" w:rsidRDefault="00FF3BD9" w:rsidP="00B454A5">
      <w:pPr>
        <w:pStyle w:val="Heading2"/>
        <w:rPr>
          <w:color w:val="000007"/>
        </w:rPr>
      </w:pPr>
      <w:bookmarkStart w:id="206" w:name="_Toc144909149"/>
      <w:r w:rsidRPr="2A73AA60">
        <w:t>Develop and implement age appropriate</w:t>
      </w:r>
      <w:r w:rsidR="00CE186C">
        <w:t>, culturally safe</w:t>
      </w:r>
      <w:r w:rsidR="00E613F7">
        <w:t xml:space="preserve"> </w:t>
      </w:r>
      <w:r w:rsidRPr="2A73AA60">
        <w:t>programs</w:t>
      </w:r>
      <w:r w:rsidR="009820C8">
        <w:t xml:space="preserve"> across all four domains</w:t>
      </w:r>
      <w:r w:rsidRPr="2A73AA60">
        <w:t xml:space="preserve">, informed by children and young people, that </w:t>
      </w:r>
      <w:r w:rsidR="00A02B23">
        <w:t xml:space="preserve">support recovery and healing from trauma, and </w:t>
      </w:r>
      <w:r w:rsidR="00546C52" w:rsidRPr="2A73AA60">
        <w:t xml:space="preserve">intervene early </w:t>
      </w:r>
      <w:r w:rsidR="00546C52">
        <w:t>to address</w:t>
      </w:r>
      <w:r w:rsidR="00546C52" w:rsidRPr="2A73AA60">
        <w:t xml:space="preserve"> violence supportive behaviours</w:t>
      </w:r>
      <w:r w:rsidR="16C2E134" w:rsidRPr="2A73AA60">
        <w:t>.</w:t>
      </w:r>
      <w:bookmarkEnd w:id="206"/>
    </w:p>
    <w:p w14:paraId="69503FE4" w14:textId="6AD77B59" w:rsidR="002F6441" w:rsidRPr="00B454A5" w:rsidRDefault="002F6441" w:rsidP="00B454A5">
      <w:pPr>
        <w:rPr>
          <w:b/>
          <w:bCs/>
          <w:highlight w:val="cyan"/>
        </w:rPr>
      </w:pPr>
      <w:r w:rsidRPr="00B454A5">
        <w:rPr>
          <w:b/>
          <w:bCs/>
        </w:rPr>
        <w:t>We recognise that</w:t>
      </w:r>
      <w:r w:rsidR="04F95BDC" w:rsidRPr="00B454A5">
        <w:rPr>
          <w:b/>
          <w:bCs/>
        </w:rPr>
        <w:t>,</w:t>
      </w:r>
      <w:r w:rsidRPr="00B454A5">
        <w:rPr>
          <w:b/>
          <w:bCs/>
        </w:rPr>
        <w:t xml:space="preserve"> </w:t>
      </w:r>
      <w:r w:rsidR="00152912" w:rsidRPr="00B454A5">
        <w:rPr>
          <w:b/>
          <w:bCs/>
        </w:rPr>
        <w:t>until now, policies and programs have</w:t>
      </w:r>
      <w:r w:rsidRPr="00B454A5">
        <w:rPr>
          <w:b/>
          <w:bCs/>
        </w:rPr>
        <w:t xml:space="preserve"> not elevated the needs and voices of children as victims </w:t>
      </w:r>
      <w:r w:rsidR="008E403F" w:rsidRPr="00B454A5">
        <w:rPr>
          <w:b/>
          <w:bCs/>
        </w:rPr>
        <w:t xml:space="preserve">of family and domestic violence </w:t>
      </w:r>
      <w:r w:rsidRPr="00B454A5">
        <w:rPr>
          <w:b/>
          <w:bCs/>
        </w:rPr>
        <w:t>in their own right. Over the term of this Action Plan</w:t>
      </w:r>
      <w:r w:rsidR="04F95BDC" w:rsidRPr="00B454A5">
        <w:rPr>
          <w:b/>
          <w:bCs/>
        </w:rPr>
        <w:t>,</w:t>
      </w:r>
      <w:r w:rsidRPr="00B454A5">
        <w:rPr>
          <w:b/>
          <w:bCs/>
        </w:rPr>
        <w:t xml:space="preserve"> we </w:t>
      </w:r>
      <w:r w:rsidR="00F22B26" w:rsidRPr="00B454A5">
        <w:rPr>
          <w:b/>
          <w:bCs/>
        </w:rPr>
        <w:t>will work</w:t>
      </w:r>
      <w:r w:rsidRPr="00B454A5">
        <w:rPr>
          <w:b/>
          <w:bCs/>
        </w:rPr>
        <w:t xml:space="preserve"> to find opportunities to listen to the voices of children to influence and inform policies that respond to their needs.</w:t>
      </w:r>
    </w:p>
    <w:p w14:paraId="7440F696" w14:textId="1578E3F1" w:rsidR="007D5EEE" w:rsidRDefault="008E403F" w:rsidP="007D5EEE">
      <w:r>
        <w:t xml:space="preserve">People who use </w:t>
      </w:r>
      <w:r w:rsidR="007D5EEE" w:rsidRPr="00AB2E35">
        <w:t>family and domestic violence toward children may be parents, siblings, extended family or formal or informal carers.</w:t>
      </w:r>
      <w:r w:rsidR="007D5EEE">
        <w:t xml:space="preserve"> </w:t>
      </w:r>
      <w:r w:rsidR="002F6601" w:rsidRPr="00525FE7">
        <w:t>In 2019–20, there were 376 hospitalisations of children aged zero to 14 for assault injuries perpetrated by a parent (277) or other fami</w:t>
      </w:r>
      <w:r w:rsidR="002F6601">
        <w:t>ly member (99).</w:t>
      </w:r>
      <w:r w:rsidR="002F6601">
        <w:rPr>
          <w:rStyle w:val="EndnoteReference"/>
        </w:rPr>
        <w:endnoteReference w:id="31"/>
      </w:r>
      <w:r w:rsidR="002F6601">
        <w:t xml:space="preserve"> </w:t>
      </w:r>
    </w:p>
    <w:p w14:paraId="525A0D05" w14:textId="79FAFE0E" w:rsidR="00F11AF1" w:rsidRDefault="00AB2E35" w:rsidP="00F11AF1">
      <w:r>
        <w:t>Recent research highlights the link between adverse childhood experiences and those victim-survivors using violence themselves in the future</w:t>
      </w:r>
      <w:r w:rsidR="004C350E">
        <w:t>.</w:t>
      </w:r>
      <w:r>
        <w:rPr>
          <w:rStyle w:val="EndnoteReference"/>
        </w:rPr>
        <w:endnoteReference w:id="32"/>
      </w:r>
      <w:r>
        <w:t xml:space="preserve"> </w:t>
      </w:r>
      <w:r w:rsidR="00651F95">
        <w:t>To end gender-based violence in one generation, it is vital that children and young people</w:t>
      </w:r>
      <w:r w:rsidR="00713122">
        <w:t xml:space="preserve"> </w:t>
      </w:r>
      <w:r w:rsidR="00651F95">
        <w:t>with lived experience of family and domestic violence are</w:t>
      </w:r>
      <w:r>
        <w:t xml:space="preserve"> recognised as victim-survivors in their own right and</w:t>
      </w:r>
      <w:r w:rsidR="00651F95">
        <w:t xml:space="preserve"> supported through appropriate tailored supports and trauma-informed interventions that build hope, resilience and the ability to have healthy relationships</w:t>
      </w:r>
      <w:r>
        <w:t>.</w:t>
      </w:r>
    </w:p>
    <w:p w14:paraId="6C75438B" w14:textId="60598F0F" w:rsidR="00DC727E" w:rsidRDefault="00DC727E" w:rsidP="00DC727E">
      <w:r>
        <w:t>Children and young people living with, or who have experienced violence in the past, can experience ongoing psychological, behavioural and health issues, affecting their development, health and education</w:t>
      </w:r>
      <w:r w:rsidR="004C350E">
        <w:t>,</w:t>
      </w:r>
      <w:r>
        <w:rPr>
          <w:rStyle w:val="EndnoteReference"/>
        </w:rPr>
        <w:endnoteReference w:id="33"/>
      </w:r>
      <w:r>
        <w:t xml:space="preserve"> but require different approaches to </w:t>
      </w:r>
      <w:r w:rsidR="008E403F">
        <w:t>adults</w:t>
      </w:r>
      <w:r w:rsidR="00FD18F8">
        <w:t xml:space="preserve"> who have experienced violence</w:t>
      </w:r>
      <w:r w:rsidR="004C350E">
        <w:t>.</w:t>
      </w:r>
      <w:r>
        <w:rPr>
          <w:rStyle w:val="EndnoteReference"/>
        </w:rPr>
        <w:endnoteReference w:id="34"/>
      </w:r>
      <w:r>
        <w:t xml:space="preserve"> </w:t>
      </w:r>
      <w:r w:rsidR="009B348C">
        <w:t>We need to develop early intervention and referral pathways for children at risk of experiencing or perpetrating violence.</w:t>
      </w:r>
    </w:p>
    <w:p w14:paraId="4692C3BD" w14:textId="66D21B59" w:rsidR="00DC727E" w:rsidRDefault="00DC727E" w:rsidP="00DC727E">
      <w:r>
        <w:t xml:space="preserve">Children </w:t>
      </w:r>
      <w:r w:rsidRPr="00E9562F">
        <w:rPr>
          <w:rFonts w:cs="Arial"/>
        </w:rPr>
        <w:t>are frequently not listened to</w:t>
      </w:r>
      <w:r w:rsidR="00A02B23">
        <w:rPr>
          <w:rFonts w:cs="Arial"/>
        </w:rPr>
        <w:t xml:space="preserve">, </w:t>
      </w:r>
      <w:r w:rsidRPr="00E9562F">
        <w:rPr>
          <w:rFonts w:cs="Arial"/>
        </w:rPr>
        <w:t>not asked about their experiences, not believed when they do speak out, and not provided with their own support or service response.</w:t>
      </w:r>
      <w:r>
        <w:rPr>
          <w:rFonts w:cs="Arial"/>
        </w:rPr>
        <w:t xml:space="preserve"> We need to shift this</w:t>
      </w:r>
      <w:r>
        <w:t xml:space="preserve"> </w:t>
      </w:r>
      <w:r w:rsidR="00267419" w:rsidRPr="0019663B">
        <w:t>by engaging authentically with children and young people to understand their needs and experiences and co-design services with them.</w:t>
      </w:r>
    </w:p>
    <w:p w14:paraId="79B09B6B" w14:textId="5DE336DF" w:rsidR="00AB2E35" w:rsidRDefault="00AB2E35" w:rsidP="00DC727E">
      <w:r>
        <w:t xml:space="preserve">We heard from victim-survivors that we need to address the unique needs of children exposed to and experiencing violence by providing targeted interventions and support services </w:t>
      </w:r>
      <w:r w:rsidR="008F1C3D">
        <w:t xml:space="preserve">that are developmentally informed, and </w:t>
      </w:r>
      <w:r>
        <w:t xml:space="preserve">tailored to their specific circumstances. Victim-survivors also highlighted the importance of needing to empower </w:t>
      </w:r>
      <w:r w:rsidRPr="00CA5274">
        <w:t>young people</w:t>
      </w:r>
      <w:r>
        <w:t xml:space="preserve"> to overcome situations and systems of abuse.</w:t>
      </w:r>
    </w:p>
    <w:p w14:paraId="058616E0" w14:textId="45A87DBF" w:rsidR="00F22B26" w:rsidRDefault="00F22B26" w:rsidP="00F22B26">
      <w:r>
        <w:t>We know</w:t>
      </w:r>
      <w:r w:rsidRPr="002000EC">
        <w:t xml:space="preserve"> that </w:t>
      </w:r>
      <w:r>
        <w:t xml:space="preserve">it is also important to support primary care givers in </w:t>
      </w:r>
      <w:r w:rsidRPr="002000EC">
        <w:t>their ability to nurture the</w:t>
      </w:r>
      <w:r>
        <w:t>ir</w:t>
      </w:r>
      <w:r w:rsidRPr="002000EC">
        <w:t xml:space="preserve"> children. Integrated responses to carers and children are required to close the circle and give children nurturing </w:t>
      </w:r>
      <w:r>
        <w:t>from carer</w:t>
      </w:r>
      <w:r w:rsidR="0066528B">
        <w:t>s</w:t>
      </w:r>
      <w:r>
        <w:t xml:space="preserve"> whose wellbeing is </w:t>
      </w:r>
      <w:r w:rsidR="0066528B">
        <w:t xml:space="preserve">also </w:t>
      </w:r>
      <w:r>
        <w:t>supported.</w:t>
      </w:r>
    </w:p>
    <w:p w14:paraId="099A0EC3" w14:textId="6BECE0F3" w:rsidR="00AD0928" w:rsidRDefault="004421A2" w:rsidP="00FF3BD9">
      <w:pPr>
        <w:rPr>
          <w:rFonts w:eastAsia="Times New Roman" w:cs="Arial"/>
          <w:lang w:eastAsia="en-AU"/>
        </w:rPr>
      </w:pPr>
      <w:r>
        <w:lastRenderedPageBreak/>
        <w:t xml:space="preserve">Victim-survivors outlined that </w:t>
      </w:r>
      <w:r>
        <w:rPr>
          <w:rFonts w:eastAsia="Times New Roman" w:cs="Arial"/>
          <w:lang w:eastAsia="en-AU"/>
        </w:rPr>
        <w:t>more options and support</w:t>
      </w:r>
      <w:r w:rsidR="0011245E">
        <w:rPr>
          <w:rFonts w:eastAsia="Times New Roman" w:cs="Arial"/>
          <w:lang w:eastAsia="en-AU"/>
        </w:rPr>
        <w:t xml:space="preserve"> are required</w:t>
      </w:r>
      <w:r>
        <w:rPr>
          <w:rFonts w:eastAsia="Times New Roman" w:cs="Arial"/>
          <w:lang w:eastAsia="en-AU"/>
        </w:rPr>
        <w:t xml:space="preserve"> for children and young people, </w:t>
      </w:r>
      <w:r w:rsidR="0011245E">
        <w:rPr>
          <w:rFonts w:eastAsia="Times New Roman" w:cs="Arial"/>
          <w:lang w:eastAsia="en-AU"/>
        </w:rPr>
        <w:t>including</w:t>
      </w:r>
      <w:r w:rsidR="0019663B">
        <w:rPr>
          <w:rFonts w:eastAsia="Times New Roman" w:cs="Arial"/>
          <w:lang w:eastAsia="en-AU"/>
        </w:rPr>
        <w:t xml:space="preserve"> </w:t>
      </w:r>
      <w:r>
        <w:rPr>
          <w:rFonts w:eastAsia="Times New Roman" w:cs="Arial"/>
          <w:lang w:eastAsia="en-AU"/>
        </w:rPr>
        <w:t>specific counselling, advocacy services, and support for young people in out-of-home</w:t>
      </w:r>
      <w:r w:rsidR="004C3695">
        <w:rPr>
          <w:rFonts w:eastAsia="Times New Roman" w:cs="Arial"/>
          <w:lang w:eastAsia="en-AU"/>
        </w:rPr>
        <w:t xml:space="preserve"> </w:t>
      </w:r>
      <w:r>
        <w:rPr>
          <w:rFonts w:eastAsia="Times New Roman" w:cs="Arial"/>
          <w:lang w:eastAsia="en-AU"/>
        </w:rPr>
        <w:t>care who may need protection from one or both parents.</w:t>
      </w:r>
      <w:r w:rsidR="00E613F7">
        <w:rPr>
          <w:rFonts w:eastAsia="Times New Roman" w:cs="Arial"/>
          <w:lang w:eastAsia="en-AU"/>
        </w:rPr>
        <w:t xml:space="preserve"> </w:t>
      </w:r>
      <w:r w:rsidR="00EE2590">
        <w:rPr>
          <w:rFonts w:cs="Arial"/>
        </w:rPr>
        <w:t>These need to include programs that promote early intervention to address violence supportive behaviours and enhance recovery and healing.</w:t>
      </w:r>
    </w:p>
    <w:p w14:paraId="0EA35639" w14:textId="0E6FF65A" w:rsidR="00FF3BD9" w:rsidRDefault="0066528B" w:rsidP="00FF3BD9">
      <w:r>
        <w:t>Australian</w:t>
      </w:r>
      <w:r w:rsidR="00FF3BD9">
        <w:t>, state and territory governments will work to support integrated specialist family, domestic and sexual violence services and programs for children and young people who have been impacted by violence that focus on addressing trauma impacts, disrupting violence and reducing potential future re-victimisation or perpetration.</w:t>
      </w:r>
      <w:r w:rsidR="004421A2">
        <w:t xml:space="preserve"> </w:t>
      </w:r>
      <w:r w:rsidR="009820C8">
        <w:t xml:space="preserve">This includes </w:t>
      </w:r>
      <w:r w:rsidR="00E13C10">
        <w:t>sharing of data where it is safe and helpful to do so.</w:t>
      </w:r>
    </w:p>
    <w:p w14:paraId="2B2F7EF5" w14:textId="79C20ABB" w:rsidR="00FF3BD9" w:rsidRDefault="00FF3BD9" w:rsidP="00FF3BD9">
      <w:r>
        <w:t xml:space="preserve">This Action will </w:t>
      </w:r>
      <w:r w:rsidRPr="2A73AA60">
        <w:rPr>
          <w:rFonts w:eastAsia="Times New Roman"/>
        </w:rPr>
        <w:t xml:space="preserve">align with other national initiatives such as </w:t>
      </w:r>
      <w:r w:rsidRPr="2A73AA60">
        <w:rPr>
          <w:rFonts w:eastAsia="Times New Roman"/>
          <w:i/>
          <w:iCs/>
        </w:rPr>
        <w:t>Safe and Supported: the</w:t>
      </w:r>
      <w:r w:rsidRPr="2A73AA60">
        <w:rPr>
          <w:rFonts w:eastAsia="Times New Roman"/>
        </w:rPr>
        <w:t xml:space="preserve"> </w:t>
      </w:r>
      <w:r w:rsidRPr="2A73AA60">
        <w:rPr>
          <w:rFonts w:eastAsia="Times New Roman"/>
          <w:i/>
          <w:iCs/>
        </w:rPr>
        <w:t>National Framework for Protecting Australia’s Children 2021-2031</w:t>
      </w:r>
      <w:r w:rsidR="001A26A3">
        <w:rPr>
          <w:rFonts w:eastAsia="Arial" w:cs="Arial"/>
          <w:i/>
          <w:iCs/>
        </w:rPr>
        <w:t>,</w:t>
      </w:r>
      <w:r w:rsidRPr="002079F9">
        <w:rPr>
          <w:rStyle w:val="EndnoteReference"/>
          <w:rFonts w:eastAsia="Times New Roman"/>
        </w:rPr>
        <w:endnoteReference w:id="35"/>
      </w:r>
      <w:r w:rsidRPr="2A73AA60">
        <w:rPr>
          <w:rFonts w:eastAsia="Times New Roman"/>
        </w:rPr>
        <w:t xml:space="preserve"> and the Early Years Strategy</w:t>
      </w:r>
      <w:r w:rsidR="001A26A3">
        <w:rPr>
          <w:rFonts w:eastAsia="Arial" w:cs="Arial"/>
        </w:rPr>
        <w:t>.</w:t>
      </w:r>
      <w:r>
        <w:rPr>
          <w:rStyle w:val="EndnoteReference"/>
          <w:rFonts w:eastAsia="Times New Roman"/>
        </w:rPr>
        <w:endnoteReference w:id="36"/>
      </w:r>
    </w:p>
    <w:p w14:paraId="267673D8" w14:textId="5D995289" w:rsidR="00DD459B" w:rsidRDefault="00FF3BD9" w:rsidP="00FF3BD9">
      <w:r>
        <w:t>Children and young people can become victims of online abuse with perpetrators grooming them to provide intimate images or videos</w:t>
      </w:r>
      <w:r w:rsidR="2A048179" w:rsidRPr="74D66F1C">
        <w:t xml:space="preserve"> </w:t>
      </w:r>
      <w:r w:rsidR="2A048179">
        <w:t>and</w:t>
      </w:r>
      <w:r>
        <w:t xml:space="preserve"> sharing </w:t>
      </w:r>
      <w:r w:rsidR="2A048179">
        <w:t>these</w:t>
      </w:r>
      <w:r>
        <w:t xml:space="preserve"> further without consent, or threatening to share images with family, friends or strangers unless the child or young person pays them</w:t>
      </w:r>
      <w:r w:rsidR="4308ECCE">
        <w:t xml:space="preserve"> (sexual extortion)</w:t>
      </w:r>
      <w:r>
        <w:t>. The eSafety Commission</w:t>
      </w:r>
      <w:r w:rsidR="00524CE6">
        <w:t>er</w:t>
      </w:r>
      <w:r>
        <w:t xml:space="preserve"> will continue their work to educate children and young people about online safety and to remove </w:t>
      </w:r>
      <w:r w:rsidR="0011245E">
        <w:t xml:space="preserve">harmful </w:t>
      </w:r>
      <w:r>
        <w:t>content.</w:t>
      </w:r>
    </w:p>
    <w:p w14:paraId="4D85F83F" w14:textId="7E5FBB65" w:rsidR="00DD459B" w:rsidRDefault="00DD459B" w:rsidP="00DD459B">
      <w:r w:rsidRPr="0077686E">
        <w:t>The National Plan recognises that s</w:t>
      </w:r>
      <w:r w:rsidRPr="0077686E">
        <w:rPr>
          <w:rStyle w:val="ui-provider"/>
        </w:rPr>
        <w:t>exual violence perpetrated against children</w:t>
      </w:r>
      <w:r w:rsidR="00C5104F">
        <w:rPr>
          <w:rStyle w:val="ui-provider"/>
        </w:rPr>
        <w:t xml:space="preserve"> </w:t>
      </w:r>
      <w:r w:rsidRPr="0077686E">
        <w:rPr>
          <w:rStyle w:val="ui-provider"/>
        </w:rPr>
        <w:t>is child sexual abuse</w:t>
      </w:r>
      <w:r w:rsidR="009F447D" w:rsidRPr="009D79EA">
        <w:rPr>
          <w:rStyle w:val="ui-provider"/>
        </w:rPr>
        <w:t>, which is covered by the</w:t>
      </w:r>
      <w:r w:rsidR="00C5104F">
        <w:rPr>
          <w:rStyle w:val="ui-provider"/>
        </w:rPr>
        <w:t xml:space="preserve"> </w:t>
      </w:r>
      <w:r w:rsidR="009F447D" w:rsidRPr="0077686E">
        <w:rPr>
          <w:rStyle w:val="ui-provider"/>
          <w:i/>
          <w:iCs/>
        </w:rPr>
        <w:t>National Strategy to Prevent and Respond to Child Sexual Abuse 2021–2030</w:t>
      </w:r>
      <w:r w:rsidR="00D2570A">
        <w:rPr>
          <w:rStyle w:val="ui-provider"/>
          <w:i/>
          <w:iCs/>
        </w:rPr>
        <w:t>.</w:t>
      </w:r>
      <w:r w:rsidR="00D2570A">
        <w:rPr>
          <w:rStyle w:val="EndnoteReference"/>
          <w:i/>
          <w:iCs/>
        </w:rPr>
        <w:endnoteReference w:id="37"/>
      </w:r>
      <w:r w:rsidR="009F447D" w:rsidRPr="0077686E">
        <w:rPr>
          <w:rStyle w:val="ui-provider"/>
        </w:rPr>
        <w:t xml:space="preserve"> </w:t>
      </w:r>
      <w:r w:rsidR="00AB38F5" w:rsidRPr="0077686E">
        <w:rPr>
          <w:rStyle w:val="ui-provider"/>
        </w:rPr>
        <w:t>The drivers and impacts of child sexual abuse can be vastly different to those of adult sexual abuse</w:t>
      </w:r>
      <w:r w:rsidR="00AB38F5" w:rsidRPr="009D79EA">
        <w:rPr>
          <w:rStyle w:val="ui-provider"/>
        </w:rPr>
        <w:t>, and they require different responses</w:t>
      </w:r>
      <w:r w:rsidR="00C5104F">
        <w:rPr>
          <w:rStyle w:val="ui-provider"/>
        </w:rPr>
        <w:t>. H</w:t>
      </w:r>
      <w:r w:rsidR="00AB38F5" w:rsidRPr="009D79EA">
        <w:rPr>
          <w:rStyle w:val="ui-provider"/>
        </w:rPr>
        <w:t>owever, the Action Plan recognises that c</w:t>
      </w:r>
      <w:r w:rsidR="009F447D" w:rsidRPr="0077686E">
        <w:rPr>
          <w:rStyle w:val="ui-provider"/>
        </w:rPr>
        <w:t>hild</w:t>
      </w:r>
      <w:r w:rsidRPr="0077686E">
        <w:rPr>
          <w:rStyle w:val="ui-provider"/>
        </w:rPr>
        <w:t xml:space="preserve"> </w:t>
      </w:r>
      <w:r w:rsidR="009F447D" w:rsidRPr="0077686E">
        <w:rPr>
          <w:rStyle w:val="ui-provider"/>
        </w:rPr>
        <w:t xml:space="preserve">sexual </w:t>
      </w:r>
      <w:r w:rsidRPr="0077686E">
        <w:rPr>
          <w:rStyle w:val="ui-provider"/>
        </w:rPr>
        <w:t xml:space="preserve">abuse and family and domestic violence </w:t>
      </w:r>
      <w:r w:rsidR="009F447D" w:rsidRPr="0077686E">
        <w:rPr>
          <w:rStyle w:val="ui-provider"/>
        </w:rPr>
        <w:t xml:space="preserve">can co-exist and </w:t>
      </w:r>
      <w:r w:rsidR="00AB38F5" w:rsidRPr="0077686E">
        <w:rPr>
          <w:rStyle w:val="ui-provider"/>
        </w:rPr>
        <w:t xml:space="preserve">when they do, </w:t>
      </w:r>
      <w:r w:rsidR="009F447D" w:rsidRPr="0077686E">
        <w:rPr>
          <w:rStyle w:val="ui-provider"/>
        </w:rPr>
        <w:t>require integrated responses</w:t>
      </w:r>
      <w:r w:rsidR="00AB38F5" w:rsidRPr="0077686E">
        <w:rPr>
          <w:rStyle w:val="ui-provider"/>
        </w:rPr>
        <w:t xml:space="preserve"> across sectors and agencies.</w:t>
      </w:r>
    </w:p>
    <w:p w14:paraId="4FE3F805" w14:textId="39A513FE" w:rsidR="00FF3BD9" w:rsidRPr="00BF6AD8" w:rsidRDefault="00FF3BD9" w:rsidP="00BF6AD8">
      <w:pPr>
        <w:rPr>
          <w:b/>
          <w:bCs/>
          <w:i/>
          <w:iCs/>
        </w:rPr>
      </w:pPr>
      <w:r w:rsidRPr="00BF6AD8">
        <w:rPr>
          <w:b/>
          <w:bCs/>
          <w:i/>
          <w:iCs/>
        </w:rPr>
        <w:t>What difference will we make?</w:t>
      </w:r>
    </w:p>
    <w:bookmarkEnd w:id="203"/>
    <w:bookmarkEnd w:id="204"/>
    <w:p w14:paraId="77AEBAB8" w14:textId="77777777" w:rsidR="00FF3BD9" w:rsidRDefault="00FF3BD9" w:rsidP="00FF3BD9">
      <w:pPr>
        <w:spacing w:before="240"/>
        <w:rPr>
          <w:rFonts w:ascii="Calibri" w:hAnsi="Calibri"/>
        </w:rPr>
      </w:pPr>
      <w:r>
        <w:t>Implementing this action will work towards the following outcomes as identified in the Outcomes Framework:</w:t>
      </w:r>
    </w:p>
    <w:p w14:paraId="0271DB48" w14:textId="0CFCCC52" w:rsidR="00C5104F" w:rsidRPr="00A820CC" w:rsidRDefault="00FF3BD9" w:rsidP="00C5104F">
      <w:pPr>
        <w:numPr>
          <w:ilvl w:val="0"/>
          <w:numId w:val="6"/>
        </w:numPr>
        <w:ind w:left="714" w:hanging="357"/>
        <w:contextualSpacing/>
      </w:pPr>
      <w:r w:rsidRPr="00C5104F">
        <w:rPr>
          <w:lang w:val="en-US"/>
        </w:rPr>
        <w:t>Children and young people are safe in all settings and are effectively supported by systems and services</w:t>
      </w:r>
      <w:r w:rsidR="00C5104F" w:rsidRPr="00C5104F">
        <w:rPr>
          <w:lang w:val="en-US"/>
        </w:rPr>
        <w:t>.</w:t>
      </w:r>
    </w:p>
    <w:p w14:paraId="3AC71EA0" w14:textId="59371F7C" w:rsidR="00FF3BD9" w:rsidRPr="00B43B61" w:rsidRDefault="00FF3BD9" w:rsidP="00A820CC">
      <w:pPr>
        <w:numPr>
          <w:ilvl w:val="0"/>
          <w:numId w:val="6"/>
        </w:numPr>
        <w:ind w:left="714" w:hanging="357"/>
        <w:contextualSpacing/>
      </w:pPr>
      <w:r w:rsidRPr="00C5104F">
        <w:rPr>
          <w:rFonts w:cs="Arial"/>
          <w:lang w:val="en-US"/>
        </w:rPr>
        <w:t xml:space="preserve">Systems and institutions effectively support and protect people impacted by </w:t>
      </w:r>
      <w:r w:rsidR="00972957" w:rsidRPr="00C5104F">
        <w:rPr>
          <w:rFonts w:cs="Arial"/>
          <w:lang w:val="en-US"/>
        </w:rPr>
        <w:t>gender-based</w:t>
      </w:r>
      <w:r w:rsidRPr="00C5104F">
        <w:rPr>
          <w:rFonts w:cs="Arial"/>
          <w:lang w:val="en-US"/>
        </w:rPr>
        <w:t xml:space="preserve"> violence</w:t>
      </w:r>
      <w:r w:rsidR="00C5104F" w:rsidRPr="00C5104F">
        <w:rPr>
          <w:rFonts w:cs="Arial"/>
          <w:lang w:val="en-US"/>
        </w:rPr>
        <w:t>.</w:t>
      </w:r>
    </w:p>
    <w:p w14:paraId="02ED92B4" w14:textId="7E4EEC30" w:rsidR="00C5104F" w:rsidRPr="00A820CC" w:rsidRDefault="00E646E7" w:rsidP="00C5104F">
      <w:pPr>
        <w:numPr>
          <w:ilvl w:val="0"/>
          <w:numId w:val="6"/>
        </w:numPr>
        <w:ind w:left="714" w:hanging="357"/>
        <w:contextualSpacing/>
      </w:pPr>
      <w:r w:rsidRPr="00C5104F">
        <w:rPr>
          <w:lang w:val="en-US"/>
        </w:rPr>
        <w:t>S</w:t>
      </w:r>
      <w:r w:rsidR="00FF3BD9" w:rsidRPr="00C5104F">
        <w:rPr>
          <w:lang w:val="en-US"/>
        </w:rPr>
        <w:t>ervices and prevention programs are effective, culturally safe, intersectional and accessible</w:t>
      </w:r>
      <w:r w:rsidR="00C5104F" w:rsidRPr="00C5104F">
        <w:rPr>
          <w:lang w:val="en-US"/>
        </w:rPr>
        <w:t>.</w:t>
      </w:r>
    </w:p>
    <w:p w14:paraId="78BA2664" w14:textId="34C7DAC2" w:rsidR="00FF3BD9" w:rsidRPr="0019663B" w:rsidRDefault="001A003D" w:rsidP="00A820CC">
      <w:pPr>
        <w:numPr>
          <w:ilvl w:val="0"/>
          <w:numId w:val="6"/>
        </w:numPr>
        <w:ind w:left="714" w:hanging="357"/>
      </w:pPr>
      <w:r w:rsidRPr="00C5104F">
        <w:rPr>
          <w:rFonts w:cs="Arial"/>
          <w:bCs/>
          <w:color w:val="000000" w:themeColor="text1"/>
          <w:kern w:val="24"/>
        </w:rPr>
        <w:t xml:space="preserve">Women </w:t>
      </w:r>
      <w:r w:rsidR="00FF3BD9" w:rsidRPr="00C5104F">
        <w:rPr>
          <w:color w:val="000000" w:themeColor="text1"/>
          <w:kern w:val="24"/>
        </w:rPr>
        <w:t xml:space="preserve">are safe </w:t>
      </w:r>
      <w:r w:rsidRPr="00C5104F">
        <w:rPr>
          <w:rFonts w:cs="Arial"/>
          <w:bCs/>
          <w:color w:val="000000" w:themeColor="text1"/>
          <w:kern w:val="24"/>
        </w:rPr>
        <w:t xml:space="preserve">and respected </w:t>
      </w:r>
      <w:r w:rsidR="00FF3BD9" w:rsidRPr="00C5104F">
        <w:rPr>
          <w:color w:val="000000" w:themeColor="text1"/>
          <w:kern w:val="24"/>
        </w:rPr>
        <w:t>in all settings</w:t>
      </w:r>
      <w:r w:rsidRPr="00C5104F">
        <w:rPr>
          <w:rFonts w:cs="Arial"/>
          <w:bCs/>
          <w:color w:val="000000" w:themeColor="text1"/>
          <w:kern w:val="24"/>
        </w:rPr>
        <w:t>,</w:t>
      </w:r>
      <w:r w:rsidR="00FF3BD9" w:rsidRPr="00C5104F">
        <w:rPr>
          <w:color w:val="000000" w:themeColor="text1"/>
          <w:kern w:val="24"/>
        </w:rPr>
        <w:t xml:space="preserve"> and </w:t>
      </w:r>
      <w:r w:rsidRPr="00C5104F">
        <w:rPr>
          <w:rFonts w:cs="Arial"/>
          <w:bCs/>
          <w:color w:val="000000" w:themeColor="text1"/>
          <w:kern w:val="24"/>
        </w:rPr>
        <w:t>experience economic, social, political and cultural equality</w:t>
      </w:r>
      <w:r w:rsidR="00C5104F">
        <w:t>.</w:t>
      </w:r>
    </w:p>
    <w:p w14:paraId="2BF28BB6" w14:textId="554EDA10" w:rsidR="00FF3BD9" w:rsidRDefault="00FF3BD9" w:rsidP="00FF3BD9">
      <w:r w:rsidRPr="2A73AA60">
        <w:rPr>
          <w:u w:val="single"/>
        </w:rPr>
        <w:t>Responsibility for implementation</w:t>
      </w:r>
      <w:r>
        <w:t xml:space="preserve">: </w:t>
      </w:r>
      <w:r w:rsidR="0066528B">
        <w:t>Australian</w:t>
      </w:r>
      <w:r>
        <w:t>, state and territory governments; family, domestic and sexual violence sector</w:t>
      </w:r>
      <w:r w:rsidR="000B37EF">
        <w:t>s</w:t>
      </w:r>
      <w:r>
        <w:t xml:space="preserve">; </w:t>
      </w:r>
      <w:r w:rsidR="00C5104F">
        <w:t xml:space="preserve">and </w:t>
      </w:r>
      <w:r>
        <w:t>frontline services.</w:t>
      </w:r>
    </w:p>
    <w:p w14:paraId="1D6AA629" w14:textId="526D9D38" w:rsidR="008D2AC5" w:rsidRDefault="00FF3BD9">
      <w:r w:rsidRPr="2A73AA60">
        <w:rPr>
          <w:u w:val="single"/>
        </w:rPr>
        <w:t>Domains:</w:t>
      </w:r>
      <w:r>
        <w:t xml:space="preserve"> early intervention; response; recovery and healing</w:t>
      </w:r>
      <w:r w:rsidR="00C5104F">
        <w:t>.</w:t>
      </w:r>
      <w:r w:rsidR="008D2AC5">
        <w:br w:type="page"/>
      </w:r>
    </w:p>
    <w:p w14:paraId="1929FE95" w14:textId="77777777" w:rsidR="00B454A5" w:rsidRDefault="00FF3BD9" w:rsidP="00BF6AD8">
      <w:pPr>
        <w:pStyle w:val="Heading1"/>
      </w:pPr>
      <w:bookmarkStart w:id="207" w:name="_Toc132805058"/>
      <w:bookmarkStart w:id="208" w:name="_Toc132805399"/>
      <w:bookmarkStart w:id="209" w:name="_Toc134621953"/>
      <w:bookmarkStart w:id="210" w:name="_Toc134622045"/>
      <w:bookmarkStart w:id="211" w:name="_Toc134622147"/>
      <w:bookmarkStart w:id="212" w:name="_Toc134624201"/>
      <w:bookmarkStart w:id="213" w:name="_Toc134624236"/>
      <w:bookmarkStart w:id="214" w:name="_Toc134628765"/>
      <w:bookmarkStart w:id="215" w:name="_Toc136255002"/>
      <w:bookmarkStart w:id="216" w:name="_Toc136261697"/>
      <w:bookmarkStart w:id="217" w:name="_Toc136268786"/>
      <w:bookmarkStart w:id="218" w:name="_Toc136272362"/>
      <w:bookmarkStart w:id="219" w:name="_Toc136278741"/>
      <w:bookmarkStart w:id="220" w:name="_Toc136279958"/>
      <w:bookmarkStart w:id="221" w:name="_Toc144909150"/>
      <w:r w:rsidRPr="00086A4D">
        <w:lastRenderedPageBreak/>
        <w:t>Action 9</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25948D2C" w14:textId="4F3E03F0" w:rsidR="00FF3BD9" w:rsidRPr="00086A4D" w:rsidRDefault="00FF3BD9" w:rsidP="00B454A5">
      <w:pPr>
        <w:pStyle w:val="Heading2"/>
      </w:pPr>
      <w:bookmarkStart w:id="222" w:name="_Toc144909151"/>
      <w:r w:rsidRPr="00086A4D">
        <w:t xml:space="preserve">Improve police responses </w:t>
      </w:r>
      <w:r w:rsidR="006C43DF" w:rsidRPr="00086A4D">
        <w:t xml:space="preserve">and the justice system </w:t>
      </w:r>
      <w:r w:rsidRPr="00086A4D">
        <w:t xml:space="preserve">to better support victim-survivors through the provision of </w:t>
      </w:r>
      <w:r w:rsidR="006C43DF" w:rsidRPr="00086A4D">
        <w:t xml:space="preserve">trauma-informed, culturally </w:t>
      </w:r>
      <w:r w:rsidR="00FD18F8" w:rsidRPr="00086A4D">
        <w:t xml:space="preserve">safe supports </w:t>
      </w:r>
      <w:r w:rsidR="006C43DF" w:rsidRPr="00086A4D">
        <w:t>that promote safety and wellbeing</w:t>
      </w:r>
      <w:r w:rsidRPr="00086A4D">
        <w:t>, and hold people who choose to use violence to account.</w:t>
      </w:r>
      <w:bookmarkEnd w:id="222"/>
    </w:p>
    <w:p w14:paraId="4EF88D14" w14:textId="0BA85C8D" w:rsidR="00FF3BD9" w:rsidRPr="00B454A5" w:rsidRDefault="00FF3BD9" w:rsidP="00B454A5">
      <w:pPr>
        <w:rPr>
          <w:b/>
          <w:bCs/>
        </w:rPr>
      </w:pPr>
      <w:r w:rsidRPr="00B454A5">
        <w:rPr>
          <w:b/>
          <w:bCs/>
        </w:rPr>
        <w:t>To improve equitable access to justice, more needs to be done to ensure justice systems are safe, accessible, and easy for victim-survivors to navigate.</w:t>
      </w:r>
    </w:p>
    <w:p w14:paraId="45DE373A" w14:textId="113439A7" w:rsidR="001707DE" w:rsidRDefault="001707DE" w:rsidP="00FF3BD9">
      <w:pPr>
        <w:spacing w:before="240"/>
      </w:pPr>
      <w:r>
        <w:t xml:space="preserve">We heard from victim-survivors that </w:t>
      </w:r>
      <w:r w:rsidR="00E7201C">
        <w:t>there needs to be improved access to justice by removing structural barriers like cost, location and legal complexity and increasing the availability of free or low cost legal assistance.</w:t>
      </w:r>
    </w:p>
    <w:p w14:paraId="226B6408" w14:textId="1B947E22" w:rsidR="002B315B" w:rsidRDefault="00483164" w:rsidP="00483164">
      <w:r>
        <w:t xml:space="preserve">Victim-survivors also raised the </w:t>
      </w:r>
      <w:r w:rsidRPr="00642A9A">
        <w:t>difficulties faced in accessing systems</w:t>
      </w:r>
      <w:r w:rsidRPr="004A1E67">
        <w:t xml:space="preserve"> that </w:t>
      </w:r>
      <w:r>
        <w:t>are rigid, outdated, and not trauma</w:t>
      </w:r>
      <w:r w:rsidR="00AA13D2">
        <w:t>-</w:t>
      </w:r>
      <w:r>
        <w:t>informed</w:t>
      </w:r>
      <w:r w:rsidR="00642A9A">
        <w:t xml:space="preserve"> </w:t>
      </w:r>
      <w:r w:rsidR="00A83C73">
        <w:t>–</w:t>
      </w:r>
      <w:r>
        <w:t xml:space="preserve"> “</w:t>
      </w:r>
      <w:r w:rsidRPr="0011245E">
        <w:rPr>
          <w:i/>
        </w:rPr>
        <w:t>we are trying to leave an environment of power and control seeking support from the system to face another form of power and control.”</w:t>
      </w:r>
    </w:p>
    <w:p w14:paraId="4070875F" w14:textId="2AB79640" w:rsidR="00611D45" w:rsidRDefault="00611D45" w:rsidP="00483164">
      <w:r>
        <w:t>Victim</w:t>
      </w:r>
      <w:r w:rsidR="006D0B22">
        <w:t>-</w:t>
      </w:r>
      <w:r>
        <w:t xml:space="preserve">survivors also raised numerous </w:t>
      </w:r>
      <w:r w:rsidR="00FD18F8">
        <w:t>concerns about their experiences</w:t>
      </w:r>
      <w:r>
        <w:t xml:space="preserve"> with the Family Court, including timeliness, prejudice and claims of domestic violenc</w:t>
      </w:r>
      <w:r w:rsidR="00DC3060">
        <w:t>e by victims not being believed</w:t>
      </w:r>
      <w:r>
        <w:t>.</w:t>
      </w:r>
    </w:p>
    <w:p w14:paraId="304905AB" w14:textId="600BDC0E" w:rsidR="00FF3BD9" w:rsidRPr="00434C4E" w:rsidRDefault="00FF3BD9" w:rsidP="00FF3BD9">
      <w:pPr>
        <w:spacing w:before="240"/>
      </w:pPr>
      <w:r>
        <w:t>Initiatives in the justice system can create change through providing appropriate survivor-centred justice responses, holding perpetrators to account, and responding to all victim-survivors, including children and young people, by listening</w:t>
      </w:r>
      <w:r w:rsidR="00AA03C2">
        <w:t>,</w:t>
      </w:r>
      <w:r w:rsidR="00B649E5">
        <w:t xml:space="preserve"> acting</w:t>
      </w:r>
      <w:r>
        <w:t xml:space="preserve"> </w:t>
      </w:r>
      <w:r w:rsidR="00AA03C2">
        <w:t xml:space="preserve">and responding </w:t>
      </w:r>
      <w:r>
        <w:t xml:space="preserve">in a trauma-informed way. </w:t>
      </w:r>
      <w:r w:rsidR="00AA03C2">
        <w:t>People breaching domestic violence orders need to be held to account in all instances.</w:t>
      </w:r>
    </w:p>
    <w:p w14:paraId="7C6B3CF2" w14:textId="4205F7E0" w:rsidR="00FF3BD9" w:rsidRDefault="00FF3BD9" w:rsidP="00FF3BD9">
      <w:r>
        <w:t>We will work to</w:t>
      </w:r>
      <w:r w:rsidRPr="00FE7C85">
        <w:t xml:space="preserve"> </w:t>
      </w:r>
      <w:r>
        <w:t>provide a safe environment and ensure victim-survivors are prepared, know what to expect and are able to make informed choices, should they choose to seek justice through</w:t>
      </w:r>
      <w:r w:rsidRPr="2A73AA60">
        <w:t xml:space="preserve"> </w:t>
      </w:r>
      <w:r>
        <w:t>the legal system.</w:t>
      </w:r>
    </w:p>
    <w:p w14:paraId="45ECE109" w14:textId="7A0330B3" w:rsidR="000A7D7E" w:rsidRDefault="000A7D7E" w:rsidP="000A7D7E">
      <w:pPr>
        <w:rPr>
          <w:b/>
          <w:bCs/>
        </w:rPr>
      </w:pPr>
      <w:r w:rsidRPr="002079F9">
        <w:t>The National Plan outlines that f</w:t>
      </w:r>
      <w:r w:rsidRPr="000A7D7E">
        <w:t>amily violence</w:t>
      </w:r>
      <w:r>
        <w:t xml:space="preserve"> is a significant factor contributing to the over-representation of Aboriginal and Torres Strait Islander children in out-of-home care. Fear of child removal remains one of the greatest deterrents for Aboriginal and Torres Strait Islander women to report violence or seek assistance. </w:t>
      </w:r>
      <w:r w:rsidR="005B44A8">
        <w:t>Victim</w:t>
      </w:r>
      <w:r>
        <w:t xml:space="preserve">-survivors </w:t>
      </w:r>
      <w:r w:rsidR="005B44A8">
        <w:t>have also told us that f</w:t>
      </w:r>
      <w:r>
        <w:t xml:space="preserve">ear of </w:t>
      </w:r>
      <w:r w:rsidR="005B44A8">
        <w:t>c</w:t>
      </w:r>
      <w:r>
        <w:t xml:space="preserve">hild removal is a big reason why victims </w:t>
      </w:r>
      <w:r w:rsidR="0006183E">
        <w:t>do not</w:t>
      </w:r>
      <w:r>
        <w:t xml:space="preserve"> disclose </w:t>
      </w:r>
      <w:r w:rsidR="006C43DF">
        <w:t>gender-based</w:t>
      </w:r>
      <w:r w:rsidR="005B44A8">
        <w:t xml:space="preserve"> </w:t>
      </w:r>
      <w:r>
        <w:t>violence</w:t>
      </w:r>
      <w:r w:rsidR="005B44A8">
        <w:t>.</w:t>
      </w:r>
    </w:p>
    <w:p w14:paraId="390E0939" w14:textId="5A0F11E6" w:rsidR="00FF3BD9" w:rsidRDefault="00FF3BD9" w:rsidP="00FF3BD9">
      <w:r>
        <w:t>While there have been some initiatives introduced such as family violence specialist courts, virtual outreach legal services</w:t>
      </w:r>
      <w:r w:rsidRPr="2A73AA60">
        <w:t xml:space="preserve"> </w:t>
      </w:r>
      <w:r>
        <w:t xml:space="preserve">and intermediary schemes for victim-survivors </w:t>
      </w:r>
      <w:r w:rsidRPr="00474C2B">
        <w:t>and witnesses</w:t>
      </w:r>
      <w:r>
        <w:t>, more needs to be done</w:t>
      </w:r>
      <w:r w:rsidRPr="00474C2B">
        <w:t xml:space="preserve">. </w:t>
      </w:r>
      <w:r w:rsidR="00C47030" w:rsidRPr="008C1748">
        <w:t xml:space="preserve">Misidentification of perpetrators and victims of </w:t>
      </w:r>
      <w:r w:rsidR="00C47030">
        <w:t xml:space="preserve">family and domestic </w:t>
      </w:r>
      <w:r w:rsidR="00C47030" w:rsidRPr="008C1748">
        <w:t xml:space="preserve">violence are </w:t>
      </w:r>
      <w:r w:rsidR="00FD18F8">
        <w:t>concerning</w:t>
      </w:r>
      <w:r w:rsidR="00930F43">
        <w:t>.</w:t>
      </w:r>
      <w:r w:rsidR="00C225D2">
        <w:t xml:space="preserve"> </w:t>
      </w:r>
      <w:r w:rsidR="00D4704B">
        <w:t>The justice system</w:t>
      </w:r>
      <w:r w:rsidR="003E2BFB">
        <w:t xml:space="preserve">, </w:t>
      </w:r>
      <w:r w:rsidR="00C47030">
        <w:t>from initial police responses through to lawyers, prosecutors and judges</w:t>
      </w:r>
      <w:r w:rsidR="00D4704B">
        <w:t>, can be problematic for victims of sexual violence.</w:t>
      </w:r>
      <w:r w:rsidR="00C47030">
        <w:t xml:space="preserve"> </w:t>
      </w:r>
      <w:r w:rsidR="00AA03C2">
        <w:t>A lack of understanding about the nature of perpetration, and who chooses to use violence, contributes to misidentification.</w:t>
      </w:r>
    </w:p>
    <w:p w14:paraId="14232708" w14:textId="39A6924A" w:rsidR="00817826" w:rsidRPr="003F458F" w:rsidRDefault="00817826" w:rsidP="00D55C0E">
      <w:r w:rsidRPr="002079F9">
        <w:lastRenderedPageBreak/>
        <w:t xml:space="preserve">The National Plan outlines that </w:t>
      </w:r>
      <w:r>
        <w:t xml:space="preserve">alternative approaches to justice, such as restorative justice, family dispute resolution, roundtable conferencing and community courts (such as the Koori courts and Murri courts), need to be available and accessible. </w:t>
      </w:r>
      <w:r w:rsidR="00DC2114">
        <w:t xml:space="preserve">Some communities, such as Aboriginal and Torres Strait Islander communities, have experienced disproportionate levels of institutional violence at the hands of police, corrections and the Australian legal system, and therefore, alternative, trauma-informed and culturally safe justice pathways may be more appropriate. </w:t>
      </w:r>
      <w:r w:rsidR="00D55C0E">
        <w:t xml:space="preserve">Victim-survivors have also told us we need to provide options </w:t>
      </w:r>
      <w:r w:rsidR="57BDB372">
        <w:t>for</w:t>
      </w:r>
      <w:r w:rsidR="00D55C0E">
        <w:t xml:space="preserve"> justice that do not solely rely on policing</w:t>
      </w:r>
      <w:r w:rsidR="60E2628F">
        <w:t xml:space="preserve"> and</w:t>
      </w:r>
      <w:r w:rsidR="00D55C0E" w:rsidRPr="00D55C0E">
        <w:t xml:space="preserve"> promote early</w:t>
      </w:r>
      <w:r w:rsidR="00D55C0E">
        <w:t xml:space="preserve"> intervention and community-based responses to prevent further harm and promote healing.</w:t>
      </w:r>
    </w:p>
    <w:p w14:paraId="6A84AC8A" w14:textId="0F2E8ECE" w:rsidR="00FF3BD9" w:rsidRDefault="00FF3BD9" w:rsidP="00FF3BD9">
      <w:r>
        <w:t>Key areas for improvement identified in the National Plan include: enhancing access to equitable justice outcomes for all victim-survivors; identifying and removing barriers to reporting violence and engaging with the criminal justice process; investigating and prosecuting violence against women and children including sexual violence; ensuring police and prosecutors have the tools and training they need to respond effectively to the use of violence; and strengthening our responses to perpetrators of violence.</w:t>
      </w:r>
    </w:p>
    <w:p w14:paraId="54665ACC" w14:textId="04CA887E" w:rsidR="00D05536" w:rsidRDefault="00FF3BD9" w:rsidP="00D05536">
      <w:r>
        <w:t xml:space="preserve">Systems need to improve responses to victim-survivors from diverse backgrounds. </w:t>
      </w:r>
      <w:r w:rsidR="00D05536">
        <w:t xml:space="preserve">Migrant and refugee women can encounter </w:t>
      </w:r>
      <w:r w:rsidR="00D05536">
        <w:rPr>
          <w:rFonts w:cs="Arial"/>
        </w:rPr>
        <w:t xml:space="preserve">systematic barriers in the justice system that directly impact their ability to </w:t>
      </w:r>
      <w:r w:rsidR="37370B38">
        <w:rPr>
          <w:rFonts w:cs="Arial"/>
        </w:rPr>
        <w:t>obtain</w:t>
      </w:r>
      <w:r w:rsidR="00D05536">
        <w:rPr>
          <w:rFonts w:cs="Arial"/>
        </w:rPr>
        <w:t xml:space="preserve"> justice, including language barriers, access to language services, and distrust of </w:t>
      </w:r>
      <w:r w:rsidR="00B738B3">
        <w:rPr>
          <w:rFonts w:cs="Arial"/>
        </w:rPr>
        <w:t xml:space="preserve">the </w:t>
      </w:r>
      <w:r w:rsidR="00D05536">
        <w:rPr>
          <w:rFonts w:cs="Arial"/>
        </w:rPr>
        <w:t>legal system due to temporary visa status.</w:t>
      </w:r>
    </w:p>
    <w:p w14:paraId="7EDC2C5B" w14:textId="32C45AFF" w:rsidR="00FF3BD9" w:rsidRDefault="00B649E5" w:rsidP="00FF3BD9">
      <w:r w:rsidRPr="00D05536">
        <w:t>All reporting systems must be accessible to women and girls with disability</w:t>
      </w:r>
      <w:r w:rsidR="37370B38" w:rsidRPr="6D014363">
        <w:t>,</w:t>
      </w:r>
      <w:r>
        <w:t xml:space="preserve"> and </w:t>
      </w:r>
      <w:r w:rsidRPr="00D05536">
        <w:t>police and those i</w:t>
      </w:r>
      <w:r w:rsidRPr="00B649E5">
        <w:t xml:space="preserve">mplementing the justice system </w:t>
      </w:r>
      <w:r>
        <w:t>need to b</w:t>
      </w:r>
      <w:r w:rsidRPr="00D05536">
        <w:t xml:space="preserve">e trained </w:t>
      </w:r>
      <w:r w:rsidR="1517234E" w:rsidRPr="00D05536">
        <w:t>i</w:t>
      </w:r>
      <w:r w:rsidRPr="00D05536">
        <w:t xml:space="preserve">n </w:t>
      </w:r>
      <w:r w:rsidR="006D7417">
        <w:t>inclusive and accessible practices</w:t>
      </w:r>
      <w:r>
        <w:t>.</w:t>
      </w:r>
    </w:p>
    <w:p w14:paraId="1F92F854" w14:textId="5CDC5FF7" w:rsidR="008731ED" w:rsidRDefault="008731ED" w:rsidP="00FF3BD9">
      <w:r w:rsidRPr="0077686E">
        <w:t xml:space="preserve">LGBTIQA+ people can face their own barriers in reporting family, domestic and sexual violence </w:t>
      </w:r>
      <w:r w:rsidR="00B738B3">
        <w:t>due to</w:t>
      </w:r>
      <w:r w:rsidRPr="0077686E">
        <w:t xml:space="preserve"> prejudice that impacts </w:t>
      </w:r>
      <w:r w:rsidR="00B738B3">
        <w:t>whether they are</w:t>
      </w:r>
      <w:r w:rsidRPr="0077686E">
        <w:t xml:space="preserve"> heard and responded to appropriately.</w:t>
      </w:r>
    </w:p>
    <w:p w14:paraId="618A7385" w14:textId="0791EC0D" w:rsidR="00FF3BD9" w:rsidRPr="009D391A" w:rsidRDefault="00FF3BD9" w:rsidP="00FF3BD9">
      <w:r>
        <w:t xml:space="preserve">Capacity building for legal services, including Women’s Legal Services and Aboriginal and Torres Strait Islander Women’s Legal Services, police, legal practitioners, the judiciary and community corrections is also a priority. </w:t>
      </w:r>
      <w:r w:rsidRPr="007005F1">
        <w:t>T</w:t>
      </w:r>
      <w:r>
        <w:t>h</w:t>
      </w:r>
      <w:r w:rsidRPr="007005F1">
        <w:t>e National Plan</w:t>
      </w:r>
      <w:r>
        <w:t xml:space="preserve"> and the </w:t>
      </w:r>
      <w:r w:rsidR="003F458F">
        <w:t xml:space="preserve">First </w:t>
      </w:r>
      <w:r>
        <w:t xml:space="preserve">Action Plan </w:t>
      </w:r>
      <w:r w:rsidRPr="007005F1">
        <w:t xml:space="preserve">directly and indirectly support Closing the Gap Targets contributing to addressing over-representation in the justice and out-of-home care systems and reducing suicide </w:t>
      </w:r>
      <w:r w:rsidR="005A1D12">
        <w:t>(Targets 9, 10, 11, 12 and 14).</w:t>
      </w:r>
    </w:p>
    <w:p w14:paraId="177E94A1" w14:textId="5F48D1EF" w:rsidR="00FF3BD9" w:rsidRDefault="00FF3BD9" w:rsidP="00FF3BD9">
      <w:r>
        <w:t xml:space="preserve">When </w:t>
      </w:r>
      <w:r w:rsidR="00AA03C2">
        <w:t xml:space="preserve">legal </w:t>
      </w:r>
      <w:r>
        <w:t>systems fail to hold perpetrators to account, the trauma experienced by women and children is exacerbated. P</w:t>
      </w:r>
      <w:r w:rsidRPr="00720C2D">
        <w:t xml:space="preserve">eople who have used violence must </w:t>
      </w:r>
      <w:r w:rsidR="00962547">
        <w:t>be accountable for their actions and face the appropriate</w:t>
      </w:r>
      <w:r w:rsidRPr="00720C2D">
        <w:t xml:space="preserve"> consequences. A</w:t>
      </w:r>
      <w:r>
        <w:t>ccountability may include restorative justice, mediation, family dispute resolution, and community courts</w:t>
      </w:r>
      <w:r w:rsidR="001A26A3">
        <w:t>.</w:t>
      </w:r>
      <w:r>
        <w:rPr>
          <w:rStyle w:val="EndnoteReference"/>
        </w:rPr>
        <w:endnoteReference w:id="38"/>
      </w:r>
      <w:r>
        <w:t xml:space="preserve"> Together, we will work to ensure victim-survivors have access to appropriate and timely survivor-centred justice responses.</w:t>
      </w:r>
    </w:p>
    <w:p w14:paraId="6E1899C3" w14:textId="16FCF01C" w:rsidR="00FF3BD9" w:rsidRDefault="00B738B3" w:rsidP="00FF3BD9">
      <w:r>
        <w:t>C</w:t>
      </w:r>
      <w:r w:rsidR="00FF3BD9">
        <w:t xml:space="preserve">ontinuous improvement of the justice system </w:t>
      </w:r>
      <w:r>
        <w:t>will</w:t>
      </w:r>
      <w:r w:rsidR="00FF3BD9">
        <w:t xml:space="preserve"> ensure people using violence and abuse are held to account, and have access to guidance and assistance through supports and services to end violence</w:t>
      </w:r>
      <w:r w:rsidR="001A26A3">
        <w:t>.</w:t>
      </w:r>
      <w:r w:rsidR="00FF3BD9">
        <w:rPr>
          <w:rStyle w:val="EndnoteReference"/>
        </w:rPr>
        <w:endnoteReference w:id="39"/>
      </w:r>
      <w:r w:rsidR="00FF3BD9">
        <w:t xml:space="preserve"> The justice </w:t>
      </w:r>
      <w:r w:rsidR="00503633">
        <w:t>and other intersecting systems</w:t>
      </w:r>
      <w:r w:rsidR="0006183E">
        <w:t xml:space="preserve"> </w:t>
      </w:r>
      <w:r w:rsidR="00FF3BD9">
        <w:t>includ</w:t>
      </w:r>
      <w:r w:rsidR="00503633">
        <w:t>e</w:t>
      </w:r>
      <w:r w:rsidR="00FF3BD9">
        <w:t xml:space="preserve"> civil law (including family law), policing, the judiciary, child support, child protection, migration law, social security, housing, health, education, fair work, taxation, paid parental leave, superannuation, credit and debt, </w:t>
      </w:r>
      <w:r w:rsidR="00431E26">
        <w:t xml:space="preserve">corrections, </w:t>
      </w:r>
      <w:r w:rsidR="00FF3BD9">
        <w:t>and family and community service systems.</w:t>
      </w:r>
    </w:p>
    <w:p w14:paraId="40CFAD4C" w14:textId="4E73976E" w:rsidR="00FF3BD9" w:rsidRDefault="00FF3BD9" w:rsidP="00FF3BD9">
      <w:r>
        <w:lastRenderedPageBreak/>
        <w:t>We need to increase recognition that police and justice approaches and systems can have unintended consequences when they</w:t>
      </w:r>
      <w:r w:rsidRPr="00451576">
        <w:t xml:space="preserve"> are used </w:t>
      </w:r>
      <w:r>
        <w:t xml:space="preserve">by perpetrators </w:t>
      </w:r>
      <w:r w:rsidRPr="00451576">
        <w:t>as a tool to further abuse and control</w:t>
      </w:r>
      <w:r w:rsidR="001A26A3">
        <w:t>.</w:t>
      </w:r>
      <w:r>
        <w:rPr>
          <w:rStyle w:val="EndnoteReference"/>
        </w:rPr>
        <w:endnoteReference w:id="40"/>
      </w:r>
      <w:r>
        <w:t xml:space="preserve"> Greater understanding of the ways this form of abuse occurs should be used to improve system responses. This includes </w:t>
      </w:r>
      <w:r w:rsidRPr="002079F9">
        <w:t>misidentification of the predominant aggressor/perpetrator, particularly with Aboriginal and Torres Strait Islander peoples.</w:t>
      </w:r>
    </w:p>
    <w:p w14:paraId="7A382654" w14:textId="77777777" w:rsidR="00FF3BD9" w:rsidRDefault="00FF3BD9" w:rsidP="00FF3BD9">
      <w:r>
        <w:t>People who use violence will often use a pattern of escalating abuse over a period of time and this needs to be recognised in any responses.</w:t>
      </w:r>
    </w:p>
    <w:p w14:paraId="57237008" w14:textId="77777777" w:rsidR="00FF3BD9" w:rsidRPr="00BF6AD8" w:rsidRDefault="00FF3BD9" w:rsidP="00BF6AD8">
      <w:pPr>
        <w:rPr>
          <w:b/>
          <w:bCs/>
          <w:i/>
          <w:iCs/>
        </w:rPr>
      </w:pPr>
      <w:r w:rsidRPr="00BF6AD8">
        <w:rPr>
          <w:b/>
          <w:bCs/>
          <w:i/>
          <w:iCs/>
        </w:rPr>
        <w:t>What difference will we make?</w:t>
      </w:r>
    </w:p>
    <w:p w14:paraId="058DC524" w14:textId="77777777" w:rsidR="00FF3BD9" w:rsidRDefault="00FF3BD9" w:rsidP="00FF3BD9">
      <w:pPr>
        <w:spacing w:before="240"/>
        <w:rPr>
          <w:rFonts w:ascii="Calibri" w:hAnsi="Calibri"/>
        </w:rPr>
      </w:pPr>
      <w:r>
        <w:t>Implementing this action will work towards the following outcomes as identified in the Outcomes Framework:</w:t>
      </w:r>
    </w:p>
    <w:p w14:paraId="2AD0AE93" w14:textId="2A6B7E86" w:rsidR="00FF3BD9" w:rsidRPr="00000D6B" w:rsidRDefault="00FF3BD9" w:rsidP="00A820CC">
      <w:pPr>
        <w:numPr>
          <w:ilvl w:val="0"/>
          <w:numId w:val="6"/>
        </w:numPr>
        <w:ind w:left="714" w:hanging="357"/>
        <w:contextualSpacing/>
        <w:rPr>
          <w:lang w:val="en-US"/>
        </w:rPr>
      </w:pPr>
      <w:r w:rsidRPr="2A73AA60">
        <w:rPr>
          <w:lang w:val="en-US"/>
        </w:rPr>
        <w:t>Children and young people are safe in all settings and are effectively supported by systems and services</w:t>
      </w:r>
      <w:r w:rsidR="0073501D">
        <w:rPr>
          <w:lang w:val="en-US"/>
        </w:rPr>
        <w:t>.</w:t>
      </w:r>
    </w:p>
    <w:p w14:paraId="22C61598" w14:textId="438534EC" w:rsidR="00FF3BD9" w:rsidRPr="00374F25" w:rsidRDefault="00FF3BD9" w:rsidP="00A820CC">
      <w:pPr>
        <w:numPr>
          <w:ilvl w:val="0"/>
          <w:numId w:val="6"/>
        </w:numPr>
        <w:ind w:left="714" w:hanging="357"/>
        <w:contextualSpacing/>
        <w:rPr>
          <w:lang w:val="en-US"/>
        </w:rPr>
      </w:pPr>
      <w:r w:rsidRPr="00034283">
        <w:rPr>
          <w:rFonts w:cs="Arial"/>
          <w:lang w:val="en-US"/>
        </w:rPr>
        <w:t xml:space="preserve">Systems and institutions effectively support </w:t>
      </w:r>
      <w:r>
        <w:rPr>
          <w:rFonts w:cs="Arial"/>
          <w:lang w:val="en-US"/>
        </w:rPr>
        <w:t xml:space="preserve">and protect </w:t>
      </w:r>
      <w:r w:rsidRPr="00034283">
        <w:rPr>
          <w:rFonts w:cs="Arial"/>
          <w:lang w:val="en-US"/>
        </w:rPr>
        <w:t xml:space="preserve">people impacted by </w:t>
      </w:r>
      <w:r w:rsidR="00972957">
        <w:rPr>
          <w:rFonts w:cs="Arial"/>
          <w:lang w:val="en-US"/>
        </w:rPr>
        <w:t>gender-based</w:t>
      </w:r>
      <w:r>
        <w:rPr>
          <w:rFonts w:cs="Arial"/>
          <w:lang w:val="en-US"/>
        </w:rPr>
        <w:t xml:space="preserve"> </w:t>
      </w:r>
      <w:r w:rsidRPr="00374F25">
        <w:rPr>
          <w:lang w:val="en-US"/>
        </w:rPr>
        <w:t>violence</w:t>
      </w:r>
      <w:r w:rsidR="0073501D">
        <w:rPr>
          <w:lang w:val="en-US"/>
        </w:rPr>
        <w:t>.</w:t>
      </w:r>
    </w:p>
    <w:p w14:paraId="7274BF77" w14:textId="4B3AC308" w:rsidR="00F531B8" w:rsidRPr="00A820CC" w:rsidRDefault="00E646E7" w:rsidP="00F531B8">
      <w:pPr>
        <w:numPr>
          <w:ilvl w:val="0"/>
          <w:numId w:val="6"/>
        </w:numPr>
        <w:ind w:left="714" w:hanging="357"/>
        <w:contextualSpacing/>
      </w:pPr>
      <w:r w:rsidRPr="00F531B8">
        <w:rPr>
          <w:lang w:val="en-US"/>
        </w:rPr>
        <w:t>S</w:t>
      </w:r>
      <w:r w:rsidR="00FF3BD9" w:rsidRPr="00F531B8">
        <w:rPr>
          <w:lang w:val="en-US"/>
        </w:rPr>
        <w:t>ervices and prevention programs are effective, culturally safe, intersectional</w:t>
      </w:r>
      <w:r w:rsidR="00FF3BD9" w:rsidRPr="00F531B8">
        <w:rPr>
          <w:rFonts w:cs="Arial"/>
          <w:lang w:val="en-US"/>
        </w:rPr>
        <w:t xml:space="preserve"> and accessible</w:t>
      </w:r>
      <w:r w:rsidR="0073501D" w:rsidRPr="00F531B8">
        <w:rPr>
          <w:rFonts w:cs="Arial"/>
          <w:lang w:val="en-US"/>
        </w:rPr>
        <w:t>.</w:t>
      </w:r>
    </w:p>
    <w:p w14:paraId="75BA78F5" w14:textId="5D431B22" w:rsidR="00FF3BD9" w:rsidRPr="00976E17" w:rsidRDefault="001A003D" w:rsidP="00A820CC">
      <w:pPr>
        <w:numPr>
          <w:ilvl w:val="0"/>
          <w:numId w:val="6"/>
        </w:numPr>
        <w:ind w:left="714" w:hanging="357"/>
      </w:pPr>
      <w:r w:rsidRPr="00F531B8">
        <w:rPr>
          <w:rFonts w:cs="Arial"/>
          <w:bCs/>
          <w:color w:val="000000" w:themeColor="text1"/>
          <w:kern w:val="24"/>
        </w:rPr>
        <w:t xml:space="preserve">Women </w:t>
      </w:r>
      <w:r w:rsidR="00FF3BD9" w:rsidRPr="00F531B8">
        <w:rPr>
          <w:color w:val="000000" w:themeColor="text1"/>
          <w:kern w:val="24"/>
        </w:rPr>
        <w:t xml:space="preserve">are safe </w:t>
      </w:r>
      <w:r w:rsidRPr="00F531B8">
        <w:rPr>
          <w:rFonts w:cs="Arial"/>
          <w:bCs/>
          <w:color w:val="000000" w:themeColor="text1"/>
          <w:kern w:val="24"/>
        </w:rPr>
        <w:t xml:space="preserve">and respected </w:t>
      </w:r>
      <w:r w:rsidR="00FF3BD9" w:rsidRPr="00F531B8">
        <w:rPr>
          <w:color w:val="000000" w:themeColor="text1"/>
          <w:kern w:val="24"/>
        </w:rPr>
        <w:t>in all settings</w:t>
      </w:r>
      <w:r w:rsidRPr="00F531B8">
        <w:rPr>
          <w:rFonts w:cs="Arial"/>
          <w:bCs/>
          <w:color w:val="000000" w:themeColor="text1"/>
          <w:kern w:val="24"/>
        </w:rPr>
        <w:t>,</w:t>
      </w:r>
      <w:r w:rsidR="00FF3BD9" w:rsidRPr="00F531B8">
        <w:rPr>
          <w:color w:val="000000" w:themeColor="text1"/>
          <w:kern w:val="24"/>
        </w:rPr>
        <w:t xml:space="preserve"> and </w:t>
      </w:r>
      <w:r w:rsidRPr="00F531B8">
        <w:rPr>
          <w:rFonts w:cs="Arial"/>
          <w:bCs/>
          <w:color w:val="000000" w:themeColor="text1"/>
          <w:kern w:val="24"/>
        </w:rPr>
        <w:t>experience economic, social, political and cultural equality</w:t>
      </w:r>
      <w:r w:rsidR="0073501D" w:rsidRPr="00F531B8">
        <w:rPr>
          <w:rFonts w:cs="Arial"/>
          <w:bCs/>
          <w:color w:val="000000" w:themeColor="text1"/>
          <w:kern w:val="24"/>
        </w:rPr>
        <w:t>.</w:t>
      </w:r>
    </w:p>
    <w:p w14:paraId="0DBF3B5B" w14:textId="73FDD560" w:rsidR="00FF3BD9" w:rsidRDefault="00FF3BD9" w:rsidP="00FF3BD9">
      <w:r w:rsidRPr="2A73AA60">
        <w:rPr>
          <w:u w:val="single"/>
        </w:rPr>
        <w:t>Responsibility for implementation:</w:t>
      </w:r>
      <w:r>
        <w:t xml:space="preserve"> </w:t>
      </w:r>
      <w:r w:rsidR="001F1718">
        <w:t>Australian</w:t>
      </w:r>
      <w:r>
        <w:t xml:space="preserve"> state and territory governments; police; justice systems; frontline services; </w:t>
      </w:r>
      <w:r w:rsidR="007B220C">
        <w:t xml:space="preserve">and </w:t>
      </w:r>
      <w:r>
        <w:t>community corrections</w:t>
      </w:r>
      <w:r w:rsidR="007B220C">
        <w:t>.</w:t>
      </w:r>
    </w:p>
    <w:p w14:paraId="635FCC12" w14:textId="18BDA57E" w:rsidR="008D2AC5" w:rsidRDefault="00FF3BD9">
      <w:pPr>
        <w:rPr>
          <w:rFonts w:eastAsiaTheme="majorEastAsia" w:cstheme="majorBidi"/>
          <w:b/>
          <w:bCs/>
          <w:sz w:val="32"/>
          <w:szCs w:val="26"/>
        </w:rPr>
      </w:pPr>
      <w:r w:rsidRPr="2A73AA60">
        <w:rPr>
          <w:u w:val="single"/>
        </w:rPr>
        <w:t>Domains:</w:t>
      </w:r>
      <w:r>
        <w:t xml:space="preserve"> response; recovery and healing</w:t>
      </w:r>
      <w:r w:rsidR="007B220C">
        <w:t>.</w:t>
      </w:r>
      <w:bookmarkStart w:id="223" w:name="_Toc128734625"/>
      <w:bookmarkStart w:id="224" w:name="_Toc132805059"/>
      <w:bookmarkStart w:id="225" w:name="_Toc132805400"/>
      <w:bookmarkStart w:id="226" w:name="_Toc134621954"/>
      <w:bookmarkStart w:id="227" w:name="_Toc134622046"/>
      <w:bookmarkStart w:id="228" w:name="_Toc134622148"/>
      <w:bookmarkStart w:id="229" w:name="_Toc134624202"/>
      <w:bookmarkStart w:id="230" w:name="_Toc134624237"/>
      <w:bookmarkStart w:id="231" w:name="_Toc134628766"/>
      <w:bookmarkStart w:id="232" w:name="_Toc136255003"/>
      <w:bookmarkStart w:id="233" w:name="_Toc136261698"/>
      <w:bookmarkStart w:id="234" w:name="_Toc136268787"/>
      <w:bookmarkStart w:id="235" w:name="_Toc136272363"/>
      <w:bookmarkStart w:id="236" w:name="_Toc136278742"/>
      <w:bookmarkStart w:id="237" w:name="_Toc136279959"/>
      <w:bookmarkStart w:id="238" w:name="_Toc127800151"/>
      <w:bookmarkStart w:id="239" w:name="_Toc127950247"/>
      <w:bookmarkEnd w:id="169"/>
      <w:bookmarkEnd w:id="170"/>
      <w:r w:rsidR="008D2AC5">
        <w:br w:type="page"/>
      </w:r>
    </w:p>
    <w:p w14:paraId="5C6D5A14" w14:textId="77777777" w:rsidR="006F0743" w:rsidRDefault="00FF3BD9" w:rsidP="00BF6AD8">
      <w:pPr>
        <w:pStyle w:val="Heading1"/>
      </w:pPr>
      <w:bookmarkStart w:id="240" w:name="_Toc144909152"/>
      <w:r w:rsidRPr="00086A4D">
        <w:lastRenderedPageBreak/>
        <w:t>Action 10</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40"/>
    </w:p>
    <w:p w14:paraId="6BC7160C" w14:textId="7E63F9A6" w:rsidR="00FF3BD9" w:rsidRPr="00086A4D" w:rsidRDefault="00FF3BD9" w:rsidP="006F0743">
      <w:pPr>
        <w:pStyle w:val="Heading2"/>
      </w:pPr>
      <w:bookmarkStart w:id="241" w:name="_Toc144909153"/>
      <w:r w:rsidRPr="00086A4D">
        <w:t>Improve access to short-term, medium and long-term housing for women and children experiencing violence, including those living in institutional settings, and support women to stay in their own homes when they choose to do so.</w:t>
      </w:r>
      <w:bookmarkEnd w:id="238"/>
      <w:bookmarkEnd w:id="239"/>
      <w:bookmarkEnd w:id="241"/>
    </w:p>
    <w:p w14:paraId="4FA5B5E1" w14:textId="03523936" w:rsidR="00FF3BD9" w:rsidRPr="006F0743" w:rsidRDefault="00FF3BD9" w:rsidP="006F0743">
      <w:pPr>
        <w:rPr>
          <w:b/>
          <w:bCs/>
        </w:rPr>
      </w:pPr>
      <w:r w:rsidRPr="006F0743">
        <w:rPr>
          <w:b/>
          <w:bCs/>
        </w:rPr>
        <w:t xml:space="preserve">Unaffordable, unavailable, inaccessible, and insecure housing are major barriers for victim-survivors leaving violence, and for recovery and healing after violence. </w:t>
      </w:r>
      <w:r w:rsidR="00D05536" w:rsidRPr="006F0743">
        <w:rPr>
          <w:b/>
          <w:bCs/>
        </w:rPr>
        <w:t>The housing crisis is having enormous impacts for people without stable housing, increasing their vulnerability to gender-based</w:t>
      </w:r>
      <w:r w:rsidR="008C134A" w:rsidRPr="006F0743">
        <w:rPr>
          <w:b/>
          <w:bCs/>
        </w:rPr>
        <w:t xml:space="preserve"> </w:t>
      </w:r>
      <w:r w:rsidR="00D05536" w:rsidRPr="006F0743">
        <w:rPr>
          <w:b/>
          <w:bCs/>
        </w:rPr>
        <w:t>violence, particularly for young women</w:t>
      </w:r>
      <w:r w:rsidR="00431E26" w:rsidRPr="006F0743">
        <w:rPr>
          <w:b/>
          <w:bCs/>
        </w:rPr>
        <w:t xml:space="preserve"> and older women</w:t>
      </w:r>
      <w:r w:rsidR="00D05536" w:rsidRPr="006F0743">
        <w:rPr>
          <w:b/>
          <w:bCs/>
        </w:rPr>
        <w:t xml:space="preserve">. </w:t>
      </w:r>
      <w:r w:rsidR="00AA03C2" w:rsidRPr="006F0743">
        <w:rPr>
          <w:b/>
          <w:bCs/>
        </w:rPr>
        <w:t>Domestic and family violence is also the leading cause of children’s homelessness in Australia.</w:t>
      </w:r>
      <w:r w:rsidR="000B261C" w:rsidRPr="006F0743">
        <w:rPr>
          <w:rStyle w:val="EndnoteReference"/>
          <w:b/>
          <w:bCs/>
          <w:sz w:val="28"/>
          <w:szCs w:val="28"/>
        </w:rPr>
        <w:endnoteReference w:id="41"/>
      </w:r>
    </w:p>
    <w:p w14:paraId="233F6BC1" w14:textId="6BEFC619" w:rsidR="00FF3BD9" w:rsidRPr="000C6B5C" w:rsidRDefault="00FF3BD9" w:rsidP="00FF3BD9">
      <w:r>
        <w:t xml:space="preserve">A shortage of transitional and long-term social and affordable housing means some women and children exiting crisis accommodation are faced with </w:t>
      </w:r>
      <w:r w:rsidR="6D014363">
        <w:t>the</w:t>
      </w:r>
      <w:r>
        <w:t xml:space="preserve"> choice of returning to a violent home or becoming homeless</w:t>
      </w:r>
      <w:r w:rsidR="001A26A3">
        <w:t>.</w:t>
      </w:r>
      <w:r w:rsidRPr="000C6B5C">
        <w:rPr>
          <w:rStyle w:val="EndnoteReference"/>
        </w:rPr>
        <w:endnoteReference w:id="42"/>
      </w:r>
      <w:r w:rsidRPr="000C6B5C">
        <w:t xml:space="preserve"> We need to address the significant gap in crisis accommodation supports for children escaping violence without a parent.</w:t>
      </w:r>
      <w:r w:rsidR="001A4FC9" w:rsidRPr="000C6B5C">
        <w:t xml:space="preserve"> We also need to address access to crisis and short-term accommodation for women with male children and young people, who may currently be excluded</w:t>
      </w:r>
      <w:r w:rsidR="00D05536" w:rsidRPr="000C6B5C">
        <w:t>, and</w:t>
      </w:r>
      <w:r w:rsidR="00D928E2" w:rsidRPr="000C6B5C">
        <w:t xml:space="preserve"> improve linkages between crisis refuges, to allow services to refer interstate.</w:t>
      </w:r>
    </w:p>
    <w:p w14:paraId="305F201A" w14:textId="688FA198" w:rsidR="005C57F4" w:rsidRDefault="005C57F4" w:rsidP="00FF3BD9">
      <w:r w:rsidRPr="000C6B5C">
        <w:t>For people with disability, crisis accommodation and housing availability can be more problematic due to building design, requirements for everyday living supports (e</w:t>
      </w:r>
      <w:r w:rsidR="6A63B373" w:rsidRPr="0A7CC6F8">
        <w:t>.</w:t>
      </w:r>
      <w:r w:rsidRPr="000C6B5C">
        <w:t>g</w:t>
      </w:r>
      <w:r w:rsidR="6A63B373" w:rsidRPr="0A7CC6F8">
        <w:t>.</w:t>
      </w:r>
      <w:r w:rsidRPr="000C6B5C">
        <w:t xml:space="preserve"> cooking, showering), and </w:t>
      </w:r>
      <w:r w:rsidR="003B3E59">
        <w:t>proximity</w:t>
      </w:r>
      <w:r w:rsidRPr="000C6B5C">
        <w:t xml:space="preserve"> to necessary supports and services.</w:t>
      </w:r>
    </w:p>
    <w:p w14:paraId="53159DFC" w14:textId="3F61D133" w:rsidR="00FF3BD9" w:rsidRDefault="00FF3BD9" w:rsidP="00FF3BD9">
      <w:pPr>
        <w:rPr>
          <w:bCs/>
        </w:rPr>
      </w:pPr>
      <w:r>
        <w:t>Inadequate housing may also force women and children to relocate, leaving family</w:t>
      </w:r>
      <w:r w:rsidR="765B0F5E">
        <w:t>,</w:t>
      </w:r>
      <w:r>
        <w:t xml:space="preserve"> friends and many other support networks behind. This </w:t>
      </w:r>
      <w:r w:rsidR="00A74D6A">
        <w:t>can</w:t>
      </w:r>
      <w:r>
        <w:t xml:space="preserve"> further impact women and children’s ability to recover and heal after violence</w:t>
      </w:r>
      <w:r w:rsidR="001A26A3">
        <w:t>.</w:t>
      </w:r>
      <w:r>
        <w:rPr>
          <w:rStyle w:val="EndnoteReference"/>
        </w:rPr>
        <w:endnoteReference w:id="43"/>
      </w:r>
    </w:p>
    <w:p w14:paraId="6D5AC932" w14:textId="55059B93" w:rsidR="00D928E2" w:rsidRDefault="00D928E2" w:rsidP="00FF3BD9">
      <w:pPr>
        <w:rPr>
          <w:bCs/>
        </w:rPr>
      </w:pPr>
      <w:r w:rsidRPr="002079F9">
        <w:t>Inadequate housing for p</w:t>
      </w:r>
      <w:r w:rsidR="00B43486">
        <w:t>eople who use</w:t>
      </w:r>
      <w:r w:rsidRPr="002079F9">
        <w:t xml:space="preserve"> violence also needs to be addressed to keep women and children safe. Pe</w:t>
      </w:r>
      <w:r w:rsidR="00B43486">
        <w:t>ople who use violence</w:t>
      </w:r>
      <w:r w:rsidR="00976E17">
        <w:t xml:space="preserve"> </w:t>
      </w:r>
      <w:r w:rsidRPr="002079F9">
        <w:t>often return to the family home as</w:t>
      </w:r>
      <w:r w:rsidRPr="00EB54A1">
        <w:t xml:space="preserve"> they are unable to secure stable housing, putting victims of violence at </w:t>
      </w:r>
      <w:r w:rsidR="00ED72D0" w:rsidRPr="00EB54A1">
        <w:t xml:space="preserve">a </w:t>
      </w:r>
      <w:r w:rsidRPr="00EB54A1">
        <w:t xml:space="preserve">continued </w:t>
      </w:r>
      <w:r w:rsidR="00ED72D0" w:rsidRPr="00EB54A1">
        <w:t>or heightened</w:t>
      </w:r>
      <w:r w:rsidRPr="003D5613">
        <w:t xml:space="preserve"> </w:t>
      </w:r>
      <w:r w:rsidRPr="001B2BE3">
        <w:t xml:space="preserve">risk </w:t>
      </w:r>
      <w:r>
        <w:rPr>
          <w:bCs/>
        </w:rPr>
        <w:t xml:space="preserve">of violence. </w:t>
      </w:r>
      <w:r w:rsidR="009B348C">
        <w:rPr>
          <w:bCs/>
        </w:rPr>
        <w:t>Housing strategies need to include</w:t>
      </w:r>
      <w:r w:rsidR="009B348C">
        <w:rPr>
          <w:rFonts w:eastAsia="Times New Roman"/>
        </w:rPr>
        <w:t xml:space="preserve"> accommodation services and housing options for men using family violence.</w:t>
      </w:r>
    </w:p>
    <w:p w14:paraId="7F5AA256" w14:textId="69372F70" w:rsidR="00FF3BD9" w:rsidRDefault="00FF3BD9" w:rsidP="00FF3BD9">
      <w:r>
        <w:t xml:space="preserve">These housing issues are exacerbated for </w:t>
      </w:r>
      <w:r w:rsidR="00B43486">
        <w:t>victim-survivors</w:t>
      </w:r>
      <w:r w:rsidR="00976E17">
        <w:t xml:space="preserve"> </w:t>
      </w:r>
      <w:r>
        <w:t>living in regional, remote and very remote locations.</w:t>
      </w:r>
    </w:p>
    <w:p w14:paraId="10DAF183" w14:textId="668F0F8D" w:rsidR="00FF3BD9" w:rsidRDefault="00FF3BD9" w:rsidP="00A820CC">
      <w:r w:rsidRPr="0067329B">
        <w:t xml:space="preserve">The </w:t>
      </w:r>
      <w:r w:rsidR="001F1718">
        <w:t>A</w:t>
      </w:r>
      <w:r w:rsidR="00976E17">
        <w:t xml:space="preserve">ustralian, </w:t>
      </w:r>
      <w:r w:rsidR="00267419">
        <w:t xml:space="preserve">state and territory governments </w:t>
      </w:r>
      <w:r w:rsidRPr="0067329B">
        <w:t xml:space="preserve">will work </w:t>
      </w:r>
      <w:r w:rsidR="00267419">
        <w:t xml:space="preserve">together </w:t>
      </w:r>
      <w:r w:rsidRPr="0067329B">
        <w:t xml:space="preserve">to improve access to safe and secure housing for </w:t>
      </w:r>
      <w:r w:rsidR="00B43486">
        <w:t>victim-survivors</w:t>
      </w:r>
      <w:r w:rsidR="00976E17">
        <w:t xml:space="preserve"> </w:t>
      </w:r>
      <w:r w:rsidRPr="0067329B">
        <w:t>escaping violence, including from crisis accommodation to longer-term, sustainable social and private housing options</w:t>
      </w:r>
      <w:r>
        <w:t xml:space="preserve">, including access to </w:t>
      </w:r>
      <w:r w:rsidRPr="00B279D4">
        <w:t xml:space="preserve">schemes for affordable rental and </w:t>
      </w:r>
      <w:r>
        <w:t>owner occupied</w:t>
      </w:r>
      <w:r w:rsidRPr="00B279D4">
        <w:t xml:space="preserve"> homes</w:t>
      </w:r>
      <w:r>
        <w:t>.</w:t>
      </w:r>
      <w:r w:rsidR="005F3230">
        <w:t xml:space="preserve"> </w:t>
      </w:r>
      <w:r>
        <w:t xml:space="preserve">This includes recognising the diverse and intersectional needs of victim-survivors, and ensuring housing </w:t>
      </w:r>
      <w:r>
        <w:lastRenderedPageBreak/>
        <w:t>and infrastructure plans respond to these needs by including the voices of people with lived experience from the early design phase to completion.</w:t>
      </w:r>
    </w:p>
    <w:p w14:paraId="3A6FE896" w14:textId="4BE607E6" w:rsidR="00FF3BD9" w:rsidRDefault="00FF3BD9" w:rsidP="00DF4276">
      <w:pPr>
        <w:spacing w:before="100" w:beforeAutospacing="1" w:after="100" w:afterAutospacing="1"/>
      </w:pPr>
      <w:r>
        <w:t xml:space="preserve">Providing the option for </w:t>
      </w:r>
      <w:r w:rsidR="00B43486">
        <w:t>victim-survivors</w:t>
      </w:r>
      <w:r w:rsidR="00976E17">
        <w:t xml:space="preserve"> </w:t>
      </w:r>
      <w:r>
        <w:t>to stay safely in their homes – and retain their connections to Country and community – will be part of a holistic response.</w:t>
      </w:r>
    </w:p>
    <w:p w14:paraId="723A8C98" w14:textId="7344582C" w:rsidR="00FF3BD9" w:rsidRPr="00BF6AD8" w:rsidRDefault="00FF3BD9" w:rsidP="00BF6AD8">
      <w:pPr>
        <w:rPr>
          <w:b/>
          <w:bCs/>
          <w:i/>
          <w:iCs/>
        </w:rPr>
      </w:pPr>
      <w:r w:rsidRPr="00BF6AD8">
        <w:rPr>
          <w:b/>
          <w:bCs/>
          <w:i/>
          <w:iCs/>
        </w:rPr>
        <w:t>What difference will we make?</w:t>
      </w:r>
    </w:p>
    <w:p w14:paraId="4B3095B5" w14:textId="77777777" w:rsidR="00FF3BD9" w:rsidRDefault="00FF3BD9" w:rsidP="00FF3BD9">
      <w:pPr>
        <w:spacing w:before="240"/>
        <w:rPr>
          <w:rFonts w:ascii="Calibri" w:hAnsi="Calibri"/>
        </w:rPr>
      </w:pPr>
      <w:r>
        <w:t>Implementing this action will work towards the following outcomes as identified in the Outcomes Framework:</w:t>
      </w:r>
    </w:p>
    <w:p w14:paraId="2DBA7842" w14:textId="573D2B6A" w:rsidR="00A45EC1" w:rsidRPr="00034283" w:rsidRDefault="00FF3BD9" w:rsidP="00A820CC">
      <w:pPr>
        <w:pStyle w:val="ListParagraph"/>
        <w:numPr>
          <w:ilvl w:val="0"/>
          <w:numId w:val="6"/>
        </w:numPr>
        <w:ind w:left="714" w:hanging="357"/>
      </w:pPr>
      <w:r w:rsidRPr="00034283">
        <w:rPr>
          <w:rFonts w:cs="Arial"/>
          <w:lang w:val="en-US"/>
        </w:rPr>
        <w:t xml:space="preserve">Systems and institutions effectively support </w:t>
      </w:r>
      <w:r>
        <w:rPr>
          <w:rFonts w:cs="Arial"/>
          <w:lang w:val="en-US"/>
        </w:rPr>
        <w:t xml:space="preserve">and protect </w:t>
      </w:r>
      <w:r w:rsidRPr="00034283">
        <w:rPr>
          <w:rFonts w:cs="Arial"/>
          <w:lang w:val="en-US"/>
        </w:rPr>
        <w:t xml:space="preserve">people impacted by </w:t>
      </w:r>
      <w:r w:rsidR="00972957">
        <w:rPr>
          <w:rFonts w:cs="Arial"/>
          <w:lang w:val="en-US"/>
        </w:rPr>
        <w:t>gender-based</w:t>
      </w:r>
      <w:r>
        <w:rPr>
          <w:rFonts w:cs="Arial"/>
          <w:lang w:val="en-US"/>
        </w:rPr>
        <w:t xml:space="preserve"> violence</w:t>
      </w:r>
      <w:r w:rsidR="00A45EC1">
        <w:rPr>
          <w:rFonts w:cs="Arial"/>
          <w:lang w:val="en-US"/>
        </w:rPr>
        <w:t>.</w:t>
      </w:r>
    </w:p>
    <w:p w14:paraId="7CE9E6AD" w14:textId="2EF88919" w:rsidR="00FF3BD9" w:rsidRPr="00A45EC1" w:rsidRDefault="00FF3BD9" w:rsidP="00A820CC">
      <w:pPr>
        <w:pStyle w:val="ListParagraph"/>
        <w:numPr>
          <w:ilvl w:val="0"/>
          <w:numId w:val="6"/>
        </w:numPr>
        <w:ind w:left="714" w:hanging="357"/>
        <w:rPr>
          <w:lang w:val="en-US"/>
        </w:rPr>
      </w:pPr>
      <w:r w:rsidRPr="00A45EC1">
        <w:rPr>
          <w:lang w:val="en-US"/>
        </w:rPr>
        <w:t xml:space="preserve">Women are safe and </w:t>
      </w:r>
      <w:r w:rsidR="00DA1B6B">
        <w:t xml:space="preserve">and respected in all settings and </w:t>
      </w:r>
      <w:r w:rsidRPr="00A45EC1">
        <w:rPr>
          <w:lang w:val="en-US"/>
        </w:rPr>
        <w:t>experience economic, social, political and cultural equality</w:t>
      </w:r>
      <w:r w:rsidR="00A45EC1" w:rsidRPr="00A45EC1">
        <w:rPr>
          <w:lang w:val="en-US"/>
        </w:rPr>
        <w:t>.</w:t>
      </w:r>
    </w:p>
    <w:p w14:paraId="1B50396C" w14:textId="60B765AF" w:rsidR="00FF3BD9" w:rsidRDefault="00FF3BD9" w:rsidP="00FF3BD9">
      <w:r w:rsidRPr="2A73AA60">
        <w:rPr>
          <w:u w:val="single"/>
        </w:rPr>
        <w:t>Responsibility for implementation</w:t>
      </w:r>
      <w:r>
        <w:t xml:space="preserve">: </w:t>
      </w:r>
      <w:r w:rsidR="001F1718">
        <w:t>Australian</w:t>
      </w:r>
      <w:r>
        <w:t>, state and territory governments</w:t>
      </w:r>
      <w:r w:rsidR="00A45EC1">
        <w:t>.</w:t>
      </w:r>
    </w:p>
    <w:p w14:paraId="6FB79BFA" w14:textId="2202756F" w:rsidR="00FF3BD9" w:rsidRDefault="00FF3BD9" w:rsidP="00FF3BD9">
      <w:r w:rsidRPr="2A73AA60">
        <w:rPr>
          <w:u w:val="single"/>
        </w:rPr>
        <w:t>Domains</w:t>
      </w:r>
      <w:r>
        <w:t>: response; recovery and healing</w:t>
      </w:r>
      <w:r w:rsidR="00A45EC1">
        <w:t>.</w:t>
      </w:r>
    </w:p>
    <w:p w14:paraId="3F15EC6F" w14:textId="7A980FA9" w:rsidR="00A45EC1" w:rsidRDefault="001F1718" w:rsidP="00A45EC1">
      <w:r>
        <w:rPr>
          <w:i/>
        </w:rPr>
        <w:t>“</w:t>
      </w:r>
      <w:r w:rsidR="00A45EC1" w:rsidRPr="0026244E">
        <w:rPr>
          <w:i/>
        </w:rPr>
        <w:t>Housing cannot be overstated in enabling people to leave abusive relationships</w:t>
      </w:r>
      <w:r>
        <w:rPr>
          <w:i/>
        </w:rPr>
        <w:t>”</w:t>
      </w:r>
      <w:r w:rsidR="00A45EC1" w:rsidRPr="0026244E">
        <w:rPr>
          <w:i/>
        </w:rPr>
        <w:t xml:space="preserve"> </w:t>
      </w:r>
      <w:r w:rsidR="00A45EC1">
        <w:t>– Victim-survivor</w:t>
      </w:r>
    </w:p>
    <w:p w14:paraId="567ADC11" w14:textId="77777777" w:rsidR="008D2AC5" w:rsidRDefault="008D2AC5">
      <w:pPr>
        <w:rPr>
          <w:rFonts w:eastAsiaTheme="majorEastAsia" w:cstheme="majorBidi"/>
          <w:b/>
          <w:bCs/>
          <w:sz w:val="32"/>
          <w:szCs w:val="26"/>
        </w:rPr>
      </w:pPr>
      <w:bookmarkStart w:id="242" w:name="_Toc136252801"/>
      <w:bookmarkStart w:id="243" w:name="_Toc136253191"/>
      <w:bookmarkStart w:id="244" w:name="_Toc136254818"/>
      <w:bookmarkStart w:id="245" w:name="_Toc136254860"/>
      <w:bookmarkStart w:id="246" w:name="_Toc136278743"/>
      <w:bookmarkStart w:id="247" w:name="_Toc136279960"/>
      <w:bookmarkStart w:id="248" w:name="_Toc132805060"/>
      <w:bookmarkStart w:id="249" w:name="_Toc132805401"/>
      <w:bookmarkStart w:id="250" w:name="_Toc134621955"/>
      <w:bookmarkStart w:id="251" w:name="_Toc134622047"/>
      <w:bookmarkStart w:id="252" w:name="_Toc134622149"/>
      <w:bookmarkStart w:id="253" w:name="_Toc134624203"/>
      <w:bookmarkStart w:id="254" w:name="_Toc134624238"/>
      <w:bookmarkStart w:id="255" w:name="_Toc134628767"/>
      <w:bookmarkStart w:id="256" w:name="_Toc136255004"/>
      <w:bookmarkStart w:id="257" w:name="_Toc136261699"/>
      <w:bookmarkStart w:id="258" w:name="_Toc136268788"/>
      <w:bookmarkStart w:id="259" w:name="_Toc136272364"/>
      <w:r>
        <w:br w:type="page"/>
      </w:r>
    </w:p>
    <w:p w14:paraId="45C3850C" w14:textId="42595204" w:rsidR="00CB57C9" w:rsidRDefault="00CB57C9" w:rsidP="00BF6AD8">
      <w:pPr>
        <w:pStyle w:val="Heading1"/>
      </w:pPr>
      <w:bookmarkStart w:id="260" w:name="_Toc144909154"/>
      <w:r>
        <w:lastRenderedPageBreak/>
        <w:t>Accountability</w:t>
      </w:r>
      <w:bookmarkEnd w:id="242"/>
      <w:bookmarkEnd w:id="243"/>
      <w:bookmarkEnd w:id="244"/>
      <w:bookmarkEnd w:id="245"/>
      <w:bookmarkEnd w:id="246"/>
      <w:bookmarkEnd w:id="247"/>
      <w:bookmarkEnd w:id="260"/>
    </w:p>
    <w:p w14:paraId="78D407FB" w14:textId="5E1DAA39" w:rsidR="00CB57C9" w:rsidRDefault="00CB57C9" w:rsidP="00CB57C9">
      <w:r>
        <w:t xml:space="preserve">The Australian, state and territory governments are jointly responsible for implementing the National Plan through the actions and activities of the Action Plans. Our work to progress policy priorities of the Action Plans will be coordinated through a governance structure providing oversight, strategic direction and </w:t>
      </w:r>
      <w:r w:rsidRPr="0077686E">
        <w:t xml:space="preserve">progress tracking. Different bodies or groups </w:t>
      </w:r>
      <w:r w:rsidR="00C35C1B" w:rsidRPr="0077686E">
        <w:t>will have their purposes articulated in their own Terms of Reference</w:t>
      </w:r>
      <w:r w:rsidRPr="0077686E">
        <w:t>.</w:t>
      </w:r>
    </w:p>
    <w:p w14:paraId="4EDDFA0E" w14:textId="33183D40" w:rsidR="00E44A4D" w:rsidRDefault="00E44A4D" w:rsidP="00E44A4D">
      <w:pPr>
        <w:textAlignment w:val="baseline"/>
        <w:rPr>
          <w:rFonts w:eastAsia="Times New Roman" w:cs="Arial"/>
          <w:lang w:eastAsia="en-AU"/>
        </w:rPr>
      </w:pPr>
      <w:r>
        <w:t>To a</w:t>
      </w:r>
      <w:r>
        <w:rPr>
          <w:rFonts w:eastAsia="Times New Roman" w:cs="Arial"/>
          <w:lang w:eastAsia="en-AU"/>
        </w:rPr>
        <w:t>lign</w:t>
      </w:r>
      <w:r w:rsidRPr="00C90958">
        <w:rPr>
          <w:rFonts w:eastAsia="Times New Roman" w:cs="Arial"/>
          <w:lang w:eastAsia="en-AU"/>
        </w:rPr>
        <w:t xml:space="preserve"> with governments commitments under Priority Reform One </w:t>
      </w:r>
      <w:r>
        <w:rPr>
          <w:rFonts w:eastAsia="Times New Roman" w:cs="Arial"/>
          <w:lang w:eastAsia="en-AU"/>
        </w:rPr>
        <w:t xml:space="preserve">of the </w:t>
      </w:r>
      <w:r w:rsidRPr="00C90958">
        <w:rPr>
          <w:rFonts w:eastAsia="Times New Roman" w:cs="Arial"/>
          <w:lang w:eastAsia="en-AU"/>
        </w:rPr>
        <w:t>National Agreement on Closing the Gap</w:t>
      </w:r>
      <w:r>
        <w:rPr>
          <w:rFonts w:eastAsia="Times New Roman" w:cs="Arial"/>
          <w:lang w:eastAsia="en-AU"/>
        </w:rPr>
        <w:t xml:space="preserve"> </w:t>
      </w:r>
      <w:r w:rsidRPr="00C90958">
        <w:rPr>
          <w:rFonts w:eastAsia="Times New Roman" w:cs="Arial"/>
          <w:lang w:eastAsia="en-AU"/>
        </w:rPr>
        <w:t xml:space="preserve">(formal partnerships and shared decision-making) </w:t>
      </w:r>
      <w:r>
        <w:rPr>
          <w:rFonts w:eastAsia="Times New Roman" w:cs="Arial"/>
          <w:lang w:eastAsia="en-AU"/>
        </w:rPr>
        <w:t xml:space="preserve">there is a </w:t>
      </w:r>
      <w:r w:rsidRPr="00A820CC">
        <w:rPr>
          <w:rFonts w:eastAsia="Times New Roman" w:cs="Arial"/>
          <w:lang w:eastAsia="en-AU"/>
        </w:rPr>
        <w:t>commitment</w:t>
      </w:r>
      <w:r>
        <w:rPr>
          <w:rFonts w:eastAsia="Times New Roman" w:cs="Arial"/>
          <w:lang w:eastAsia="en-AU"/>
        </w:rPr>
        <w:t xml:space="preserve"> to </w:t>
      </w:r>
      <w:r w:rsidRPr="00C90958">
        <w:rPr>
          <w:rFonts w:eastAsia="Times New Roman" w:cs="Arial"/>
          <w:lang w:eastAsia="en-AU"/>
        </w:rPr>
        <w:t xml:space="preserve">shared decision-making with Aboriginal and Torres Strait Islander </w:t>
      </w:r>
      <w:r>
        <w:rPr>
          <w:rFonts w:eastAsia="Times New Roman" w:cs="Arial"/>
          <w:lang w:eastAsia="en-AU"/>
        </w:rPr>
        <w:t>people on policies that affect them</w:t>
      </w:r>
      <w:r w:rsidRPr="00C90958">
        <w:rPr>
          <w:rFonts w:eastAsia="Times New Roman" w:cs="Arial"/>
          <w:lang w:eastAsia="en-AU"/>
        </w:rPr>
        <w:t>.</w:t>
      </w:r>
    </w:p>
    <w:p w14:paraId="7943143A" w14:textId="43F29358" w:rsidR="00CB57C9" w:rsidRDefault="00CB57C9" w:rsidP="00CB57C9">
      <w:pPr>
        <w:rPr>
          <w:rFonts w:ascii="Calibri" w:hAnsi="Calibri"/>
          <w:lang w:val="en-US"/>
        </w:rPr>
      </w:pPr>
      <w:r>
        <w:t>Public reporting will support accountability and transparency.</w:t>
      </w:r>
    </w:p>
    <w:p w14:paraId="1D6BF294" w14:textId="4D34FBD9" w:rsidR="00CB57C9" w:rsidRPr="00086A4D" w:rsidRDefault="00CB57C9" w:rsidP="00DC3CD1">
      <w:pPr>
        <w:pStyle w:val="Heading2"/>
      </w:pPr>
      <w:bookmarkStart w:id="261" w:name="_Toc136252802"/>
      <w:bookmarkStart w:id="262" w:name="_Toc136253192"/>
      <w:bookmarkStart w:id="263" w:name="_Toc136254819"/>
      <w:bookmarkStart w:id="264" w:name="_Toc136254861"/>
      <w:bookmarkStart w:id="265" w:name="_Toc136278744"/>
      <w:bookmarkStart w:id="266" w:name="_Toc136279961"/>
      <w:bookmarkStart w:id="267" w:name="_Toc144909155"/>
      <w:r w:rsidRPr="00086A4D">
        <w:t>Governance structure</w:t>
      </w:r>
      <w:bookmarkEnd w:id="261"/>
      <w:bookmarkEnd w:id="262"/>
      <w:bookmarkEnd w:id="263"/>
      <w:bookmarkEnd w:id="264"/>
      <w:bookmarkEnd w:id="265"/>
      <w:bookmarkEnd w:id="266"/>
      <w:bookmarkEnd w:id="267"/>
    </w:p>
    <w:p w14:paraId="5145D4D5" w14:textId="707A49C5" w:rsidR="00CB57C9" w:rsidRDefault="00CB57C9" w:rsidP="00CB57C9">
      <w:r>
        <w:t xml:space="preserve">The </w:t>
      </w:r>
      <w:r w:rsidRPr="2A73AA60">
        <w:rPr>
          <w:b/>
          <w:bCs/>
        </w:rPr>
        <w:t>Women and Women’s Safety Ministerial Council</w:t>
      </w:r>
      <w:r>
        <w:t xml:space="preserve"> (Ministerial Council) </w:t>
      </w:r>
      <w:r w:rsidRPr="00672E44">
        <w:t xml:space="preserve">consists of </w:t>
      </w:r>
      <w:r>
        <w:t>federal, state and territory ministers who have portfolio responsibility for key policy priorities for women, including gender equality, women’s safety and women’s economic security. The Ministerial Council will meet regularly to maintain momentum and a national focus on policy priorities in the Action Plans</w:t>
      </w:r>
      <w:r w:rsidRPr="00672E44">
        <w:t>.</w:t>
      </w:r>
    </w:p>
    <w:p w14:paraId="7F02CAA3" w14:textId="3338F9D3" w:rsidR="00CB57C9" w:rsidRDefault="00CB57C9" w:rsidP="00CB57C9">
      <w:r w:rsidRPr="002079F9">
        <w:t>The</w:t>
      </w:r>
      <w:r w:rsidRPr="00714665">
        <w:rPr>
          <w:b/>
          <w:bCs/>
        </w:rPr>
        <w:t xml:space="preserve"> Women and Women’s Safety Ministerial Council Senior Officials</w:t>
      </w:r>
      <w:r w:rsidRPr="00714665">
        <w:t xml:space="preserve"> co</w:t>
      </w:r>
      <w:r w:rsidR="003877F0">
        <w:t xml:space="preserve">mprises s </w:t>
      </w:r>
      <w:r w:rsidRPr="00714665">
        <w:t xml:space="preserve">senior officials from Commonwealth, state and territory departments/agencies with responsibility for </w:t>
      </w:r>
      <w:r>
        <w:t>women</w:t>
      </w:r>
      <w:r w:rsidRPr="00714665">
        <w:t>, women’s safety, families and/or prevention of family and domestic violence. As an advisory body to the Ministerial Council, the group supports the work of the Council through sharing information, data and evidence to inform decision</w:t>
      </w:r>
      <w:r w:rsidRPr="00714665">
        <w:noBreakHyphen/>
        <w:t>making of the Council</w:t>
      </w:r>
      <w:r>
        <w:t>, coordinating cross portfolio and cross-jurisdictional advice and progressing policy to reduce family, domestic and sexual violence.</w:t>
      </w:r>
    </w:p>
    <w:p w14:paraId="0594BDD8" w14:textId="6791A0F7" w:rsidR="00CB57C9" w:rsidRDefault="00CB57C9" w:rsidP="00CB57C9">
      <w:r w:rsidRPr="002079F9">
        <w:t xml:space="preserve">The </w:t>
      </w:r>
      <w:r w:rsidRPr="2A73AA60">
        <w:rPr>
          <w:b/>
          <w:bCs/>
        </w:rPr>
        <w:t>Jurisdictional Working Group</w:t>
      </w:r>
      <w:r>
        <w:t xml:space="preserve"> is a committee of </w:t>
      </w:r>
      <w:r w:rsidRPr="00A912D2">
        <w:t xml:space="preserve">Commonwealth, state and territory </w:t>
      </w:r>
      <w:r w:rsidR="00C80B50">
        <w:t>representatives</w:t>
      </w:r>
      <w:r w:rsidR="00C80B50" w:rsidRPr="00A912D2">
        <w:t xml:space="preserve"> </w:t>
      </w:r>
      <w:r w:rsidRPr="00A912D2">
        <w:t>with responsibility for women,</w:t>
      </w:r>
      <w:r>
        <w:t xml:space="preserve"> women’s safety,</w:t>
      </w:r>
      <w:r w:rsidRPr="00A912D2">
        <w:t xml:space="preserve"> families and/or prevention of family and domestic violence</w:t>
      </w:r>
      <w:r>
        <w:t>. More broadly, the group also supports</w:t>
      </w:r>
      <w:r w:rsidR="001F1718">
        <w:t xml:space="preserve">Ministerial Council </w:t>
      </w:r>
      <w:r>
        <w:t xml:space="preserve"> Senior Officials in </w:t>
      </w:r>
      <w:r w:rsidRPr="00666DCA">
        <w:t>driving the national policy agenda for domestic, family and sexual violence and working to progress the priorities of governments related to gender equality and eliminating violence against women.</w:t>
      </w:r>
    </w:p>
    <w:p w14:paraId="3643BD6B" w14:textId="1A9DF805" w:rsidR="00CB57C9" w:rsidRPr="00DE4C41" w:rsidRDefault="00CB57C9" w:rsidP="00CB57C9">
      <w:pPr>
        <w:keepLines/>
        <w:rPr>
          <w:rFonts w:cs="Arial"/>
        </w:rPr>
      </w:pPr>
      <w:r w:rsidRPr="00DA4E2A">
        <w:t xml:space="preserve">The </w:t>
      </w:r>
      <w:r>
        <w:rPr>
          <w:b/>
          <w:bCs/>
        </w:rPr>
        <w:t>Aboriginal and Torres Strait Islander</w:t>
      </w:r>
      <w:r w:rsidRPr="00DA4E2A">
        <w:rPr>
          <w:b/>
          <w:bCs/>
        </w:rPr>
        <w:t xml:space="preserve"> Jurisdictional Working Group</w:t>
      </w:r>
      <w:r w:rsidRPr="00DA4E2A">
        <w:t xml:space="preserve">, </w:t>
      </w:r>
      <w:r>
        <w:rPr>
          <w:rStyle w:val="ui-provider"/>
        </w:rPr>
        <w:t>once established, will be a committee of Commonwealth, state and territory officials with responsibility for women’s safety, families and/or prevention of family and domestic violence and/or First Nations policy. The group will support</w:t>
      </w:r>
      <w:r w:rsidR="001F1718">
        <w:rPr>
          <w:rStyle w:val="ui-provider"/>
        </w:rPr>
        <w:t xml:space="preserve"> Ministerial Council </w:t>
      </w:r>
      <w:r>
        <w:rPr>
          <w:rStyle w:val="ui-provider"/>
        </w:rPr>
        <w:t xml:space="preserve"> Senior Officials in driving the national policy agenda for domestic, family and sexual violence and will work to progress the priorities of governments related to gender equality and eliminating violence against Aboriginal and Torres Strait Islander women and children, across both the First Action Plan and the Aboriginal and Torres Strait Islander Action Plan. The Aboriginal and Torres Strait Islander Jurisdictional Working Group will draw on existing partnerships or shared decision-making bodies and share advice from other relevant advisory bodies.</w:t>
      </w:r>
    </w:p>
    <w:p w14:paraId="5FC68351" w14:textId="482942BC" w:rsidR="00CB57C9" w:rsidRDefault="00CB57C9" w:rsidP="00CB57C9">
      <w:r w:rsidRPr="00DF4276">
        <w:rPr>
          <w:b/>
        </w:rPr>
        <w:lastRenderedPageBreak/>
        <w:t xml:space="preserve">Subject </w:t>
      </w:r>
      <w:r w:rsidRPr="00AC7F7C">
        <w:rPr>
          <w:b/>
          <w:bCs/>
        </w:rPr>
        <w:t>specific working</w:t>
      </w:r>
      <w:r w:rsidRPr="00DF4276">
        <w:rPr>
          <w:b/>
        </w:rPr>
        <w:t xml:space="preserve"> groups </w:t>
      </w:r>
      <w:r>
        <w:t>will be convened as needed to drive joint Commonwealth, state and territory activities and respond to emerging issues and discussion about actions and activities, for timely delivery of advice and solutions. Membership will be determined by the Commonwealth lead on the subject matter, and may include government officials from relevant portfolios</w:t>
      </w:r>
      <w:r w:rsidR="004119E1">
        <w:t xml:space="preserve"> and</w:t>
      </w:r>
      <w:r>
        <w:t xml:space="preserve"> subject matter experts. Subject specific working groups may also draw on the expertise of existing advisory committees or convene subject specific advisory committees when required.</w:t>
      </w:r>
    </w:p>
    <w:p w14:paraId="5DA8A546" w14:textId="078FD334" w:rsidR="00CB57C9" w:rsidRDefault="00CB57C9" w:rsidP="00CB57C9">
      <w:pPr>
        <w:keepLines/>
      </w:pPr>
      <w:r>
        <w:t xml:space="preserve">The </w:t>
      </w:r>
      <w:r w:rsidRPr="2A73AA60">
        <w:rPr>
          <w:b/>
          <w:bCs/>
        </w:rPr>
        <w:t>Domestic, Family and Sexual Violence Commission</w:t>
      </w:r>
      <w:r w:rsidRPr="00A820CC">
        <w:rPr>
          <w:bCs/>
        </w:rPr>
        <w:t xml:space="preserve"> </w:t>
      </w:r>
      <w:r w:rsidR="009C5075" w:rsidRPr="00A820CC">
        <w:rPr>
          <w:bCs/>
        </w:rPr>
        <w:t>(</w:t>
      </w:r>
      <w:r w:rsidR="00EC23E4">
        <w:rPr>
          <w:bCs/>
        </w:rPr>
        <w:t>DFSV</w:t>
      </w:r>
      <w:r w:rsidR="001F1718">
        <w:rPr>
          <w:bCs/>
        </w:rPr>
        <w:t xml:space="preserve"> Commission</w:t>
      </w:r>
      <w:r w:rsidR="009C5075" w:rsidRPr="00A820CC">
        <w:rPr>
          <w:bCs/>
        </w:rPr>
        <w:t xml:space="preserve">) </w:t>
      </w:r>
      <w:r>
        <w:t xml:space="preserve">has been established to provide national leadership and promote coordination across a range of domestic, family and sexual violence policies and </w:t>
      </w:r>
      <w:r w:rsidRPr="006D194E">
        <w:t>areas of service delivery.</w:t>
      </w:r>
      <w:r>
        <w:t xml:space="preserve"> It will act as an independent</w:t>
      </w:r>
      <w:r w:rsidRPr="006D194E">
        <w:t xml:space="preserve"> and transparent agency that amplifies the voices of people with lived experience of domestic, family and sexual violence, provide evidence-informed policy advice, and promote coordination and accountability towards ending gender-based violence. </w:t>
      </w:r>
      <w:r w:rsidRPr="2A73AA60">
        <w:rPr>
          <w:rFonts w:cs="Arial"/>
        </w:rPr>
        <w:t xml:space="preserve">The </w:t>
      </w:r>
      <w:r>
        <w:rPr>
          <w:rFonts w:cs="Arial"/>
        </w:rPr>
        <w:t>DFSV</w:t>
      </w:r>
      <w:r w:rsidRPr="2A73AA60">
        <w:rPr>
          <w:rFonts w:cs="Arial"/>
        </w:rPr>
        <w:t xml:space="preserve"> Commission will provide annual reports to Federal Parliament measuring progress </w:t>
      </w:r>
      <w:r>
        <w:rPr>
          <w:rFonts w:cs="Arial"/>
        </w:rPr>
        <w:t>towards</w:t>
      </w:r>
      <w:r w:rsidRPr="2A73AA60">
        <w:rPr>
          <w:rFonts w:cs="Arial"/>
        </w:rPr>
        <w:t xml:space="preserve"> the National Plan.</w:t>
      </w:r>
    </w:p>
    <w:p w14:paraId="29D94905" w14:textId="33A6249F" w:rsidR="00CB57C9" w:rsidRDefault="00CB57C9" w:rsidP="00CB57C9">
      <w:pPr>
        <w:keepLines/>
      </w:pPr>
      <w:r w:rsidRPr="002079F9">
        <w:t xml:space="preserve">The </w:t>
      </w:r>
      <w:r w:rsidRPr="00D721EE">
        <w:rPr>
          <w:b/>
          <w:bCs/>
        </w:rPr>
        <w:t>National Plan Advisory Group</w:t>
      </w:r>
      <w:r w:rsidRPr="002079F9">
        <w:t xml:space="preserve"> </w:t>
      </w:r>
      <w:r w:rsidR="009C5075">
        <w:t xml:space="preserve">(Advisory Group) </w:t>
      </w:r>
      <w:r w:rsidRPr="006775B0">
        <w:t xml:space="preserve">is representative of </w:t>
      </w:r>
      <w:r w:rsidR="009C5075">
        <w:t xml:space="preserve">a </w:t>
      </w:r>
      <w:r w:rsidRPr="006775B0">
        <w:t>wide range of voices in the fa</w:t>
      </w:r>
      <w:r w:rsidRPr="00A7656F">
        <w:t>mily, domestic and sexual violence sector</w:t>
      </w:r>
      <w:r>
        <w:t>s</w:t>
      </w:r>
      <w:r w:rsidRPr="00A7656F">
        <w:t>, including research organisations, national and state-based peak bodies, sector experts and acade</w:t>
      </w:r>
      <w:r w:rsidRPr="00F67128">
        <w:t>mics, victim-survivors and victim-survivor advocates, and individuals with specialised expertise and knowledge.</w:t>
      </w:r>
      <w:r w:rsidR="00E613F7">
        <w:t xml:space="preserve"> </w:t>
      </w:r>
      <w:r>
        <w:t xml:space="preserve">The Advisory Group will </w:t>
      </w:r>
      <w:r w:rsidRPr="006775B0">
        <w:t>provide</w:t>
      </w:r>
      <w:r>
        <w:t>d</w:t>
      </w:r>
      <w:r w:rsidRPr="006775B0">
        <w:t xml:space="preserve"> expert advice to inform </w:t>
      </w:r>
      <w:r>
        <w:t xml:space="preserve">implementation </w:t>
      </w:r>
      <w:r w:rsidRPr="006775B0">
        <w:t>of the Action Plans</w:t>
      </w:r>
      <w:r>
        <w:t>.</w:t>
      </w:r>
    </w:p>
    <w:p w14:paraId="0FD30F73" w14:textId="78B24317" w:rsidR="00CB57C9" w:rsidRDefault="00CB57C9" w:rsidP="00CB57C9">
      <w:pPr>
        <w:keepLines/>
        <w:rPr>
          <w:rFonts w:ascii="Calibri" w:hAnsi="Calibri"/>
        </w:rPr>
      </w:pPr>
      <w:r w:rsidRPr="006775B0">
        <w:t xml:space="preserve">The </w:t>
      </w:r>
      <w:r w:rsidRPr="2A73AA60">
        <w:rPr>
          <w:b/>
          <w:bCs/>
        </w:rPr>
        <w:t>Aboriginal and Torres Strait Islander Advisory Council</w:t>
      </w:r>
      <w:r>
        <w:rPr>
          <w:b/>
          <w:bCs/>
        </w:rPr>
        <w:t xml:space="preserve"> </w:t>
      </w:r>
      <w:r w:rsidRPr="006775B0">
        <w:t>(Advisory Council</w:t>
      </w:r>
      <w:r w:rsidRPr="00A0019E">
        <w:t>)</w:t>
      </w:r>
      <w:r>
        <w:t xml:space="preserve"> on family, domestic and sexual violence was established in July 2021 to provide expert advice and guidance to government on the development of the National Plan. In September 2021, the Advisory Council was tasked with leading the development of the dedicated Aboriginal and Torres Strait Islander Action Plan in formal partnership with the Commonwealth.</w:t>
      </w:r>
    </w:p>
    <w:p w14:paraId="2F045EF5" w14:textId="3E5CAA40" w:rsidR="00CB57C9" w:rsidRPr="00DF4276" w:rsidRDefault="00CB57C9" w:rsidP="00CB57C9">
      <w:pPr>
        <w:keepLines/>
        <w:rPr>
          <w:b/>
          <w:lang w:val="en-US"/>
        </w:rPr>
      </w:pPr>
      <w:r w:rsidRPr="001C0135">
        <w:rPr>
          <w:lang w:val="en-US"/>
        </w:rPr>
        <w:t xml:space="preserve">The </w:t>
      </w:r>
      <w:r w:rsidRPr="00DF4276">
        <w:rPr>
          <w:b/>
          <w:lang w:val="en-US"/>
        </w:rPr>
        <w:t xml:space="preserve">Lived Experience Advisory </w:t>
      </w:r>
      <w:r w:rsidRPr="006D194E">
        <w:rPr>
          <w:b/>
          <w:bCs/>
          <w:lang w:val="en-US"/>
        </w:rPr>
        <w:t>Council</w:t>
      </w:r>
      <w:r w:rsidRPr="00A820CC">
        <w:rPr>
          <w:lang w:val="en-US"/>
        </w:rPr>
        <w:t xml:space="preserve"> (LEAC) </w:t>
      </w:r>
      <w:r w:rsidRPr="00662FE4">
        <w:t xml:space="preserve">will </w:t>
      </w:r>
      <w:r>
        <w:t xml:space="preserve">be </w:t>
      </w:r>
      <w:r w:rsidRPr="00662FE4">
        <w:t>establish</w:t>
      </w:r>
      <w:r>
        <w:t>ed by the DFSV Commission as</w:t>
      </w:r>
      <w:r w:rsidRPr="006D194E">
        <w:t xml:space="preserve"> a formal mechanism for embedding the voices of people with</w:t>
      </w:r>
      <w:r w:rsidRPr="00D20E46">
        <w:t xml:space="preserve"> </w:t>
      </w:r>
      <w:r w:rsidRPr="001C0135">
        <w:t xml:space="preserve">lived experience </w:t>
      </w:r>
      <w:r w:rsidRPr="006D194E">
        <w:t>of family</w:t>
      </w:r>
      <w:r>
        <w:t>, domestic</w:t>
      </w:r>
      <w:r w:rsidRPr="006D194E">
        <w:t xml:space="preserve"> and sexual violence </w:t>
      </w:r>
      <w:r w:rsidRPr="001C0135">
        <w:t>at the national level</w:t>
      </w:r>
      <w:r w:rsidRPr="006D194E">
        <w:t xml:space="preserve"> to ensure</w:t>
      </w:r>
      <w:r w:rsidRPr="001C0135">
        <w:t xml:space="preserve"> the diverse lived experiences of victim</w:t>
      </w:r>
      <w:r w:rsidRPr="006D194E">
        <w:t>-survivors are informing</w:t>
      </w:r>
      <w:r w:rsidRPr="00D20E46">
        <w:t xml:space="preserve"> policies and solutions.</w:t>
      </w:r>
      <w:r w:rsidRPr="001C0135">
        <w:t xml:space="preserve"> </w:t>
      </w:r>
      <w:r>
        <w:t>LEAC</w:t>
      </w:r>
      <w:r w:rsidRPr="006D194E">
        <w:t xml:space="preserve"> will be supported by the </w:t>
      </w:r>
      <w:r>
        <w:t>DFSV</w:t>
      </w:r>
      <w:r w:rsidRPr="006D194E">
        <w:t xml:space="preserve"> Commission as one of </w:t>
      </w:r>
      <w:r>
        <w:t xml:space="preserve">a </w:t>
      </w:r>
      <w:r w:rsidRPr="006D194E">
        <w:t>range of mechanisms for government to engage with people with lived experience</w:t>
      </w:r>
      <w:r w:rsidRPr="00666DCA">
        <w:t>.</w:t>
      </w:r>
    </w:p>
    <w:p w14:paraId="55BBAEF9" w14:textId="623A0831" w:rsidR="00CB57C9" w:rsidRDefault="00CB57C9" w:rsidP="00CB57C9">
      <w:pPr>
        <w:keepLines/>
      </w:pPr>
      <w:r>
        <w:rPr>
          <w:b/>
          <w:bCs/>
          <w:lang w:val="en-US"/>
        </w:rPr>
        <w:t>Jurisdictional advisory bodies</w:t>
      </w:r>
      <w:r w:rsidRPr="00A820CC">
        <w:rPr>
          <w:lang w:val="en-US"/>
        </w:rPr>
        <w:t xml:space="preserve"> </w:t>
      </w:r>
      <w:r w:rsidR="00131FE0" w:rsidRPr="00A820CC">
        <w:rPr>
          <w:lang w:val="en-US"/>
        </w:rPr>
        <w:t>may inform s</w:t>
      </w:r>
      <w:r w:rsidRPr="00131FE0">
        <w:rPr>
          <w:lang w:val="en-US"/>
        </w:rPr>
        <w:t xml:space="preserve">tate </w:t>
      </w:r>
      <w:r w:rsidRPr="002079F9">
        <w:rPr>
          <w:lang w:val="en-US"/>
        </w:rPr>
        <w:t xml:space="preserve">and territory governments </w:t>
      </w:r>
      <w:r w:rsidR="00131FE0">
        <w:rPr>
          <w:lang w:val="en-US"/>
        </w:rPr>
        <w:t>on</w:t>
      </w:r>
      <w:r w:rsidRPr="002079F9">
        <w:rPr>
          <w:lang w:val="en-US"/>
        </w:rPr>
        <w:t xml:space="preserve"> development and implementation of activities under the Action Plans as required</w:t>
      </w:r>
      <w:r>
        <w:t xml:space="preserve">. Where appropriate, states and territories may enter into formal partnerships and shared </w:t>
      </w:r>
      <w:r w:rsidR="0006183E">
        <w:t>decision-making</w:t>
      </w:r>
      <w:r w:rsidRPr="001C0135">
        <w:t xml:space="preserve"> </w:t>
      </w:r>
      <w:r>
        <w:t xml:space="preserve">arrangements with advisory bodies to inform and implement actions under the Aboriginal and Torres Strait Islander Action Plan and activities under the First Action Plan, in line with Priority Reform </w:t>
      </w:r>
      <w:r w:rsidR="00131FE0">
        <w:t>One</w:t>
      </w:r>
      <w:r>
        <w:t xml:space="preserve"> of Closing the Gap.</w:t>
      </w:r>
    </w:p>
    <w:p w14:paraId="1C347BB9" w14:textId="77777777" w:rsidR="00CB57C9" w:rsidRDefault="00CB57C9" w:rsidP="00CB57C9">
      <w:r w:rsidRPr="00DF4276">
        <w:rPr>
          <w:b/>
        </w:rPr>
        <w:t xml:space="preserve">Subject </w:t>
      </w:r>
      <w:r w:rsidRPr="00AC7F7C">
        <w:rPr>
          <w:b/>
          <w:bCs/>
        </w:rPr>
        <w:t xml:space="preserve">specific </w:t>
      </w:r>
      <w:r>
        <w:rPr>
          <w:b/>
          <w:bCs/>
        </w:rPr>
        <w:t>advisory bodies</w:t>
      </w:r>
      <w:r w:rsidRPr="00DF4276">
        <w:rPr>
          <w:b/>
        </w:rPr>
        <w:t xml:space="preserve"> </w:t>
      </w:r>
      <w:r>
        <w:t>may be convened as needed to inform emerging or complex issues being worked on by subject specific working groups.</w:t>
      </w:r>
    </w:p>
    <w:p w14:paraId="67724685" w14:textId="675934D6" w:rsidR="00C35C1B" w:rsidRDefault="00CB57C9" w:rsidP="00C35C1B">
      <w:r>
        <w:t>S</w:t>
      </w:r>
      <w:r w:rsidRPr="00624FC2">
        <w:t xml:space="preserve">trategic advice and consultation may </w:t>
      </w:r>
      <w:r>
        <w:t xml:space="preserve">also </w:t>
      </w:r>
      <w:r w:rsidRPr="00624FC2">
        <w:t>be sought from other relevant Ministers, ministerial forums and established governance groups</w:t>
      </w:r>
      <w:r>
        <w:t xml:space="preserve"> as needed.</w:t>
      </w:r>
      <w:r w:rsidR="00C35C1B">
        <w:t xml:space="preserve"> Membership will be determined by the Commonwealth lead </w:t>
      </w:r>
      <w:r w:rsidR="00C35C1B" w:rsidRPr="0077686E">
        <w:t xml:space="preserve">on the subject matter, and may include government officials from relevant portfolios </w:t>
      </w:r>
      <w:r w:rsidR="00C35C1B" w:rsidRPr="00B020EB">
        <w:t>and other subject matter experts, for example researchers,</w:t>
      </w:r>
      <w:r w:rsidR="00E613F7">
        <w:t xml:space="preserve"> </w:t>
      </w:r>
      <w:r w:rsidR="00C35C1B" w:rsidRPr="00B020EB">
        <w:lastRenderedPageBreak/>
        <w:t>sector representatives and victim-survivors</w:t>
      </w:r>
      <w:r w:rsidR="00C35C1B" w:rsidRPr="0077686E">
        <w:t>. Subject specific working groups may also draw on the expertise of existing advisory committees or convene subject specific advisory</w:t>
      </w:r>
      <w:r w:rsidR="00C35C1B">
        <w:t xml:space="preserve"> committees when required.</w:t>
      </w:r>
    </w:p>
    <w:p w14:paraId="77FBF880" w14:textId="653910E1" w:rsidR="00735042" w:rsidRPr="00735042" w:rsidRDefault="006742EE" w:rsidP="00C35C1B">
      <w:pPr>
        <w:rPr>
          <w:b/>
          <w:bCs/>
        </w:rPr>
      </w:pPr>
      <w:r>
        <w:rPr>
          <w:b/>
          <w:bCs/>
        </w:rPr>
        <w:t>FIGURE 1</w:t>
      </w:r>
      <w:r w:rsidR="00735042" w:rsidRPr="00735042">
        <w:rPr>
          <w:b/>
          <w:bCs/>
        </w:rPr>
        <w:t>: GOVERNANCE STRUCTURE</w:t>
      </w:r>
    </w:p>
    <w:p w14:paraId="7FAA0E7B" w14:textId="6CE312B6" w:rsidR="00735042" w:rsidRDefault="00735042" w:rsidP="00C35C1B">
      <w:r>
        <w:rPr>
          <w:noProof/>
          <w:lang w:eastAsia="en-AU"/>
        </w:rPr>
        <w:drawing>
          <wp:inline distT="0" distB="0" distL="0" distR="0" wp14:anchorId="1EEF2068" wp14:editId="18C6CC32">
            <wp:extent cx="5943600" cy="5238115"/>
            <wp:effectExtent l="0" t="0" r="0" b="635"/>
            <wp:docPr id="1983052000" name="Picture 1" descr="&quot;The Women and Women's Safety Ministerial Council  (WWSMC)has oversight of the National Plan to End Violence against Women and Children 2022-2032 (National Plan). The Women and Women's Safety Senior Officials Group supports the WWSMC.&#10;The Aboriginal and Torres Strait Islander Advisory Council, the National Plan Advisory Council and the Lived Experience Advisory Group provide advice to implementation of the National Plan.&#10;Jurisdictional Advisory Bodies and Subject Specific Advisory Bodies may provide advice to the Aboriginal and Torres Strait Islander Working Group, the Jurisdictional Working Group and Subject Specific Working Groups, who inform the WWSMCO. The Domestic, Family and Sexual Violence Commission is an independent body that amplifies the voices of people with lived experience of domestic, family and sexual violence, provide evidence-informed policy advice, and promote coordination and accountability towards ending gender-based violence.&quo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052000" name="Picture 1" descr="&quot;The Women and Women's Safety Ministerial Council  (WWSMC)has oversight of the National Plan to End Violence against Women and Children 2022-2032 (National Plan). The Women and Women's Safety Senior Officials Group supports the WWSMC.&#10;The Aboriginal and Torres Strait Islander Advisory Council, the National Plan Advisory Council and the Lived Experience Advisory Group provide advice to implementation of the National Plan.&#10;Jurisdictional Advisory Bodies and Subject Specific Advisory Bodies may provide advice to the Aboriginal and Torres Strait Islander Working Group, the Jurisdictional Working Group and Subject Specific Working Groups, who inform the WWSMCO. The Domestic, Family and Sexual Violence Commission is an independent body that amplifies the voices of people with lived experience of domestic, family and sexual violence, provide evidence-informed policy advice, and promote coordination and accountability towards ending gender-based violence.&quot;&#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43600" cy="5238115"/>
                    </a:xfrm>
                    <a:prstGeom prst="rect">
                      <a:avLst/>
                    </a:prstGeom>
                    <a:noFill/>
                    <a:ln>
                      <a:noFill/>
                    </a:ln>
                  </pic:spPr>
                </pic:pic>
              </a:graphicData>
            </a:graphic>
          </wp:inline>
        </w:drawing>
      </w:r>
    </w:p>
    <w:p w14:paraId="742D274B" w14:textId="358F6767" w:rsidR="00CB57C9" w:rsidRPr="00086A4D" w:rsidRDefault="00CB57C9" w:rsidP="00DC3CD1">
      <w:pPr>
        <w:pStyle w:val="Heading2"/>
      </w:pPr>
      <w:bookmarkStart w:id="268" w:name="_Toc136252803"/>
      <w:bookmarkStart w:id="269" w:name="_Toc136253193"/>
      <w:bookmarkStart w:id="270" w:name="_Toc136254820"/>
      <w:bookmarkStart w:id="271" w:name="_Toc136254862"/>
      <w:bookmarkStart w:id="272" w:name="_Toc136278745"/>
      <w:bookmarkStart w:id="273" w:name="_Toc136279962"/>
      <w:bookmarkStart w:id="274" w:name="_Toc144909156"/>
      <w:r w:rsidRPr="00086A4D">
        <w:t>Monitoring and reporting</w:t>
      </w:r>
      <w:bookmarkEnd w:id="268"/>
      <w:bookmarkEnd w:id="269"/>
      <w:bookmarkEnd w:id="270"/>
      <w:bookmarkEnd w:id="271"/>
      <w:bookmarkEnd w:id="272"/>
      <w:bookmarkEnd w:id="273"/>
      <w:bookmarkEnd w:id="274"/>
    </w:p>
    <w:p w14:paraId="034969CD" w14:textId="75EBE8F2" w:rsidR="00CB57C9" w:rsidRDefault="008731ED" w:rsidP="00CB57C9">
      <w:r w:rsidRPr="0077686E">
        <w:t>A</w:t>
      </w:r>
      <w:r w:rsidR="00CB57C9" w:rsidRPr="0077686E">
        <w:t xml:space="preserve"> performance </w:t>
      </w:r>
      <w:r w:rsidRPr="0077686E">
        <w:t xml:space="preserve">management framework </w:t>
      </w:r>
      <w:r w:rsidRPr="009D79EA">
        <w:t xml:space="preserve">will </w:t>
      </w:r>
      <w:r w:rsidR="00CB57C9" w:rsidRPr="009D79EA">
        <w:t>identify</w:t>
      </w:r>
      <w:r w:rsidR="00CB57C9" w:rsidRPr="0077686E">
        <w:t xml:space="preserve"> the indicators required to monitor and assess </w:t>
      </w:r>
      <w:r w:rsidR="0027167A">
        <w:t xml:space="preserve">progress </w:t>
      </w:r>
      <w:r w:rsidR="00CB57C9" w:rsidRPr="0077686E">
        <w:t>towards the achievement of the outcomes. It will link outcomes, performance indicators, measures and data sources together.</w:t>
      </w:r>
    </w:p>
    <w:p w14:paraId="326C9333" w14:textId="77777777" w:rsidR="00CB57C9" w:rsidRDefault="00CB57C9" w:rsidP="00CB57C9">
      <w:r>
        <w:t>The components of a performance measurement plan include:</w:t>
      </w:r>
    </w:p>
    <w:p w14:paraId="0A57C813" w14:textId="76549568" w:rsidR="00CB57C9" w:rsidRDefault="00CB57C9" w:rsidP="004E3025">
      <w:pPr>
        <w:pStyle w:val="ListParagraph"/>
        <w:numPr>
          <w:ilvl w:val="0"/>
          <w:numId w:val="7"/>
        </w:numPr>
      </w:pPr>
      <w:r>
        <w:t xml:space="preserve">Outcomes </w:t>
      </w:r>
      <w:r w:rsidR="0027167A">
        <w:t xml:space="preserve">– </w:t>
      </w:r>
      <w:r>
        <w:t>the change the National Plan aims to achieve, which is described in the Outcomes Framework</w:t>
      </w:r>
      <w:r w:rsidR="0027167A">
        <w:t>.</w:t>
      </w:r>
    </w:p>
    <w:p w14:paraId="64A34263" w14:textId="3428E0D1" w:rsidR="00CB57C9" w:rsidRDefault="00CB57C9" w:rsidP="004E3025">
      <w:pPr>
        <w:pStyle w:val="ListParagraph"/>
        <w:numPr>
          <w:ilvl w:val="0"/>
          <w:numId w:val="7"/>
        </w:numPr>
      </w:pPr>
      <w:r>
        <w:t xml:space="preserve">Indicators and measures </w:t>
      </w:r>
      <w:r w:rsidR="0027167A">
        <w:t xml:space="preserve">– </w:t>
      </w:r>
      <w:r>
        <w:t>the indicators will be chosen with regard to what we are aiming to measure and how best this can be achieved.</w:t>
      </w:r>
    </w:p>
    <w:p w14:paraId="6636C6B9" w14:textId="1F458B18" w:rsidR="00CB57C9" w:rsidRDefault="00CB57C9" w:rsidP="004E3025">
      <w:pPr>
        <w:pStyle w:val="ListParagraph"/>
        <w:numPr>
          <w:ilvl w:val="0"/>
          <w:numId w:val="7"/>
        </w:numPr>
      </w:pPr>
      <w:r>
        <w:lastRenderedPageBreak/>
        <w:t xml:space="preserve">Targets </w:t>
      </w:r>
      <w:r w:rsidR="0027167A">
        <w:t xml:space="preserve">– </w:t>
      </w:r>
      <w:r w:rsidRPr="00D164BC">
        <w:t>the objective</w:t>
      </w:r>
      <w:r>
        <w:t>s</w:t>
      </w:r>
      <w:r w:rsidRPr="00D164BC">
        <w:t xml:space="preserve"> </w:t>
      </w:r>
      <w:r>
        <w:t xml:space="preserve">the National Plan </w:t>
      </w:r>
      <w:r w:rsidRPr="00D164BC">
        <w:t>is working towards, expressed as a measurable value</w:t>
      </w:r>
      <w:r w:rsidR="0027167A">
        <w:t>.</w:t>
      </w:r>
    </w:p>
    <w:p w14:paraId="5E72A396" w14:textId="49F5D10A" w:rsidR="00CB57C9" w:rsidRDefault="00CB57C9" w:rsidP="004E3025">
      <w:pPr>
        <w:pStyle w:val="ListParagraph"/>
        <w:numPr>
          <w:ilvl w:val="0"/>
          <w:numId w:val="7"/>
        </w:numPr>
      </w:pPr>
      <w:r>
        <w:t>Data sources – what available sources can be used to demonstrate progress against the indicators or measures, noting there is still more work required to develop data sources to robustly measure change.</w:t>
      </w:r>
    </w:p>
    <w:p w14:paraId="6EFA9F69" w14:textId="4EEE9374" w:rsidR="00CB57C9" w:rsidRDefault="00CB57C9" w:rsidP="004E3025">
      <w:pPr>
        <w:pStyle w:val="ListParagraph"/>
        <w:numPr>
          <w:ilvl w:val="0"/>
          <w:numId w:val="7"/>
        </w:numPr>
      </w:pPr>
      <w:r>
        <w:t>Frequency for reporting and/or data collection – how often the indictors and measures are able to be reported against</w:t>
      </w:r>
      <w:r w:rsidR="0027167A">
        <w:t>.</w:t>
      </w:r>
    </w:p>
    <w:p w14:paraId="1FC26AE5" w14:textId="04AAC167" w:rsidR="00CB57C9" w:rsidRDefault="00CB57C9" w:rsidP="004E3025">
      <w:pPr>
        <w:pStyle w:val="ListParagraph"/>
        <w:numPr>
          <w:ilvl w:val="0"/>
          <w:numId w:val="7"/>
        </w:numPr>
      </w:pPr>
      <w:r>
        <w:t>Baseline (if known)</w:t>
      </w:r>
      <w:r w:rsidR="0027167A">
        <w:t>.</w:t>
      </w:r>
    </w:p>
    <w:p w14:paraId="008B8E77" w14:textId="0C97449B" w:rsidR="00CB57C9" w:rsidRDefault="00CB57C9" w:rsidP="00CB57C9">
      <w:r>
        <w:t>A mixed method approach to measurement and evaluation will be used in recognition of the complexity of the outcomes. This approach would likely include quantitative trend data supported by more detailed qualitative analysis. Indicators and measures will continue to be reviewed and refined over the life of the National Plan as work continues to improve data and links between datasets.</w:t>
      </w:r>
    </w:p>
    <w:p w14:paraId="04E51259" w14:textId="1B04CF2C" w:rsidR="00CB57C9" w:rsidRDefault="00CB57C9" w:rsidP="00CB57C9">
      <w:r>
        <w:t>There is still more to achieve in regard to data and evidence development to measure and monitor sustained population level changes towards ending violence against women and children. A focus over the life of the National Plan, through the underpinning Actions Plans</w:t>
      </w:r>
      <w:r w:rsidR="004156D1">
        <w:t>,</w:t>
      </w:r>
      <w:r>
        <w:t xml:space="preserve"> will be on continuing to support key national survey collections and identify</w:t>
      </w:r>
      <w:r w:rsidR="004156D1">
        <w:t>ing</w:t>
      </w:r>
      <w:r>
        <w:t xml:space="preserve"> opportunities to implement new data collections and data development projects, including from the private sector.</w:t>
      </w:r>
    </w:p>
    <w:p w14:paraId="62FD8CC4" w14:textId="77777777" w:rsidR="00CB57C9" w:rsidRPr="00086A4D" w:rsidRDefault="00CB57C9" w:rsidP="00BF6AD8">
      <w:pPr>
        <w:pStyle w:val="Heading2"/>
      </w:pPr>
      <w:bookmarkStart w:id="275" w:name="_Toc136252804"/>
      <w:bookmarkStart w:id="276" w:name="_Toc136253194"/>
      <w:bookmarkStart w:id="277" w:name="_Toc136254821"/>
      <w:bookmarkStart w:id="278" w:name="_Toc136254863"/>
      <w:bookmarkStart w:id="279" w:name="_Toc136278746"/>
      <w:bookmarkStart w:id="280" w:name="_Toc136279963"/>
      <w:bookmarkStart w:id="281" w:name="_Toc144909157"/>
      <w:r w:rsidRPr="00086A4D">
        <w:t>Public reporting</w:t>
      </w:r>
      <w:bookmarkEnd w:id="275"/>
      <w:bookmarkEnd w:id="276"/>
      <w:bookmarkEnd w:id="277"/>
      <w:bookmarkEnd w:id="278"/>
      <w:bookmarkEnd w:id="279"/>
      <w:bookmarkEnd w:id="280"/>
      <w:bookmarkEnd w:id="281"/>
    </w:p>
    <w:p w14:paraId="340E1587" w14:textId="228C96E4" w:rsidR="00CB57C9" w:rsidRDefault="00CB57C9" w:rsidP="00CB57C9">
      <w:r>
        <w:t xml:space="preserve">Public reporting will support accountability and transparency. </w:t>
      </w:r>
      <w:r w:rsidR="004269AD">
        <w:t>The Department of Social Services will report against the progress of the National Plan on an annual basis.</w:t>
      </w:r>
    </w:p>
    <w:p w14:paraId="1B5C99DD" w14:textId="22B8E3C0" w:rsidR="00CB57C9" w:rsidRDefault="00CB57C9" w:rsidP="00CB57C9">
      <w:r>
        <w:t xml:space="preserve">The First Action Plan Activities Addendum will be updated annually to track implementation of the activities </w:t>
      </w:r>
      <w:r w:rsidR="00B968DC">
        <w:t xml:space="preserve">that </w:t>
      </w:r>
      <w:r>
        <w:t xml:space="preserve">governments have committed to </w:t>
      </w:r>
      <w:r w:rsidR="00C251AC" w:rsidRPr="004269AD">
        <w:t xml:space="preserve">and add </w:t>
      </w:r>
      <w:r w:rsidR="00B968DC">
        <w:t xml:space="preserve">any </w:t>
      </w:r>
      <w:r w:rsidR="00C251AC" w:rsidRPr="004269AD">
        <w:t>new activities</w:t>
      </w:r>
      <w:r w:rsidRPr="004269AD">
        <w:t>.</w:t>
      </w:r>
    </w:p>
    <w:p w14:paraId="4A876124" w14:textId="2F468747" w:rsidR="00CB57C9" w:rsidRDefault="00CB57C9" w:rsidP="00CB57C9">
      <w:r>
        <w:t>Public reporting will also occur through existing mechanisms such as relevant government department’s annual reports and annual Closing the Gap reports.</w:t>
      </w:r>
    </w:p>
    <w:p w14:paraId="5D673BB0" w14:textId="3AA07537" w:rsidR="00BB1B79" w:rsidRDefault="00CB57C9" w:rsidP="00591F90">
      <w:r>
        <w:t xml:space="preserve">The </w:t>
      </w:r>
      <w:r w:rsidRPr="00CD3F41">
        <w:t xml:space="preserve">DFSV Commission </w:t>
      </w:r>
      <w:r w:rsidRPr="2A73AA60">
        <w:rPr>
          <w:rFonts w:cs="Arial"/>
        </w:rPr>
        <w:t xml:space="preserve">will </w:t>
      </w:r>
      <w:r>
        <w:rPr>
          <w:rFonts w:cs="Arial"/>
        </w:rPr>
        <w:t xml:space="preserve">also </w:t>
      </w:r>
      <w:r w:rsidRPr="2A73AA60">
        <w:rPr>
          <w:rFonts w:cs="Arial"/>
        </w:rPr>
        <w:t xml:space="preserve">provide annual reports to Federal Parliament measuring progress </w:t>
      </w:r>
      <w:r>
        <w:rPr>
          <w:rFonts w:cs="Arial"/>
        </w:rPr>
        <w:t>towards</w:t>
      </w:r>
      <w:r w:rsidRPr="2A73AA60">
        <w:rPr>
          <w:rFonts w:cs="Arial"/>
        </w:rPr>
        <w:t xml:space="preserve"> the National Plan.</w:t>
      </w:r>
    </w:p>
    <w:p w14:paraId="412A3017" w14:textId="77777777" w:rsidR="00735042" w:rsidRDefault="00735042">
      <w:bookmarkStart w:id="282" w:name="_Toc132805064"/>
      <w:bookmarkStart w:id="283" w:name="_Toc132805405"/>
      <w:bookmarkStart w:id="284" w:name="_Toc134621958"/>
      <w:bookmarkStart w:id="285" w:name="_Toc134622050"/>
      <w:bookmarkStart w:id="286" w:name="_Toc134622152"/>
      <w:bookmarkStart w:id="287" w:name="_Toc134624206"/>
      <w:bookmarkStart w:id="288" w:name="_Toc134624241"/>
      <w:bookmarkStart w:id="289" w:name="_Toc134628770"/>
      <w:bookmarkStart w:id="290" w:name="_Toc136255009"/>
      <w:bookmarkStart w:id="291" w:name="_Toc136261704"/>
      <w:bookmarkStart w:id="292" w:name="_Toc136272369"/>
      <w:bookmarkStart w:id="293" w:name="_Toc136278748"/>
      <w:bookmarkStart w:id="294" w:name="_Toc136279965"/>
      <w:bookmarkStart w:id="295" w:name="_Toc136268793"/>
      <w:bookmarkEnd w:id="109"/>
      <w:bookmarkEnd w:id="110"/>
      <w:bookmarkEnd w:id="111"/>
      <w:bookmarkEnd w:id="112"/>
      <w:bookmarkEnd w:id="248"/>
      <w:bookmarkEnd w:id="249"/>
      <w:bookmarkEnd w:id="250"/>
      <w:bookmarkEnd w:id="251"/>
      <w:bookmarkEnd w:id="252"/>
      <w:bookmarkEnd w:id="253"/>
      <w:bookmarkEnd w:id="254"/>
      <w:bookmarkEnd w:id="255"/>
      <w:bookmarkEnd w:id="256"/>
      <w:bookmarkEnd w:id="257"/>
      <w:bookmarkEnd w:id="258"/>
      <w:bookmarkEnd w:id="259"/>
      <w:r>
        <w:rPr>
          <w:b/>
          <w:bCs/>
        </w:rPr>
        <w:br w:type="page"/>
      </w:r>
    </w:p>
    <w:p w14:paraId="3183BFAF" w14:textId="04A4CBC6" w:rsidR="00FF3BD9" w:rsidRDefault="00FF3BD9" w:rsidP="00BF6AD8">
      <w:pPr>
        <w:pStyle w:val="Heading1"/>
      </w:pPr>
      <w:bookmarkStart w:id="296" w:name="_Toc144909158"/>
      <w:r w:rsidRPr="007F2B60">
        <w:lastRenderedPageBreak/>
        <w:t>Glossary</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6"/>
    </w:p>
    <w:tbl>
      <w:tblPr>
        <w:tblW w:w="5000" w:type="pct"/>
        <w:tblCellMar>
          <w:top w:w="115" w:type="dxa"/>
          <w:bottom w:w="115" w:type="dxa"/>
        </w:tblCellMar>
        <w:tblLook w:val="01E0" w:firstRow="1" w:lastRow="1" w:firstColumn="1" w:lastColumn="1" w:noHBand="0" w:noVBand="0"/>
      </w:tblPr>
      <w:tblGrid>
        <w:gridCol w:w="1865"/>
        <w:gridCol w:w="7164"/>
      </w:tblGrid>
      <w:tr w:rsidR="00FF3BD9" w:rsidRPr="00867FAF" w14:paraId="0A713A67" w14:textId="77777777" w:rsidTr="005C0816">
        <w:trPr>
          <w:tblHeader/>
        </w:trPr>
        <w:tc>
          <w:tcPr>
            <w:tcW w:w="1033" w:type="pct"/>
            <w:tcBorders>
              <w:top w:val="single" w:sz="4" w:space="0" w:color="000000" w:themeColor="text1"/>
              <w:bottom w:val="single" w:sz="4" w:space="0" w:color="000000" w:themeColor="text1"/>
            </w:tcBorders>
          </w:tcPr>
          <w:p w14:paraId="67DA119B" w14:textId="77777777" w:rsidR="00FF3BD9" w:rsidRPr="005C0816" w:rsidRDefault="00FF3BD9" w:rsidP="003861F3">
            <w:pPr>
              <w:pStyle w:val="TableParagraph"/>
              <w:spacing w:before="0" w:after="120"/>
              <w:rPr>
                <w:rFonts w:ascii="Arial" w:hAnsi="Arial" w:cs="Arial"/>
                <w:b/>
                <w:bCs/>
              </w:rPr>
            </w:pPr>
            <w:bookmarkStart w:id="297" w:name="Title_02"/>
            <w:bookmarkEnd w:id="295"/>
            <w:bookmarkEnd w:id="297"/>
            <w:r w:rsidRPr="005C0816">
              <w:rPr>
                <w:rFonts w:ascii="Arial" w:hAnsi="Arial" w:cs="Arial"/>
                <w:b/>
                <w:bCs/>
                <w:spacing w:val="-4"/>
                <w:w w:val="105"/>
              </w:rPr>
              <w:t>Term</w:t>
            </w:r>
          </w:p>
        </w:tc>
        <w:tc>
          <w:tcPr>
            <w:tcW w:w="3967" w:type="pct"/>
            <w:tcBorders>
              <w:top w:val="single" w:sz="4" w:space="0" w:color="000000" w:themeColor="text1"/>
              <w:bottom w:val="single" w:sz="4" w:space="0" w:color="000000" w:themeColor="text1"/>
            </w:tcBorders>
          </w:tcPr>
          <w:p w14:paraId="33E244AC" w14:textId="77777777" w:rsidR="00FF3BD9" w:rsidRPr="00867FAF" w:rsidRDefault="00FF3BD9" w:rsidP="003861F3">
            <w:pPr>
              <w:pStyle w:val="TableParagraph"/>
              <w:spacing w:before="0" w:after="120"/>
              <w:rPr>
                <w:rFonts w:ascii="Arial" w:hAnsi="Arial" w:cs="Arial"/>
                <w:b/>
                <w:bCs/>
              </w:rPr>
            </w:pPr>
            <w:r w:rsidRPr="00867FAF">
              <w:rPr>
                <w:rFonts w:ascii="Arial" w:hAnsi="Arial" w:cs="Arial"/>
                <w:b/>
                <w:bCs/>
                <w:spacing w:val="-2"/>
                <w:w w:val="110"/>
              </w:rPr>
              <w:t>Definition</w:t>
            </w:r>
          </w:p>
        </w:tc>
      </w:tr>
      <w:tr w:rsidR="00FF3BD9" w:rsidRPr="000057CB" w14:paraId="464475C9" w14:textId="77777777" w:rsidTr="005E0A16">
        <w:tc>
          <w:tcPr>
            <w:tcW w:w="1033" w:type="pct"/>
            <w:tcBorders>
              <w:top w:val="single" w:sz="4" w:space="0" w:color="000000" w:themeColor="text1"/>
              <w:bottom w:val="single" w:sz="4" w:space="0" w:color="000000" w:themeColor="text1"/>
            </w:tcBorders>
          </w:tcPr>
          <w:p w14:paraId="34DA3292" w14:textId="77777777" w:rsidR="00FF3BD9" w:rsidRPr="00867FAF" w:rsidRDefault="00FF3BD9" w:rsidP="003861F3">
            <w:pPr>
              <w:pStyle w:val="TableParagraph"/>
              <w:spacing w:before="0" w:after="120"/>
              <w:rPr>
                <w:rFonts w:ascii="Arial" w:hAnsi="Arial" w:cs="Arial"/>
              </w:rPr>
            </w:pPr>
            <w:r w:rsidRPr="00867FAF">
              <w:rPr>
                <w:rFonts w:ascii="Arial" w:hAnsi="Arial" w:cs="Arial"/>
                <w:spacing w:val="-2"/>
              </w:rPr>
              <w:t>1800RESPECT</w:t>
            </w:r>
          </w:p>
        </w:tc>
        <w:tc>
          <w:tcPr>
            <w:tcW w:w="3967" w:type="pct"/>
            <w:tcBorders>
              <w:top w:val="single" w:sz="4" w:space="0" w:color="000000" w:themeColor="text1"/>
              <w:bottom w:val="single" w:sz="4" w:space="0" w:color="000000" w:themeColor="text1"/>
            </w:tcBorders>
          </w:tcPr>
          <w:p w14:paraId="03895311" w14:textId="6809D161" w:rsidR="00FF3BD9" w:rsidRPr="00A820CC" w:rsidRDefault="00FF3BD9" w:rsidP="003861F3">
            <w:pPr>
              <w:pStyle w:val="TableParagraph"/>
              <w:spacing w:before="0" w:after="120" w:line="242" w:lineRule="auto"/>
              <w:rPr>
                <w:rFonts w:ascii="Arial" w:hAnsi="Arial" w:cs="Arial"/>
              </w:rPr>
            </w:pPr>
            <w:r w:rsidRPr="00A820CC">
              <w:rPr>
                <w:rFonts w:ascii="Arial" w:hAnsi="Arial" w:cs="Arial"/>
              </w:rPr>
              <w:t>The National domestic, family and sexual violence counselling, information and support service for people affected by domestic, family and sexual violence. The service is free, confidential and available 24 hours a day, seven days a week. Access 1800RESPECT by calling 1800 737 732 or by visiting www.1800respect.org.au.</w:t>
            </w:r>
          </w:p>
        </w:tc>
      </w:tr>
      <w:tr w:rsidR="00FF3BD9" w:rsidRPr="000057CB" w14:paraId="0EC33E94" w14:textId="77777777" w:rsidTr="005E0A16">
        <w:tc>
          <w:tcPr>
            <w:tcW w:w="1033" w:type="pct"/>
            <w:tcBorders>
              <w:top w:val="single" w:sz="4" w:space="0" w:color="000000" w:themeColor="text1"/>
              <w:bottom w:val="single" w:sz="4" w:space="0" w:color="000000" w:themeColor="text1"/>
            </w:tcBorders>
          </w:tcPr>
          <w:p w14:paraId="4B678C37" w14:textId="77777777" w:rsidR="00FF3BD9" w:rsidRPr="00867FAF" w:rsidRDefault="00FF3BD9" w:rsidP="003861F3">
            <w:pPr>
              <w:pStyle w:val="TableParagraph"/>
              <w:spacing w:before="0" w:after="120"/>
              <w:rPr>
                <w:rFonts w:ascii="Arial" w:hAnsi="Arial" w:cs="Arial"/>
              </w:rPr>
            </w:pPr>
            <w:r w:rsidRPr="00867FAF">
              <w:rPr>
                <w:rFonts w:ascii="Arial" w:hAnsi="Arial" w:cs="Arial"/>
                <w:spacing w:val="-2"/>
              </w:rPr>
              <w:t>Ableism</w:t>
            </w:r>
          </w:p>
        </w:tc>
        <w:tc>
          <w:tcPr>
            <w:tcW w:w="3967" w:type="pct"/>
            <w:tcBorders>
              <w:top w:val="single" w:sz="4" w:space="0" w:color="000000" w:themeColor="text1"/>
              <w:bottom w:val="single" w:sz="4" w:space="0" w:color="000000" w:themeColor="text1"/>
            </w:tcBorders>
          </w:tcPr>
          <w:p w14:paraId="2F91FDD2" w14:textId="5BB26D4C" w:rsidR="00FF3BD9" w:rsidRPr="00A820CC" w:rsidRDefault="00FF3BD9" w:rsidP="003861F3">
            <w:pPr>
              <w:pStyle w:val="TableParagraph"/>
              <w:spacing w:before="0" w:after="120" w:line="242" w:lineRule="auto"/>
              <w:rPr>
                <w:rFonts w:ascii="Arial" w:hAnsi="Arial" w:cs="Arial"/>
              </w:rPr>
            </w:pPr>
            <w:r w:rsidRPr="00A820CC">
              <w:rPr>
                <w:rFonts w:ascii="Arial" w:hAnsi="Arial" w:cs="Arial"/>
              </w:rPr>
              <w:t>A term used to capture the way that the construction of social systems with able bodied people as the norm results in the systemic, structural, intersecting and individual forms of discrimination against, and exclusion of, people</w:t>
            </w:r>
            <w:r w:rsidR="000057CB">
              <w:rPr>
                <w:rFonts w:ascii="Arial" w:hAnsi="Arial" w:cs="Arial"/>
              </w:rPr>
              <w:t xml:space="preserve"> </w:t>
            </w:r>
            <w:r w:rsidRPr="00A820CC">
              <w:rPr>
                <w:rFonts w:ascii="Arial" w:hAnsi="Arial" w:cs="Arial"/>
              </w:rPr>
              <w:t>with</w:t>
            </w:r>
            <w:r w:rsidRPr="00A820CC">
              <w:rPr>
                <w:rFonts w:ascii="Arial" w:hAnsi="Arial" w:cs="Arial"/>
                <w:spacing w:val="7"/>
              </w:rPr>
              <w:t xml:space="preserve"> </w:t>
            </w:r>
            <w:r w:rsidRPr="00A820CC">
              <w:rPr>
                <w:rFonts w:ascii="Arial" w:hAnsi="Arial" w:cs="Arial"/>
                <w:spacing w:val="-2"/>
              </w:rPr>
              <w:t>disability.</w:t>
            </w:r>
            <w:r w:rsidR="007D768A" w:rsidRPr="00A820CC">
              <w:rPr>
                <w:rStyle w:val="EndnoteReference"/>
                <w:rFonts w:ascii="Arial" w:hAnsi="Arial" w:cs="Arial"/>
                <w:spacing w:val="-2"/>
              </w:rPr>
              <w:endnoteReference w:id="44"/>
            </w:r>
          </w:p>
        </w:tc>
      </w:tr>
      <w:tr w:rsidR="00FF3BD9" w:rsidRPr="000057CB" w14:paraId="780B6E7B" w14:textId="77777777" w:rsidTr="005E0A16">
        <w:tc>
          <w:tcPr>
            <w:tcW w:w="1033" w:type="pct"/>
            <w:tcBorders>
              <w:top w:val="single" w:sz="4" w:space="0" w:color="000000" w:themeColor="text1"/>
              <w:bottom w:val="single" w:sz="4" w:space="0" w:color="000000" w:themeColor="text1"/>
            </w:tcBorders>
          </w:tcPr>
          <w:p w14:paraId="73446CB5" w14:textId="77777777" w:rsidR="00FF3BD9" w:rsidRPr="00867FAF" w:rsidRDefault="00FF3BD9" w:rsidP="003861F3">
            <w:pPr>
              <w:pStyle w:val="TableParagraph"/>
              <w:spacing w:before="0" w:after="120"/>
              <w:rPr>
                <w:rFonts w:ascii="Arial" w:hAnsi="Arial" w:cs="Arial"/>
              </w:rPr>
            </w:pPr>
            <w:r w:rsidRPr="00867FAF">
              <w:rPr>
                <w:rFonts w:ascii="Arial" w:hAnsi="Arial" w:cs="Arial"/>
              </w:rPr>
              <w:t>Abuse</w:t>
            </w:r>
            <w:r w:rsidRPr="00867FAF">
              <w:rPr>
                <w:rFonts w:ascii="Arial" w:hAnsi="Arial" w:cs="Arial"/>
                <w:spacing w:val="1"/>
              </w:rPr>
              <w:t xml:space="preserve"> </w:t>
            </w:r>
            <w:r w:rsidRPr="00867FAF">
              <w:rPr>
                <w:rFonts w:ascii="Arial" w:hAnsi="Arial" w:cs="Arial"/>
              </w:rPr>
              <w:t>of</w:t>
            </w:r>
            <w:r w:rsidRPr="00867FAF">
              <w:rPr>
                <w:rFonts w:ascii="Arial" w:hAnsi="Arial" w:cs="Arial"/>
                <w:spacing w:val="2"/>
              </w:rPr>
              <w:t xml:space="preserve"> </w:t>
            </w:r>
            <w:r w:rsidRPr="00867FAF">
              <w:rPr>
                <w:rFonts w:ascii="Arial" w:hAnsi="Arial" w:cs="Arial"/>
                <w:spacing w:val="-2"/>
              </w:rPr>
              <w:t>process</w:t>
            </w:r>
          </w:p>
        </w:tc>
        <w:tc>
          <w:tcPr>
            <w:tcW w:w="3967" w:type="pct"/>
            <w:tcBorders>
              <w:top w:val="single" w:sz="4" w:space="0" w:color="000000" w:themeColor="text1"/>
              <w:bottom w:val="single" w:sz="4" w:space="0" w:color="000000" w:themeColor="text1"/>
            </w:tcBorders>
          </w:tcPr>
          <w:p w14:paraId="061894A7" w14:textId="6717EE80" w:rsidR="00FF3BD9" w:rsidRPr="00A820CC" w:rsidRDefault="00FF3BD9" w:rsidP="003861F3">
            <w:pPr>
              <w:pStyle w:val="TableParagraph"/>
              <w:spacing w:before="0" w:after="120" w:line="242" w:lineRule="auto"/>
              <w:rPr>
                <w:rFonts w:ascii="Arial" w:hAnsi="Arial" w:cs="Arial"/>
              </w:rPr>
            </w:pPr>
            <w:r w:rsidRPr="00A820CC">
              <w:rPr>
                <w:rFonts w:ascii="Arial" w:hAnsi="Arial" w:cs="Arial"/>
              </w:rPr>
              <w:t>Abuse of process is the exploitation of rules or processes to control, financially damage or abuse another person. It includes vexatious behaviour by the other party,</w:t>
            </w:r>
            <w:r w:rsidRPr="00A820CC">
              <w:rPr>
                <w:rFonts w:ascii="Arial" w:hAnsi="Arial" w:cs="Arial"/>
                <w:spacing w:val="-6"/>
              </w:rPr>
              <w:t xml:space="preserve"> </w:t>
            </w:r>
            <w:r w:rsidRPr="00A820CC">
              <w:rPr>
                <w:rFonts w:ascii="Arial" w:hAnsi="Arial" w:cs="Arial"/>
              </w:rPr>
              <w:t>controlling</w:t>
            </w:r>
            <w:r w:rsidRPr="00A820CC">
              <w:rPr>
                <w:rFonts w:ascii="Arial" w:hAnsi="Arial" w:cs="Arial"/>
                <w:spacing w:val="-6"/>
              </w:rPr>
              <w:t xml:space="preserve"> </w:t>
            </w:r>
            <w:r w:rsidRPr="00A820CC">
              <w:rPr>
                <w:rFonts w:ascii="Arial" w:hAnsi="Arial" w:cs="Arial"/>
              </w:rPr>
              <w:t>parties</w:t>
            </w:r>
            <w:r w:rsidRPr="00A820CC">
              <w:rPr>
                <w:rFonts w:ascii="Arial" w:hAnsi="Arial" w:cs="Arial"/>
                <w:spacing w:val="-6"/>
              </w:rPr>
              <w:t xml:space="preserve"> </w:t>
            </w:r>
            <w:r w:rsidRPr="00A820CC">
              <w:rPr>
                <w:rFonts w:ascii="Arial" w:hAnsi="Arial" w:cs="Arial"/>
              </w:rPr>
              <w:t>through</w:t>
            </w:r>
            <w:r w:rsidRPr="00A820CC">
              <w:rPr>
                <w:rFonts w:ascii="Arial" w:hAnsi="Arial" w:cs="Arial"/>
                <w:spacing w:val="-6"/>
              </w:rPr>
              <w:t xml:space="preserve"> </w:t>
            </w:r>
            <w:r w:rsidRPr="00A820CC">
              <w:rPr>
                <w:rFonts w:ascii="Arial" w:hAnsi="Arial" w:cs="Arial"/>
              </w:rPr>
              <w:t>the</w:t>
            </w:r>
            <w:r w:rsidRPr="00A820CC">
              <w:rPr>
                <w:rFonts w:ascii="Arial" w:hAnsi="Arial" w:cs="Arial"/>
                <w:spacing w:val="-6"/>
              </w:rPr>
              <w:t xml:space="preserve"> </w:t>
            </w:r>
            <w:r w:rsidRPr="00A820CC">
              <w:rPr>
                <w:rFonts w:ascii="Arial" w:hAnsi="Arial" w:cs="Arial"/>
              </w:rPr>
              <w:t>emotional</w:t>
            </w:r>
            <w:r w:rsidRPr="00A820CC">
              <w:rPr>
                <w:rFonts w:ascii="Arial" w:hAnsi="Arial" w:cs="Arial"/>
                <w:spacing w:val="-6"/>
              </w:rPr>
              <w:t xml:space="preserve"> </w:t>
            </w:r>
            <w:r w:rsidRPr="00A820CC">
              <w:rPr>
                <w:rFonts w:ascii="Arial" w:hAnsi="Arial" w:cs="Arial"/>
              </w:rPr>
              <w:t>and</w:t>
            </w:r>
            <w:r w:rsidRPr="00A820CC">
              <w:rPr>
                <w:rFonts w:ascii="Arial" w:hAnsi="Arial" w:cs="Arial"/>
                <w:spacing w:val="-6"/>
              </w:rPr>
              <w:t xml:space="preserve"> </w:t>
            </w:r>
            <w:r w:rsidRPr="00A820CC">
              <w:rPr>
                <w:rFonts w:ascii="Arial" w:hAnsi="Arial" w:cs="Arial"/>
              </w:rPr>
              <w:t>economic</w:t>
            </w:r>
            <w:r w:rsidRPr="00A820CC">
              <w:rPr>
                <w:rFonts w:ascii="Arial" w:hAnsi="Arial" w:cs="Arial"/>
                <w:spacing w:val="-6"/>
              </w:rPr>
              <w:t xml:space="preserve"> </w:t>
            </w:r>
            <w:r w:rsidRPr="00A820CC">
              <w:rPr>
                <w:rFonts w:ascii="Arial" w:hAnsi="Arial" w:cs="Arial"/>
              </w:rPr>
              <w:t>toll</w:t>
            </w:r>
            <w:r w:rsidRPr="00A820CC">
              <w:rPr>
                <w:rFonts w:ascii="Arial" w:hAnsi="Arial" w:cs="Arial"/>
                <w:spacing w:val="-6"/>
              </w:rPr>
              <w:t xml:space="preserve"> </w:t>
            </w:r>
            <w:r w:rsidRPr="00A820CC">
              <w:rPr>
                <w:rFonts w:ascii="Arial" w:hAnsi="Arial" w:cs="Arial"/>
              </w:rPr>
              <w:t>of</w:t>
            </w:r>
            <w:r w:rsidRPr="00A820CC">
              <w:rPr>
                <w:rFonts w:ascii="Arial" w:hAnsi="Arial" w:cs="Arial"/>
                <w:spacing w:val="-6"/>
              </w:rPr>
              <w:t xml:space="preserve"> </w:t>
            </w:r>
            <w:r w:rsidRPr="00A820CC">
              <w:rPr>
                <w:rFonts w:ascii="Arial" w:hAnsi="Arial" w:cs="Arial"/>
              </w:rPr>
              <w:t>ongoing</w:t>
            </w:r>
            <w:r w:rsidRPr="00A820CC">
              <w:rPr>
                <w:rFonts w:ascii="Arial" w:hAnsi="Arial" w:cs="Arial"/>
                <w:spacing w:val="-6"/>
              </w:rPr>
              <w:t xml:space="preserve"> </w:t>
            </w:r>
            <w:r w:rsidRPr="00A820CC">
              <w:rPr>
                <w:rFonts w:ascii="Arial" w:hAnsi="Arial" w:cs="Arial"/>
              </w:rPr>
              <w:t>court proceedings. These tactics are also referred to as malicious, frivolous, vexatious</w:t>
            </w:r>
            <w:r w:rsidR="000E05A0">
              <w:rPr>
                <w:rFonts w:ascii="Arial" w:hAnsi="Arial" w:cs="Arial"/>
              </w:rPr>
              <w:t xml:space="preserve"> </w:t>
            </w:r>
            <w:r w:rsidRPr="00A820CC">
              <w:rPr>
                <w:rFonts w:ascii="Arial" w:hAnsi="Arial" w:cs="Arial"/>
              </w:rPr>
              <w:t>or</w:t>
            </w:r>
            <w:r w:rsidRPr="00A820CC">
              <w:rPr>
                <w:rFonts w:ascii="Arial" w:hAnsi="Arial" w:cs="Arial"/>
                <w:spacing w:val="-7"/>
              </w:rPr>
              <w:t xml:space="preserve"> </w:t>
            </w:r>
            <w:r w:rsidRPr="00A820CC">
              <w:rPr>
                <w:rFonts w:ascii="Arial" w:hAnsi="Arial" w:cs="Arial"/>
              </w:rPr>
              <w:t>querulous.</w:t>
            </w:r>
            <w:r w:rsidRPr="00A820CC">
              <w:rPr>
                <w:rFonts w:ascii="Arial" w:hAnsi="Arial" w:cs="Arial"/>
                <w:spacing w:val="-7"/>
              </w:rPr>
              <w:t xml:space="preserve"> </w:t>
            </w:r>
            <w:r w:rsidRPr="00A820CC">
              <w:rPr>
                <w:rFonts w:ascii="Arial" w:hAnsi="Arial" w:cs="Arial"/>
              </w:rPr>
              <w:t>Some</w:t>
            </w:r>
            <w:r w:rsidRPr="00A820CC">
              <w:rPr>
                <w:rFonts w:ascii="Arial" w:hAnsi="Arial" w:cs="Arial"/>
                <w:spacing w:val="-7"/>
              </w:rPr>
              <w:t xml:space="preserve"> </w:t>
            </w:r>
            <w:r w:rsidRPr="00A820CC">
              <w:rPr>
                <w:rFonts w:ascii="Arial" w:hAnsi="Arial" w:cs="Arial"/>
              </w:rPr>
              <w:t>examples</w:t>
            </w:r>
            <w:r w:rsidRPr="00A820CC">
              <w:rPr>
                <w:rFonts w:ascii="Arial" w:hAnsi="Arial" w:cs="Arial"/>
                <w:spacing w:val="-7"/>
              </w:rPr>
              <w:t xml:space="preserve"> </w:t>
            </w:r>
            <w:r w:rsidRPr="00A820CC">
              <w:rPr>
                <w:rFonts w:ascii="Arial" w:hAnsi="Arial" w:cs="Arial"/>
              </w:rPr>
              <w:t>include</w:t>
            </w:r>
            <w:r w:rsidRPr="00A820CC">
              <w:rPr>
                <w:rFonts w:ascii="Arial" w:hAnsi="Arial" w:cs="Arial"/>
                <w:spacing w:val="-7"/>
              </w:rPr>
              <w:t xml:space="preserve"> </w:t>
            </w:r>
            <w:r w:rsidRPr="00A820CC">
              <w:rPr>
                <w:rFonts w:ascii="Arial" w:hAnsi="Arial" w:cs="Arial"/>
              </w:rPr>
              <w:t>the</w:t>
            </w:r>
            <w:r w:rsidRPr="00A820CC">
              <w:rPr>
                <w:rFonts w:ascii="Arial" w:hAnsi="Arial" w:cs="Arial"/>
                <w:spacing w:val="-7"/>
              </w:rPr>
              <w:t xml:space="preserve"> </w:t>
            </w:r>
            <w:r w:rsidRPr="00A820CC">
              <w:rPr>
                <w:rFonts w:ascii="Arial" w:hAnsi="Arial" w:cs="Arial"/>
              </w:rPr>
              <w:t>perpetrator</w:t>
            </w:r>
            <w:r w:rsidRPr="00A820CC">
              <w:rPr>
                <w:rFonts w:ascii="Arial" w:hAnsi="Arial" w:cs="Arial"/>
                <w:spacing w:val="-7"/>
              </w:rPr>
              <w:t xml:space="preserve"> </w:t>
            </w:r>
            <w:r w:rsidRPr="00A820CC">
              <w:rPr>
                <w:rFonts w:ascii="Arial" w:hAnsi="Arial" w:cs="Arial"/>
              </w:rPr>
              <w:t>failing</w:t>
            </w:r>
            <w:r w:rsidRPr="00A820CC">
              <w:rPr>
                <w:rFonts w:ascii="Arial" w:hAnsi="Arial" w:cs="Arial"/>
                <w:spacing w:val="-7"/>
              </w:rPr>
              <w:t xml:space="preserve"> </w:t>
            </w:r>
            <w:r w:rsidRPr="00A820CC">
              <w:rPr>
                <w:rFonts w:ascii="Arial" w:hAnsi="Arial" w:cs="Arial"/>
              </w:rPr>
              <w:t>to</w:t>
            </w:r>
            <w:r w:rsidRPr="00A820CC">
              <w:rPr>
                <w:rFonts w:ascii="Arial" w:hAnsi="Arial" w:cs="Arial"/>
                <w:spacing w:val="-7"/>
              </w:rPr>
              <w:t xml:space="preserve"> </w:t>
            </w:r>
            <w:r w:rsidRPr="00A820CC">
              <w:rPr>
                <w:rFonts w:ascii="Arial" w:hAnsi="Arial" w:cs="Arial"/>
              </w:rPr>
              <w:t>appear</w:t>
            </w:r>
            <w:r w:rsidRPr="00A820CC">
              <w:rPr>
                <w:rFonts w:ascii="Arial" w:hAnsi="Arial" w:cs="Arial"/>
                <w:spacing w:val="-7"/>
              </w:rPr>
              <w:t xml:space="preserve"> </w:t>
            </w:r>
            <w:r w:rsidRPr="00A820CC">
              <w:rPr>
                <w:rFonts w:ascii="Arial" w:hAnsi="Arial" w:cs="Arial"/>
              </w:rPr>
              <w:t>in</w:t>
            </w:r>
            <w:r w:rsidRPr="00A820CC">
              <w:rPr>
                <w:rFonts w:ascii="Arial" w:hAnsi="Arial" w:cs="Arial"/>
                <w:spacing w:val="-7"/>
              </w:rPr>
              <w:t xml:space="preserve"> </w:t>
            </w:r>
            <w:r w:rsidRPr="00A820CC">
              <w:rPr>
                <w:rFonts w:ascii="Arial" w:hAnsi="Arial" w:cs="Arial"/>
              </w:rPr>
              <w:t>court, repeatedly</w:t>
            </w:r>
            <w:r w:rsidRPr="00A820CC">
              <w:rPr>
                <w:rFonts w:ascii="Arial" w:hAnsi="Arial" w:cs="Arial"/>
                <w:spacing w:val="-3"/>
              </w:rPr>
              <w:t xml:space="preserve"> </w:t>
            </w:r>
            <w:r w:rsidRPr="00A820CC">
              <w:rPr>
                <w:rFonts w:ascii="Arial" w:hAnsi="Arial" w:cs="Arial"/>
              </w:rPr>
              <w:t>seeking</w:t>
            </w:r>
            <w:r w:rsidRPr="00A820CC">
              <w:rPr>
                <w:rFonts w:ascii="Arial" w:hAnsi="Arial" w:cs="Arial"/>
                <w:spacing w:val="-3"/>
              </w:rPr>
              <w:t xml:space="preserve"> </w:t>
            </w:r>
            <w:r w:rsidRPr="00A820CC">
              <w:rPr>
                <w:rFonts w:ascii="Arial" w:hAnsi="Arial" w:cs="Arial"/>
              </w:rPr>
              <w:t>adjournments,</w:t>
            </w:r>
            <w:r w:rsidRPr="00A820CC">
              <w:rPr>
                <w:rFonts w:ascii="Arial" w:hAnsi="Arial" w:cs="Arial"/>
                <w:spacing w:val="-3"/>
              </w:rPr>
              <w:t xml:space="preserve"> </w:t>
            </w:r>
            <w:r w:rsidRPr="00A820CC">
              <w:rPr>
                <w:rFonts w:ascii="Arial" w:hAnsi="Arial" w:cs="Arial"/>
              </w:rPr>
              <w:t>or</w:t>
            </w:r>
            <w:r w:rsidRPr="00A820CC">
              <w:rPr>
                <w:rFonts w:ascii="Arial" w:hAnsi="Arial" w:cs="Arial"/>
                <w:spacing w:val="-3"/>
              </w:rPr>
              <w:t xml:space="preserve"> </w:t>
            </w:r>
            <w:r w:rsidRPr="00A820CC">
              <w:rPr>
                <w:rFonts w:ascii="Arial" w:hAnsi="Arial" w:cs="Arial"/>
              </w:rPr>
              <w:t>appealing</w:t>
            </w:r>
            <w:r w:rsidRPr="00A820CC">
              <w:rPr>
                <w:rFonts w:ascii="Arial" w:hAnsi="Arial" w:cs="Arial"/>
                <w:spacing w:val="-3"/>
              </w:rPr>
              <w:t xml:space="preserve"> </w:t>
            </w:r>
            <w:r w:rsidRPr="00A820CC">
              <w:rPr>
                <w:rFonts w:ascii="Arial" w:hAnsi="Arial" w:cs="Arial"/>
              </w:rPr>
              <w:t>decisions</w:t>
            </w:r>
            <w:r w:rsidRPr="00A820CC">
              <w:rPr>
                <w:rFonts w:ascii="Arial" w:hAnsi="Arial" w:cs="Arial"/>
                <w:spacing w:val="-3"/>
              </w:rPr>
              <w:t xml:space="preserve"> </w:t>
            </w:r>
            <w:r w:rsidRPr="00A820CC">
              <w:rPr>
                <w:rFonts w:ascii="Arial" w:hAnsi="Arial" w:cs="Arial"/>
              </w:rPr>
              <w:t>on</w:t>
            </w:r>
            <w:r w:rsidRPr="00A820CC">
              <w:rPr>
                <w:rFonts w:ascii="Arial" w:hAnsi="Arial" w:cs="Arial"/>
                <w:spacing w:val="-3"/>
              </w:rPr>
              <w:t xml:space="preserve"> </w:t>
            </w:r>
            <w:r w:rsidRPr="00A820CC">
              <w:rPr>
                <w:rFonts w:ascii="Arial" w:hAnsi="Arial" w:cs="Arial"/>
              </w:rPr>
              <w:t>tenuous</w:t>
            </w:r>
            <w:r w:rsidRPr="00A820CC">
              <w:rPr>
                <w:rFonts w:ascii="Arial" w:hAnsi="Arial" w:cs="Arial"/>
                <w:spacing w:val="-3"/>
              </w:rPr>
              <w:t xml:space="preserve"> </w:t>
            </w:r>
            <w:r w:rsidRPr="00A820CC">
              <w:rPr>
                <w:rFonts w:ascii="Arial" w:hAnsi="Arial" w:cs="Arial"/>
              </w:rPr>
              <w:t>grounds.</w:t>
            </w:r>
          </w:p>
        </w:tc>
      </w:tr>
      <w:tr w:rsidR="00FF3BD9" w:rsidRPr="000057CB" w14:paraId="2C27FFD1" w14:textId="77777777" w:rsidTr="005E0A16">
        <w:tc>
          <w:tcPr>
            <w:tcW w:w="1033" w:type="pct"/>
            <w:tcBorders>
              <w:top w:val="single" w:sz="4" w:space="0" w:color="000000" w:themeColor="text1"/>
              <w:bottom w:val="single" w:sz="4" w:space="0" w:color="000000" w:themeColor="text1"/>
            </w:tcBorders>
          </w:tcPr>
          <w:p w14:paraId="699A5E24" w14:textId="77777777" w:rsidR="00FF3BD9" w:rsidRPr="00867FAF" w:rsidRDefault="00FF3BD9" w:rsidP="003861F3">
            <w:pPr>
              <w:pStyle w:val="TableParagraph"/>
              <w:spacing w:before="0" w:after="120"/>
              <w:rPr>
                <w:rFonts w:ascii="Arial" w:hAnsi="Arial" w:cs="Arial"/>
              </w:rPr>
            </w:pPr>
            <w:r w:rsidRPr="00867FAF">
              <w:rPr>
                <w:rFonts w:ascii="Arial" w:hAnsi="Arial" w:cs="Arial"/>
                <w:spacing w:val="-2"/>
              </w:rPr>
              <w:t>ANROWS</w:t>
            </w:r>
          </w:p>
        </w:tc>
        <w:tc>
          <w:tcPr>
            <w:tcW w:w="3967" w:type="pct"/>
            <w:tcBorders>
              <w:top w:val="single" w:sz="4" w:space="0" w:color="000000" w:themeColor="text1"/>
              <w:bottom w:val="single" w:sz="4" w:space="0" w:color="000000" w:themeColor="text1"/>
            </w:tcBorders>
          </w:tcPr>
          <w:p w14:paraId="621A75D9" w14:textId="58E75E8D" w:rsidR="00FF3BD9" w:rsidRPr="00A820CC" w:rsidRDefault="00FF3BD9" w:rsidP="003861F3">
            <w:pPr>
              <w:pStyle w:val="TableParagraph"/>
              <w:spacing w:before="0" w:after="120" w:line="242" w:lineRule="auto"/>
              <w:rPr>
                <w:rFonts w:ascii="Arial" w:hAnsi="Arial" w:cs="Arial"/>
              </w:rPr>
            </w:pPr>
            <w:r w:rsidRPr="00A820CC">
              <w:rPr>
                <w:rFonts w:ascii="Arial" w:hAnsi="Arial" w:cs="Arial"/>
              </w:rPr>
              <w:t>Australia’s National Research Organisation for Women’s Safety, a not-for-profit independent national research organisation. ANROWS was established by the Commonwealt</w:t>
            </w:r>
            <w:r w:rsidR="0007085E">
              <w:rPr>
                <w:rFonts w:ascii="Arial" w:hAnsi="Arial" w:cs="Arial"/>
              </w:rPr>
              <w:t>h</w:t>
            </w:r>
            <w:r w:rsidR="00206751">
              <w:rPr>
                <w:rFonts w:ascii="Arial" w:hAnsi="Arial" w:cs="Arial"/>
              </w:rPr>
              <w:t xml:space="preserve">, </w:t>
            </w:r>
            <w:r w:rsidRPr="00A820CC">
              <w:rPr>
                <w:rFonts w:ascii="Arial" w:hAnsi="Arial" w:cs="Arial"/>
              </w:rPr>
              <w:t>state and territory governments to produce, disseminate, and assist in applying evidence for policy and practice addressing violence</w:t>
            </w:r>
            <w:r w:rsidRPr="00A820CC">
              <w:rPr>
                <w:rFonts w:ascii="Arial" w:hAnsi="Arial" w:cs="Arial"/>
                <w:spacing w:val="40"/>
              </w:rPr>
              <w:t xml:space="preserve"> </w:t>
            </w:r>
            <w:r w:rsidRPr="00A820CC">
              <w:rPr>
                <w:rFonts w:ascii="Arial" w:hAnsi="Arial" w:cs="Arial"/>
              </w:rPr>
              <w:t>against women.</w:t>
            </w:r>
          </w:p>
        </w:tc>
      </w:tr>
      <w:tr w:rsidR="00FF3BD9" w:rsidRPr="000057CB" w14:paraId="4B5960F2" w14:textId="77777777" w:rsidTr="005E0A16">
        <w:tc>
          <w:tcPr>
            <w:tcW w:w="1033" w:type="pct"/>
            <w:tcBorders>
              <w:top w:val="single" w:sz="4" w:space="0" w:color="000000" w:themeColor="text1"/>
              <w:bottom w:val="single" w:sz="4" w:space="0" w:color="000000" w:themeColor="text1"/>
            </w:tcBorders>
          </w:tcPr>
          <w:p w14:paraId="158DC3AE" w14:textId="77777777" w:rsidR="00FF3BD9" w:rsidRPr="00867FAF" w:rsidRDefault="00FF3BD9" w:rsidP="003861F3">
            <w:pPr>
              <w:pStyle w:val="TableParagraph"/>
              <w:spacing w:before="0" w:after="120"/>
              <w:rPr>
                <w:rFonts w:ascii="Arial" w:hAnsi="Arial" w:cs="Arial"/>
              </w:rPr>
            </w:pPr>
            <w:r w:rsidRPr="00867FAF">
              <w:rPr>
                <w:rFonts w:ascii="Arial" w:hAnsi="Arial" w:cs="Arial"/>
              </w:rPr>
              <w:t>Backlash</w:t>
            </w:r>
            <w:r w:rsidRPr="00867FAF">
              <w:rPr>
                <w:rFonts w:ascii="Arial" w:hAnsi="Arial" w:cs="Arial"/>
                <w:spacing w:val="6"/>
              </w:rPr>
              <w:t xml:space="preserve"> </w:t>
            </w:r>
            <w:r w:rsidRPr="00867FAF">
              <w:rPr>
                <w:rFonts w:ascii="Arial" w:hAnsi="Arial" w:cs="Arial"/>
              </w:rPr>
              <w:t>/</w:t>
            </w:r>
            <w:r w:rsidRPr="00867FAF">
              <w:rPr>
                <w:rFonts w:ascii="Arial" w:hAnsi="Arial" w:cs="Arial"/>
                <w:spacing w:val="6"/>
              </w:rPr>
              <w:t xml:space="preserve"> </w:t>
            </w:r>
            <w:r w:rsidRPr="00867FAF">
              <w:rPr>
                <w:rFonts w:ascii="Arial" w:hAnsi="Arial" w:cs="Arial"/>
                <w:spacing w:val="-2"/>
              </w:rPr>
              <w:t>resistance</w:t>
            </w:r>
          </w:p>
        </w:tc>
        <w:tc>
          <w:tcPr>
            <w:tcW w:w="3967" w:type="pct"/>
            <w:tcBorders>
              <w:top w:val="single" w:sz="4" w:space="0" w:color="000000" w:themeColor="text1"/>
              <w:bottom w:val="single" w:sz="4" w:space="0" w:color="000000" w:themeColor="text1"/>
            </w:tcBorders>
          </w:tcPr>
          <w:p w14:paraId="7A989A03" w14:textId="07D9F63D" w:rsidR="00FF3BD9" w:rsidRPr="00A820CC" w:rsidRDefault="00FF3BD9" w:rsidP="003861F3">
            <w:pPr>
              <w:pStyle w:val="TableParagraph"/>
              <w:spacing w:before="0" w:after="120" w:line="242" w:lineRule="auto"/>
              <w:rPr>
                <w:rFonts w:ascii="Arial" w:hAnsi="Arial" w:cs="Arial"/>
              </w:rPr>
            </w:pPr>
            <w:r w:rsidRPr="00A820CC">
              <w:rPr>
                <w:rFonts w:ascii="Arial" w:hAnsi="Arial" w:cs="Arial"/>
              </w:rPr>
              <w:t>The resistance, hostility or aggression with which gender equality or violence prevention strategies are met by some groups. From a feminist perspective, backlash can be understood as an inevitable response to challenges to male dominance,</w:t>
            </w:r>
            <w:r w:rsidRPr="00A820CC">
              <w:rPr>
                <w:rFonts w:ascii="Arial" w:hAnsi="Arial" w:cs="Arial"/>
                <w:spacing w:val="-8"/>
              </w:rPr>
              <w:t xml:space="preserve"> </w:t>
            </w:r>
            <w:r w:rsidRPr="00A820CC">
              <w:rPr>
                <w:rFonts w:ascii="Arial" w:hAnsi="Arial" w:cs="Arial"/>
              </w:rPr>
              <w:t>power</w:t>
            </w:r>
            <w:r w:rsidRPr="00A820CC">
              <w:rPr>
                <w:rFonts w:ascii="Arial" w:hAnsi="Arial" w:cs="Arial"/>
                <w:spacing w:val="-8"/>
              </w:rPr>
              <w:t xml:space="preserve"> </w:t>
            </w:r>
            <w:r w:rsidRPr="00A820CC">
              <w:rPr>
                <w:rFonts w:ascii="Arial" w:hAnsi="Arial" w:cs="Arial"/>
              </w:rPr>
              <w:t>or</w:t>
            </w:r>
            <w:r w:rsidRPr="00A820CC">
              <w:rPr>
                <w:rFonts w:ascii="Arial" w:hAnsi="Arial" w:cs="Arial"/>
                <w:spacing w:val="-8"/>
              </w:rPr>
              <w:t xml:space="preserve"> </w:t>
            </w:r>
            <w:r w:rsidRPr="00A820CC">
              <w:rPr>
                <w:rFonts w:ascii="Arial" w:hAnsi="Arial" w:cs="Arial"/>
              </w:rPr>
              <w:t>status,</w:t>
            </w:r>
            <w:r w:rsidRPr="00A820CC">
              <w:rPr>
                <w:rFonts w:ascii="Arial" w:hAnsi="Arial" w:cs="Arial"/>
                <w:spacing w:val="-8"/>
              </w:rPr>
              <w:t xml:space="preserve"> </w:t>
            </w:r>
            <w:r w:rsidRPr="00A820CC">
              <w:rPr>
                <w:rFonts w:ascii="Arial" w:hAnsi="Arial" w:cs="Arial"/>
              </w:rPr>
              <w:t>and</w:t>
            </w:r>
            <w:r w:rsidRPr="00A820CC">
              <w:rPr>
                <w:rFonts w:ascii="Arial" w:hAnsi="Arial" w:cs="Arial"/>
                <w:spacing w:val="-8"/>
              </w:rPr>
              <w:t xml:space="preserve"> </w:t>
            </w:r>
            <w:r w:rsidRPr="00A820CC">
              <w:rPr>
                <w:rFonts w:ascii="Arial" w:hAnsi="Arial" w:cs="Arial"/>
              </w:rPr>
              <w:t>is</w:t>
            </w:r>
            <w:r w:rsidRPr="00A820CC">
              <w:rPr>
                <w:rFonts w:ascii="Arial" w:hAnsi="Arial" w:cs="Arial"/>
                <w:spacing w:val="-8"/>
              </w:rPr>
              <w:t xml:space="preserve"> </w:t>
            </w:r>
            <w:r w:rsidRPr="00A820CC">
              <w:rPr>
                <w:rFonts w:ascii="Arial" w:hAnsi="Arial" w:cs="Arial"/>
              </w:rPr>
              <w:t>often</w:t>
            </w:r>
            <w:r w:rsidRPr="00A820CC">
              <w:rPr>
                <w:rFonts w:ascii="Arial" w:hAnsi="Arial" w:cs="Arial"/>
                <w:spacing w:val="-8"/>
              </w:rPr>
              <w:t xml:space="preserve"> </w:t>
            </w:r>
            <w:r w:rsidRPr="00A820CC">
              <w:rPr>
                <w:rFonts w:ascii="Arial" w:hAnsi="Arial" w:cs="Arial"/>
              </w:rPr>
              <w:t>interpreted</w:t>
            </w:r>
            <w:r w:rsidRPr="00A820CC">
              <w:rPr>
                <w:rFonts w:ascii="Arial" w:hAnsi="Arial" w:cs="Arial"/>
                <w:spacing w:val="-8"/>
              </w:rPr>
              <w:t xml:space="preserve"> </w:t>
            </w:r>
            <w:r w:rsidRPr="00A820CC">
              <w:rPr>
                <w:rFonts w:ascii="Arial" w:hAnsi="Arial" w:cs="Arial"/>
              </w:rPr>
              <w:t>as</w:t>
            </w:r>
            <w:r w:rsidRPr="00A820CC">
              <w:rPr>
                <w:rFonts w:ascii="Arial" w:hAnsi="Arial" w:cs="Arial"/>
                <w:spacing w:val="-8"/>
              </w:rPr>
              <w:t xml:space="preserve"> </w:t>
            </w:r>
            <w:r w:rsidRPr="00A820CC">
              <w:rPr>
                <w:rFonts w:ascii="Arial" w:hAnsi="Arial" w:cs="Arial"/>
              </w:rPr>
              <w:t>a</w:t>
            </w:r>
            <w:r w:rsidRPr="00A820CC">
              <w:rPr>
                <w:rFonts w:ascii="Arial" w:hAnsi="Arial" w:cs="Arial"/>
                <w:spacing w:val="-8"/>
              </w:rPr>
              <w:t xml:space="preserve"> </w:t>
            </w:r>
            <w:r w:rsidRPr="00A820CC">
              <w:rPr>
                <w:rFonts w:ascii="Arial" w:hAnsi="Arial" w:cs="Arial"/>
              </w:rPr>
              <w:t>sign</w:t>
            </w:r>
            <w:r w:rsidRPr="00A820CC">
              <w:rPr>
                <w:rFonts w:ascii="Arial" w:hAnsi="Arial" w:cs="Arial"/>
                <w:spacing w:val="-8"/>
              </w:rPr>
              <w:t xml:space="preserve"> </w:t>
            </w:r>
            <w:r w:rsidRPr="00A820CC">
              <w:rPr>
                <w:rFonts w:ascii="Arial" w:hAnsi="Arial" w:cs="Arial"/>
              </w:rPr>
              <w:t>that</w:t>
            </w:r>
            <w:r w:rsidRPr="00A820CC">
              <w:rPr>
                <w:rFonts w:ascii="Arial" w:hAnsi="Arial" w:cs="Arial"/>
                <w:spacing w:val="-8"/>
              </w:rPr>
              <w:t xml:space="preserve"> </w:t>
            </w:r>
            <w:r w:rsidRPr="00A820CC">
              <w:rPr>
                <w:rFonts w:ascii="Arial" w:hAnsi="Arial" w:cs="Arial"/>
              </w:rPr>
              <w:t>such</w:t>
            </w:r>
            <w:r w:rsidRPr="00A820CC">
              <w:rPr>
                <w:rFonts w:ascii="Arial" w:hAnsi="Arial" w:cs="Arial"/>
                <w:spacing w:val="-8"/>
              </w:rPr>
              <w:t xml:space="preserve"> </w:t>
            </w:r>
            <w:r w:rsidRPr="00A820CC">
              <w:rPr>
                <w:rFonts w:ascii="Arial" w:hAnsi="Arial" w:cs="Arial"/>
              </w:rPr>
              <w:t>challenges are proving effective.</w:t>
            </w:r>
            <w:r w:rsidR="000B6B64" w:rsidRPr="00A820CC">
              <w:rPr>
                <w:rStyle w:val="EndnoteReference"/>
                <w:rFonts w:ascii="Arial" w:hAnsi="Arial" w:cs="Arial"/>
              </w:rPr>
              <w:endnoteReference w:id="45"/>
            </w:r>
          </w:p>
        </w:tc>
      </w:tr>
      <w:tr w:rsidR="00FF3BD9" w:rsidRPr="000057CB" w14:paraId="55DC0C32" w14:textId="77777777" w:rsidTr="005E0A16">
        <w:tc>
          <w:tcPr>
            <w:tcW w:w="1033" w:type="pct"/>
            <w:tcBorders>
              <w:top w:val="single" w:sz="4" w:space="0" w:color="000000" w:themeColor="text1"/>
              <w:bottom w:val="single" w:sz="4" w:space="0" w:color="000000" w:themeColor="text1"/>
            </w:tcBorders>
          </w:tcPr>
          <w:p w14:paraId="3EE9077F" w14:textId="77777777" w:rsidR="00FF3BD9" w:rsidRPr="00867FAF" w:rsidRDefault="00FF3BD9" w:rsidP="003861F3">
            <w:pPr>
              <w:pStyle w:val="TableParagraph"/>
              <w:spacing w:before="0" w:after="120"/>
              <w:rPr>
                <w:rFonts w:ascii="Arial" w:hAnsi="Arial" w:cs="Arial"/>
              </w:rPr>
            </w:pPr>
            <w:r w:rsidRPr="00867FAF">
              <w:rPr>
                <w:rFonts w:ascii="Arial" w:hAnsi="Arial" w:cs="Arial"/>
                <w:spacing w:val="-2"/>
              </w:rPr>
              <w:t>Bisexual/Bi+</w:t>
            </w:r>
          </w:p>
        </w:tc>
        <w:tc>
          <w:tcPr>
            <w:tcW w:w="3967" w:type="pct"/>
            <w:tcBorders>
              <w:top w:val="single" w:sz="4" w:space="0" w:color="000000" w:themeColor="text1"/>
              <w:bottom w:val="single" w:sz="4" w:space="0" w:color="000000" w:themeColor="text1"/>
            </w:tcBorders>
          </w:tcPr>
          <w:p w14:paraId="0CD155FA" w14:textId="77777777" w:rsidR="00FF3BD9" w:rsidRPr="00A820CC" w:rsidRDefault="00FF3BD9" w:rsidP="003861F3">
            <w:pPr>
              <w:pStyle w:val="TableParagraph"/>
              <w:spacing w:before="0" w:after="120"/>
              <w:rPr>
                <w:rFonts w:ascii="Arial" w:hAnsi="Arial" w:cs="Arial"/>
              </w:rPr>
            </w:pPr>
            <w:r w:rsidRPr="00A820CC">
              <w:rPr>
                <w:rFonts w:ascii="Arial" w:hAnsi="Arial" w:cs="Arial"/>
              </w:rPr>
              <w:t>Someone</w:t>
            </w:r>
            <w:r w:rsidRPr="00A820CC">
              <w:rPr>
                <w:rFonts w:ascii="Arial" w:hAnsi="Arial" w:cs="Arial"/>
                <w:spacing w:val="5"/>
              </w:rPr>
              <w:t xml:space="preserve"> </w:t>
            </w:r>
            <w:r w:rsidRPr="00A820CC">
              <w:rPr>
                <w:rFonts w:ascii="Arial" w:hAnsi="Arial" w:cs="Arial"/>
              </w:rPr>
              <w:t>who</w:t>
            </w:r>
            <w:r w:rsidRPr="00A820CC">
              <w:rPr>
                <w:rFonts w:ascii="Arial" w:hAnsi="Arial" w:cs="Arial"/>
                <w:spacing w:val="5"/>
              </w:rPr>
              <w:t xml:space="preserve"> </w:t>
            </w:r>
            <w:r w:rsidRPr="00A820CC">
              <w:rPr>
                <w:rFonts w:ascii="Arial" w:hAnsi="Arial" w:cs="Arial"/>
              </w:rPr>
              <w:t>is</w:t>
            </w:r>
            <w:r w:rsidRPr="00A820CC">
              <w:rPr>
                <w:rFonts w:ascii="Arial" w:hAnsi="Arial" w:cs="Arial"/>
                <w:spacing w:val="5"/>
              </w:rPr>
              <w:t xml:space="preserve"> </w:t>
            </w:r>
            <w:r w:rsidRPr="00A820CC">
              <w:rPr>
                <w:rFonts w:ascii="Arial" w:hAnsi="Arial" w:cs="Arial"/>
              </w:rPr>
              <w:t>sexually</w:t>
            </w:r>
            <w:r w:rsidRPr="00A820CC">
              <w:rPr>
                <w:rFonts w:ascii="Arial" w:hAnsi="Arial" w:cs="Arial"/>
                <w:spacing w:val="5"/>
              </w:rPr>
              <w:t xml:space="preserve"> </w:t>
            </w:r>
            <w:r w:rsidRPr="00A820CC">
              <w:rPr>
                <w:rFonts w:ascii="Arial" w:hAnsi="Arial" w:cs="Arial"/>
              </w:rPr>
              <w:t>and/or</w:t>
            </w:r>
            <w:r w:rsidRPr="00A820CC">
              <w:rPr>
                <w:rFonts w:ascii="Arial" w:hAnsi="Arial" w:cs="Arial"/>
                <w:spacing w:val="5"/>
              </w:rPr>
              <w:t xml:space="preserve"> </w:t>
            </w:r>
            <w:r w:rsidRPr="00A820CC">
              <w:rPr>
                <w:rFonts w:ascii="Arial" w:hAnsi="Arial" w:cs="Arial"/>
              </w:rPr>
              <w:t>romantically</w:t>
            </w:r>
            <w:r w:rsidRPr="00A820CC">
              <w:rPr>
                <w:rFonts w:ascii="Arial" w:hAnsi="Arial" w:cs="Arial"/>
                <w:spacing w:val="5"/>
              </w:rPr>
              <w:t xml:space="preserve"> </w:t>
            </w:r>
            <w:r w:rsidRPr="00A820CC">
              <w:rPr>
                <w:rFonts w:ascii="Arial" w:hAnsi="Arial" w:cs="Arial"/>
              </w:rPr>
              <w:t>attracted</w:t>
            </w:r>
            <w:r w:rsidRPr="00A820CC">
              <w:rPr>
                <w:rFonts w:ascii="Arial" w:hAnsi="Arial" w:cs="Arial"/>
                <w:spacing w:val="5"/>
              </w:rPr>
              <w:t xml:space="preserve"> </w:t>
            </w:r>
            <w:r w:rsidRPr="00A820CC">
              <w:rPr>
                <w:rFonts w:ascii="Arial" w:hAnsi="Arial" w:cs="Arial"/>
              </w:rPr>
              <w:t>to</w:t>
            </w:r>
            <w:r w:rsidRPr="00A820CC">
              <w:rPr>
                <w:rFonts w:ascii="Arial" w:hAnsi="Arial" w:cs="Arial"/>
                <w:spacing w:val="5"/>
              </w:rPr>
              <w:t xml:space="preserve"> </w:t>
            </w:r>
            <w:r w:rsidRPr="00A820CC">
              <w:rPr>
                <w:rFonts w:ascii="Arial" w:hAnsi="Arial" w:cs="Arial"/>
              </w:rPr>
              <w:t>more</w:t>
            </w:r>
            <w:r w:rsidRPr="00A820CC">
              <w:rPr>
                <w:rFonts w:ascii="Arial" w:hAnsi="Arial" w:cs="Arial"/>
                <w:spacing w:val="5"/>
              </w:rPr>
              <w:t xml:space="preserve"> </w:t>
            </w:r>
            <w:r w:rsidRPr="00A820CC">
              <w:rPr>
                <w:rFonts w:ascii="Arial" w:hAnsi="Arial" w:cs="Arial"/>
              </w:rPr>
              <w:t>than</w:t>
            </w:r>
            <w:r w:rsidRPr="00A820CC">
              <w:rPr>
                <w:rFonts w:ascii="Arial" w:hAnsi="Arial" w:cs="Arial"/>
                <w:spacing w:val="5"/>
              </w:rPr>
              <w:t xml:space="preserve"> </w:t>
            </w:r>
            <w:r w:rsidRPr="00A820CC">
              <w:rPr>
                <w:rFonts w:ascii="Arial" w:hAnsi="Arial" w:cs="Arial"/>
              </w:rPr>
              <w:t>one</w:t>
            </w:r>
            <w:r w:rsidRPr="00A820CC">
              <w:rPr>
                <w:rFonts w:ascii="Arial" w:hAnsi="Arial" w:cs="Arial"/>
                <w:spacing w:val="5"/>
              </w:rPr>
              <w:t xml:space="preserve"> </w:t>
            </w:r>
            <w:r w:rsidRPr="00A820CC">
              <w:rPr>
                <w:rFonts w:ascii="Arial" w:hAnsi="Arial" w:cs="Arial"/>
                <w:spacing w:val="-2"/>
              </w:rPr>
              <w:t>gender.</w:t>
            </w:r>
          </w:p>
        </w:tc>
      </w:tr>
      <w:tr w:rsidR="00FF3BD9" w:rsidRPr="000057CB" w14:paraId="4092140B" w14:textId="77777777" w:rsidTr="005E0A16">
        <w:tc>
          <w:tcPr>
            <w:tcW w:w="1033" w:type="pct"/>
            <w:tcBorders>
              <w:top w:val="single" w:sz="4" w:space="0" w:color="000000" w:themeColor="text1"/>
              <w:bottom w:val="single" w:sz="4" w:space="0" w:color="000000" w:themeColor="text1"/>
            </w:tcBorders>
          </w:tcPr>
          <w:p w14:paraId="75CCB2BA" w14:textId="77777777" w:rsidR="00FF3BD9" w:rsidRPr="00867FAF" w:rsidRDefault="00FF3BD9" w:rsidP="003861F3">
            <w:pPr>
              <w:pStyle w:val="TableParagraph"/>
              <w:spacing w:before="0" w:after="120"/>
              <w:rPr>
                <w:rFonts w:ascii="Arial" w:hAnsi="Arial" w:cs="Arial"/>
              </w:rPr>
            </w:pPr>
            <w:r w:rsidRPr="00867FAF">
              <w:rPr>
                <w:rFonts w:ascii="Arial" w:hAnsi="Arial" w:cs="Arial"/>
                <w:spacing w:val="-2"/>
              </w:rPr>
              <w:t>Brotherboy</w:t>
            </w:r>
          </w:p>
        </w:tc>
        <w:tc>
          <w:tcPr>
            <w:tcW w:w="3967" w:type="pct"/>
            <w:tcBorders>
              <w:top w:val="single" w:sz="4" w:space="0" w:color="000000" w:themeColor="text1"/>
              <w:bottom w:val="single" w:sz="4" w:space="0" w:color="000000" w:themeColor="text1"/>
            </w:tcBorders>
          </w:tcPr>
          <w:p w14:paraId="73849697" w14:textId="00972AB5" w:rsidR="00FF3BD9" w:rsidRPr="00A820CC" w:rsidRDefault="00FF3BD9" w:rsidP="0059491F">
            <w:pPr>
              <w:pStyle w:val="TableParagraph"/>
              <w:spacing w:before="0" w:after="120" w:line="242" w:lineRule="auto"/>
              <w:rPr>
                <w:rFonts w:ascii="Arial" w:hAnsi="Arial" w:cs="Arial"/>
              </w:rPr>
            </w:pPr>
            <w:r w:rsidRPr="00A820CC">
              <w:rPr>
                <w:rFonts w:ascii="Arial" w:hAnsi="Arial" w:cs="Arial"/>
              </w:rPr>
              <w:t>A term used by Aboriginal and Torres Strait Islander peoples to describe gender diverse people who have a male spirit and take on male roles within</w:t>
            </w:r>
            <w:r w:rsidR="0059491F">
              <w:rPr>
                <w:rFonts w:ascii="Arial" w:hAnsi="Arial" w:cs="Arial"/>
              </w:rPr>
              <w:t xml:space="preserve"> </w:t>
            </w:r>
            <w:r w:rsidRPr="00A820CC">
              <w:rPr>
                <w:rFonts w:ascii="Arial" w:hAnsi="Arial" w:cs="Arial"/>
              </w:rPr>
              <w:t>the</w:t>
            </w:r>
            <w:r w:rsidRPr="00A820CC">
              <w:rPr>
                <w:rFonts w:ascii="Arial" w:hAnsi="Arial" w:cs="Arial"/>
                <w:spacing w:val="5"/>
              </w:rPr>
              <w:t xml:space="preserve"> </w:t>
            </w:r>
            <w:r w:rsidRPr="00A820CC">
              <w:rPr>
                <w:rFonts w:ascii="Arial" w:hAnsi="Arial" w:cs="Arial"/>
                <w:spacing w:val="-2"/>
              </w:rPr>
              <w:t>community.</w:t>
            </w:r>
            <w:r w:rsidR="000B6B64" w:rsidRPr="00A820CC">
              <w:rPr>
                <w:rStyle w:val="EndnoteReference"/>
                <w:rFonts w:ascii="Arial" w:hAnsi="Arial" w:cs="Arial"/>
                <w:spacing w:val="-2"/>
              </w:rPr>
              <w:endnoteReference w:id="46"/>
            </w:r>
          </w:p>
        </w:tc>
      </w:tr>
      <w:tr w:rsidR="00867FAF" w:rsidRPr="000057CB" w14:paraId="406DB495" w14:textId="77777777" w:rsidTr="005E0A16">
        <w:tc>
          <w:tcPr>
            <w:tcW w:w="1033" w:type="pct"/>
            <w:tcBorders>
              <w:top w:val="single" w:sz="4" w:space="0" w:color="000000" w:themeColor="text1"/>
              <w:bottom w:val="single" w:sz="4" w:space="0" w:color="000000" w:themeColor="text1"/>
            </w:tcBorders>
          </w:tcPr>
          <w:p w14:paraId="32988195" w14:textId="4C30FD48" w:rsidR="00867FAF" w:rsidRPr="00867FAF" w:rsidRDefault="00867FAF" w:rsidP="003861F3">
            <w:pPr>
              <w:pStyle w:val="TableParagraph"/>
              <w:spacing w:before="0" w:after="120"/>
              <w:rPr>
                <w:rFonts w:ascii="Arial" w:hAnsi="Arial" w:cs="Arial"/>
                <w:spacing w:val="-2"/>
              </w:rPr>
            </w:pPr>
            <w:r w:rsidRPr="00867FAF">
              <w:rPr>
                <w:rFonts w:ascii="Arial" w:hAnsi="Arial" w:cs="Arial"/>
                <w:spacing w:val="-2"/>
              </w:rPr>
              <w:t>Cisgender</w:t>
            </w:r>
          </w:p>
        </w:tc>
        <w:tc>
          <w:tcPr>
            <w:tcW w:w="3967" w:type="pct"/>
            <w:tcBorders>
              <w:top w:val="single" w:sz="4" w:space="0" w:color="000000" w:themeColor="text1"/>
              <w:bottom w:val="single" w:sz="4" w:space="0" w:color="000000" w:themeColor="text1"/>
            </w:tcBorders>
          </w:tcPr>
          <w:p w14:paraId="1FB0104A" w14:textId="0E7186C8" w:rsidR="00867FAF" w:rsidRPr="00A820CC" w:rsidRDefault="00867FAF" w:rsidP="003861F3">
            <w:pPr>
              <w:pStyle w:val="TableParagraph"/>
              <w:spacing w:before="0" w:after="120" w:line="242" w:lineRule="auto"/>
              <w:rPr>
                <w:rFonts w:ascii="Arial" w:hAnsi="Arial" w:cs="Arial"/>
              </w:rPr>
            </w:pPr>
            <w:r w:rsidRPr="00867FAF">
              <w:rPr>
                <w:rFonts w:ascii="Arial" w:hAnsi="Arial" w:cs="Arial"/>
              </w:rPr>
              <w:t>A term used to describe people who identify their gender as the same as what was presumed for them at birth (male or female). ‘Cis’ is a Latin term meaning ‘on the same side as’.</w:t>
            </w:r>
          </w:p>
        </w:tc>
      </w:tr>
      <w:tr w:rsidR="00867FAF" w:rsidRPr="000057CB" w14:paraId="4286E56E" w14:textId="77777777" w:rsidTr="005E0A16">
        <w:tc>
          <w:tcPr>
            <w:tcW w:w="1033" w:type="pct"/>
            <w:tcBorders>
              <w:top w:val="single" w:sz="4" w:space="0" w:color="000000" w:themeColor="text1"/>
              <w:bottom w:val="single" w:sz="4" w:space="0" w:color="000000" w:themeColor="text1"/>
            </w:tcBorders>
          </w:tcPr>
          <w:p w14:paraId="4512C65E" w14:textId="344C4F0B" w:rsidR="00867FAF" w:rsidRPr="00867FAF" w:rsidRDefault="00867FAF" w:rsidP="003861F3">
            <w:pPr>
              <w:pStyle w:val="TableParagraph"/>
              <w:spacing w:before="0" w:after="120"/>
              <w:rPr>
                <w:rFonts w:ascii="Arial" w:hAnsi="Arial" w:cs="Arial"/>
                <w:spacing w:val="-2"/>
              </w:rPr>
            </w:pPr>
            <w:r w:rsidRPr="00867FAF">
              <w:rPr>
                <w:rFonts w:ascii="Arial" w:hAnsi="Arial" w:cs="Arial"/>
                <w:spacing w:val="-2"/>
              </w:rPr>
              <w:t>Cisgenderism</w:t>
            </w:r>
          </w:p>
        </w:tc>
        <w:tc>
          <w:tcPr>
            <w:tcW w:w="3967" w:type="pct"/>
            <w:tcBorders>
              <w:top w:val="single" w:sz="4" w:space="0" w:color="000000" w:themeColor="text1"/>
              <w:bottom w:val="single" w:sz="4" w:space="0" w:color="000000" w:themeColor="text1"/>
            </w:tcBorders>
          </w:tcPr>
          <w:p w14:paraId="7C50CAF4" w14:textId="46E2855A" w:rsidR="00867FAF" w:rsidRPr="00A820CC" w:rsidRDefault="00867FAF" w:rsidP="003861F3">
            <w:pPr>
              <w:pStyle w:val="TableParagraph"/>
              <w:spacing w:before="0" w:after="120" w:line="242" w:lineRule="auto"/>
              <w:rPr>
                <w:rFonts w:ascii="Arial" w:hAnsi="Arial" w:cs="Arial"/>
              </w:rPr>
            </w:pPr>
            <w:r w:rsidRPr="00867FAF">
              <w:rPr>
                <w:rFonts w:ascii="Arial" w:hAnsi="Arial" w:cs="Arial"/>
              </w:rPr>
              <w:t xml:space="preserve">Cisgenderism (sometimes referred to as cisnormativity and cissexism) is a structural stigma that denies, ignores, and pathologises the trans </w:t>
            </w:r>
            <w:r w:rsidRPr="00867FAF">
              <w:rPr>
                <w:rFonts w:ascii="Arial" w:hAnsi="Arial" w:cs="Arial"/>
              </w:rPr>
              <w:lastRenderedPageBreak/>
              <w:t>experience and trans people – binary and non-binary. Cisgenderism positions expansive expressions of gender as a problem, ignores the validity of non-binary genders and seeks to enforce traditional gender roles and inequalities.</w:t>
            </w:r>
            <w:r w:rsidRPr="00867FAF">
              <w:rPr>
                <w:rStyle w:val="EndnoteReference"/>
                <w:rFonts w:ascii="Arial" w:hAnsi="Arial" w:cs="Arial"/>
              </w:rPr>
              <w:endnoteReference w:id="47"/>
            </w:r>
          </w:p>
        </w:tc>
      </w:tr>
      <w:tr w:rsidR="00867FAF" w:rsidRPr="000057CB" w14:paraId="55F37E97" w14:textId="77777777" w:rsidTr="005E0A16">
        <w:tc>
          <w:tcPr>
            <w:tcW w:w="1033" w:type="pct"/>
            <w:tcBorders>
              <w:top w:val="single" w:sz="4" w:space="0" w:color="000000" w:themeColor="text1"/>
              <w:bottom w:val="single" w:sz="4" w:space="0" w:color="000000" w:themeColor="text1"/>
            </w:tcBorders>
          </w:tcPr>
          <w:p w14:paraId="0A34A587" w14:textId="7AFDCA63" w:rsidR="00867FAF" w:rsidRPr="00867FAF" w:rsidRDefault="00867FAF" w:rsidP="003861F3">
            <w:pPr>
              <w:pStyle w:val="TableParagraph"/>
              <w:spacing w:before="0" w:after="120"/>
              <w:rPr>
                <w:rFonts w:ascii="Arial" w:hAnsi="Arial" w:cs="Arial"/>
                <w:spacing w:val="-2"/>
              </w:rPr>
            </w:pPr>
            <w:r w:rsidRPr="00867FAF">
              <w:rPr>
                <w:rFonts w:ascii="Arial" w:hAnsi="Arial" w:cs="Arial"/>
                <w:spacing w:val="-2"/>
              </w:rPr>
              <w:lastRenderedPageBreak/>
              <w:t>Class</w:t>
            </w:r>
          </w:p>
        </w:tc>
        <w:tc>
          <w:tcPr>
            <w:tcW w:w="3967" w:type="pct"/>
            <w:tcBorders>
              <w:top w:val="single" w:sz="4" w:space="0" w:color="000000" w:themeColor="text1"/>
              <w:bottom w:val="single" w:sz="4" w:space="0" w:color="000000" w:themeColor="text1"/>
            </w:tcBorders>
          </w:tcPr>
          <w:p w14:paraId="20BEE212" w14:textId="754A3578" w:rsidR="00867FAF" w:rsidRPr="00A820CC" w:rsidRDefault="00867FAF" w:rsidP="003861F3">
            <w:pPr>
              <w:pStyle w:val="TableParagraph"/>
              <w:spacing w:before="0" w:after="120" w:line="242" w:lineRule="auto"/>
              <w:rPr>
                <w:rFonts w:ascii="Arial" w:hAnsi="Arial" w:cs="Arial"/>
              </w:rPr>
            </w:pPr>
            <w:r w:rsidRPr="00867FAF">
              <w:rPr>
                <w:rFonts w:ascii="Arial" w:hAnsi="Arial" w:cs="Arial"/>
              </w:rPr>
              <w:t>A system of structured inequality based on unequal distributions of power, education, wealth and income that determine social position and status.</w:t>
            </w:r>
          </w:p>
        </w:tc>
      </w:tr>
      <w:tr w:rsidR="00867FAF" w:rsidRPr="000057CB" w14:paraId="457D2523" w14:textId="77777777" w:rsidTr="005E0A16">
        <w:tc>
          <w:tcPr>
            <w:tcW w:w="1033" w:type="pct"/>
            <w:tcBorders>
              <w:top w:val="single" w:sz="4" w:space="0" w:color="000000" w:themeColor="text1"/>
              <w:bottom w:val="single" w:sz="4" w:space="0" w:color="000000" w:themeColor="text1"/>
            </w:tcBorders>
          </w:tcPr>
          <w:p w14:paraId="3493E7FA" w14:textId="3AF22006" w:rsidR="00867FAF" w:rsidRPr="00867FAF" w:rsidRDefault="00867FAF" w:rsidP="003861F3">
            <w:pPr>
              <w:pStyle w:val="TableParagraph"/>
              <w:spacing w:before="0" w:after="120"/>
              <w:rPr>
                <w:rFonts w:ascii="Arial" w:hAnsi="Arial" w:cs="Arial"/>
                <w:spacing w:val="-2"/>
              </w:rPr>
            </w:pPr>
            <w:r w:rsidRPr="00867FAF">
              <w:rPr>
                <w:rFonts w:ascii="Arial" w:hAnsi="Arial" w:cs="Arial"/>
              </w:rPr>
              <w:t>Coercive</w:t>
            </w:r>
            <w:r w:rsidRPr="00867FAF">
              <w:rPr>
                <w:rFonts w:ascii="Arial" w:hAnsi="Arial" w:cs="Arial"/>
                <w:spacing w:val="-3"/>
              </w:rPr>
              <w:t xml:space="preserve"> </w:t>
            </w:r>
            <w:r w:rsidRPr="00867FAF">
              <w:rPr>
                <w:rFonts w:ascii="Arial" w:hAnsi="Arial" w:cs="Arial"/>
                <w:spacing w:val="-2"/>
              </w:rPr>
              <w:t>control</w:t>
            </w:r>
          </w:p>
        </w:tc>
        <w:tc>
          <w:tcPr>
            <w:tcW w:w="3967" w:type="pct"/>
            <w:tcBorders>
              <w:top w:val="single" w:sz="4" w:space="0" w:color="000000" w:themeColor="text1"/>
              <w:bottom w:val="single" w:sz="4" w:space="0" w:color="000000" w:themeColor="text1"/>
            </w:tcBorders>
          </w:tcPr>
          <w:p w14:paraId="75C36184" w14:textId="77777777" w:rsidR="00867FAF" w:rsidRPr="00867FAF" w:rsidRDefault="00867FAF" w:rsidP="003861F3">
            <w:pPr>
              <w:pStyle w:val="TableParagraph"/>
              <w:spacing w:before="0" w:after="120" w:line="242" w:lineRule="auto"/>
              <w:rPr>
                <w:rFonts w:ascii="Arial" w:hAnsi="Arial" w:cs="Arial"/>
              </w:rPr>
            </w:pPr>
            <w:r w:rsidRPr="00867FAF">
              <w:rPr>
                <w:rFonts w:ascii="Arial" w:hAnsi="Arial" w:cs="Arial"/>
              </w:rPr>
              <w:t>Coercive control is almost always an underpinning dynamic of family and domestic violence and describes someone’s exertion of power and dominance against another person, using patterns of abusive behaviours over time, with the effect of creating fear and denying liberty and autonomy.</w:t>
            </w:r>
          </w:p>
          <w:p w14:paraId="293731C5" w14:textId="6380EEE6" w:rsidR="00867FAF" w:rsidRPr="00A820CC" w:rsidRDefault="00867FAF" w:rsidP="003861F3">
            <w:pPr>
              <w:pStyle w:val="TableParagraph"/>
              <w:spacing w:before="0" w:after="120" w:line="242" w:lineRule="auto"/>
              <w:rPr>
                <w:rFonts w:ascii="Arial" w:hAnsi="Arial" w:cs="Arial"/>
              </w:rPr>
            </w:pPr>
            <w:r w:rsidRPr="00867FAF">
              <w:rPr>
                <w:rFonts w:ascii="Arial" w:hAnsi="Arial" w:cs="Arial"/>
              </w:rPr>
              <w:t>Abusive behaviours that perpetrators can use as part of their pattern of abuse include physical abuse, monitoring a victim-survivor’s actions, restricting a victim-survivor’s freedom or independence, regulating and micromanaging victim-survivor actions, social abuse, using threats and intimidation, emotional or psychological abuse, cultural, spiritual and religious abuse, financial abuse, sexual violence and coercion, reproductive coercion, lateral violence, systems abuse, technology-facilitated abuse and animal abuse. Understanding coercive control requires a shift from a focus on physical violence and single or episodic acts of violence in isolation to a consideration of patterns of abusive behaviour and their cumulative impact.</w:t>
            </w:r>
          </w:p>
        </w:tc>
      </w:tr>
      <w:tr w:rsidR="00867FAF" w:rsidRPr="000057CB" w14:paraId="46CB175C" w14:textId="77777777" w:rsidTr="005E0A16">
        <w:tc>
          <w:tcPr>
            <w:tcW w:w="1033" w:type="pct"/>
            <w:tcBorders>
              <w:top w:val="single" w:sz="4" w:space="0" w:color="000000" w:themeColor="text1"/>
              <w:bottom w:val="single" w:sz="4" w:space="0" w:color="000000" w:themeColor="text1"/>
            </w:tcBorders>
          </w:tcPr>
          <w:p w14:paraId="361DF5F7" w14:textId="6459E7C3" w:rsidR="00867FAF" w:rsidRPr="00867FAF" w:rsidRDefault="00867FAF" w:rsidP="003861F3">
            <w:pPr>
              <w:pStyle w:val="TableParagraph"/>
              <w:spacing w:before="0" w:after="120"/>
              <w:rPr>
                <w:rFonts w:ascii="Arial" w:hAnsi="Arial" w:cs="Arial"/>
                <w:spacing w:val="-2"/>
              </w:rPr>
            </w:pPr>
            <w:r w:rsidRPr="00867FAF">
              <w:rPr>
                <w:rFonts w:ascii="Arial" w:hAnsi="Arial" w:cs="Arial"/>
                <w:spacing w:val="-2"/>
              </w:rPr>
              <w:t>Consent</w:t>
            </w:r>
          </w:p>
        </w:tc>
        <w:tc>
          <w:tcPr>
            <w:tcW w:w="3967" w:type="pct"/>
            <w:tcBorders>
              <w:top w:val="single" w:sz="4" w:space="0" w:color="000000" w:themeColor="text1"/>
              <w:bottom w:val="single" w:sz="4" w:space="0" w:color="000000" w:themeColor="text1"/>
            </w:tcBorders>
          </w:tcPr>
          <w:p w14:paraId="681D077E" w14:textId="77777777" w:rsidR="00867FAF" w:rsidRPr="00867FAF" w:rsidRDefault="00867FAF" w:rsidP="003861F3">
            <w:pPr>
              <w:pStyle w:val="TableParagraph"/>
              <w:spacing w:before="0" w:after="120" w:line="242" w:lineRule="auto"/>
              <w:rPr>
                <w:rFonts w:ascii="Arial" w:hAnsi="Arial" w:cs="Arial"/>
              </w:rPr>
            </w:pPr>
            <w:r w:rsidRPr="00867FAF">
              <w:rPr>
                <w:rFonts w:ascii="Arial" w:hAnsi="Arial" w:cs="Arial"/>
              </w:rPr>
              <w:t>All state and territory laws require consent to sexual activity be either “freely and voluntarily given” or involves “free” or “free and voluntary” agreement.</w:t>
            </w:r>
          </w:p>
          <w:p w14:paraId="3671CCD0" w14:textId="3CB55CF1" w:rsidR="00867FAF" w:rsidRPr="00A820CC" w:rsidRDefault="00867FAF" w:rsidP="003861F3">
            <w:pPr>
              <w:pStyle w:val="TableParagraph"/>
              <w:spacing w:before="0" w:after="120" w:line="242" w:lineRule="auto"/>
              <w:rPr>
                <w:rFonts w:ascii="Arial" w:hAnsi="Arial" w:cs="Arial"/>
              </w:rPr>
            </w:pPr>
            <w:r w:rsidRPr="00867FAF">
              <w:rPr>
                <w:rFonts w:ascii="Arial" w:hAnsi="Arial" w:cs="Arial"/>
              </w:rPr>
              <w:t>However, legal definitions of consent vary between Australian, state and territory jurisdictions. There are ongoing reforms in a number of states and territories to amend</w:t>
            </w:r>
            <w:r w:rsidRPr="00867FAF">
              <w:rPr>
                <w:rFonts w:ascii="Arial" w:hAnsi="Arial" w:cs="Arial"/>
                <w:spacing w:val="-8"/>
              </w:rPr>
              <w:t xml:space="preserve"> </w:t>
            </w:r>
            <w:r w:rsidRPr="00867FAF">
              <w:rPr>
                <w:rFonts w:ascii="Arial" w:hAnsi="Arial" w:cs="Arial"/>
              </w:rPr>
              <w:t>the</w:t>
            </w:r>
            <w:r w:rsidRPr="00867FAF">
              <w:rPr>
                <w:rFonts w:ascii="Arial" w:hAnsi="Arial" w:cs="Arial"/>
                <w:spacing w:val="-8"/>
              </w:rPr>
              <w:t xml:space="preserve"> </w:t>
            </w:r>
            <w:r w:rsidRPr="00867FAF">
              <w:rPr>
                <w:rFonts w:ascii="Arial" w:hAnsi="Arial" w:cs="Arial"/>
              </w:rPr>
              <w:t>definition</w:t>
            </w:r>
            <w:r w:rsidRPr="00867FAF">
              <w:rPr>
                <w:rFonts w:ascii="Arial" w:hAnsi="Arial" w:cs="Arial"/>
                <w:spacing w:val="-8"/>
              </w:rPr>
              <w:t xml:space="preserve"> </w:t>
            </w:r>
            <w:r w:rsidRPr="00867FAF">
              <w:rPr>
                <w:rFonts w:ascii="Arial" w:hAnsi="Arial" w:cs="Arial"/>
              </w:rPr>
              <w:t>of</w:t>
            </w:r>
            <w:r w:rsidRPr="00867FAF">
              <w:rPr>
                <w:rFonts w:ascii="Arial" w:hAnsi="Arial" w:cs="Arial"/>
                <w:spacing w:val="-8"/>
              </w:rPr>
              <w:t xml:space="preserve"> </w:t>
            </w:r>
            <w:r w:rsidRPr="00867FAF">
              <w:rPr>
                <w:rFonts w:ascii="Arial" w:hAnsi="Arial" w:cs="Arial"/>
              </w:rPr>
              <w:t>consent</w:t>
            </w:r>
            <w:r w:rsidRPr="00867FAF">
              <w:rPr>
                <w:rFonts w:ascii="Arial" w:hAnsi="Arial" w:cs="Arial"/>
                <w:spacing w:val="-8"/>
              </w:rPr>
              <w:t xml:space="preserve"> </w:t>
            </w:r>
            <w:r w:rsidRPr="00867FAF">
              <w:rPr>
                <w:rFonts w:ascii="Arial" w:hAnsi="Arial" w:cs="Arial"/>
              </w:rPr>
              <w:t>to</w:t>
            </w:r>
            <w:r w:rsidRPr="00867FAF">
              <w:rPr>
                <w:rFonts w:ascii="Arial" w:hAnsi="Arial" w:cs="Arial"/>
                <w:spacing w:val="-8"/>
              </w:rPr>
              <w:t xml:space="preserve"> </w:t>
            </w:r>
            <w:r w:rsidRPr="00867FAF">
              <w:rPr>
                <w:rFonts w:ascii="Arial" w:hAnsi="Arial" w:cs="Arial"/>
              </w:rPr>
              <w:t>require</w:t>
            </w:r>
            <w:r w:rsidRPr="00867FAF">
              <w:rPr>
                <w:rFonts w:ascii="Arial" w:hAnsi="Arial" w:cs="Arial"/>
                <w:spacing w:val="-8"/>
              </w:rPr>
              <w:t xml:space="preserve"> </w:t>
            </w:r>
            <w:r w:rsidRPr="00867FAF">
              <w:rPr>
                <w:rFonts w:ascii="Arial" w:hAnsi="Arial" w:cs="Arial"/>
              </w:rPr>
              <w:t>affirmative</w:t>
            </w:r>
            <w:r w:rsidRPr="00867FAF">
              <w:rPr>
                <w:rFonts w:ascii="Arial" w:hAnsi="Arial" w:cs="Arial"/>
                <w:spacing w:val="-8"/>
              </w:rPr>
              <w:t xml:space="preserve"> </w:t>
            </w:r>
            <w:r w:rsidRPr="00867FAF">
              <w:rPr>
                <w:rFonts w:ascii="Arial" w:hAnsi="Arial" w:cs="Arial"/>
              </w:rPr>
              <w:t>communication</w:t>
            </w:r>
            <w:r w:rsidRPr="00867FAF">
              <w:rPr>
                <w:rFonts w:ascii="Arial" w:hAnsi="Arial" w:cs="Arial"/>
                <w:spacing w:val="-8"/>
              </w:rPr>
              <w:t xml:space="preserve"> </w:t>
            </w:r>
            <w:r w:rsidRPr="00867FAF">
              <w:rPr>
                <w:rFonts w:ascii="Arial" w:hAnsi="Arial" w:cs="Arial"/>
              </w:rPr>
              <w:t>of</w:t>
            </w:r>
            <w:r w:rsidRPr="00867FAF">
              <w:rPr>
                <w:rFonts w:ascii="Arial" w:hAnsi="Arial" w:cs="Arial"/>
                <w:spacing w:val="-8"/>
              </w:rPr>
              <w:t xml:space="preserve"> </w:t>
            </w:r>
            <w:r w:rsidRPr="00867FAF">
              <w:rPr>
                <w:rFonts w:ascii="Arial" w:hAnsi="Arial" w:cs="Arial"/>
              </w:rPr>
              <w:t>consent.</w:t>
            </w:r>
            <w:r w:rsidRPr="00867FAF">
              <w:rPr>
                <w:rStyle w:val="EndnoteReference"/>
                <w:rFonts w:ascii="Arial" w:hAnsi="Arial" w:cs="Arial"/>
              </w:rPr>
              <w:endnoteReference w:id="48"/>
            </w:r>
          </w:p>
        </w:tc>
      </w:tr>
      <w:tr w:rsidR="00867FAF" w:rsidRPr="000057CB" w14:paraId="77B2E9C9" w14:textId="77777777" w:rsidTr="005E0A16">
        <w:tc>
          <w:tcPr>
            <w:tcW w:w="1033" w:type="pct"/>
            <w:tcBorders>
              <w:top w:val="single" w:sz="4" w:space="0" w:color="000000" w:themeColor="text1"/>
              <w:bottom w:val="single" w:sz="4" w:space="0" w:color="000000" w:themeColor="text1"/>
            </w:tcBorders>
          </w:tcPr>
          <w:p w14:paraId="0C305F85" w14:textId="73652A8F" w:rsidR="00867FAF" w:rsidRPr="00867FAF" w:rsidRDefault="00867FAF" w:rsidP="003861F3">
            <w:pPr>
              <w:pStyle w:val="TableParagraph"/>
              <w:spacing w:before="0" w:after="120"/>
              <w:rPr>
                <w:rFonts w:ascii="Arial" w:hAnsi="Arial" w:cs="Arial"/>
                <w:spacing w:val="-2"/>
              </w:rPr>
            </w:pPr>
            <w:r w:rsidRPr="00867FAF">
              <w:rPr>
                <w:rFonts w:ascii="Arial" w:hAnsi="Arial" w:cs="Arial"/>
                <w:spacing w:val="-2"/>
              </w:rPr>
              <w:t>Creation of Change</w:t>
            </w:r>
          </w:p>
        </w:tc>
        <w:tc>
          <w:tcPr>
            <w:tcW w:w="3967" w:type="pct"/>
            <w:tcBorders>
              <w:top w:val="single" w:sz="4" w:space="0" w:color="000000" w:themeColor="text1"/>
              <w:bottom w:val="single" w:sz="4" w:space="0" w:color="000000" w:themeColor="text1"/>
            </w:tcBorders>
          </w:tcPr>
          <w:p w14:paraId="36CD2937" w14:textId="0B1EA118" w:rsidR="00867FAF" w:rsidRPr="00A820CC" w:rsidRDefault="00867FAF" w:rsidP="003861F3">
            <w:pPr>
              <w:pStyle w:val="TableParagraph"/>
              <w:spacing w:before="0" w:after="120" w:line="242" w:lineRule="auto"/>
              <w:rPr>
                <w:rFonts w:ascii="Arial" w:hAnsi="Arial" w:cs="Arial"/>
              </w:rPr>
            </w:pPr>
            <w:r w:rsidRPr="00867FAF">
              <w:rPr>
                <w:rFonts w:ascii="Arial" w:hAnsi="Arial" w:cs="Arial"/>
              </w:rPr>
              <w:t>Creation of change is the process whereby an institution and its people, invite, accept, and welcome change as a vital component in defining and achieving future success, define the future they want to design and deliver and, develop and implement a change plan that capably transitions its people, processes and circumstances, especially its culture, from the existing paradigm to the new desired one.</w:t>
            </w:r>
          </w:p>
        </w:tc>
      </w:tr>
      <w:tr w:rsidR="00867FAF" w:rsidRPr="000057CB" w14:paraId="72FFD941" w14:textId="77777777" w:rsidTr="005E0A16">
        <w:tc>
          <w:tcPr>
            <w:tcW w:w="1033" w:type="pct"/>
            <w:tcBorders>
              <w:top w:val="single" w:sz="4" w:space="0" w:color="000000" w:themeColor="text1"/>
              <w:bottom w:val="single" w:sz="4" w:space="0" w:color="000000" w:themeColor="text1"/>
            </w:tcBorders>
          </w:tcPr>
          <w:p w14:paraId="758EA832" w14:textId="3116D3FC" w:rsidR="00867FAF" w:rsidRPr="00867FAF" w:rsidRDefault="00867FAF" w:rsidP="003861F3">
            <w:pPr>
              <w:pStyle w:val="TableParagraph"/>
              <w:spacing w:before="0" w:after="120"/>
              <w:rPr>
                <w:rFonts w:ascii="Arial" w:hAnsi="Arial" w:cs="Arial"/>
                <w:spacing w:val="-2"/>
              </w:rPr>
            </w:pPr>
            <w:r w:rsidRPr="00867FAF">
              <w:rPr>
                <w:rFonts w:ascii="Arial" w:hAnsi="Arial" w:cs="Arial"/>
              </w:rPr>
              <w:t>Evidence-</w:t>
            </w:r>
            <w:r w:rsidRPr="00867FAF">
              <w:rPr>
                <w:rFonts w:ascii="Arial" w:hAnsi="Arial" w:cs="Arial"/>
                <w:spacing w:val="-2"/>
              </w:rPr>
              <w:t>based</w:t>
            </w:r>
          </w:p>
        </w:tc>
        <w:tc>
          <w:tcPr>
            <w:tcW w:w="3967" w:type="pct"/>
            <w:tcBorders>
              <w:top w:val="single" w:sz="4" w:space="0" w:color="000000" w:themeColor="text1"/>
              <w:bottom w:val="single" w:sz="4" w:space="0" w:color="000000" w:themeColor="text1"/>
            </w:tcBorders>
          </w:tcPr>
          <w:p w14:paraId="53CF4236" w14:textId="77777777" w:rsidR="00867FAF" w:rsidRPr="00867FAF" w:rsidRDefault="00867FAF" w:rsidP="003861F3">
            <w:pPr>
              <w:pStyle w:val="TableParagraph"/>
              <w:spacing w:before="0" w:after="120" w:line="242" w:lineRule="auto"/>
              <w:rPr>
                <w:rFonts w:ascii="Arial" w:hAnsi="Arial" w:cs="Arial"/>
              </w:rPr>
            </w:pPr>
            <w:r w:rsidRPr="00867FAF">
              <w:rPr>
                <w:rFonts w:ascii="Arial" w:hAnsi="Arial" w:cs="Arial"/>
              </w:rPr>
              <w:t>Describes models, approaches or practices found to be effective through evaluation or peer reviewed research. Evidence is usually published and may be found in full or summarised in academic research documents, organisational reports, program evaluations, policy papers and submissions. There is a strong evidence base for strategies to prevent gender-based violence.</w:t>
            </w:r>
          </w:p>
          <w:p w14:paraId="7CD7846A" w14:textId="512BFF63" w:rsidR="00867FAF" w:rsidRPr="00A820CC" w:rsidRDefault="00867FAF" w:rsidP="003861F3">
            <w:pPr>
              <w:pStyle w:val="TableParagraph"/>
              <w:spacing w:before="0" w:after="120" w:line="242" w:lineRule="auto"/>
              <w:rPr>
                <w:rFonts w:ascii="Arial" w:hAnsi="Arial" w:cs="Arial"/>
              </w:rPr>
            </w:pPr>
            <w:r w:rsidRPr="00867FAF">
              <w:rPr>
                <w:rFonts w:ascii="Arial" w:hAnsi="Arial" w:cs="Arial"/>
              </w:rPr>
              <w:lastRenderedPageBreak/>
              <w:t>As our understanding of what drives violence against women and children</w:t>
            </w:r>
            <w:r w:rsidRPr="00867FAF">
              <w:rPr>
                <w:rFonts w:ascii="Arial" w:hAnsi="Arial" w:cs="Arial"/>
                <w:spacing w:val="80"/>
              </w:rPr>
              <w:t xml:space="preserve"> </w:t>
            </w:r>
            <w:r w:rsidRPr="00867FAF">
              <w:rPr>
                <w:rFonts w:ascii="Arial" w:hAnsi="Arial" w:cs="Arial"/>
              </w:rPr>
              <w:t>in different population groups and settings increases, the evidence base will continue to evolve.</w:t>
            </w:r>
          </w:p>
        </w:tc>
      </w:tr>
      <w:tr w:rsidR="00867FAF" w:rsidRPr="000057CB" w14:paraId="03196DE4" w14:textId="77777777" w:rsidTr="005E0A16">
        <w:tc>
          <w:tcPr>
            <w:tcW w:w="1033" w:type="pct"/>
            <w:tcBorders>
              <w:top w:val="single" w:sz="4" w:space="0" w:color="000000" w:themeColor="text1"/>
              <w:bottom w:val="single" w:sz="4" w:space="0" w:color="000000" w:themeColor="text1"/>
            </w:tcBorders>
          </w:tcPr>
          <w:p w14:paraId="53588DCF" w14:textId="4D4DEBB9" w:rsidR="00867FAF" w:rsidRPr="00867FAF" w:rsidRDefault="00867FAF" w:rsidP="003861F3">
            <w:pPr>
              <w:pStyle w:val="TableParagraph"/>
              <w:spacing w:before="0" w:after="120"/>
              <w:rPr>
                <w:rFonts w:ascii="Arial" w:hAnsi="Arial" w:cs="Arial"/>
                <w:spacing w:val="-2"/>
              </w:rPr>
            </w:pPr>
            <w:r w:rsidRPr="00867FAF">
              <w:rPr>
                <w:rFonts w:ascii="Arial" w:hAnsi="Arial" w:cs="Arial"/>
                <w:spacing w:val="-2"/>
                <w:sz w:val="20"/>
                <w:szCs w:val="20"/>
              </w:rPr>
              <w:lastRenderedPageBreak/>
              <w:t>Family</w:t>
            </w:r>
          </w:p>
        </w:tc>
        <w:tc>
          <w:tcPr>
            <w:tcW w:w="3967" w:type="pct"/>
            <w:tcBorders>
              <w:top w:val="single" w:sz="4" w:space="0" w:color="000000" w:themeColor="text1"/>
              <w:bottom w:val="single" w:sz="4" w:space="0" w:color="000000" w:themeColor="text1"/>
            </w:tcBorders>
          </w:tcPr>
          <w:p w14:paraId="074527ED" w14:textId="4159023B" w:rsidR="00867FAF" w:rsidRPr="00A820CC" w:rsidRDefault="00867FAF" w:rsidP="003861F3">
            <w:pPr>
              <w:pStyle w:val="TableParagraph"/>
              <w:spacing w:before="0" w:after="120" w:line="242" w:lineRule="auto"/>
              <w:rPr>
                <w:rFonts w:ascii="Arial" w:hAnsi="Arial" w:cs="Arial"/>
              </w:rPr>
            </w:pPr>
            <w:r w:rsidRPr="00867FAF">
              <w:rPr>
                <w:rFonts w:ascii="Arial" w:hAnsi="Arial" w:cs="Arial"/>
              </w:rPr>
              <w:t>The use of the term ‘family’ acknowledges the variety of relationships and structures that can make up family units and kinship networks. It can include current or former partners, children (including adolescent or adult children), siblings,</w:t>
            </w:r>
            <w:r w:rsidRPr="00867FAF">
              <w:rPr>
                <w:rFonts w:ascii="Arial" w:hAnsi="Arial" w:cs="Arial"/>
                <w:spacing w:val="-10"/>
              </w:rPr>
              <w:t xml:space="preserve"> </w:t>
            </w:r>
            <w:r w:rsidRPr="00867FAF">
              <w:rPr>
                <w:rFonts w:ascii="Arial" w:hAnsi="Arial" w:cs="Arial"/>
              </w:rPr>
              <w:t>parents,</w:t>
            </w:r>
            <w:r w:rsidRPr="00867FAF">
              <w:rPr>
                <w:rFonts w:ascii="Arial" w:hAnsi="Arial" w:cs="Arial"/>
                <w:spacing w:val="-10"/>
              </w:rPr>
              <w:t xml:space="preserve"> </w:t>
            </w:r>
            <w:r w:rsidRPr="00867FAF">
              <w:rPr>
                <w:rFonts w:ascii="Arial" w:hAnsi="Arial" w:cs="Arial"/>
              </w:rPr>
              <w:t>grandparents,</w:t>
            </w:r>
            <w:r w:rsidRPr="00867FAF">
              <w:rPr>
                <w:rFonts w:ascii="Arial" w:hAnsi="Arial" w:cs="Arial"/>
                <w:spacing w:val="-10"/>
              </w:rPr>
              <w:t xml:space="preserve"> </w:t>
            </w:r>
            <w:r w:rsidRPr="00867FAF">
              <w:rPr>
                <w:rFonts w:ascii="Arial" w:hAnsi="Arial" w:cs="Arial"/>
              </w:rPr>
              <w:t>extended</w:t>
            </w:r>
            <w:r w:rsidRPr="00867FAF">
              <w:rPr>
                <w:rFonts w:ascii="Arial" w:hAnsi="Arial" w:cs="Arial"/>
                <w:spacing w:val="-10"/>
              </w:rPr>
              <w:t xml:space="preserve"> </w:t>
            </w:r>
            <w:r w:rsidRPr="00867FAF">
              <w:rPr>
                <w:rFonts w:ascii="Arial" w:hAnsi="Arial" w:cs="Arial"/>
              </w:rPr>
              <w:t>family</w:t>
            </w:r>
            <w:r w:rsidRPr="00867FAF">
              <w:rPr>
                <w:rFonts w:ascii="Arial" w:hAnsi="Arial" w:cs="Arial"/>
                <w:spacing w:val="-10"/>
              </w:rPr>
              <w:t xml:space="preserve"> </w:t>
            </w:r>
            <w:r w:rsidRPr="00867FAF">
              <w:rPr>
                <w:rFonts w:ascii="Arial" w:hAnsi="Arial" w:cs="Arial"/>
              </w:rPr>
              <w:t>and</w:t>
            </w:r>
            <w:r w:rsidRPr="00867FAF">
              <w:rPr>
                <w:rFonts w:ascii="Arial" w:hAnsi="Arial" w:cs="Arial"/>
                <w:spacing w:val="-10"/>
              </w:rPr>
              <w:t xml:space="preserve"> </w:t>
            </w:r>
            <w:r w:rsidRPr="00867FAF">
              <w:rPr>
                <w:rFonts w:ascii="Arial" w:hAnsi="Arial" w:cs="Arial"/>
              </w:rPr>
              <w:t>kinship</w:t>
            </w:r>
            <w:r w:rsidRPr="00867FAF">
              <w:rPr>
                <w:rFonts w:ascii="Arial" w:hAnsi="Arial" w:cs="Arial"/>
                <w:spacing w:val="-10"/>
              </w:rPr>
              <w:t xml:space="preserve"> </w:t>
            </w:r>
            <w:r w:rsidRPr="00867FAF">
              <w:rPr>
                <w:rFonts w:ascii="Arial" w:hAnsi="Arial" w:cs="Arial"/>
              </w:rPr>
              <w:t>networks</w:t>
            </w:r>
            <w:r w:rsidRPr="00867FAF">
              <w:rPr>
                <w:rFonts w:ascii="Arial" w:hAnsi="Arial" w:cs="Arial"/>
                <w:spacing w:val="-10"/>
              </w:rPr>
              <w:t xml:space="preserve"> </w:t>
            </w:r>
            <w:r w:rsidRPr="00867FAF">
              <w:rPr>
                <w:rFonts w:ascii="Arial" w:hAnsi="Arial" w:cs="Arial"/>
              </w:rPr>
              <w:t>and</w:t>
            </w:r>
            <w:r w:rsidRPr="00867FAF">
              <w:rPr>
                <w:rFonts w:ascii="Arial" w:hAnsi="Arial" w:cs="Arial"/>
                <w:spacing w:val="-10"/>
              </w:rPr>
              <w:t xml:space="preserve"> </w:t>
            </w:r>
            <w:r w:rsidRPr="00867FAF">
              <w:rPr>
                <w:rFonts w:ascii="Arial" w:hAnsi="Arial" w:cs="Arial"/>
              </w:rPr>
              <w:t>carers.</w:t>
            </w:r>
          </w:p>
        </w:tc>
      </w:tr>
      <w:tr w:rsidR="00867FAF" w:rsidRPr="000057CB" w14:paraId="1D52C177" w14:textId="77777777" w:rsidTr="005E0A16">
        <w:tc>
          <w:tcPr>
            <w:tcW w:w="1033" w:type="pct"/>
            <w:tcBorders>
              <w:top w:val="single" w:sz="4" w:space="0" w:color="000000" w:themeColor="text1"/>
              <w:bottom w:val="single" w:sz="4" w:space="0" w:color="000000" w:themeColor="text1"/>
            </w:tcBorders>
          </w:tcPr>
          <w:p w14:paraId="4FDB6616" w14:textId="0EB76C1A" w:rsidR="00867FAF" w:rsidRPr="00867FAF" w:rsidRDefault="00867FAF" w:rsidP="003861F3">
            <w:pPr>
              <w:pStyle w:val="TableParagraph"/>
              <w:spacing w:before="0" w:after="120"/>
              <w:rPr>
                <w:rFonts w:ascii="Arial" w:hAnsi="Arial" w:cs="Arial"/>
                <w:spacing w:val="-2"/>
              </w:rPr>
            </w:pPr>
            <w:r w:rsidRPr="00867FAF">
              <w:rPr>
                <w:rFonts w:ascii="Arial" w:hAnsi="Arial" w:cs="Arial"/>
                <w:sz w:val="20"/>
                <w:szCs w:val="20"/>
              </w:rPr>
              <w:t>Forced</w:t>
            </w:r>
            <w:r w:rsidRPr="00867FAF">
              <w:rPr>
                <w:rFonts w:ascii="Arial" w:hAnsi="Arial" w:cs="Arial"/>
                <w:spacing w:val="-2"/>
                <w:sz w:val="20"/>
                <w:szCs w:val="20"/>
              </w:rPr>
              <w:t xml:space="preserve"> marriage</w:t>
            </w:r>
          </w:p>
        </w:tc>
        <w:tc>
          <w:tcPr>
            <w:tcW w:w="3967" w:type="pct"/>
            <w:tcBorders>
              <w:top w:val="single" w:sz="4" w:space="0" w:color="000000" w:themeColor="text1"/>
              <w:bottom w:val="single" w:sz="4" w:space="0" w:color="000000" w:themeColor="text1"/>
            </w:tcBorders>
          </w:tcPr>
          <w:p w14:paraId="2EE83555" w14:textId="2DBACCAE" w:rsidR="00867FAF" w:rsidRPr="00A820CC" w:rsidRDefault="00867FAF" w:rsidP="003861F3">
            <w:pPr>
              <w:pStyle w:val="TableParagraph"/>
              <w:spacing w:before="0" w:after="120" w:line="242" w:lineRule="auto"/>
              <w:rPr>
                <w:rFonts w:ascii="Arial" w:hAnsi="Arial" w:cs="Arial"/>
              </w:rPr>
            </w:pPr>
            <w:r w:rsidRPr="00867FAF">
              <w:rPr>
                <w:rFonts w:ascii="Arial" w:hAnsi="Arial" w:cs="Arial"/>
              </w:rPr>
              <w:t>A modern slavery crime where someone is married without freely and fully consenting to the marriage because of threats, deception or coercion, or the individual is incapable of understanding the nature and effect of the marriage ceremony, or the individual is under the age of 16 years.</w:t>
            </w:r>
          </w:p>
        </w:tc>
      </w:tr>
      <w:tr w:rsidR="00867FAF" w:rsidRPr="000057CB" w14:paraId="31E52B23" w14:textId="77777777" w:rsidTr="005E0A16">
        <w:tc>
          <w:tcPr>
            <w:tcW w:w="1033" w:type="pct"/>
            <w:tcBorders>
              <w:top w:val="single" w:sz="4" w:space="0" w:color="000000" w:themeColor="text1"/>
              <w:bottom w:val="single" w:sz="4" w:space="0" w:color="000000" w:themeColor="text1"/>
            </w:tcBorders>
          </w:tcPr>
          <w:p w14:paraId="3A7225F9" w14:textId="724B01A1" w:rsidR="00867FAF" w:rsidRPr="00867FAF" w:rsidRDefault="00867FAF" w:rsidP="003861F3">
            <w:pPr>
              <w:pStyle w:val="TableParagraph"/>
              <w:spacing w:before="0" w:after="120"/>
              <w:rPr>
                <w:rFonts w:ascii="Arial" w:hAnsi="Arial" w:cs="Arial"/>
                <w:spacing w:val="-2"/>
              </w:rPr>
            </w:pPr>
            <w:r w:rsidRPr="00867FAF">
              <w:rPr>
                <w:rFonts w:ascii="Arial" w:hAnsi="Arial" w:cs="Arial"/>
                <w:sz w:val="20"/>
                <w:szCs w:val="20"/>
              </w:rPr>
              <w:t>Forced</w:t>
            </w:r>
            <w:r w:rsidRPr="00867FAF">
              <w:rPr>
                <w:rFonts w:ascii="Arial" w:hAnsi="Arial" w:cs="Arial"/>
                <w:spacing w:val="-2"/>
                <w:sz w:val="20"/>
                <w:szCs w:val="20"/>
              </w:rPr>
              <w:t xml:space="preserve"> sterilisation</w:t>
            </w:r>
          </w:p>
        </w:tc>
        <w:tc>
          <w:tcPr>
            <w:tcW w:w="3967" w:type="pct"/>
            <w:tcBorders>
              <w:top w:val="single" w:sz="4" w:space="0" w:color="000000" w:themeColor="text1"/>
              <w:bottom w:val="single" w:sz="4" w:space="0" w:color="000000" w:themeColor="text1"/>
            </w:tcBorders>
          </w:tcPr>
          <w:p w14:paraId="48279753" w14:textId="428A7633" w:rsidR="00867FAF" w:rsidRPr="00A820CC" w:rsidRDefault="00867FAF" w:rsidP="003861F3">
            <w:pPr>
              <w:pStyle w:val="TableParagraph"/>
              <w:spacing w:before="0" w:after="120" w:line="242" w:lineRule="auto"/>
              <w:rPr>
                <w:rFonts w:ascii="Arial" w:hAnsi="Arial" w:cs="Arial"/>
              </w:rPr>
            </w:pPr>
            <w:r w:rsidRPr="00867FAF">
              <w:rPr>
                <w:rFonts w:ascii="Arial" w:hAnsi="Arial" w:cs="Arial"/>
              </w:rPr>
              <w:t>Refers to the process of removing or compromising an individual’s reproductive organs without their free and full consent.</w:t>
            </w:r>
          </w:p>
        </w:tc>
      </w:tr>
      <w:tr w:rsidR="00867FAF" w:rsidRPr="000057CB" w14:paraId="290F2A7C" w14:textId="77777777" w:rsidTr="005E0A16">
        <w:tc>
          <w:tcPr>
            <w:tcW w:w="1033" w:type="pct"/>
            <w:tcBorders>
              <w:top w:val="single" w:sz="4" w:space="0" w:color="000000" w:themeColor="text1"/>
              <w:bottom w:val="single" w:sz="4" w:space="0" w:color="000000" w:themeColor="text1"/>
            </w:tcBorders>
          </w:tcPr>
          <w:p w14:paraId="48591530" w14:textId="54E54DFB" w:rsidR="00867FAF" w:rsidRPr="00867FAF" w:rsidRDefault="00867FAF" w:rsidP="003861F3">
            <w:pPr>
              <w:pStyle w:val="TableParagraph"/>
              <w:spacing w:before="0" w:after="120"/>
              <w:rPr>
                <w:rFonts w:ascii="Arial" w:hAnsi="Arial" w:cs="Arial"/>
                <w:spacing w:val="-2"/>
              </w:rPr>
            </w:pPr>
            <w:r w:rsidRPr="00867FAF">
              <w:rPr>
                <w:rFonts w:ascii="Arial" w:hAnsi="Arial" w:cs="Arial"/>
                <w:spacing w:val="-2"/>
                <w:sz w:val="20"/>
                <w:szCs w:val="20"/>
              </w:rPr>
              <w:t>Gender</w:t>
            </w:r>
          </w:p>
        </w:tc>
        <w:tc>
          <w:tcPr>
            <w:tcW w:w="3967" w:type="pct"/>
            <w:tcBorders>
              <w:top w:val="single" w:sz="4" w:space="0" w:color="000000" w:themeColor="text1"/>
              <w:bottom w:val="single" w:sz="4" w:space="0" w:color="000000" w:themeColor="text1"/>
            </w:tcBorders>
          </w:tcPr>
          <w:p w14:paraId="1C8EB053" w14:textId="5F7E0B2F" w:rsidR="00867FAF" w:rsidRPr="00A820CC" w:rsidRDefault="00867FAF" w:rsidP="003861F3">
            <w:pPr>
              <w:pStyle w:val="TableParagraph"/>
              <w:spacing w:before="0" w:after="120" w:line="242" w:lineRule="auto"/>
              <w:rPr>
                <w:rFonts w:ascii="Arial" w:hAnsi="Arial" w:cs="Arial"/>
              </w:rPr>
            </w:pPr>
            <w:r w:rsidRPr="00867FAF">
              <w:rPr>
                <w:rFonts w:ascii="Arial" w:hAnsi="Arial" w:cs="Arial"/>
              </w:rPr>
              <w:t>Refers to the economic, social, political, and cultural attributes and opportunities associated with being women and men. The social definitions of what it means</w:t>
            </w:r>
            <w:r w:rsidRPr="00867FAF">
              <w:rPr>
                <w:rFonts w:ascii="Arial" w:hAnsi="Arial" w:cs="Arial"/>
                <w:spacing w:val="80"/>
              </w:rPr>
              <w:t xml:space="preserve"> </w:t>
            </w:r>
            <w:r w:rsidRPr="00867FAF">
              <w:rPr>
                <w:rFonts w:ascii="Arial" w:hAnsi="Arial" w:cs="Arial"/>
              </w:rPr>
              <w:t>to be a woman or a man vary among cultures and change over time. Gender is a sociocultural</w:t>
            </w:r>
            <w:r w:rsidRPr="00867FAF">
              <w:rPr>
                <w:rFonts w:ascii="Arial" w:hAnsi="Arial" w:cs="Arial"/>
                <w:spacing w:val="33"/>
              </w:rPr>
              <w:t xml:space="preserve"> </w:t>
            </w:r>
            <w:r w:rsidRPr="00867FAF">
              <w:rPr>
                <w:rFonts w:ascii="Arial" w:hAnsi="Arial" w:cs="Arial"/>
              </w:rPr>
              <w:t>expression</w:t>
            </w:r>
            <w:r w:rsidRPr="00867FAF">
              <w:rPr>
                <w:rFonts w:ascii="Arial" w:hAnsi="Arial" w:cs="Arial"/>
                <w:spacing w:val="33"/>
              </w:rPr>
              <w:t xml:space="preserve"> </w:t>
            </w:r>
            <w:r w:rsidRPr="00867FAF">
              <w:rPr>
                <w:rFonts w:ascii="Arial" w:hAnsi="Arial" w:cs="Arial"/>
              </w:rPr>
              <w:t>of</w:t>
            </w:r>
            <w:r w:rsidRPr="00867FAF">
              <w:rPr>
                <w:rFonts w:ascii="Arial" w:hAnsi="Arial" w:cs="Arial"/>
                <w:spacing w:val="33"/>
              </w:rPr>
              <w:t xml:space="preserve"> </w:t>
            </w:r>
            <w:r w:rsidRPr="00867FAF">
              <w:rPr>
                <w:rFonts w:ascii="Arial" w:hAnsi="Arial" w:cs="Arial"/>
              </w:rPr>
              <w:t>particular</w:t>
            </w:r>
            <w:r w:rsidRPr="00867FAF">
              <w:rPr>
                <w:rFonts w:ascii="Arial" w:hAnsi="Arial" w:cs="Arial"/>
                <w:spacing w:val="33"/>
              </w:rPr>
              <w:t xml:space="preserve"> </w:t>
            </w:r>
            <w:r w:rsidRPr="00867FAF">
              <w:rPr>
                <w:rFonts w:ascii="Arial" w:hAnsi="Arial" w:cs="Arial"/>
              </w:rPr>
              <w:t>characteristics</w:t>
            </w:r>
            <w:r w:rsidRPr="00867FAF">
              <w:rPr>
                <w:rFonts w:ascii="Arial" w:hAnsi="Arial" w:cs="Arial"/>
                <w:spacing w:val="33"/>
              </w:rPr>
              <w:t xml:space="preserve"> </w:t>
            </w:r>
            <w:r w:rsidRPr="00867FAF">
              <w:rPr>
                <w:rFonts w:ascii="Arial" w:hAnsi="Arial" w:cs="Arial"/>
              </w:rPr>
              <w:t>and</w:t>
            </w:r>
            <w:r w:rsidRPr="00867FAF">
              <w:rPr>
                <w:rFonts w:ascii="Arial" w:hAnsi="Arial" w:cs="Arial"/>
                <w:spacing w:val="33"/>
              </w:rPr>
              <w:t xml:space="preserve"> </w:t>
            </w:r>
            <w:r w:rsidRPr="00867FAF">
              <w:rPr>
                <w:rFonts w:ascii="Arial" w:hAnsi="Arial" w:cs="Arial"/>
              </w:rPr>
              <w:t>roles</w:t>
            </w:r>
            <w:r w:rsidRPr="00867FAF">
              <w:rPr>
                <w:rFonts w:ascii="Arial" w:hAnsi="Arial" w:cs="Arial"/>
                <w:spacing w:val="33"/>
              </w:rPr>
              <w:t xml:space="preserve"> </w:t>
            </w:r>
            <w:r w:rsidRPr="00867FAF">
              <w:rPr>
                <w:rFonts w:ascii="Arial" w:hAnsi="Arial" w:cs="Arial"/>
              </w:rPr>
              <w:t>that</w:t>
            </w:r>
            <w:r w:rsidRPr="00867FAF">
              <w:rPr>
                <w:rFonts w:ascii="Arial" w:hAnsi="Arial" w:cs="Arial"/>
                <w:spacing w:val="33"/>
              </w:rPr>
              <w:t xml:space="preserve"> </w:t>
            </w:r>
            <w:r w:rsidRPr="00867FAF">
              <w:rPr>
                <w:rFonts w:ascii="Arial" w:hAnsi="Arial" w:cs="Arial"/>
              </w:rPr>
              <w:t>are associated with certain groups of people with reference to their sex and</w:t>
            </w:r>
            <w:r w:rsidRPr="00867FAF">
              <w:rPr>
                <w:rFonts w:ascii="Arial" w:hAnsi="Arial" w:cs="Arial"/>
                <w:spacing w:val="80"/>
              </w:rPr>
              <w:t xml:space="preserve"> </w:t>
            </w:r>
            <w:r w:rsidRPr="00867FAF">
              <w:rPr>
                <w:rFonts w:ascii="Arial" w:hAnsi="Arial" w:cs="Arial"/>
              </w:rPr>
              <w:t>sexuality. Rigid gender roles leave no space for acknowledgement or celebration of gender diversity.</w:t>
            </w:r>
            <w:r w:rsidRPr="00867FAF">
              <w:rPr>
                <w:rStyle w:val="EndnoteReference"/>
                <w:rFonts w:ascii="Arial" w:hAnsi="Arial" w:cs="Arial"/>
              </w:rPr>
              <w:endnoteReference w:id="49"/>
            </w:r>
          </w:p>
        </w:tc>
      </w:tr>
      <w:tr w:rsidR="00867FAF" w:rsidRPr="000057CB" w14:paraId="6CFF1384" w14:textId="77777777" w:rsidTr="005E0A16">
        <w:tc>
          <w:tcPr>
            <w:tcW w:w="1033" w:type="pct"/>
            <w:tcBorders>
              <w:top w:val="single" w:sz="4" w:space="0" w:color="000000" w:themeColor="text1"/>
              <w:bottom w:val="single" w:sz="4" w:space="0" w:color="000000" w:themeColor="text1"/>
            </w:tcBorders>
          </w:tcPr>
          <w:p w14:paraId="126CF397" w14:textId="245422CA" w:rsidR="00867FAF" w:rsidRPr="00867FAF" w:rsidRDefault="00867FAF" w:rsidP="003861F3">
            <w:pPr>
              <w:pStyle w:val="TableParagraph"/>
              <w:spacing w:before="0" w:after="120"/>
              <w:rPr>
                <w:rFonts w:ascii="Arial" w:hAnsi="Arial" w:cs="Arial"/>
                <w:spacing w:val="-2"/>
              </w:rPr>
            </w:pPr>
            <w:r w:rsidRPr="00867FAF">
              <w:rPr>
                <w:rFonts w:ascii="Arial" w:hAnsi="Arial" w:cs="Arial"/>
                <w:spacing w:val="-5"/>
                <w:sz w:val="20"/>
                <w:szCs w:val="20"/>
              </w:rPr>
              <w:t>Gay</w:t>
            </w:r>
          </w:p>
        </w:tc>
        <w:tc>
          <w:tcPr>
            <w:tcW w:w="3967" w:type="pct"/>
            <w:tcBorders>
              <w:top w:val="single" w:sz="4" w:space="0" w:color="000000" w:themeColor="text1"/>
              <w:bottom w:val="single" w:sz="4" w:space="0" w:color="000000" w:themeColor="text1"/>
            </w:tcBorders>
          </w:tcPr>
          <w:p w14:paraId="78C9B3AE" w14:textId="4AC77840" w:rsidR="00867FAF" w:rsidRPr="00A820CC" w:rsidRDefault="00867FAF" w:rsidP="003861F3">
            <w:pPr>
              <w:pStyle w:val="TableParagraph"/>
              <w:spacing w:before="0" w:after="120" w:line="242" w:lineRule="auto"/>
              <w:rPr>
                <w:rFonts w:ascii="Arial" w:hAnsi="Arial" w:cs="Arial"/>
              </w:rPr>
            </w:pPr>
            <w:r w:rsidRPr="00867FAF">
              <w:rPr>
                <w:rFonts w:ascii="Arial" w:hAnsi="Arial" w:cs="Arial"/>
              </w:rPr>
              <w:t>Describes a person whose primary emotional and sexual attraction is toward people of the same gender. The term is most commonly applied to men, although some women use this term.</w:t>
            </w:r>
            <w:r w:rsidRPr="00867FAF">
              <w:rPr>
                <w:rStyle w:val="EndnoteReference"/>
                <w:rFonts w:ascii="Arial" w:hAnsi="Arial" w:cs="Arial"/>
              </w:rPr>
              <w:endnoteReference w:id="50"/>
            </w:r>
          </w:p>
        </w:tc>
      </w:tr>
      <w:tr w:rsidR="00867FAF" w:rsidRPr="000057CB" w14:paraId="00265D52" w14:textId="77777777" w:rsidTr="005E0A16">
        <w:tc>
          <w:tcPr>
            <w:tcW w:w="1033" w:type="pct"/>
            <w:tcBorders>
              <w:top w:val="single" w:sz="4" w:space="0" w:color="000000" w:themeColor="text1"/>
              <w:bottom w:val="single" w:sz="4" w:space="0" w:color="000000" w:themeColor="text1"/>
            </w:tcBorders>
          </w:tcPr>
          <w:p w14:paraId="400606C7" w14:textId="479EAB3C" w:rsidR="00867FAF" w:rsidRPr="00867FAF" w:rsidRDefault="00867FAF" w:rsidP="003861F3">
            <w:pPr>
              <w:pStyle w:val="TableParagraph"/>
              <w:spacing w:before="0" w:after="120"/>
              <w:rPr>
                <w:rFonts w:ascii="Arial" w:hAnsi="Arial" w:cs="Arial"/>
                <w:spacing w:val="-2"/>
              </w:rPr>
            </w:pPr>
            <w:r w:rsidRPr="00867FAF">
              <w:rPr>
                <w:rFonts w:ascii="Arial" w:hAnsi="Arial" w:cs="Arial"/>
                <w:sz w:val="20"/>
                <w:szCs w:val="20"/>
              </w:rPr>
              <w:t>Gendered</w:t>
            </w:r>
            <w:r w:rsidRPr="00867FAF">
              <w:rPr>
                <w:rFonts w:ascii="Arial" w:hAnsi="Arial" w:cs="Arial"/>
                <w:spacing w:val="-6"/>
                <w:sz w:val="20"/>
                <w:szCs w:val="20"/>
              </w:rPr>
              <w:t xml:space="preserve"> </w:t>
            </w:r>
            <w:r w:rsidRPr="00867FAF">
              <w:rPr>
                <w:rFonts w:ascii="Arial" w:hAnsi="Arial" w:cs="Arial"/>
                <w:sz w:val="20"/>
                <w:szCs w:val="20"/>
              </w:rPr>
              <w:t>drivers</w:t>
            </w:r>
            <w:r w:rsidRPr="00867FAF">
              <w:rPr>
                <w:rFonts w:ascii="Arial" w:hAnsi="Arial" w:cs="Arial"/>
                <w:spacing w:val="-6"/>
                <w:sz w:val="20"/>
                <w:szCs w:val="20"/>
              </w:rPr>
              <w:t xml:space="preserve"> </w:t>
            </w:r>
            <w:r w:rsidRPr="00867FAF">
              <w:rPr>
                <w:rFonts w:ascii="Arial" w:hAnsi="Arial" w:cs="Arial"/>
                <w:sz w:val="20"/>
                <w:szCs w:val="20"/>
              </w:rPr>
              <w:t xml:space="preserve">of </w:t>
            </w:r>
            <w:r w:rsidRPr="00867FAF">
              <w:rPr>
                <w:rFonts w:ascii="Arial" w:hAnsi="Arial" w:cs="Arial"/>
                <w:spacing w:val="-2"/>
                <w:sz w:val="20"/>
                <w:szCs w:val="20"/>
              </w:rPr>
              <w:t>violence</w:t>
            </w:r>
          </w:p>
        </w:tc>
        <w:tc>
          <w:tcPr>
            <w:tcW w:w="3967" w:type="pct"/>
            <w:tcBorders>
              <w:top w:val="single" w:sz="4" w:space="0" w:color="000000" w:themeColor="text1"/>
              <w:bottom w:val="single" w:sz="4" w:space="0" w:color="000000" w:themeColor="text1"/>
            </w:tcBorders>
          </w:tcPr>
          <w:p w14:paraId="423ED962" w14:textId="2D1BFD3B" w:rsidR="00867FAF" w:rsidRPr="00A820CC" w:rsidRDefault="00867FAF" w:rsidP="003861F3">
            <w:pPr>
              <w:pStyle w:val="TableParagraph"/>
              <w:spacing w:before="0" w:after="120" w:line="242" w:lineRule="auto"/>
              <w:rPr>
                <w:rFonts w:ascii="Arial" w:hAnsi="Arial" w:cs="Arial"/>
              </w:rPr>
            </w:pPr>
            <w:r w:rsidRPr="00867FAF">
              <w:rPr>
                <w:rFonts w:ascii="Arial" w:hAnsi="Arial" w:cs="Arial"/>
              </w:rPr>
              <w:t>The underlying causes that are required to create the necessary conditions in which violence against women, children and LGBTIQA+ people occurs. They relate to the particular structures, norms and practices arising from gender inequality in public and private life, but which must always be considered in the context of other forms of social discrimination and disadvantage.</w:t>
            </w:r>
          </w:p>
        </w:tc>
      </w:tr>
      <w:tr w:rsidR="00867FAF" w:rsidRPr="000057CB" w14:paraId="06DEBEE7" w14:textId="77777777" w:rsidTr="005E0A16">
        <w:tc>
          <w:tcPr>
            <w:tcW w:w="1033" w:type="pct"/>
            <w:tcBorders>
              <w:top w:val="single" w:sz="4" w:space="0" w:color="000000" w:themeColor="text1"/>
              <w:bottom w:val="single" w:sz="4" w:space="0" w:color="000000" w:themeColor="text1"/>
            </w:tcBorders>
          </w:tcPr>
          <w:p w14:paraId="425FB727" w14:textId="25CE9182" w:rsidR="00867FAF" w:rsidRPr="00867FAF" w:rsidRDefault="00867FAF" w:rsidP="003861F3">
            <w:pPr>
              <w:pStyle w:val="TableParagraph"/>
              <w:spacing w:before="0" w:after="120"/>
              <w:rPr>
                <w:rFonts w:ascii="Arial" w:hAnsi="Arial" w:cs="Arial"/>
                <w:spacing w:val="-2"/>
              </w:rPr>
            </w:pPr>
            <w:r w:rsidRPr="00867FAF">
              <w:rPr>
                <w:rFonts w:ascii="Arial" w:hAnsi="Arial" w:cs="Arial"/>
                <w:sz w:val="20"/>
                <w:szCs w:val="20"/>
              </w:rPr>
              <w:t>Gender</w:t>
            </w:r>
            <w:r w:rsidRPr="00867FAF">
              <w:rPr>
                <w:rFonts w:ascii="Arial" w:hAnsi="Arial" w:cs="Arial"/>
                <w:spacing w:val="7"/>
                <w:sz w:val="20"/>
                <w:szCs w:val="20"/>
              </w:rPr>
              <w:t xml:space="preserve"> </w:t>
            </w:r>
            <w:r w:rsidRPr="00867FAF">
              <w:rPr>
                <w:rFonts w:ascii="Arial" w:hAnsi="Arial" w:cs="Arial"/>
                <w:spacing w:val="-2"/>
                <w:sz w:val="20"/>
                <w:szCs w:val="20"/>
              </w:rPr>
              <w:t>equality</w:t>
            </w:r>
          </w:p>
        </w:tc>
        <w:tc>
          <w:tcPr>
            <w:tcW w:w="3967" w:type="pct"/>
            <w:tcBorders>
              <w:top w:val="single" w:sz="4" w:space="0" w:color="000000" w:themeColor="text1"/>
              <w:bottom w:val="single" w:sz="4" w:space="0" w:color="000000" w:themeColor="text1"/>
            </w:tcBorders>
          </w:tcPr>
          <w:p w14:paraId="6D0228A9" w14:textId="00B0F03D" w:rsidR="00867FAF" w:rsidRPr="00A820CC" w:rsidRDefault="00867FAF" w:rsidP="003861F3">
            <w:pPr>
              <w:pStyle w:val="TableParagraph"/>
              <w:spacing w:before="0" w:after="120" w:line="242" w:lineRule="auto"/>
              <w:rPr>
                <w:rFonts w:ascii="Arial" w:hAnsi="Arial" w:cs="Arial"/>
              </w:rPr>
            </w:pPr>
            <w:r w:rsidRPr="00867FAF">
              <w:rPr>
                <w:rFonts w:ascii="Arial" w:hAnsi="Arial" w:cs="Arial"/>
              </w:rPr>
              <w:t>Involves equality of opportunity and equality of results. It includes both the redistribution of resources and responsibilities between men and women and the transformation of the underlying causes and structures of gender inequality to achieve substantive equality.</w:t>
            </w:r>
          </w:p>
        </w:tc>
      </w:tr>
      <w:tr w:rsidR="00867FAF" w:rsidRPr="000057CB" w14:paraId="2CF1847C" w14:textId="77777777" w:rsidTr="005E0A16">
        <w:tc>
          <w:tcPr>
            <w:tcW w:w="1033" w:type="pct"/>
            <w:tcBorders>
              <w:top w:val="single" w:sz="4" w:space="0" w:color="000000" w:themeColor="text1"/>
              <w:bottom w:val="single" w:sz="4" w:space="0" w:color="000000" w:themeColor="text1"/>
            </w:tcBorders>
          </w:tcPr>
          <w:p w14:paraId="50060FEE" w14:textId="1EFCF6A1" w:rsidR="00867FAF" w:rsidRPr="00867FAF" w:rsidRDefault="00867FAF" w:rsidP="003861F3">
            <w:pPr>
              <w:pStyle w:val="TableParagraph"/>
              <w:spacing w:before="0" w:after="120"/>
              <w:rPr>
                <w:rFonts w:ascii="Arial" w:hAnsi="Arial" w:cs="Arial"/>
                <w:spacing w:val="-2"/>
              </w:rPr>
            </w:pPr>
            <w:r w:rsidRPr="00867FAF">
              <w:rPr>
                <w:rFonts w:ascii="Arial" w:hAnsi="Arial" w:cs="Arial"/>
                <w:sz w:val="20"/>
                <w:szCs w:val="20"/>
              </w:rPr>
              <w:t>Gender</w:t>
            </w:r>
            <w:r w:rsidRPr="00867FAF">
              <w:rPr>
                <w:rFonts w:ascii="Arial" w:hAnsi="Arial" w:cs="Arial"/>
                <w:spacing w:val="7"/>
                <w:sz w:val="20"/>
                <w:szCs w:val="20"/>
              </w:rPr>
              <w:t xml:space="preserve"> </w:t>
            </w:r>
            <w:r w:rsidRPr="00867FAF">
              <w:rPr>
                <w:rFonts w:ascii="Arial" w:hAnsi="Arial" w:cs="Arial"/>
                <w:spacing w:val="-2"/>
                <w:sz w:val="20"/>
                <w:szCs w:val="20"/>
              </w:rPr>
              <w:t>inequality</w:t>
            </w:r>
          </w:p>
        </w:tc>
        <w:tc>
          <w:tcPr>
            <w:tcW w:w="3967" w:type="pct"/>
            <w:tcBorders>
              <w:top w:val="single" w:sz="4" w:space="0" w:color="000000" w:themeColor="text1"/>
              <w:bottom w:val="single" w:sz="4" w:space="0" w:color="000000" w:themeColor="text1"/>
            </w:tcBorders>
          </w:tcPr>
          <w:p w14:paraId="139DEF49" w14:textId="698E473E" w:rsidR="00867FAF" w:rsidRPr="00A820CC" w:rsidRDefault="00867FAF" w:rsidP="003861F3">
            <w:pPr>
              <w:pStyle w:val="TableParagraph"/>
              <w:spacing w:before="0" w:after="120" w:line="242" w:lineRule="auto"/>
              <w:rPr>
                <w:rFonts w:ascii="Arial" w:hAnsi="Arial" w:cs="Arial"/>
              </w:rPr>
            </w:pPr>
            <w:r w:rsidRPr="00867FAF">
              <w:rPr>
                <w:rFonts w:ascii="Arial" w:hAnsi="Arial" w:cs="Arial"/>
              </w:rPr>
              <w:t>A social condition characterised by unequal value afforded to men and women and</w:t>
            </w:r>
            <w:r w:rsidRPr="00867FAF">
              <w:rPr>
                <w:rFonts w:ascii="Arial" w:hAnsi="Arial" w:cs="Arial"/>
                <w:spacing w:val="-3"/>
              </w:rPr>
              <w:t xml:space="preserve"> </w:t>
            </w:r>
            <w:r w:rsidRPr="00867FAF">
              <w:rPr>
                <w:rFonts w:ascii="Arial" w:hAnsi="Arial" w:cs="Arial"/>
              </w:rPr>
              <w:t>an</w:t>
            </w:r>
            <w:r w:rsidRPr="00867FAF">
              <w:rPr>
                <w:rFonts w:ascii="Arial" w:hAnsi="Arial" w:cs="Arial"/>
                <w:spacing w:val="-3"/>
              </w:rPr>
              <w:t xml:space="preserve"> </w:t>
            </w:r>
            <w:r w:rsidRPr="00867FAF">
              <w:rPr>
                <w:rFonts w:ascii="Arial" w:hAnsi="Arial" w:cs="Arial"/>
              </w:rPr>
              <w:t>unequal</w:t>
            </w:r>
            <w:r w:rsidRPr="00867FAF">
              <w:rPr>
                <w:rFonts w:ascii="Arial" w:hAnsi="Arial" w:cs="Arial"/>
                <w:spacing w:val="-3"/>
              </w:rPr>
              <w:t xml:space="preserve"> </w:t>
            </w:r>
            <w:r w:rsidRPr="00867FAF">
              <w:rPr>
                <w:rFonts w:ascii="Arial" w:hAnsi="Arial" w:cs="Arial"/>
              </w:rPr>
              <w:t>distribution</w:t>
            </w:r>
            <w:r w:rsidRPr="00867FAF">
              <w:rPr>
                <w:rFonts w:ascii="Arial" w:hAnsi="Arial" w:cs="Arial"/>
                <w:spacing w:val="-3"/>
              </w:rPr>
              <w:t xml:space="preserve"> </w:t>
            </w:r>
            <w:r w:rsidRPr="00867FAF">
              <w:rPr>
                <w:rFonts w:ascii="Arial" w:hAnsi="Arial" w:cs="Arial"/>
              </w:rPr>
              <w:t>of</w:t>
            </w:r>
            <w:r w:rsidRPr="00867FAF">
              <w:rPr>
                <w:rFonts w:ascii="Arial" w:hAnsi="Arial" w:cs="Arial"/>
                <w:spacing w:val="-3"/>
              </w:rPr>
              <w:t xml:space="preserve"> </w:t>
            </w:r>
            <w:r w:rsidRPr="00867FAF">
              <w:rPr>
                <w:rFonts w:ascii="Arial" w:hAnsi="Arial" w:cs="Arial"/>
              </w:rPr>
              <w:t>power,</w:t>
            </w:r>
            <w:r w:rsidRPr="00867FAF">
              <w:rPr>
                <w:rFonts w:ascii="Arial" w:hAnsi="Arial" w:cs="Arial"/>
                <w:spacing w:val="-3"/>
              </w:rPr>
              <w:t xml:space="preserve"> </w:t>
            </w:r>
            <w:r w:rsidRPr="00867FAF">
              <w:rPr>
                <w:rFonts w:ascii="Arial" w:hAnsi="Arial" w:cs="Arial"/>
              </w:rPr>
              <w:t>resources</w:t>
            </w:r>
            <w:r w:rsidRPr="00867FAF">
              <w:rPr>
                <w:rFonts w:ascii="Arial" w:hAnsi="Arial" w:cs="Arial"/>
                <w:spacing w:val="-3"/>
              </w:rPr>
              <w:t xml:space="preserve"> </w:t>
            </w:r>
            <w:r w:rsidRPr="00867FAF">
              <w:rPr>
                <w:rFonts w:ascii="Arial" w:hAnsi="Arial" w:cs="Arial"/>
              </w:rPr>
              <w:t>and</w:t>
            </w:r>
            <w:r w:rsidRPr="00867FAF">
              <w:rPr>
                <w:rFonts w:ascii="Arial" w:hAnsi="Arial" w:cs="Arial"/>
                <w:spacing w:val="-3"/>
              </w:rPr>
              <w:t xml:space="preserve"> </w:t>
            </w:r>
            <w:r w:rsidRPr="00867FAF">
              <w:rPr>
                <w:rFonts w:ascii="Arial" w:hAnsi="Arial" w:cs="Arial"/>
              </w:rPr>
              <w:t>opportunity</w:t>
            </w:r>
            <w:r w:rsidRPr="00867FAF">
              <w:rPr>
                <w:rFonts w:ascii="Arial" w:hAnsi="Arial" w:cs="Arial"/>
                <w:spacing w:val="-3"/>
              </w:rPr>
              <w:t xml:space="preserve"> </w:t>
            </w:r>
            <w:r w:rsidRPr="00867FAF">
              <w:rPr>
                <w:rFonts w:ascii="Arial" w:hAnsi="Arial" w:cs="Arial"/>
              </w:rPr>
              <w:t>between</w:t>
            </w:r>
            <w:r w:rsidRPr="00867FAF">
              <w:rPr>
                <w:rFonts w:ascii="Arial" w:hAnsi="Arial" w:cs="Arial"/>
                <w:spacing w:val="-3"/>
              </w:rPr>
              <w:t xml:space="preserve"> </w:t>
            </w:r>
            <w:r w:rsidRPr="00867FAF">
              <w:rPr>
                <w:rFonts w:ascii="Arial" w:hAnsi="Arial" w:cs="Arial"/>
              </w:rPr>
              <w:t>them. It</w:t>
            </w:r>
            <w:r w:rsidRPr="00867FAF">
              <w:rPr>
                <w:rFonts w:ascii="Arial" w:hAnsi="Arial" w:cs="Arial"/>
                <w:spacing w:val="-7"/>
              </w:rPr>
              <w:t xml:space="preserve"> </w:t>
            </w:r>
            <w:r w:rsidRPr="00867FAF">
              <w:rPr>
                <w:rFonts w:ascii="Arial" w:hAnsi="Arial" w:cs="Arial"/>
              </w:rPr>
              <w:t>is</w:t>
            </w:r>
            <w:r w:rsidRPr="00867FAF">
              <w:rPr>
                <w:rFonts w:ascii="Arial" w:hAnsi="Arial" w:cs="Arial"/>
                <w:spacing w:val="-7"/>
              </w:rPr>
              <w:t xml:space="preserve"> </w:t>
            </w:r>
            <w:r w:rsidRPr="00867FAF">
              <w:rPr>
                <w:rFonts w:ascii="Arial" w:hAnsi="Arial" w:cs="Arial"/>
              </w:rPr>
              <w:t>the</w:t>
            </w:r>
            <w:r w:rsidRPr="00867FAF">
              <w:rPr>
                <w:rFonts w:ascii="Arial" w:hAnsi="Arial" w:cs="Arial"/>
                <w:spacing w:val="-7"/>
              </w:rPr>
              <w:t xml:space="preserve"> </w:t>
            </w:r>
            <w:r w:rsidRPr="00867FAF">
              <w:rPr>
                <w:rFonts w:ascii="Arial" w:hAnsi="Arial" w:cs="Arial"/>
              </w:rPr>
              <w:t>direct</w:t>
            </w:r>
            <w:r w:rsidRPr="00867FAF">
              <w:rPr>
                <w:rFonts w:ascii="Arial" w:hAnsi="Arial" w:cs="Arial"/>
                <w:spacing w:val="-7"/>
              </w:rPr>
              <w:t xml:space="preserve"> </w:t>
            </w:r>
            <w:r w:rsidRPr="00867FAF">
              <w:rPr>
                <w:rFonts w:ascii="Arial" w:hAnsi="Arial" w:cs="Arial"/>
              </w:rPr>
              <w:t>result</w:t>
            </w:r>
            <w:r w:rsidRPr="00867FAF">
              <w:rPr>
                <w:rFonts w:ascii="Arial" w:hAnsi="Arial" w:cs="Arial"/>
                <w:spacing w:val="-7"/>
              </w:rPr>
              <w:t xml:space="preserve"> </w:t>
            </w:r>
            <w:r w:rsidRPr="00867FAF">
              <w:rPr>
                <w:rFonts w:ascii="Arial" w:hAnsi="Arial" w:cs="Arial"/>
              </w:rPr>
              <w:t>of</w:t>
            </w:r>
            <w:r w:rsidRPr="00867FAF">
              <w:rPr>
                <w:rFonts w:ascii="Arial" w:hAnsi="Arial" w:cs="Arial"/>
                <w:spacing w:val="-7"/>
              </w:rPr>
              <w:t xml:space="preserve"> </w:t>
            </w:r>
            <w:r w:rsidRPr="00867FAF">
              <w:rPr>
                <w:rFonts w:ascii="Arial" w:hAnsi="Arial" w:cs="Arial"/>
              </w:rPr>
              <w:t>patriarchal</w:t>
            </w:r>
            <w:r w:rsidRPr="00867FAF">
              <w:rPr>
                <w:rFonts w:ascii="Arial" w:hAnsi="Arial" w:cs="Arial"/>
                <w:spacing w:val="-7"/>
              </w:rPr>
              <w:t xml:space="preserve"> </w:t>
            </w:r>
            <w:r w:rsidRPr="00867FAF">
              <w:rPr>
                <w:rFonts w:ascii="Arial" w:hAnsi="Arial" w:cs="Arial"/>
              </w:rPr>
              <w:t>systems</w:t>
            </w:r>
            <w:r w:rsidRPr="00867FAF">
              <w:rPr>
                <w:rFonts w:ascii="Arial" w:hAnsi="Arial" w:cs="Arial"/>
                <w:spacing w:val="-7"/>
              </w:rPr>
              <w:t xml:space="preserve"> </w:t>
            </w:r>
            <w:r w:rsidRPr="00867FAF">
              <w:rPr>
                <w:rFonts w:ascii="Arial" w:hAnsi="Arial" w:cs="Arial"/>
              </w:rPr>
              <w:t>that</w:t>
            </w:r>
            <w:r w:rsidRPr="00867FAF">
              <w:rPr>
                <w:rFonts w:ascii="Arial" w:hAnsi="Arial" w:cs="Arial"/>
                <w:spacing w:val="-7"/>
              </w:rPr>
              <w:t xml:space="preserve"> </w:t>
            </w:r>
            <w:r w:rsidRPr="00867FAF">
              <w:rPr>
                <w:rFonts w:ascii="Arial" w:hAnsi="Arial" w:cs="Arial"/>
              </w:rPr>
              <w:t>privilege</w:t>
            </w:r>
            <w:r w:rsidRPr="00867FAF">
              <w:rPr>
                <w:rFonts w:ascii="Arial" w:hAnsi="Arial" w:cs="Arial"/>
                <w:spacing w:val="-7"/>
              </w:rPr>
              <w:t xml:space="preserve"> </w:t>
            </w:r>
            <w:r w:rsidRPr="00867FAF">
              <w:rPr>
                <w:rFonts w:ascii="Arial" w:hAnsi="Arial" w:cs="Arial"/>
              </w:rPr>
              <w:t>the</w:t>
            </w:r>
            <w:r w:rsidRPr="00867FAF">
              <w:rPr>
                <w:rFonts w:ascii="Arial" w:hAnsi="Arial" w:cs="Arial"/>
                <w:spacing w:val="-7"/>
              </w:rPr>
              <w:t xml:space="preserve"> </w:t>
            </w:r>
            <w:r w:rsidRPr="00867FAF">
              <w:rPr>
                <w:rFonts w:ascii="Arial" w:hAnsi="Arial" w:cs="Arial"/>
              </w:rPr>
              <w:t>needs,</w:t>
            </w:r>
            <w:r w:rsidRPr="00867FAF">
              <w:rPr>
                <w:rFonts w:ascii="Arial" w:hAnsi="Arial" w:cs="Arial"/>
                <w:spacing w:val="-7"/>
              </w:rPr>
              <w:t xml:space="preserve"> </w:t>
            </w:r>
            <w:r w:rsidRPr="00867FAF">
              <w:rPr>
                <w:rFonts w:ascii="Arial" w:hAnsi="Arial" w:cs="Arial"/>
              </w:rPr>
              <w:t>interests</w:t>
            </w:r>
            <w:r w:rsidRPr="00867FAF">
              <w:rPr>
                <w:rFonts w:ascii="Arial" w:hAnsi="Arial" w:cs="Arial"/>
                <w:spacing w:val="-7"/>
              </w:rPr>
              <w:t xml:space="preserve"> </w:t>
            </w:r>
            <w:r w:rsidRPr="00867FAF">
              <w:rPr>
                <w:rFonts w:ascii="Arial" w:hAnsi="Arial" w:cs="Arial"/>
              </w:rPr>
              <w:t xml:space="preserve">and behaviours of men over women, </w:t>
            </w:r>
            <w:r w:rsidRPr="00867FAF">
              <w:rPr>
                <w:rFonts w:ascii="Arial" w:hAnsi="Arial" w:cs="Arial"/>
              </w:rPr>
              <w:lastRenderedPageBreak/>
              <w:t>and that permeate many aspects of Australian society and institutions.</w:t>
            </w:r>
            <w:r w:rsidRPr="00867FAF">
              <w:rPr>
                <w:rStyle w:val="EndnoteReference"/>
                <w:rFonts w:ascii="Arial" w:hAnsi="Arial" w:cs="Arial"/>
              </w:rPr>
              <w:endnoteReference w:id="51"/>
            </w:r>
          </w:p>
        </w:tc>
      </w:tr>
      <w:tr w:rsidR="00867FAF" w:rsidRPr="000057CB" w14:paraId="54836E3D" w14:textId="77777777" w:rsidTr="005E0A16">
        <w:tc>
          <w:tcPr>
            <w:tcW w:w="1033" w:type="pct"/>
            <w:tcBorders>
              <w:top w:val="single" w:sz="4" w:space="0" w:color="000000" w:themeColor="text1"/>
              <w:bottom w:val="single" w:sz="4" w:space="0" w:color="000000" w:themeColor="text1"/>
            </w:tcBorders>
          </w:tcPr>
          <w:p w14:paraId="35B12B14" w14:textId="237CD7DE" w:rsidR="00867FAF" w:rsidRPr="00867FAF" w:rsidRDefault="00867FAF" w:rsidP="003861F3">
            <w:pPr>
              <w:pStyle w:val="TableParagraph"/>
              <w:spacing w:before="0" w:after="120"/>
              <w:rPr>
                <w:rFonts w:ascii="Arial" w:hAnsi="Arial" w:cs="Arial"/>
                <w:spacing w:val="-2"/>
              </w:rPr>
            </w:pPr>
            <w:r w:rsidRPr="00867FAF">
              <w:rPr>
                <w:rFonts w:ascii="Arial" w:hAnsi="Arial" w:cs="Arial"/>
                <w:sz w:val="20"/>
                <w:szCs w:val="20"/>
              </w:rPr>
              <w:lastRenderedPageBreak/>
              <w:t>Gender</w:t>
            </w:r>
            <w:r w:rsidRPr="00867FAF">
              <w:rPr>
                <w:rFonts w:ascii="Arial" w:hAnsi="Arial" w:cs="Arial"/>
                <w:spacing w:val="7"/>
                <w:sz w:val="20"/>
                <w:szCs w:val="20"/>
              </w:rPr>
              <w:t xml:space="preserve"> </w:t>
            </w:r>
            <w:r w:rsidRPr="00867FAF">
              <w:rPr>
                <w:rFonts w:ascii="Arial" w:hAnsi="Arial" w:cs="Arial"/>
                <w:spacing w:val="-2"/>
                <w:sz w:val="20"/>
                <w:szCs w:val="20"/>
              </w:rPr>
              <w:t>identity</w:t>
            </w:r>
          </w:p>
        </w:tc>
        <w:tc>
          <w:tcPr>
            <w:tcW w:w="3967" w:type="pct"/>
            <w:tcBorders>
              <w:top w:val="single" w:sz="4" w:space="0" w:color="000000" w:themeColor="text1"/>
              <w:bottom w:val="single" w:sz="4" w:space="0" w:color="000000" w:themeColor="text1"/>
            </w:tcBorders>
          </w:tcPr>
          <w:p w14:paraId="68CE7C4C" w14:textId="0772354C" w:rsidR="00867FAF" w:rsidRPr="00A820CC" w:rsidRDefault="00867FAF" w:rsidP="003861F3">
            <w:pPr>
              <w:pStyle w:val="TableParagraph"/>
              <w:spacing w:before="0" w:after="120" w:line="242" w:lineRule="auto"/>
              <w:rPr>
                <w:rFonts w:ascii="Arial" w:hAnsi="Arial" w:cs="Arial"/>
              </w:rPr>
            </w:pPr>
            <w:r w:rsidRPr="00867FAF">
              <w:rPr>
                <w:rFonts w:ascii="Arial" w:hAnsi="Arial" w:cs="Arial"/>
              </w:rPr>
              <w:t>A person’s deeply felt sense of being male, female, both, inbetween, or something other.</w:t>
            </w:r>
          </w:p>
        </w:tc>
      </w:tr>
      <w:tr w:rsidR="00867FAF" w:rsidRPr="000057CB" w14:paraId="0023BB89" w14:textId="77777777" w:rsidTr="005E0A16">
        <w:tc>
          <w:tcPr>
            <w:tcW w:w="1033" w:type="pct"/>
            <w:tcBorders>
              <w:top w:val="single" w:sz="4" w:space="0" w:color="000000" w:themeColor="text1"/>
              <w:bottom w:val="single" w:sz="4" w:space="0" w:color="000000" w:themeColor="text1"/>
            </w:tcBorders>
          </w:tcPr>
          <w:p w14:paraId="4F465667" w14:textId="43734953" w:rsidR="00867FAF" w:rsidRPr="00867FAF" w:rsidRDefault="00867FAF" w:rsidP="003861F3">
            <w:pPr>
              <w:pStyle w:val="TableParagraph"/>
              <w:spacing w:before="0" w:after="120"/>
              <w:rPr>
                <w:rFonts w:ascii="Arial" w:hAnsi="Arial" w:cs="Arial"/>
                <w:spacing w:val="-2"/>
              </w:rPr>
            </w:pPr>
            <w:r w:rsidRPr="00867FAF">
              <w:rPr>
                <w:rFonts w:ascii="Arial" w:hAnsi="Arial" w:cs="Arial"/>
                <w:sz w:val="20"/>
                <w:szCs w:val="20"/>
              </w:rPr>
              <w:t>Gender</w:t>
            </w:r>
            <w:r w:rsidRPr="00867FAF">
              <w:rPr>
                <w:rFonts w:ascii="Arial" w:hAnsi="Arial" w:cs="Arial"/>
                <w:spacing w:val="7"/>
                <w:sz w:val="20"/>
                <w:szCs w:val="20"/>
              </w:rPr>
              <w:t xml:space="preserve"> </w:t>
            </w:r>
            <w:r w:rsidRPr="00867FAF">
              <w:rPr>
                <w:rFonts w:ascii="Arial" w:hAnsi="Arial" w:cs="Arial"/>
                <w:spacing w:val="-2"/>
                <w:sz w:val="20"/>
                <w:szCs w:val="20"/>
              </w:rPr>
              <w:t>norms</w:t>
            </w:r>
          </w:p>
        </w:tc>
        <w:tc>
          <w:tcPr>
            <w:tcW w:w="3967" w:type="pct"/>
            <w:tcBorders>
              <w:top w:val="single" w:sz="4" w:space="0" w:color="000000" w:themeColor="text1"/>
              <w:bottom w:val="single" w:sz="4" w:space="0" w:color="000000" w:themeColor="text1"/>
            </w:tcBorders>
          </w:tcPr>
          <w:p w14:paraId="586D9CC3" w14:textId="38D0CF24" w:rsidR="00867FAF" w:rsidRPr="00A820CC" w:rsidRDefault="00867FAF" w:rsidP="003861F3">
            <w:pPr>
              <w:pStyle w:val="TableParagraph"/>
              <w:spacing w:before="0" w:after="120" w:line="242" w:lineRule="auto"/>
              <w:rPr>
                <w:rFonts w:ascii="Arial" w:hAnsi="Arial" w:cs="Arial"/>
              </w:rPr>
            </w:pPr>
            <w:r w:rsidRPr="00867FAF">
              <w:rPr>
                <w:rFonts w:ascii="Arial" w:hAnsi="Arial" w:cs="Arial"/>
              </w:rPr>
              <w:t>The dominant beliefs and rules of conduct that are determined by a society</w:t>
            </w:r>
            <w:r w:rsidRPr="00867FAF">
              <w:rPr>
                <w:rFonts w:ascii="Arial" w:hAnsi="Arial" w:cs="Arial"/>
                <w:spacing w:val="40"/>
              </w:rPr>
              <w:t xml:space="preserve"> </w:t>
            </w:r>
            <w:r w:rsidRPr="00867FAF">
              <w:rPr>
                <w:rFonts w:ascii="Arial" w:hAnsi="Arial" w:cs="Arial"/>
              </w:rPr>
              <w:t>or social group in relation to the types of roles, interests, behaviours and contributions expected from girls and boys, men and women. Norms are not neutral</w:t>
            </w:r>
            <w:r w:rsidRPr="00867FAF">
              <w:rPr>
                <w:rFonts w:ascii="Arial" w:hAnsi="Arial" w:cs="Arial"/>
                <w:spacing w:val="7"/>
              </w:rPr>
              <w:t xml:space="preserve"> </w:t>
            </w:r>
            <w:r w:rsidRPr="00867FAF">
              <w:rPr>
                <w:rFonts w:ascii="Arial" w:hAnsi="Arial" w:cs="Arial"/>
              </w:rPr>
              <w:t>in</w:t>
            </w:r>
            <w:r w:rsidRPr="00867FAF">
              <w:rPr>
                <w:rFonts w:ascii="Arial" w:hAnsi="Arial" w:cs="Arial"/>
                <w:spacing w:val="7"/>
              </w:rPr>
              <w:t xml:space="preserve"> </w:t>
            </w:r>
            <w:r w:rsidRPr="00867FAF">
              <w:rPr>
                <w:rFonts w:ascii="Arial" w:hAnsi="Arial" w:cs="Arial"/>
              </w:rPr>
              <w:t>their</w:t>
            </w:r>
            <w:r w:rsidRPr="00867FAF">
              <w:rPr>
                <w:rFonts w:ascii="Arial" w:hAnsi="Arial" w:cs="Arial"/>
                <w:spacing w:val="7"/>
              </w:rPr>
              <w:t xml:space="preserve"> </w:t>
            </w:r>
            <w:r w:rsidRPr="00867FAF">
              <w:rPr>
                <w:rFonts w:ascii="Arial" w:hAnsi="Arial" w:cs="Arial"/>
              </w:rPr>
              <w:t>effect,</w:t>
            </w:r>
            <w:r w:rsidRPr="00867FAF">
              <w:rPr>
                <w:rFonts w:ascii="Arial" w:hAnsi="Arial" w:cs="Arial"/>
                <w:spacing w:val="8"/>
              </w:rPr>
              <w:t xml:space="preserve"> </w:t>
            </w:r>
            <w:r w:rsidRPr="00867FAF">
              <w:rPr>
                <w:rFonts w:ascii="Arial" w:hAnsi="Arial" w:cs="Arial"/>
              </w:rPr>
              <w:t>but</w:t>
            </w:r>
            <w:r w:rsidRPr="00867FAF">
              <w:rPr>
                <w:rFonts w:ascii="Arial" w:hAnsi="Arial" w:cs="Arial"/>
                <w:spacing w:val="7"/>
              </w:rPr>
              <w:t xml:space="preserve"> </w:t>
            </w:r>
            <w:r w:rsidRPr="00867FAF">
              <w:rPr>
                <w:rFonts w:ascii="Arial" w:hAnsi="Arial" w:cs="Arial"/>
              </w:rPr>
              <w:t>rather</w:t>
            </w:r>
            <w:r w:rsidRPr="00867FAF">
              <w:rPr>
                <w:rFonts w:ascii="Arial" w:hAnsi="Arial" w:cs="Arial"/>
                <w:spacing w:val="7"/>
              </w:rPr>
              <w:t xml:space="preserve"> </w:t>
            </w:r>
            <w:r w:rsidRPr="00867FAF">
              <w:rPr>
                <w:rFonts w:ascii="Arial" w:hAnsi="Arial" w:cs="Arial"/>
              </w:rPr>
              <w:t>create</w:t>
            </w:r>
            <w:r w:rsidRPr="00867FAF">
              <w:rPr>
                <w:rFonts w:ascii="Arial" w:hAnsi="Arial" w:cs="Arial"/>
                <w:spacing w:val="8"/>
              </w:rPr>
              <w:t xml:space="preserve"> </w:t>
            </w:r>
            <w:r w:rsidRPr="00867FAF">
              <w:rPr>
                <w:rFonts w:ascii="Arial" w:hAnsi="Arial" w:cs="Arial"/>
              </w:rPr>
              <w:t>and</w:t>
            </w:r>
            <w:r w:rsidRPr="00867FAF">
              <w:rPr>
                <w:rFonts w:ascii="Arial" w:hAnsi="Arial" w:cs="Arial"/>
                <w:spacing w:val="7"/>
              </w:rPr>
              <w:t xml:space="preserve"> </w:t>
            </w:r>
            <w:r w:rsidRPr="00867FAF">
              <w:rPr>
                <w:rFonts w:ascii="Arial" w:hAnsi="Arial" w:cs="Arial"/>
              </w:rPr>
              <w:t>maintain</w:t>
            </w:r>
            <w:r w:rsidRPr="00867FAF">
              <w:rPr>
                <w:rFonts w:ascii="Arial" w:hAnsi="Arial" w:cs="Arial"/>
                <w:spacing w:val="7"/>
              </w:rPr>
              <w:t xml:space="preserve"> </w:t>
            </w:r>
            <w:r w:rsidRPr="00867FAF">
              <w:rPr>
                <w:rFonts w:ascii="Arial" w:hAnsi="Arial" w:cs="Arial"/>
              </w:rPr>
              <w:t>unequal</w:t>
            </w:r>
            <w:r w:rsidRPr="00867FAF">
              <w:rPr>
                <w:rFonts w:ascii="Arial" w:hAnsi="Arial" w:cs="Arial"/>
                <w:spacing w:val="8"/>
              </w:rPr>
              <w:t xml:space="preserve"> </w:t>
            </w:r>
            <w:r w:rsidRPr="00867FAF">
              <w:rPr>
                <w:rFonts w:ascii="Arial" w:hAnsi="Arial" w:cs="Arial"/>
              </w:rPr>
              <w:t>relations</w:t>
            </w:r>
            <w:r w:rsidRPr="00867FAF">
              <w:rPr>
                <w:rFonts w:ascii="Arial" w:hAnsi="Arial" w:cs="Arial"/>
                <w:spacing w:val="7"/>
              </w:rPr>
              <w:t xml:space="preserve"> </w:t>
            </w:r>
            <w:r w:rsidRPr="00867FAF">
              <w:rPr>
                <w:rFonts w:ascii="Arial" w:hAnsi="Arial" w:cs="Arial"/>
              </w:rPr>
              <w:t>of</w:t>
            </w:r>
            <w:r w:rsidRPr="00867FAF">
              <w:rPr>
                <w:rFonts w:ascii="Arial" w:hAnsi="Arial" w:cs="Arial"/>
                <w:spacing w:val="7"/>
              </w:rPr>
              <w:t xml:space="preserve"> </w:t>
            </w:r>
            <w:r w:rsidRPr="00867FAF">
              <w:rPr>
                <w:rFonts w:ascii="Arial" w:hAnsi="Arial" w:cs="Arial"/>
                <w:spacing w:val="-2"/>
              </w:rPr>
              <w:t>power.</w:t>
            </w:r>
          </w:p>
        </w:tc>
      </w:tr>
      <w:tr w:rsidR="00867FAF" w:rsidRPr="000057CB" w14:paraId="490E1EEB" w14:textId="77777777" w:rsidTr="005E0A16">
        <w:tc>
          <w:tcPr>
            <w:tcW w:w="1033" w:type="pct"/>
            <w:tcBorders>
              <w:top w:val="single" w:sz="4" w:space="0" w:color="000000" w:themeColor="text1"/>
              <w:bottom w:val="single" w:sz="4" w:space="0" w:color="000000" w:themeColor="text1"/>
            </w:tcBorders>
          </w:tcPr>
          <w:p w14:paraId="0ABCCAF2" w14:textId="3DA777B0" w:rsidR="00867FAF" w:rsidRPr="00867FAF" w:rsidRDefault="00867FAF" w:rsidP="003861F3">
            <w:pPr>
              <w:pStyle w:val="TableParagraph"/>
              <w:spacing w:before="0" w:after="120"/>
              <w:rPr>
                <w:rFonts w:ascii="Arial" w:hAnsi="Arial" w:cs="Arial"/>
                <w:spacing w:val="-2"/>
              </w:rPr>
            </w:pPr>
            <w:r w:rsidRPr="00867FAF">
              <w:rPr>
                <w:rFonts w:ascii="Arial" w:hAnsi="Arial" w:cs="Arial"/>
                <w:sz w:val="20"/>
                <w:szCs w:val="20"/>
              </w:rPr>
              <w:t>Gender</w:t>
            </w:r>
            <w:r w:rsidRPr="00867FAF">
              <w:rPr>
                <w:rFonts w:ascii="Arial" w:hAnsi="Arial" w:cs="Arial"/>
                <w:spacing w:val="7"/>
                <w:sz w:val="20"/>
                <w:szCs w:val="20"/>
              </w:rPr>
              <w:t xml:space="preserve"> </w:t>
            </w:r>
            <w:r w:rsidRPr="00867FAF">
              <w:rPr>
                <w:rFonts w:ascii="Arial" w:hAnsi="Arial" w:cs="Arial"/>
                <w:spacing w:val="-2"/>
                <w:sz w:val="20"/>
                <w:szCs w:val="20"/>
              </w:rPr>
              <w:t>stereotypes</w:t>
            </w:r>
          </w:p>
        </w:tc>
        <w:tc>
          <w:tcPr>
            <w:tcW w:w="3967" w:type="pct"/>
            <w:tcBorders>
              <w:top w:val="single" w:sz="4" w:space="0" w:color="000000" w:themeColor="text1"/>
              <w:bottom w:val="single" w:sz="4" w:space="0" w:color="000000" w:themeColor="text1"/>
            </w:tcBorders>
          </w:tcPr>
          <w:p w14:paraId="07C26E4C" w14:textId="5CA76C15" w:rsidR="00867FAF" w:rsidRPr="00A820CC" w:rsidRDefault="00867FAF" w:rsidP="003861F3">
            <w:pPr>
              <w:pStyle w:val="TableParagraph"/>
              <w:spacing w:before="0" w:after="120" w:line="242" w:lineRule="auto"/>
              <w:rPr>
                <w:rFonts w:ascii="Arial" w:hAnsi="Arial" w:cs="Arial"/>
              </w:rPr>
            </w:pPr>
            <w:r w:rsidRPr="00867FAF">
              <w:rPr>
                <w:rFonts w:ascii="Arial" w:hAnsi="Arial" w:cs="Arial"/>
              </w:rPr>
              <w:t>Gender stereotypes are simplistic assumptions and generalisations about the attributes,</w:t>
            </w:r>
            <w:r w:rsidRPr="00867FAF">
              <w:rPr>
                <w:rFonts w:ascii="Arial" w:hAnsi="Arial" w:cs="Arial"/>
                <w:spacing w:val="27"/>
              </w:rPr>
              <w:t xml:space="preserve"> </w:t>
            </w:r>
            <w:r w:rsidRPr="00867FAF">
              <w:rPr>
                <w:rFonts w:ascii="Arial" w:hAnsi="Arial" w:cs="Arial"/>
              </w:rPr>
              <w:t>skills,</w:t>
            </w:r>
            <w:r w:rsidRPr="00867FAF">
              <w:rPr>
                <w:rFonts w:ascii="Arial" w:hAnsi="Arial" w:cs="Arial"/>
                <w:spacing w:val="27"/>
              </w:rPr>
              <w:t xml:space="preserve"> </w:t>
            </w:r>
            <w:r w:rsidRPr="00867FAF">
              <w:rPr>
                <w:rFonts w:ascii="Arial" w:hAnsi="Arial" w:cs="Arial"/>
              </w:rPr>
              <w:t>behaviours,</w:t>
            </w:r>
            <w:r w:rsidRPr="00867FAF">
              <w:rPr>
                <w:rFonts w:ascii="Arial" w:hAnsi="Arial" w:cs="Arial"/>
                <w:spacing w:val="27"/>
              </w:rPr>
              <w:t xml:space="preserve"> </w:t>
            </w:r>
            <w:r w:rsidRPr="00867FAF">
              <w:rPr>
                <w:rFonts w:ascii="Arial" w:hAnsi="Arial" w:cs="Arial"/>
              </w:rPr>
              <w:t>preferences</w:t>
            </w:r>
            <w:r w:rsidRPr="00867FAF">
              <w:rPr>
                <w:rFonts w:ascii="Arial" w:hAnsi="Arial" w:cs="Arial"/>
                <w:spacing w:val="27"/>
              </w:rPr>
              <w:t xml:space="preserve"> </w:t>
            </w:r>
            <w:r w:rsidRPr="00867FAF">
              <w:rPr>
                <w:rFonts w:ascii="Arial" w:hAnsi="Arial" w:cs="Arial"/>
              </w:rPr>
              <w:t>and</w:t>
            </w:r>
            <w:r w:rsidRPr="00867FAF">
              <w:rPr>
                <w:rFonts w:ascii="Arial" w:hAnsi="Arial" w:cs="Arial"/>
                <w:spacing w:val="27"/>
              </w:rPr>
              <w:t xml:space="preserve"> </w:t>
            </w:r>
            <w:r w:rsidRPr="00867FAF">
              <w:rPr>
                <w:rFonts w:ascii="Arial" w:hAnsi="Arial" w:cs="Arial"/>
              </w:rPr>
              <w:t>roles</w:t>
            </w:r>
            <w:r w:rsidRPr="00867FAF">
              <w:rPr>
                <w:rFonts w:ascii="Arial" w:hAnsi="Arial" w:cs="Arial"/>
                <w:spacing w:val="27"/>
              </w:rPr>
              <w:t xml:space="preserve"> </w:t>
            </w:r>
            <w:r w:rsidRPr="00867FAF">
              <w:rPr>
                <w:rFonts w:ascii="Arial" w:hAnsi="Arial" w:cs="Arial"/>
              </w:rPr>
              <w:t>that</w:t>
            </w:r>
            <w:r w:rsidRPr="00867FAF">
              <w:rPr>
                <w:rFonts w:ascii="Arial" w:hAnsi="Arial" w:cs="Arial"/>
                <w:spacing w:val="27"/>
              </w:rPr>
              <w:t xml:space="preserve"> </w:t>
            </w:r>
            <w:r w:rsidRPr="00867FAF">
              <w:rPr>
                <w:rFonts w:ascii="Arial" w:hAnsi="Arial" w:cs="Arial"/>
              </w:rPr>
              <w:t>people</w:t>
            </w:r>
            <w:r w:rsidRPr="00867FAF">
              <w:rPr>
                <w:rFonts w:ascii="Arial" w:hAnsi="Arial" w:cs="Arial"/>
                <w:spacing w:val="27"/>
              </w:rPr>
              <w:t xml:space="preserve"> </w:t>
            </w:r>
            <w:r w:rsidRPr="00867FAF">
              <w:rPr>
                <w:rFonts w:ascii="Arial" w:hAnsi="Arial" w:cs="Arial"/>
              </w:rPr>
              <w:t>should</w:t>
            </w:r>
            <w:r w:rsidRPr="00867FAF">
              <w:rPr>
                <w:rFonts w:ascii="Arial" w:hAnsi="Arial" w:cs="Arial"/>
                <w:spacing w:val="27"/>
              </w:rPr>
              <w:t xml:space="preserve"> </w:t>
            </w:r>
            <w:r w:rsidRPr="00867FAF">
              <w:rPr>
                <w:rFonts w:ascii="Arial" w:hAnsi="Arial" w:cs="Arial"/>
              </w:rPr>
              <w:t>have or demonstrate based on their gender. These attributes are often perceived as natural or innate, but are actually the result of people of different genders being socialised in different ways. Gender stereotypes are not necessarily negative assumptions or generalisations.</w:t>
            </w:r>
            <w:r w:rsidRPr="00867FAF">
              <w:rPr>
                <w:rStyle w:val="EndnoteReference"/>
                <w:rFonts w:ascii="Arial" w:hAnsi="Arial" w:cs="Arial"/>
              </w:rPr>
              <w:endnoteReference w:id="52"/>
            </w:r>
          </w:p>
        </w:tc>
      </w:tr>
      <w:tr w:rsidR="00867FAF" w:rsidRPr="000057CB" w14:paraId="1B006E1B" w14:textId="77777777" w:rsidTr="005E0A16">
        <w:tc>
          <w:tcPr>
            <w:tcW w:w="1033" w:type="pct"/>
            <w:tcBorders>
              <w:top w:val="single" w:sz="4" w:space="0" w:color="000000" w:themeColor="text1"/>
              <w:bottom w:val="single" w:sz="4" w:space="0" w:color="000000" w:themeColor="text1"/>
            </w:tcBorders>
          </w:tcPr>
          <w:p w14:paraId="1FC13D4A" w14:textId="42172CCE" w:rsidR="00867FAF" w:rsidRPr="00867FAF" w:rsidRDefault="00867FAF" w:rsidP="003861F3">
            <w:pPr>
              <w:pStyle w:val="TableParagraph"/>
              <w:spacing w:before="0" w:after="120"/>
              <w:rPr>
                <w:rFonts w:ascii="Arial" w:hAnsi="Arial" w:cs="Arial"/>
                <w:spacing w:val="-2"/>
              </w:rPr>
            </w:pPr>
            <w:r w:rsidRPr="00867FAF">
              <w:rPr>
                <w:rFonts w:ascii="Arial" w:hAnsi="Arial" w:cs="Arial"/>
                <w:sz w:val="20"/>
                <w:szCs w:val="20"/>
              </w:rPr>
              <w:t>Healing-informed</w:t>
            </w:r>
          </w:p>
        </w:tc>
        <w:tc>
          <w:tcPr>
            <w:tcW w:w="3967" w:type="pct"/>
            <w:tcBorders>
              <w:top w:val="single" w:sz="4" w:space="0" w:color="000000" w:themeColor="text1"/>
              <w:bottom w:val="single" w:sz="4" w:space="0" w:color="000000" w:themeColor="text1"/>
            </w:tcBorders>
          </w:tcPr>
          <w:p w14:paraId="5359117B" w14:textId="0E1EA3F8" w:rsidR="00867FAF" w:rsidRPr="00A820CC" w:rsidRDefault="00867FAF" w:rsidP="003861F3">
            <w:pPr>
              <w:pStyle w:val="TableParagraph"/>
              <w:spacing w:before="0" w:after="120" w:line="242" w:lineRule="auto"/>
              <w:rPr>
                <w:rFonts w:ascii="Arial" w:hAnsi="Arial" w:cs="Arial"/>
              </w:rPr>
            </w:pPr>
            <w:r w:rsidRPr="00867FAF">
              <w:rPr>
                <w:rFonts w:ascii="Arial" w:hAnsi="Arial" w:cs="Arial"/>
              </w:rPr>
              <w:t>Refers to care principles, which are strengths-based and specific to cultures and communities. The common ground that underlies these principles are found in the Indigenous worldview, ways of knowing, and cultural practices. Healing-informed care principles for Aboriginal and Torres Strait Islander peoples and communities are tied to holistic views of health, connection to kinship and Country, and should address the sociocultural determinants of health.</w:t>
            </w:r>
          </w:p>
        </w:tc>
      </w:tr>
      <w:tr w:rsidR="00867FAF" w:rsidRPr="000057CB" w14:paraId="772C1E1A" w14:textId="77777777" w:rsidTr="005E0A16">
        <w:tc>
          <w:tcPr>
            <w:tcW w:w="1033" w:type="pct"/>
            <w:tcBorders>
              <w:top w:val="single" w:sz="4" w:space="0" w:color="000000" w:themeColor="text1"/>
              <w:bottom w:val="single" w:sz="4" w:space="0" w:color="000000" w:themeColor="text1"/>
            </w:tcBorders>
          </w:tcPr>
          <w:p w14:paraId="17EF334C" w14:textId="48851F5C" w:rsidR="00867FAF" w:rsidRPr="00867FAF" w:rsidRDefault="00867FAF" w:rsidP="003861F3">
            <w:pPr>
              <w:pStyle w:val="TableParagraph"/>
              <w:spacing w:before="0" w:after="120"/>
              <w:rPr>
                <w:rFonts w:ascii="Arial" w:hAnsi="Arial" w:cs="Arial"/>
                <w:spacing w:val="-2"/>
              </w:rPr>
            </w:pPr>
            <w:r w:rsidRPr="00867FAF">
              <w:rPr>
                <w:rFonts w:ascii="Arial" w:hAnsi="Arial" w:cs="Arial"/>
                <w:spacing w:val="-2"/>
                <w:sz w:val="20"/>
                <w:szCs w:val="20"/>
              </w:rPr>
              <w:t>Heteronormativity</w:t>
            </w:r>
          </w:p>
        </w:tc>
        <w:tc>
          <w:tcPr>
            <w:tcW w:w="3967" w:type="pct"/>
            <w:tcBorders>
              <w:top w:val="single" w:sz="4" w:space="0" w:color="000000" w:themeColor="text1"/>
              <w:bottom w:val="single" w:sz="4" w:space="0" w:color="000000" w:themeColor="text1"/>
            </w:tcBorders>
          </w:tcPr>
          <w:p w14:paraId="4E8FA14E" w14:textId="3610E417" w:rsidR="00867FAF" w:rsidRPr="00A820CC" w:rsidRDefault="00867FAF" w:rsidP="003861F3">
            <w:pPr>
              <w:pStyle w:val="TableParagraph"/>
              <w:spacing w:before="0" w:after="120" w:line="242" w:lineRule="auto"/>
              <w:rPr>
                <w:rFonts w:ascii="Arial" w:hAnsi="Arial" w:cs="Arial"/>
              </w:rPr>
            </w:pPr>
            <w:r w:rsidRPr="00867FAF">
              <w:rPr>
                <w:rFonts w:ascii="Arial" w:hAnsi="Arial" w:cs="Arial"/>
              </w:rPr>
              <w:t>Heteronormativity includes a suite of cultural, legal and institutional practices</w:t>
            </w:r>
            <w:r w:rsidRPr="00867FAF">
              <w:rPr>
                <w:rFonts w:ascii="Arial" w:hAnsi="Arial" w:cs="Arial"/>
                <w:spacing w:val="40"/>
              </w:rPr>
              <w:t xml:space="preserve"> </w:t>
            </w:r>
            <w:r w:rsidRPr="00867FAF">
              <w:rPr>
                <w:rFonts w:ascii="Arial" w:hAnsi="Arial" w:cs="Arial"/>
              </w:rPr>
              <w:t>that work to explicitly privilege relationships between ‘men’ and ‘women’ as the only ‘normal’ and ‘natural’ form of relationship.</w:t>
            </w:r>
          </w:p>
        </w:tc>
      </w:tr>
      <w:tr w:rsidR="00867FAF" w:rsidRPr="000057CB" w14:paraId="4C7EE8CC" w14:textId="77777777" w:rsidTr="005E0A16">
        <w:tc>
          <w:tcPr>
            <w:tcW w:w="1033" w:type="pct"/>
            <w:tcBorders>
              <w:top w:val="single" w:sz="4" w:space="0" w:color="000000" w:themeColor="text1"/>
              <w:bottom w:val="single" w:sz="4" w:space="0" w:color="000000" w:themeColor="text1"/>
            </w:tcBorders>
          </w:tcPr>
          <w:p w14:paraId="06F3659B" w14:textId="360F0312" w:rsidR="00867FAF" w:rsidRPr="00867FAF" w:rsidRDefault="00867FAF" w:rsidP="003861F3">
            <w:pPr>
              <w:pStyle w:val="TableParagraph"/>
              <w:spacing w:before="0" w:after="120"/>
              <w:rPr>
                <w:rFonts w:ascii="Arial" w:hAnsi="Arial" w:cs="Arial"/>
                <w:spacing w:val="-2"/>
              </w:rPr>
            </w:pPr>
            <w:r w:rsidRPr="00867FAF">
              <w:rPr>
                <w:rFonts w:ascii="Arial" w:hAnsi="Arial" w:cs="Arial"/>
                <w:spacing w:val="-2"/>
                <w:sz w:val="20"/>
                <w:szCs w:val="20"/>
              </w:rPr>
              <w:t>Homophobia</w:t>
            </w:r>
          </w:p>
        </w:tc>
        <w:tc>
          <w:tcPr>
            <w:tcW w:w="3967" w:type="pct"/>
            <w:tcBorders>
              <w:top w:val="single" w:sz="4" w:space="0" w:color="000000" w:themeColor="text1"/>
              <w:bottom w:val="single" w:sz="4" w:space="0" w:color="000000" w:themeColor="text1"/>
            </w:tcBorders>
          </w:tcPr>
          <w:p w14:paraId="428D944B" w14:textId="0E7291FC" w:rsidR="00867FAF" w:rsidRPr="00A820CC" w:rsidRDefault="00867FAF" w:rsidP="003861F3">
            <w:pPr>
              <w:pStyle w:val="TableParagraph"/>
              <w:spacing w:before="0" w:after="120" w:line="242" w:lineRule="auto"/>
              <w:rPr>
                <w:rFonts w:ascii="Arial" w:hAnsi="Arial" w:cs="Arial"/>
              </w:rPr>
            </w:pPr>
            <w:r w:rsidRPr="00867FAF">
              <w:rPr>
                <w:rFonts w:ascii="Arial" w:hAnsi="Arial" w:cs="Arial"/>
              </w:rPr>
              <w:t>Refers to the fear and hatred of lesbians and gay men and of their sexual desires and practices that often leads to discriminatory behaviour or abuse.</w:t>
            </w:r>
            <w:r w:rsidRPr="00867FAF">
              <w:rPr>
                <w:rStyle w:val="EndnoteReference"/>
                <w:rFonts w:ascii="Arial" w:hAnsi="Arial" w:cs="Arial"/>
              </w:rPr>
              <w:endnoteReference w:id="53"/>
            </w:r>
          </w:p>
        </w:tc>
      </w:tr>
      <w:tr w:rsidR="00867FAF" w:rsidRPr="000057CB" w14:paraId="17BEC441" w14:textId="77777777" w:rsidTr="005E0A16">
        <w:tc>
          <w:tcPr>
            <w:tcW w:w="1033" w:type="pct"/>
            <w:tcBorders>
              <w:top w:val="single" w:sz="4" w:space="0" w:color="000000" w:themeColor="text1"/>
              <w:bottom w:val="single" w:sz="4" w:space="0" w:color="000000" w:themeColor="text1"/>
            </w:tcBorders>
          </w:tcPr>
          <w:p w14:paraId="66800822" w14:textId="16FC611F" w:rsidR="00867FAF" w:rsidRPr="00867FAF" w:rsidRDefault="00867FAF" w:rsidP="003861F3">
            <w:pPr>
              <w:pStyle w:val="TableParagraph"/>
              <w:spacing w:before="0" w:after="120"/>
              <w:rPr>
                <w:rFonts w:ascii="Arial" w:hAnsi="Arial" w:cs="Arial"/>
                <w:spacing w:val="-2"/>
              </w:rPr>
            </w:pPr>
            <w:r w:rsidRPr="00867FAF">
              <w:rPr>
                <w:rFonts w:ascii="Arial" w:hAnsi="Arial" w:cs="Arial"/>
                <w:sz w:val="20"/>
                <w:szCs w:val="20"/>
              </w:rPr>
              <w:t>Image-based</w:t>
            </w:r>
            <w:r w:rsidRPr="00867FAF">
              <w:rPr>
                <w:rFonts w:ascii="Arial" w:hAnsi="Arial" w:cs="Arial"/>
                <w:spacing w:val="15"/>
                <w:sz w:val="20"/>
                <w:szCs w:val="20"/>
              </w:rPr>
              <w:t xml:space="preserve"> </w:t>
            </w:r>
            <w:r w:rsidRPr="00867FAF">
              <w:rPr>
                <w:rFonts w:ascii="Arial" w:hAnsi="Arial" w:cs="Arial"/>
                <w:spacing w:val="-2"/>
                <w:sz w:val="20"/>
                <w:szCs w:val="20"/>
              </w:rPr>
              <w:t>abuse</w:t>
            </w:r>
          </w:p>
        </w:tc>
        <w:tc>
          <w:tcPr>
            <w:tcW w:w="3967" w:type="pct"/>
            <w:tcBorders>
              <w:top w:val="single" w:sz="4" w:space="0" w:color="000000" w:themeColor="text1"/>
              <w:bottom w:val="single" w:sz="4" w:space="0" w:color="000000" w:themeColor="text1"/>
            </w:tcBorders>
          </w:tcPr>
          <w:p w14:paraId="58C4FA2F" w14:textId="6B269882" w:rsidR="00867FAF" w:rsidRPr="00A820CC" w:rsidRDefault="00867FAF" w:rsidP="003861F3">
            <w:pPr>
              <w:pStyle w:val="TableParagraph"/>
              <w:spacing w:before="0" w:after="120" w:line="242" w:lineRule="auto"/>
              <w:rPr>
                <w:rFonts w:ascii="Arial" w:hAnsi="Arial" w:cs="Arial"/>
              </w:rPr>
            </w:pPr>
            <w:r w:rsidRPr="00867FAF">
              <w:rPr>
                <w:rFonts w:ascii="Arial" w:hAnsi="Arial" w:cs="Arial"/>
              </w:rPr>
              <w:t>When an intimate image or video is shared, or threatened to be shared, without the consent of the person shown. This includes images or videos that have been digitally altered.</w:t>
            </w:r>
            <w:r w:rsidRPr="00867FAF">
              <w:rPr>
                <w:rStyle w:val="EndnoteReference"/>
                <w:rFonts w:ascii="Arial" w:hAnsi="Arial" w:cs="Arial"/>
              </w:rPr>
              <w:endnoteReference w:id="54"/>
            </w:r>
          </w:p>
        </w:tc>
      </w:tr>
      <w:tr w:rsidR="00867FAF" w:rsidRPr="000057CB" w14:paraId="7B6B68B9" w14:textId="77777777" w:rsidTr="005E0A16">
        <w:tc>
          <w:tcPr>
            <w:tcW w:w="1033" w:type="pct"/>
            <w:tcBorders>
              <w:top w:val="single" w:sz="4" w:space="0" w:color="000000" w:themeColor="text1"/>
              <w:bottom w:val="single" w:sz="4" w:space="0" w:color="000000" w:themeColor="text1"/>
            </w:tcBorders>
          </w:tcPr>
          <w:p w14:paraId="51BB6243" w14:textId="4CDCF54C" w:rsidR="00867FAF" w:rsidRPr="00867FAF" w:rsidRDefault="00867FAF" w:rsidP="003861F3">
            <w:pPr>
              <w:pStyle w:val="TableParagraph"/>
              <w:spacing w:before="0" w:after="120"/>
              <w:rPr>
                <w:rFonts w:ascii="Arial" w:hAnsi="Arial" w:cs="Arial"/>
                <w:spacing w:val="-2"/>
              </w:rPr>
            </w:pPr>
            <w:r w:rsidRPr="00867FAF">
              <w:rPr>
                <w:rFonts w:ascii="Arial" w:hAnsi="Arial" w:cs="Arial"/>
                <w:sz w:val="20"/>
                <w:szCs w:val="20"/>
              </w:rPr>
              <w:t>Institutional settings</w:t>
            </w:r>
          </w:p>
        </w:tc>
        <w:tc>
          <w:tcPr>
            <w:tcW w:w="3967" w:type="pct"/>
            <w:tcBorders>
              <w:top w:val="single" w:sz="4" w:space="0" w:color="000000" w:themeColor="text1"/>
              <w:bottom w:val="single" w:sz="4" w:space="0" w:color="000000" w:themeColor="text1"/>
            </w:tcBorders>
          </w:tcPr>
          <w:p w14:paraId="1CB58992" w14:textId="53BB47AA" w:rsidR="00867FAF" w:rsidRPr="00A820CC" w:rsidRDefault="00867FAF" w:rsidP="003861F3">
            <w:pPr>
              <w:pStyle w:val="TableParagraph"/>
              <w:spacing w:before="0" w:after="120" w:line="242" w:lineRule="auto"/>
              <w:rPr>
                <w:rFonts w:ascii="Arial" w:hAnsi="Arial" w:cs="Arial"/>
              </w:rPr>
            </w:pPr>
            <w:r w:rsidRPr="00867FAF">
              <w:rPr>
                <w:rFonts w:ascii="Arial" w:hAnsi="Arial" w:cs="Arial"/>
              </w:rPr>
              <w:t>See settings.</w:t>
            </w:r>
          </w:p>
        </w:tc>
      </w:tr>
      <w:tr w:rsidR="00867FAF" w:rsidRPr="000057CB" w14:paraId="3D96226B" w14:textId="77777777" w:rsidTr="005E0A16">
        <w:tc>
          <w:tcPr>
            <w:tcW w:w="1033" w:type="pct"/>
            <w:tcBorders>
              <w:top w:val="single" w:sz="4" w:space="0" w:color="000000" w:themeColor="text1"/>
              <w:bottom w:val="single" w:sz="4" w:space="0" w:color="000000" w:themeColor="text1"/>
            </w:tcBorders>
          </w:tcPr>
          <w:p w14:paraId="32879436" w14:textId="52B9238B" w:rsidR="00867FAF" w:rsidRPr="00867FAF" w:rsidRDefault="00867FAF" w:rsidP="003861F3">
            <w:pPr>
              <w:pStyle w:val="TableParagraph"/>
              <w:spacing w:before="0" w:after="120"/>
              <w:rPr>
                <w:rFonts w:ascii="Arial" w:hAnsi="Arial" w:cs="Arial"/>
                <w:spacing w:val="-2"/>
              </w:rPr>
            </w:pPr>
            <w:r w:rsidRPr="00867FAF">
              <w:rPr>
                <w:rFonts w:ascii="Arial" w:hAnsi="Arial" w:cs="Arial"/>
                <w:spacing w:val="-2"/>
                <w:sz w:val="20"/>
                <w:szCs w:val="20"/>
              </w:rPr>
              <w:t>Intergenerational trauma</w:t>
            </w:r>
          </w:p>
        </w:tc>
        <w:tc>
          <w:tcPr>
            <w:tcW w:w="3967" w:type="pct"/>
            <w:tcBorders>
              <w:top w:val="single" w:sz="4" w:space="0" w:color="000000" w:themeColor="text1"/>
              <w:bottom w:val="single" w:sz="4" w:space="0" w:color="000000" w:themeColor="text1"/>
            </w:tcBorders>
          </w:tcPr>
          <w:p w14:paraId="164DB143" w14:textId="23955CB8" w:rsidR="00867FAF" w:rsidRPr="00A820CC" w:rsidRDefault="00867FAF" w:rsidP="003861F3">
            <w:pPr>
              <w:pStyle w:val="TableParagraph"/>
              <w:spacing w:before="0" w:after="120" w:line="242" w:lineRule="auto"/>
              <w:rPr>
                <w:rFonts w:ascii="Arial" w:hAnsi="Arial" w:cs="Arial"/>
              </w:rPr>
            </w:pPr>
            <w:r w:rsidRPr="00867FAF">
              <w:rPr>
                <w:rFonts w:ascii="Arial" w:hAnsi="Arial" w:cs="Arial"/>
              </w:rPr>
              <w:t>A</w:t>
            </w:r>
            <w:r w:rsidRPr="00867FAF">
              <w:rPr>
                <w:rFonts w:ascii="Arial" w:hAnsi="Arial" w:cs="Arial"/>
                <w:spacing w:val="27"/>
              </w:rPr>
              <w:t xml:space="preserve"> </w:t>
            </w:r>
            <w:r w:rsidRPr="00867FAF">
              <w:rPr>
                <w:rFonts w:ascii="Arial" w:hAnsi="Arial" w:cs="Arial"/>
              </w:rPr>
              <w:t>form</w:t>
            </w:r>
            <w:r w:rsidRPr="00867FAF">
              <w:rPr>
                <w:rFonts w:ascii="Arial" w:hAnsi="Arial" w:cs="Arial"/>
                <w:spacing w:val="27"/>
              </w:rPr>
              <w:t xml:space="preserve"> </w:t>
            </w:r>
            <w:r w:rsidRPr="00867FAF">
              <w:rPr>
                <w:rFonts w:ascii="Arial" w:hAnsi="Arial" w:cs="Arial"/>
              </w:rPr>
              <w:t>of</w:t>
            </w:r>
            <w:r w:rsidRPr="00867FAF">
              <w:rPr>
                <w:rFonts w:ascii="Arial" w:hAnsi="Arial" w:cs="Arial"/>
                <w:spacing w:val="27"/>
              </w:rPr>
              <w:t xml:space="preserve"> </w:t>
            </w:r>
            <w:r w:rsidRPr="00867FAF">
              <w:rPr>
                <w:rFonts w:ascii="Arial" w:hAnsi="Arial" w:cs="Arial"/>
              </w:rPr>
              <w:t>historical</w:t>
            </w:r>
            <w:r w:rsidRPr="00867FAF">
              <w:rPr>
                <w:rFonts w:ascii="Arial" w:hAnsi="Arial" w:cs="Arial"/>
                <w:spacing w:val="27"/>
              </w:rPr>
              <w:t xml:space="preserve"> </w:t>
            </w:r>
            <w:r w:rsidRPr="00867FAF">
              <w:rPr>
                <w:rFonts w:ascii="Arial" w:hAnsi="Arial" w:cs="Arial"/>
              </w:rPr>
              <w:t>trauma</w:t>
            </w:r>
            <w:r w:rsidRPr="00867FAF">
              <w:rPr>
                <w:rFonts w:ascii="Arial" w:hAnsi="Arial" w:cs="Arial"/>
                <w:spacing w:val="27"/>
              </w:rPr>
              <w:t xml:space="preserve"> </w:t>
            </w:r>
            <w:r w:rsidRPr="00867FAF">
              <w:rPr>
                <w:rFonts w:ascii="Arial" w:hAnsi="Arial" w:cs="Arial"/>
              </w:rPr>
              <w:t>transmitted</w:t>
            </w:r>
            <w:r w:rsidRPr="00867FAF">
              <w:rPr>
                <w:rFonts w:ascii="Arial" w:hAnsi="Arial" w:cs="Arial"/>
                <w:spacing w:val="27"/>
              </w:rPr>
              <w:t xml:space="preserve"> </w:t>
            </w:r>
            <w:r w:rsidRPr="00867FAF">
              <w:rPr>
                <w:rFonts w:ascii="Arial" w:hAnsi="Arial" w:cs="Arial"/>
              </w:rPr>
              <w:t>across</w:t>
            </w:r>
            <w:r w:rsidRPr="00867FAF">
              <w:rPr>
                <w:rFonts w:ascii="Arial" w:hAnsi="Arial" w:cs="Arial"/>
                <w:spacing w:val="27"/>
              </w:rPr>
              <w:t xml:space="preserve"> </w:t>
            </w:r>
            <w:r w:rsidRPr="00867FAF">
              <w:rPr>
                <w:rFonts w:ascii="Arial" w:hAnsi="Arial" w:cs="Arial"/>
              </w:rPr>
              <w:t>generations.</w:t>
            </w:r>
            <w:r w:rsidRPr="00867FAF">
              <w:rPr>
                <w:rFonts w:ascii="Arial" w:hAnsi="Arial" w:cs="Arial"/>
                <w:spacing w:val="27"/>
              </w:rPr>
              <w:t xml:space="preserve"> </w:t>
            </w:r>
            <w:r w:rsidRPr="00867FAF">
              <w:rPr>
                <w:rFonts w:ascii="Arial" w:hAnsi="Arial" w:cs="Arial"/>
              </w:rPr>
              <w:t>Survivors</w:t>
            </w:r>
            <w:r w:rsidRPr="00867FAF">
              <w:rPr>
                <w:rFonts w:ascii="Arial" w:hAnsi="Arial" w:cs="Arial"/>
                <w:spacing w:val="27"/>
              </w:rPr>
              <w:t xml:space="preserve"> </w:t>
            </w:r>
            <w:r w:rsidRPr="00867FAF">
              <w:rPr>
                <w:rFonts w:ascii="Arial" w:hAnsi="Arial" w:cs="Arial"/>
              </w:rPr>
              <w:t>of</w:t>
            </w:r>
            <w:r w:rsidRPr="00867FAF">
              <w:rPr>
                <w:rFonts w:ascii="Arial" w:hAnsi="Arial" w:cs="Arial"/>
                <w:spacing w:val="27"/>
              </w:rPr>
              <w:t xml:space="preserve"> </w:t>
            </w:r>
            <w:r w:rsidRPr="00867FAF">
              <w:rPr>
                <w:rFonts w:ascii="Arial" w:hAnsi="Arial" w:cs="Arial"/>
              </w:rPr>
              <w:t xml:space="preserve">the initial experience who have not healed may pass on their trauma to further generations. In Australia, intergenerational trauma particularly affects Aboriginal and Torres Strait Islander peoples, especially the </w:t>
            </w:r>
            <w:r w:rsidRPr="00867FAF">
              <w:rPr>
                <w:rFonts w:ascii="Arial" w:hAnsi="Arial" w:cs="Arial"/>
              </w:rPr>
              <w:lastRenderedPageBreak/>
              <w:t>children, grandchildren and</w:t>
            </w:r>
            <w:r w:rsidRPr="00867FAF">
              <w:rPr>
                <w:rFonts w:ascii="Arial" w:hAnsi="Arial" w:cs="Arial"/>
                <w:spacing w:val="40"/>
              </w:rPr>
              <w:t xml:space="preserve"> </w:t>
            </w:r>
            <w:r w:rsidRPr="00867FAF">
              <w:rPr>
                <w:rFonts w:ascii="Arial" w:hAnsi="Arial" w:cs="Arial"/>
              </w:rPr>
              <w:t>future generations of the Stolen Generations.</w:t>
            </w:r>
            <w:r w:rsidRPr="00867FAF">
              <w:rPr>
                <w:rStyle w:val="EndnoteReference"/>
                <w:rFonts w:ascii="Arial" w:hAnsi="Arial" w:cs="Arial"/>
              </w:rPr>
              <w:endnoteReference w:id="55"/>
            </w:r>
          </w:p>
        </w:tc>
      </w:tr>
      <w:tr w:rsidR="00867FAF" w:rsidRPr="000057CB" w14:paraId="1217C806" w14:textId="77777777" w:rsidTr="005E0A16">
        <w:tc>
          <w:tcPr>
            <w:tcW w:w="1033" w:type="pct"/>
            <w:tcBorders>
              <w:top w:val="single" w:sz="4" w:space="0" w:color="000000" w:themeColor="text1"/>
              <w:bottom w:val="single" w:sz="4" w:space="0" w:color="000000" w:themeColor="text1"/>
            </w:tcBorders>
          </w:tcPr>
          <w:p w14:paraId="07B8698F" w14:textId="517A09F8" w:rsidR="00867FAF" w:rsidRPr="00867FAF" w:rsidRDefault="00867FAF" w:rsidP="003861F3">
            <w:pPr>
              <w:pStyle w:val="TableParagraph"/>
              <w:spacing w:before="0" w:after="120"/>
              <w:rPr>
                <w:rFonts w:ascii="Arial" w:hAnsi="Arial" w:cs="Arial"/>
                <w:spacing w:val="-2"/>
              </w:rPr>
            </w:pPr>
            <w:r w:rsidRPr="00867FAF">
              <w:rPr>
                <w:rFonts w:ascii="Arial" w:hAnsi="Arial" w:cs="Arial"/>
                <w:spacing w:val="-2"/>
                <w:sz w:val="20"/>
                <w:szCs w:val="20"/>
              </w:rPr>
              <w:lastRenderedPageBreak/>
              <w:t>Intersectional approach</w:t>
            </w:r>
          </w:p>
        </w:tc>
        <w:tc>
          <w:tcPr>
            <w:tcW w:w="3967" w:type="pct"/>
            <w:tcBorders>
              <w:top w:val="single" w:sz="4" w:space="0" w:color="000000" w:themeColor="text1"/>
              <w:bottom w:val="single" w:sz="4" w:space="0" w:color="000000" w:themeColor="text1"/>
            </w:tcBorders>
          </w:tcPr>
          <w:p w14:paraId="48B63B8F" w14:textId="51DD5EF6" w:rsidR="00867FAF" w:rsidRPr="00A820CC" w:rsidRDefault="00867FAF" w:rsidP="003861F3">
            <w:pPr>
              <w:pStyle w:val="TableParagraph"/>
              <w:spacing w:before="0" w:after="120" w:line="242" w:lineRule="auto"/>
              <w:rPr>
                <w:rFonts w:ascii="Arial" w:hAnsi="Arial" w:cs="Arial"/>
              </w:rPr>
            </w:pPr>
            <w:r w:rsidRPr="00867FAF">
              <w:rPr>
                <w:rFonts w:ascii="Arial" w:hAnsi="Arial" w:cs="Arial"/>
              </w:rPr>
              <w:t>In the context of addressing violence against women and children, an intersectional approach recognises that the way women experience gender and inequality can be different based on a range of other cultural, individual, historical,</w:t>
            </w:r>
            <w:r w:rsidRPr="00867FAF">
              <w:rPr>
                <w:rFonts w:ascii="Arial" w:hAnsi="Arial" w:cs="Arial"/>
                <w:spacing w:val="-7"/>
              </w:rPr>
              <w:t xml:space="preserve"> </w:t>
            </w:r>
            <w:r w:rsidRPr="00867FAF">
              <w:rPr>
                <w:rFonts w:ascii="Arial" w:hAnsi="Arial" w:cs="Arial"/>
              </w:rPr>
              <w:t>environmental</w:t>
            </w:r>
            <w:r w:rsidRPr="00867FAF">
              <w:rPr>
                <w:rFonts w:ascii="Arial" w:hAnsi="Arial" w:cs="Arial"/>
                <w:spacing w:val="-7"/>
              </w:rPr>
              <w:t xml:space="preserve"> </w:t>
            </w:r>
            <w:r w:rsidRPr="00867FAF">
              <w:rPr>
                <w:rFonts w:ascii="Arial" w:hAnsi="Arial" w:cs="Arial"/>
              </w:rPr>
              <w:t>or</w:t>
            </w:r>
            <w:r w:rsidRPr="00867FAF">
              <w:rPr>
                <w:rFonts w:ascii="Arial" w:hAnsi="Arial" w:cs="Arial"/>
                <w:spacing w:val="-7"/>
              </w:rPr>
              <w:t xml:space="preserve"> </w:t>
            </w:r>
            <w:r w:rsidRPr="00867FAF">
              <w:rPr>
                <w:rFonts w:ascii="Arial" w:hAnsi="Arial" w:cs="Arial"/>
              </w:rPr>
              <w:t>structural</w:t>
            </w:r>
            <w:r w:rsidRPr="00867FAF">
              <w:rPr>
                <w:rFonts w:ascii="Arial" w:hAnsi="Arial" w:cs="Arial"/>
                <w:spacing w:val="-7"/>
              </w:rPr>
              <w:t xml:space="preserve"> </w:t>
            </w:r>
            <w:r w:rsidRPr="00867FAF">
              <w:rPr>
                <w:rFonts w:ascii="Arial" w:hAnsi="Arial" w:cs="Arial"/>
              </w:rPr>
              <w:t>factors</w:t>
            </w:r>
            <w:r w:rsidRPr="00867FAF">
              <w:rPr>
                <w:rFonts w:ascii="Arial" w:hAnsi="Arial" w:cs="Arial"/>
                <w:spacing w:val="-7"/>
              </w:rPr>
              <w:t xml:space="preserve"> </w:t>
            </w:r>
            <w:r w:rsidRPr="00867FAF">
              <w:rPr>
                <w:rFonts w:ascii="Arial" w:hAnsi="Arial" w:cs="Arial"/>
              </w:rPr>
              <w:t>including</w:t>
            </w:r>
            <w:r w:rsidRPr="00867FAF">
              <w:rPr>
                <w:rFonts w:ascii="Arial" w:hAnsi="Arial" w:cs="Arial"/>
                <w:spacing w:val="-7"/>
              </w:rPr>
              <w:t xml:space="preserve"> </w:t>
            </w:r>
            <w:r w:rsidRPr="00867FAF">
              <w:rPr>
                <w:rFonts w:ascii="Arial" w:hAnsi="Arial" w:cs="Arial"/>
              </w:rPr>
              <w:t>(but</w:t>
            </w:r>
            <w:r w:rsidRPr="00867FAF">
              <w:rPr>
                <w:rFonts w:ascii="Arial" w:hAnsi="Arial" w:cs="Arial"/>
                <w:spacing w:val="-7"/>
              </w:rPr>
              <w:t xml:space="preserve"> </w:t>
            </w:r>
            <w:r w:rsidRPr="00867FAF">
              <w:rPr>
                <w:rFonts w:ascii="Arial" w:hAnsi="Arial" w:cs="Arial"/>
              </w:rPr>
              <w:t>not</w:t>
            </w:r>
            <w:r w:rsidRPr="00867FAF">
              <w:rPr>
                <w:rFonts w:ascii="Arial" w:hAnsi="Arial" w:cs="Arial"/>
                <w:spacing w:val="-7"/>
              </w:rPr>
              <w:t xml:space="preserve"> </w:t>
            </w:r>
            <w:r w:rsidRPr="00867FAF">
              <w:rPr>
                <w:rFonts w:ascii="Arial" w:hAnsi="Arial" w:cs="Arial"/>
              </w:rPr>
              <w:t>limited</w:t>
            </w:r>
            <w:r w:rsidRPr="00867FAF">
              <w:rPr>
                <w:rFonts w:ascii="Arial" w:hAnsi="Arial" w:cs="Arial"/>
                <w:spacing w:val="-7"/>
              </w:rPr>
              <w:t xml:space="preserve"> </w:t>
            </w:r>
            <w:r w:rsidRPr="00867FAF">
              <w:rPr>
                <w:rFonts w:ascii="Arial" w:hAnsi="Arial" w:cs="Arial"/>
              </w:rPr>
              <w:t>to)</w:t>
            </w:r>
            <w:r w:rsidRPr="00867FAF">
              <w:rPr>
                <w:rFonts w:ascii="Arial" w:hAnsi="Arial" w:cs="Arial"/>
                <w:spacing w:val="-7"/>
              </w:rPr>
              <w:t xml:space="preserve"> </w:t>
            </w:r>
            <w:r w:rsidRPr="00867FAF">
              <w:rPr>
                <w:rFonts w:ascii="Arial" w:hAnsi="Arial" w:cs="Arial"/>
              </w:rPr>
              <w:t>race, age,</w:t>
            </w:r>
            <w:r w:rsidRPr="00867FAF">
              <w:rPr>
                <w:rFonts w:ascii="Arial" w:hAnsi="Arial" w:cs="Arial"/>
                <w:spacing w:val="-13"/>
              </w:rPr>
              <w:t xml:space="preserve"> </w:t>
            </w:r>
            <w:r w:rsidRPr="00867FAF">
              <w:rPr>
                <w:rFonts w:ascii="Arial" w:hAnsi="Arial" w:cs="Arial"/>
              </w:rPr>
              <w:t>geographic</w:t>
            </w:r>
            <w:r w:rsidRPr="00867FAF">
              <w:rPr>
                <w:rFonts w:ascii="Arial" w:hAnsi="Arial" w:cs="Arial"/>
                <w:spacing w:val="-12"/>
              </w:rPr>
              <w:t xml:space="preserve"> </w:t>
            </w:r>
            <w:r w:rsidRPr="00867FAF">
              <w:rPr>
                <w:rFonts w:ascii="Arial" w:hAnsi="Arial" w:cs="Arial"/>
              </w:rPr>
              <w:t>location,</w:t>
            </w:r>
            <w:r w:rsidRPr="00867FAF">
              <w:rPr>
                <w:rFonts w:ascii="Arial" w:hAnsi="Arial" w:cs="Arial"/>
                <w:spacing w:val="-12"/>
              </w:rPr>
              <w:t xml:space="preserve"> </w:t>
            </w:r>
            <w:r w:rsidRPr="00867FAF">
              <w:rPr>
                <w:rFonts w:ascii="Arial" w:hAnsi="Arial" w:cs="Arial"/>
              </w:rPr>
              <w:t>sexual</w:t>
            </w:r>
            <w:r w:rsidRPr="00867FAF">
              <w:rPr>
                <w:rFonts w:ascii="Arial" w:hAnsi="Arial" w:cs="Arial"/>
                <w:spacing w:val="-12"/>
              </w:rPr>
              <w:t xml:space="preserve"> </w:t>
            </w:r>
            <w:r w:rsidRPr="00867FAF">
              <w:rPr>
                <w:rFonts w:ascii="Arial" w:hAnsi="Arial" w:cs="Arial"/>
              </w:rPr>
              <w:t>orientation,</w:t>
            </w:r>
            <w:r w:rsidRPr="00867FAF">
              <w:rPr>
                <w:rFonts w:ascii="Arial" w:hAnsi="Arial" w:cs="Arial"/>
                <w:spacing w:val="-12"/>
              </w:rPr>
              <w:t xml:space="preserve"> </w:t>
            </w:r>
            <w:r w:rsidRPr="00867FAF">
              <w:rPr>
                <w:rFonts w:ascii="Arial" w:hAnsi="Arial" w:cs="Arial"/>
              </w:rPr>
              <w:t>ability</w:t>
            </w:r>
            <w:r w:rsidRPr="00867FAF">
              <w:rPr>
                <w:rFonts w:ascii="Arial" w:hAnsi="Arial" w:cs="Arial"/>
                <w:spacing w:val="-12"/>
              </w:rPr>
              <w:t xml:space="preserve"> </w:t>
            </w:r>
            <w:r w:rsidRPr="00867FAF">
              <w:rPr>
                <w:rFonts w:ascii="Arial" w:hAnsi="Arial" w:cs="Arial"/>
              </w:rPr>
              <w:t>or</w:t>
            </w:r>
            <w:r w:rsidRPr="00867FAF">
              <w:rPr>
                <w:rFonts w:ascii="Arial" w:hAnsi="Arial" w:cs="Arial"/>
                <w:spacing w:val="-12"/>
              </w:rPr>
              <w:t xml:space="preserve"> </w:t>
            </w:r>
            <w:r w:rsidRPr="00867FAF">
              <w:rPr>
                <w:rFonts w:ascii="Arial" w:hAnsi="Arial" w:cs="Arial"/>
              </w:rPr>
              <w:t>class.</w:t>
            </w:r>
            <w:r w:rsidRPr="00867FAF">
              <w:rPr>
                <w:rFonts w:ascii="Arial" w:hAnsi="Arial" w:cs="Arial"/>
                <w:spacing w:val="-12"/>
              </w:rPr>
              <w:t xml:space="preserve"> </w:t>
            </w:r>
            <w:r w:rsidRPr="00867FAF">
              <w:rPr>
                <w:rFonts w:ascii="Arial" w:hAnsi="Arial" w:cs="Arial"/>
              </w:rPr>
              <w:t>This</w:t>
            </w:r>
            <w:r w:rsidRPr="00867FAF">
              <w:rPr>
                <w:rFonts w:ascii="Arial" w:hAnsi="Arial" w:cs="Arial"/>
                <w:spacing w:val="-12"/>
              </w:rPr>
              <w:t xml:space="preserve"> </w:t>
            </w:r>
            <w:r w:rsidRPr="00867FAF">
              <w:rPr>
                <w:rFonts w:ascii="Arial" w:hAnsi="Arial" w:cs="Arial"/>
              </w:rPr>
              <w:t>approach</w:t>
            </w:r>
            <w:r w:rsidRPr="00867FAF">
              <w:rPr>
                <w:rFonts w:ascii="Arial" w:hAnsi="Arial" w:cs="Arial"/>
                <w:spacing w:val="-12"/>
              </w:rPr>
              <w:t xml:space="preserve"> </w:t>
            </w:r>
            <w:r w:rsidRPr="00867FAF">
              <w:rPr>
                <w:rFonts w:ascii="Arial" w:hAnsi="Arial" w:cs="Arial"/>
                <w:spacing w:val="-4"/>
              </w:rPr>
              <w:t>also</w:t>
            </w:r>
            <w:r w:rsidRPr="00867FAF">
              <w:rPr>
                <w:rFonts w:ascii="Arial" w:hAnsi="Arial" w:cs="Arial"/>
              </w:rPr>
              <w:t xml:space="preserve"> recognises that the drivers, dynamics and impacts of violence that women experience can be compounded and magnified by their experience of other forms of oppression</w:t>
            </w:r>
            <w:r w:rsidRPr="00867FAF">
              <w:rPr>
                <w:rFonts w:ascii="Arial" w:hAnsi="Arial" w:cs="Arial"/>
                <w:spacing w:val="-10"/>
              </w:rPr>
              <w:t xml:space="preserve"> </w:t>
            </w:r>
            <w:r w:rsidRPr="00867FAF">
              <w:rPr>
                <w:rFonts w:ascii="Arial" w:hAnsi="Arial" w:cs="Arial"/>
              </w:rPr>
              <w:t>and</w:t>
            </w:r>
            <w:r w:rsidRPr="00867FAF">
              <w:rPr>
                <w:rFonts w:ascii="Arial" w:hAnsi="Arial" w:cs="Arial"/>
                <w:spacing w:val="-10"/>
              </w:rPr>
              <w:t xml:space="preserve"> </w:t>
            </w:r>
            <w:r w:rsidRPr="00867FAF">
              <w:rPr>
                <w:rFonts w:ascii="Arial" w:hAnsi="Arial" w:cs="Arial"/>
              </w:rPr>
              <w:t>inequality,</w:t>
            </w:r>
            <w:r w:rsidRPr="00867FAF">
              <w:rPr>
                <w:rFonts w:ascii="Arial" w:hAnsi="Arial" w:cs="Arial"/>
                <w:spacing w:val="-10"/>
              </w:rPr>
              <w:t xml:space="preserve"> </w:t>
            </w:r>
            <w:r w:rsidRPr="00867FAF">
              <w:rPr>
                <w:rFonts w:ascii="Arial" w:hAnsi="Arial" w:cs="Arial"/>
              </w:rPr>
              <w:t>resulting</w:t>
            </w:r>
            <w:r w:rsidRPr="00867FAF">
              <w:rPr>
                <w:rFonts w:ascii="Arial" w:hAnsi="Arial" w:cs="Arial"/>
                <w:spacing w:val="-10"/>
              </w:rPr>
              <w:t xml:space="preserve"> </w:t>
            </w:r>
            <w:r w:rsidRPr="00867FAF">
              <w:rPr>
                <w:rFonts w:ascii="Arial" w:hAnsi="Arial" w:cs="Arial"/>
              </w:rPr>
              <w:t>in</w:t>
            </w:r>
            <w:r w:rsidRPr="00867FAF">
              <w:rPr>
                <w:rFonts w:ascii="Arial" w:hAnsi="Arial" w:cs="Arial"/>
                <w:spacing w:val="-10"/>
              </w:rPr>
              <w:t xml:space="preserve"> </w:t>
            </w:r>
            <w:r w:rsidRPr="00867FAF">
              <w:rPr>
                <w:rFonts w:ascii="Arial" w:hAnsi="Arial" w:cs="Arial"/>
              </w:rPr>
              <w:t>some</w:t>
            </w:r>
            <w:r w:rsidRPr="00867FAF">
              <w:rPr>
                <w:rFonts w:ascii="Arial" w:hAnsi="Arial" w:cs="Arial"/>
                <w:spacing w:val="-10"/>
              </w:rPr>
              <w:t xml:space="preserve"> </w:t>
            </w:r>
            <w:r w:rsidRPr="00867FAF">
              <w:rPr>
                <w:rFonts w:ascii="Arial" w:hAnsi="Arial" w:cs="Arial"/>
              </w:rPr>
              <w:t>groups</w:t>
            </w:r>
            <w:r w:rsidRPr="00867FAF">
              <w:rPr>
                <w:rFonts w:ascii="Arial" w:hAnsi="Arial" w:cs="Arial"/>
                <w:spacing w:val="-10"/>
              </w:rPr>
              <w:t xml:space="preserve"> </w:t>
            </w:r>
            <w:r w:rsidRPr="00867FAF">
              <w:rPr>
                <w:rFonts w:ascii="Arial" w:hAnsi="Arial" w:cs="Arial"/>
              </w:rPr>
              <w:t>of</w:t>
            </w:r>
            <w:r w:rsidRPr="00867FAF">
              <w:rPr>
                <w:rFonts w:ascii="Arial" w:hAnsi="Arial" w:cs="Arial"/>
                <w:spacing w:val="-10"/>
              </w:rPr>
              <w:t xml:space="preserve"> </w:t>
            </w:r>
            <w:r w:rsidRPr="00867FAF">
              <w:rPr>
                <w:rFonts w:ascii="Arial" w:hAnsi="Arial" w:cs="Arial"/>
              </w:rPr>
              <w:t>women</w:t>
            </w:r>
            <w:r w:rsidRPr="00867FAF">
              <w:rPr>
                <w:rFonts w:ascii="Arial" w:hAnsi="Arial" w:cs="Arial"/>
                <w:spacing w:val="-10"/>
              </w:rPr>
              <w:t xml:space="preserve"> </w:t>
            </w:r>
            <w:r w:rsidRPr="00867FAF">
              <w:rPr>
                <w:rFonts w:ascii="Arial" w:hAnsi="Arial" w:cs="Arial"/>
              </w:rPr>
              <w:t>experiencing</w:t>
            </w:r>
            <w:r w:rsidRPr="00867FAF">
              <w:rPr>
                <w:rFonts w:ascii="Arial" w:hAnsi="Arial" w:cs="Arial"/>
                <w:spacing w:val="-10"/>
              </w:rPr>
              <w:t xml:space="preserve"> </w:t>
            </w:r>
            <w:r w:rsidRPr="00867FAF">
              <w:rPr>
                <w:rFonts w:ascii="Arial" w:hAnsi="Arial" w:cs="Arial"/>
              </w:rPr>
              <w:t>higher rates</w:t>
            </w:r>
            <w:r w:rsidRPr="00867FAF">
              <w:rPr>
                <w:rFonts w:ascii="Arial" w:hAnsi="Arial" w:cs="Arial"/>
                <w:spacing w:val="-6"/>
              </w:rPr>
              <w:t xml:space="preserve"> </w:t>
            </w:r>
            <w:r w:rsidRPr="00867FAF">
              <w:rPr>
                <w:rFonts w:ascii="Arial" w:hAnsi="Arial" w:cs="Arial"/>
              </w:rPr>
              <w:t>and/or</w:t>
            </w:r>
            <w:r w:rsidRPr="00867FAF">
              <w:rPr>
                <w:rFonts w:ascii="Arial" w:hAnsi="Arial" w:cs="Arial"/>
                <w:spacing w:val="-6"/>
              </w:rPr>
              <w:t xml:space="preserve"> </w:t>
            </w:r>
            <w:r w:rsidRPr="00867FAF">
              <w:rPr>
                <w:rFonts w:ascii="Arial" w:hAnsi="Arial" w:cs="Arial"/>
              </w:rPr>
              <w:t>more</w:t>
            </w:r>
            <w:r w:rsidRPr="00867FAF">
              <w:rPr>
                <w:rFonts w:ascii="Arial" w:hAnsi="Arial" w:cs="Arial"/>
                <w:spacing w:val="-6"/>
              </w:rPr>
              <w:t xml:space="preserve"> </w:t>
            </w:r>
            <w:r w:rsidRPr="00867FAF">
              <w:rPr>
                <w:rFonts w:ascii="Arial" w:hAnsi="Arial" w:cs="Arial"/>
              </w:rPr>
              <w:t>severe</w:t>
            </w:r>
            <w:r w:rsidRPr="00867FAF">
              <w:rPr>
                <w:rFonts w:ascii="Arial" w:hAnsi="Arial" w:cs="Arial"/>
                <w:spacing w:val="-6"/>
              </w:rPr>
              <w:t xml:space="preserve"> </w:t>
            </w:r>
            <w:r w:rsidRPr="00867FAF">
              <w:rPr>
                <w:rFonts w:ascii="Arial" w:hAnsi="Arial" w:cs="Arial"/>
              </w:rPr>
              <w:t>forms</w:t>
            </w:r>
            <w:r w:rsidRPr="00867FAF">
              <w:rPr>
                <w:rFonts w:ascii="Arial" w:hAnsi="Arial" w:cs="Arial"/>
                <w:spacing w:val="-6"/>
              </w:rPr>
              <w:t xml:space="preserve"> </w:t>
            </w:r>
            <w:r w:rsidRPr="00867FAF">
              <w:rPr>
                <w:rFonts w:ascii="Arial" w:hAnsi="Arial" w:cs="Arial"/>
              </w:rPr>
              <w:t>of</w:t>
            </w:r>
            <w:r w:rsidRPr="00867FAF">
              <w:rPr>
                <w:rFonts w:ascii="Arial" w:hAnsi="Arial" w:cs="Arial"/>
                <w:spacing w:val="-6"/>
              </w:rPr>
              <w:t xml:space="preserve"> </w:t>
            </w:r>
            <w:r w:rsidRPr="00867FAF">
              <w:rPr>
                <w:rFonts w:ascii="Arial" w:hAnsi="Arial" w:cs="Arial"/>
              </w:rPr>
              <w:t>violence,</w:t>
            </w:r>
            <w:r w:rsidRPr="00867FAF">
              <w:rPr>
                <w:rFonts w:ascii="Arial" w:hAnsi="Arial" w:cs="Arial"/>
                <w:spacing w:val="-6"/>
              </w:rPr>
              <w:t xml:space="preserve"> </w:t>
            </w:r>
            <w:r w:rsidRPr="00867FAF">
              <w:rPr>
                <w:rFonts w:ascii="Arial" w:hAnsi="Arial" w:cs="Arial"/>
              </w:rPr>
              <w:t>or</w:t>
            </w:r>
            <w:r w:rsidRPr="00867FAF">
              <w:rPr>
                <w:rFonts w:ascii="Arial" w:hAnsi="Arial" w:cs="Arial"/>
                <w:spacing w:val="-6"/>
              </w:rPr>
              <w:t xml:space="preserve"> </w:t>
            </w:r>
            <w:r w:rsidRPr="00867FAF">
              <w:rPr>
                <w:rFonts w:ascii="Arial" w:hAnsi="Arial" w:cs="Arial"/>
              </w:rPr>
              <w:t>facing</w:t>
            </w:r>
            <w:r w:rsidRPr="00867FAF">
              <w:rPr>
                <w:rFonts w:ascii="Arial" w:hAnsi="Arial" w:cs="Arial"/>
                <w:spacing w:val="-6"/>
              </w:rPr>
              <w:t xml:space="preserve"> </w:t>
            </w:r>
            <w:r w:rsidRPr="00867FAF">
              <w:rPr>
                <w:rFonts w:ascii="Arial" w:hAnsi="Arial" w:cs="Arial"/>
              </w:rPr>
              <w:t>barriers</w:t>
            </w:r>
            <w:r w:rsidRPr="00867FAF">
              <w:rPr>
                <w:rFonts w:ascii="Arial" w:hAnsi="Arial" w:cs="Arial"/>
                <w:spacing w:val="-6"/>
              </w:rPr>
              <w:t xml:space="preserve"> </w:t>
            </w:r>
            <w:r w:rsidRPr="00867FAF">
              <w:rPr>
                <w:rFonts w:ascii="Arial" w:hAnsi="Arial" w:cs="Arial"/>
              </w:rPr>
              <w:t>to</w:t>
            </w:r>
            <w:r w:rsidRPr="00867FAF">
              <w:rPr>
                <w:rFonts w:ascii="Arial" w:hAnsi="Arial" w:cs="Arial"/>
                <w:spacing w:val="-6"/>
              </w:rPr>
              <w:t xml:space="preserve"> </w:t>
            </w:r>
            <w:r w:rsidRPr="00867FAF">
              <w:rPr>
                <w:rFonts w:ascii="Arial" w:hAnsi="Arial" w:cs="Arial"/>
              </w:rPr>
              <w:t>support</w:t>
            </w:r>
            <w:r w:rsidRPr="00867FAF">
              <w:rPr>
                <w:rFonts w:ascii="Arial" w:hAnsi="Arial" w:cs="Arial"/>
                <w:spacing w:val="-6"/>
              </w:rPr>
              <w:t xml:space="preserve"> </w:t>
            </w:r>
            <w:r w:rsidRPr="00867FAF">
              <w:rPr>
                <w:rFonts w:ascii="Arial" w:hAnsi="Arial" w:cs="Arial"/>
              </w:rPr>
              <w:t>and</w:t>
            </w:r>
            <w:r w:rsidRPr="00867FAF">
              <w:rPr>
                <w:rFonts w:ascii="Arial" w:hAnsi="Arial" w:cs="Arial"/>
                <w:spacing w:val="-6"/>
              </w:rPr>
              <w:t xml:space="preserve"> </w:t>
            </w:r>
            <w:r w:rsidRPr="00867FAF">
              <w:rPr>
                <w:rFonts w:ascii="Arial" w:hAnsi="Arial" w:cs="Arial"/>
              </w:rPr>
              <w:t>safety that other women do not experience.</w:t>
            </w:r>
            <w:r w:rsidRPr="00867FAF">
              <w:rPr>
                <w:rStyle w:val="EndnoteReference"/>
                <w:rFonts w:ascii="Arial" w:hAnsi="Arial" w:cs="Arial"/>
              </w:rPr>
              <w:endnoteReference w:id="56"/>
            </w:r>
          </w:p>
        </w:tc>
      </w:tr>
      <w:tr w:rsidR="00867FAF" w:rsidRPr="000057CB" w14:paraId="1ABE623D" w14:textId="77777777" w:rsidTr="005E0A16">
        <w:tc>
          <w:tcPr>
            <w:tcW w:w="1033" w:type="pct"/>
            <w:tcBorders>
              <w:top w:val="single" w:sz="4" w:space="0" w:color="000000" w:themeColor="text1"/>
              <w:bottom w:val="single" w:sz="4" w:space="0" w:color="000000" w:themeColor="text1"/>
            </w:tcBorders>
          </w:tcPr>
          <w:p w14:paraId="4E7FAC2E" w14:textId="16F83CF5" w:rsidR="00867FAF" w:rsidRPr="00867FAF" w:rsidRDefault="00867FAF" w:rsidP="003861F3">
            <w:pPr>
              <w:pStyle w:val="TableParagraph"/>
              <w:spacing w:before="0" w:after="120"/>
              <w:rPr>
                <w:rFonts w:ascii="Arial" w:hAnsi="Arial" w:cs="Arial"/>
                <w:spacing w:val="-2"/>
              </w:rPr>
            </w:pPr>
            <w:r w:rsidRPr="00867FAF">
              <w:rPr>
                <w:rFonts w:ascii="Arial" w:hAnsi="Arial" w:cs="Arial"/>
                <w:spacing w:val="-2"/>
                <w:sz w:val="20"/>
                <w:szCs w:val="20"/>
              </w:rPr>
              <w:t>Intersex</w:t>
            </w:r>
          </w:p>
        </w:tc>
        <w:tc>
          <w:tcPr>
            <w:tcW w:w="3967" w:type="pct"/>
            <w:tcBorders>
              <w:top w:val="single" w:sz="4" w:space="0" w:color="000000" w:themeColor="text1"/>
              <w:bottom w:val="single" w:sz="4" w:space="0" w:color="000000" w:themeColor="text1"/>
            </w:tcBorders>
          </w:tcPr>
          <w:p w14:paraId="12FD4EA2" w14:textId="713EDEC1" w:rsidR="00867FAF" w:rsidRPr="00A820CC" w:rsidRDefault="00867FAF" w:rsidP="003861F3">
            <w:pPr>
              <w:pStyle w:val="TableParagraph"/>
              <w:spacing w:before="0" w:after="120" w:line="242" w:lineRule="auto"/>
              <w:rPr>
                <w:rFonts w:ascii="Arial" w:hAnsi="Arial" w:cs="Arial"/>
              </w:rPr>
            </w:pPr>
            <w:r w:rsidRPr="00867FAF">
              <w:rPr>
                <w:rFonts w:ascii="Arial" w:hAnsi="Arial" w:cs="Arial"/>
                <w:sz w:val="21"/>
                <w:szCs w:val="21"/>
              </w:rPr>
              <w:t>Describes people born with physical sex characteristics that do not fit medical and social norms for female or male bodies.</w:t>
            </w:r>
            <w:r w:rsidRPr="00867FAF">
              <w:rPr>
                <w:rStyle w:val="EndnoteReference"/>
                <w:rFonts w:ascii="Arial" w:hAnsi="Arial" w:cs="Arial"/>
                <w:sz w:val="21"/>
                <w:szCs w:val="21"/>
              </w:rPr>
              <w:endnoteReference w:id="57"/>
            </w:r>
          </w:p>
        </w:tc>
      </w:tr>
      <w:tr w:rsidR="00867FAF" w:rsidRPr="000057CB" w14:paraId="671A7968" w14:textId="77777777" w:rsidTr="005E0A16">
        <w:tc>
          <w:tcPr>
            <w:tcW w:w="1033" w:type="pct"/>
            <w:tcBorders>
              <w:top w:val="single" w:sz="4" w:space="0" w:color="000000" w:themeColor="text1"/>
              <w:bottom w:val="single" w:sz="4" w:space="0" w:color="000000" w:themeColor="text1"/>
            </w:tcBorders>
          </w:tcPr>
          <w:p w14:paraId="44214DB4" w14:textId="23F514C5" w:rsidR="00867FAF" w:rsidRPr="00867FAF" w:rsidRDefault="00867FAF" w:rsidP="003861F3">
            <w:pPr>
              <w:pStyle w:val="TableParagraph"/>
              <w:spacing w:before="0" w:after="120"/>
              <w:rPr>
                <w:rFonts w:ascii="Arial" w:hAnsi="Arial" w:cs="Arial"/>
                <w:spacing w:val="-2"/>
              </w:rPr>
            </w:pPr>
            <w:r w:rsidRPr="00867FAF">
              <w:rPr>
                <w:rFonts w:ascii="Arial" w:hAnsi="Arial" w:cs="Arial"/>
                <w:sz w:val="20"/>
                <w:szCs w:val="20"/>
              </w:rPr>
              <w:t>Lateral</w:t>
            </w:r>
            <w:r w:rsidRPr="00867FAF">
              <w:rPr>
                <w:rFonts w:ascii="Arial" w:hAnsi="Arial" w:cs="Arial"/>
                <w:spacing w:val="9"/>
                <w:sz w:val="20"/>
                <w:szCs w:val="20"/>
              </w:rPr>
              <w:t xml:space="preserve"> </w:t>
            </w:r>
            <w:r w:rsidRPr="00867FAF">
              <w:rPr>
                <w:rFonts w:ascii="Arial" w:hAnsi="Arial" w:cs="Arial"/>
                <w:spacing w:val="-2"/>
                <w:sz w:val="20"/>
                <w:szCs w:val="20"/>
              </w:rPr>
              <w:t>violence</w:t>
            </w:r>
          </w:p>
        </w:tc>
        <w:tc>
          <w:tcPr>
            <w:tcW w:w="3967" w:type="pct"/>
            <w:tcBorders>
              <w:top w:val="single" w:sz="4" w:space="0" w:color="000000" w:themeColor="text1"/>
              <w:bottom w:val="single" w:sz="4" w:space="0" w:color="000000" w:themeColor="text1"/>
            </w:tcBorders>
          </w:tcPr>
          <w:p w14:paraId="4CAEC077" w14:textId="0C2A92DA" w:rsidR="00867FAF" w:rsidRPr="00A820CC" w:rsidRDefault="00867FAF" w:rsidP="003861F3">
            <w:pPr>
              <w:pStyle w:val="TableParagraph"/>
              <w:spacing w:before="0" w:after="120" w:line="242" w:lineRule="auto"/>
              <w:rPr>
                <w:rFonts w:ascii="Arial" w:hAnsi="Arial" w:cs="Arial"/>
              </w:rPr>
            </w:pPr>
            <w:r w:rsidRPr="00867FAF">
              <w:rPr>
                <w:rFonts w:ascii="Arial" w:hAnsi="Arial" w:cs="Arial"/>
                <w:sz w:val="21"/>
                <w:szCs w:val="21"/>
              </w:rPr>
              <w:t>Lateral violence, also known as horizontal violence, is a product of a complex mix of historical, cultural and social dynamics that results in a spectrum of behaviours that include gossiping, jealousy, bullying, shaming, social exclusion, family feuding, organisational conflict and physical violence. Lateral violence is not just</w:t>
            </w:r>
            <w:r w:rsidRPr="00867FAF">
              <w:rPr>
                <w:rFonts w:ascii="Arial" w:hAnsi="Arial" w:cs="Arial"/>
                <w:spacing w:val="40"/>
                <w:sz w:val="21"/>
                <w:szCs w:val="21"/>
              </w:rPr>
              <w:t xml:space="preserve"> </w:t>
            </w:r>
            <w:r w:rsidRPr="00867FAF">
              <w:rPr>
                <w:rFonts w:ascii="Arial" w:hAnsi="Arial" w:cs="Arial"/>
                <w:sz w:val="21"/>
                <w:szCs w:val="21"/>
              </w:rPr>
              <w:t>an individual’s behaviour – it also occurs when a number of people work together to attack or undermine another individual or group. It can also be a sustained attack on individuals, families or groups.</w:t>
            </w:r>
            <w:r w:rsidRPr="00867FAF">
              <w:rPr>
                <w:rStyle w:val="EndnoteReference"/>
                <w:rFonts w:ascii="Arial" w:hAnsi="Arial" w:cs="Arial"/>
                <w:sz w:val="21"/>
                <w:szCs w:val="21"/>
              </w:rPr>
              <w:endnoteReference w:id="58"/>
            </w:r>
          </w:p>
        </w:tc>
      </w:tr>
      <w:tr w:rsidR="00867FAF" w:rsidRPr="000057CB" w14:paraId="400B5B85" w14:textId="77777777" w:rsidTr="005E0A16">
        <w:tc>
          <w:tcPr>
            <w:tcW w:w="1033" w:type="pct"/>
            <w:tcBorders>
              <w:top w:val="single" w:sz="4" w:space="0" w:color="000000" w:themeColor="text1"/>
              <w:bottom w:val="single" w:sz="4" w:space="0" w:color="000000" w:themeColor="text1"/>
            </w:tcBorders>
          </w:tcPr>
          <w:p w14:paraId="2B70B303" w14:textId="1DC137B2" w:rsidR="00867FAF" w:rsidRPr="00867FAF" w:rsidRDefault="00867FAF" w:rsidP="003861F3">
            <w:pPr>
              <w:pStyle w:val="TableParagraph"/>
              <w:spacing w:before="0" w:after="120"/>
              <w:rPr>
                <w:rFonts w:ascii="Arial" w:hAnsi="Arial" w:cs="Arial"/>
                <w:spacing w:val="-2"/>
              </w:rPr>
            </w:pPr>
            <w:r w:rsidRPr="00867FAF">
              <w:rPr>
                <w:rFonts w:ascii="Arial" w:hAnsi="Arial" w:cs="Arial"/>
                <w:spacing w:val="-2"/>
                <w:sz w:val="20"/>
                <w:szCs w:val="20"/>
              </w:rPr>
              <w:t>Lesbian</w:t>
            </w:r>
          </w:p>
        </w:tc>
        <w:tc>
          <w:tcPr>
            <w:tcW w:w="3967" w:type="pct"/>
            <w:tcBorders>
              <w:top w:val="single" w:sz="4" w:space="0" w:color="000000" w:themeColor="text1"/>
              <w:bottom w:val="single" w:sz="4" w:space="0" w:color="000000" w:themeColor="text1"/>
            </w:tcBorders>
          </w:tcPr>
          <w:p w14:paraId="1D903343" w14:textId="18826FD3" w:rsidR="00867FAF" w:rsidRPr="00A820CC" w:rsidRDefault="00867FAF" w:rsidP="003861F3">
            <w:pPr>
              <w:pStyle w:val="TableParagraph"/>
              <w:spacing w:before="0" w:after="120" w:line="242" w:lineRule="auto"/>
              <w:rPr>
                <w:rFonts w:ascii="Arial" w:hAnsi="Arial" w:cs="Arial"/>
              </w:rPr>
            </w:pPr>
            <w:r w:rsidRPr="00867FAF">
              <w:rPr>
                <w:rFonts w:ascii="Arial" w:hAnsi="Arial" w:cs="Arial"/>
                <w:sz w:val="21"/>
                <w:szCs w:val="21"/>
              </w:rPr>
              <w:t>Describes a woman whose primary emotional and sexual attraction is towards other women.</w:t>
            </w:r>
            <w:r w:rsidRPr="00867FAF">
              <w:rPr>
                <w:rStyle w:val="EndnoteReference"/>
                <w:rFonts w:ascii="Arial" w:hAnsi="Arial" w:cs="Arial"/>
                <w:sz w:val="21"/>
                <w:szCs w:val="21"/>
              </w:rPr>
              <w:endnoteReference w:id="59"/>
            </w:r>
          </w:p>
        </w:tc>
      </w:tr>
      <w:tr w:rsidR="00867FAF" w:rsidRPr="000057CB" w14:paraId="766B5724" w14:textId="77777777" w:rsidTr="005E0A16">
        <w:tc>
          <w:tcPr>
            <w:tcW w:w="1033" w:type="pct"/>
            <w:tcBorders>
              <w:top w:val="single" w:sz="4" w:space="0" w:color="000000" w:themeColor="text1"/>
              <w:bottom w:val="single" w:sz="4" w:space="0" w:color="000000" w:themeColor="text1"/>
            </w:tcBorders>
          </w:tcPr>
          <w:p w14:paraId="4FBEC91F" w14:textId="693DD9F6" w:rsidR="00867FAF" w:rsidRPr="00867FAF" w:rsidRDefault="00867FAF" w:rsidP="003861F3">
            <w:pPr>
              <w:pStyle w:val="TableParagraph"/>
              <w:spacing w:before="0" w:after="120"/>
              <w:rPr>
                <w:rFonts w:ascii="Arial" w:hAnsi="Arial" w:cs="Arial"/>
                <w:spacing w:val="-2"/>
              </w:rPr>
            </w:pPr>
            <w:r w:rsidRPr="00867FAF">
              <w:rPr>
                <w:rFonts w:ascii="Arial" w:hAnsi="Arial" w:cs="Arial"/>
                <w:sz w:val="20"/>
                <w:szCs w:val="20"/>
              </w:rPr>
              <w:t>LGBTIQA+</w:t>
            </w:r>
          </w:p>
        </w:tc>
        <w:tc>
          <w:tcPr>
            <w:tcW w:w="3967" w:type="pct"/>
            <w:tcBorders>
              <w:top w:val="single" w:sz="4" w:space="0" w:color="000000" w:themeColor="text1"/>
              <w:bottom w:val="single" w:sz="4" w:space="0" w:color="000000" w:themeColor="text1"/>
            </w:tcBorders>
          </w:tcPr>
          <w:p w14:paraId="65367D21" w14:textId="04DF9B45" w:rsidR="00867FAF" w:rsidRPr="00A820CC" w:rsidRDefault="00867FAF" w:rsidP="003861F3">
            <w:pPr>
              <w:pStyle w:val="TableParagraph"/>
              <w:spacing w:before="0" w:after="120" w:line="242" w:lineRule="auto"/>
              <w:rPr>
                <w:rFonts w:ascii="Arial" w:hAnsi="Arial" w:cs="Arial"/>
              </w:rPr>
            </w:pPr>
            <w:r w:rsidRPr="00867FAF">
              <w:rPr>
                <w:rFonts w:ascii="Arial" w:hAnsi="Arial" w:cs="Arial"/>
                <w:sz w:val="21"/>
                <w:szCs w:val="21"/>
              </w:rPr>
              <w:t>An acronym used to describe members of the lesbian, gay, bisexual, trans, intersex, queer and asexual community. Other acronyms used to describe this community include LGBTIQ, or LGBTIQ+.</w:t>
            </w:r>
            <w:r w:rsidRPr="00867FAF">
              <w:rPr>
                <w:rStyle w:val="EndnoteReference"/>
                <w:rFonts w:ascii="Arial" w:hAnsi="Arial" w:cs="Arial"/>
                <w:sz w:val="21"/>
                <w:szCs w:val="21"/>
              </w:rPr>
              <w:endnoteReference w:id="60"/>
            </w:r>
          </w:p>
        </w:tc>
      </w:tr>
      <w:tr w:rsidR="00867FAF" w:rsidRPr="000057CB" w14:paraId="7C73406B" w14:textId="77777777" w:rsidTr="005E0A16">
        <w:tc>
          <w:tcPr>
            <w:tcW w:w="1033" w:type="pct"/>
            <w:tcBorders>
              <w:top w:val="single" w:sz="4" w:space="0" w:color="000000" w:themeColor="text1"/>
              <w:bottom w:val="single" w:sz="4" w:space="0" w:color="000000" w:themeColor="text1"/>
            </w:tcBorders>
          </w:tcPr>
          <w:p w14:paraId="48CE609C" w14:textId="6DB0E782" w:rsidR="00867FAF" w:rsidRPr="00867FAF" w:rsidRDefault="00867FAF" w:rsidP="003861F3">
            <w:pPr>
              <w:pStyle w:val="TableParagraph"/>
              <w:spacing w:before="0" w:after="120"/>
              <w:rPr>
                <w:rFonts w:ascii="Arial" w:hAnsi="Arial" w:cs="Arial"/>
                <w:spacing w:val="-2"/>
              </w:rPr>
            </w:pPr>
            <w:r w:rsidRPr="00867FAF">
              <w:rPr>
                <w:rFonts w:ascii="Arial" w:hAnsi="Arial" w:cs="Arial"/>
                <w:sz w:val="20"/>
                <w:szCs w:val="20"/>
              </w:rPr>
              <w:t>Modern</w:t>
            </w:r>
            <w:r w:rsidRPr="00867FAF">
              <w:rPr>
                <w:rFonts w:ascii="Arial" w:hAnsi="Arial" w:cs="Arial"/>
                <w:spacing w:val="8"/>
                <w:sz w:val="20"/>
                <w:szCs w:val="20"/>
              </w:rPr>
              <w:t xml:space="preserve"> </w:t>
            </w:r>
            <w:r w:rsidRPr="00867FAF">
              <w:rPr>
                <w:rFonts w:ascii="Arial" w:hAnsi="Arial" w:cs="Arial"/>
                <w:spacing w:val="-2"/>
                <w:sz w:val="20"/>
                <w:szCs w:val="20"/>
              </w:rPr>
              <w:t>slavery</w:t>
            </w:r>
          </w:p>
        </w:tc>
        <w:tc>
          <w:tcPr>
            <w:tcW w:w="3967" w:type="pct"/>
            <w:tcBorders>
              <w:top w:val="single" w:sz="4" w:space="0" w:color="000000" w:themeColor="text1"/>
              <w:bottom w:val="single" w:sz="4" w:space="0" w:color="000000" w:themeColor="text1"/>
            </w:tcBorders>
          </w:tcPr>
          <w:p w14:paraId="36AE5964" w14:textId="77777777" w:rsidR="00867FAF" w:rsidRPr="00867FAF" w:rsidRDefault="00867FAF" w:rsidP="003861F3">
            <w:pPr>
              <w:pStyle w:val="TableParagraph"/>
              <w:spacing w:before="0" w:after="120" w:line="242" w:lineRule="auto"/>
              <w:rPr>
                <w:rFonts w:ascii="Arial" w:hAnsi="Arial" w:cs="Arial"/>
                <w:sz w:val="21"/>
                <w:szCs w:val="21"/>
              </w:rPr>
            </w:pPr>
            <w:r w:rsidRPr="00867FAF">
              <w:rPr>
                <w:rFonts w:ascii="Arial" w:hAnsi="Arial" w:cs="Arial"/>
                <w:sz w:val="21"/>
                <w:szCs w:val="21"/>
              </w:rPr>
              <w:t>Describes all human trafficking, slavery and slavery-like practices in Divisions</w:t>
            </w:r>
            <w:r w:rsidRPr="00867FAF">
              <w:rPr>
                <w:rFonts w:ascii="Arial" w:hAnsi="Arial" w:cs="Arial"/>
                <w:spacing w:val="40"/>
                <w:sz w:val="21"/>
                <w:szCs w:val="21"/>
              </w:rPr>
              <w:t xml:space="preserve"> </w:t>
            </w:r>
            <w:r w:rsidRPr="00867FAF">
              <w:rPr>
                <w:rFonts w:ascii="Arial" w:hAnsi="Arial" w:cs="Arial"/>
                <w:sz w:val="21"/>
                <w:szCs w:val="21"/>
              </w:rPr>
              <w:t xml:space="preserve">270 and 271 of the </w:t>
            </w:r>
            <w:r w:rsidRPr="00867FAF">
              <w:rPr>
                <w:rFonts w:ascii="Arial" w:hAnsi="Arial" w:cs="Arial"/>
                <w:i/>
                <w:iCs/>
                <w:sz w:val="21"/>
                <w:szCs w:val="21"/>
              </w:rPr>
              <w:t xml:space="preserve">Criminal Code Act 1995 </w:t>
            </w:r>
            <w:r w:rsidRPr="00867FAF">
              <w:rPr>
                <w:rFonts w:ascii="Arial" w:hAnsi="Arial" w:cs="Arial"/>
                <w:sz w:val="21"/>
                <w:szCs w:val="21"/>
              </w:rPr>
              <w:t>(Cth). These offences include trafficking in persons, slavery, servitude, forced labour, deceptive recruitment for labour or services, debt bondage, and forced marriage. The term modern slavery is also used to describe the worst forms of child labour.</w:t>
            </w:r>
          </w:p>
          <w:p w14:paraId="305D0AC7" w14:textId="59A83236" w:rsidR="00867FAF" w:rsidRPr="00A820CC" w:rsidRDefault="00867FAF" w:rsidP="003861F3">
            <w:pPr>
              <w:pStyle w:val="TableParagraph"/>
              <w:spacing w:before="0" w:after="120" w:line="242" w:lineRule="auto"/>
              <w:rPr>
                <w:rFonts w:ascii="Arial" w:hAnsi="Arial" w:cs="Arial"/>
              </w:rPr>
            </w:pPr>
            <w:r w:rsidRPr="00867FAF">
              <w:rPr>
                <w:rFonts w:ascii="Arial" w:hAnsi="Arial" w:cs="Arial"/>
                <w:sz w:val="21"/>
                <w:szCs w:val="21"/>
              </w:rPr>
              <w:t>Some modern slavery crimes, such as forced marriage and servitude in</w:t>
            </w:r>
            <w:r w:rsidRPr="00867FAF">
              <w:rPr>
                <w:rFonts w:ascii="Arial" w:hAnsi="Arial" w:cs="Arial"/>
                <w:spacing w:val="80"/>
                <w:sz w:val="21"/>
                <w:szCs w:val="21"/>
              </w:rPr>
              <w:t xml:space="preserve"> </w:t>
            </w:r>
            <w:r w:rsidRPr="00867FAF">
              <w:rPr>
                <w:rFonts w:ascii="Arial" w:hAnsi="Arial" w:cs="Arial"/>
                <w:sz w:val="21"/>
                <w:szCs w:val="21"/>
              </w:rPr>
              <w:t>family and domestic settings, can involve victims who experience abuse and exploitation by their partners or members of their immediate or extended family, resulting in physical, sexual and psychological harm.</w:t>
            </w:r>
          </w:p>
        </w:tc>
      </w:tr>
      <w:tr w:rsidR="00867FAF" w:rsidRPr="000057CB" w14:paraId="2F1128D9" w14:textId="77777777" w:rsidTr="005E0A16">
        <w:tc>
          <w:tcPr>
            <w:tcW w:w="1033" w:type="pct"/>
            <w:tcBorders>
              <w:top w:val="single" w:sz="4" w:space="0" w:color="000000" w:themeColor="text1"/>
              <w:bottom w:val="single" w:sz="4" w:space="0" w:color="000000" w:themeColor="text1"/>
            </w:tcBorders>
          </w:tcPr>
          <w:p w14:paraId="7BF3DD1A" w14:textId="249B1623" w:rsidR="00867FAF" w:rsidRPr="00867FAF" w:rsidRDefault="00867FAF" w:rsidP="003861F3">
            <w:pPr>
              <w:pStyle w:val="TableParagraph"/>
              <w:spacing w:before="0" w:after="120"/>
              <w:rPr>
                <w:rFonts w:ascii="Arial" w:hAnsi="Arial" w:cs="Arial"/>
                <w:spacing w:val="-2"/>
              </w:rPr>
            </w:pPr>
            <w:r w:rsidRPr="00867FAF">
              <w:rPr>
                <w:rFonts w:ascii="Arial" w:hAnsi="Arial" w:cs="Arial"/>
                <w:sz w:val="20"/>
                <w:szCs w:val="20"/>
              </w:rPr>
              <w:t>National</w:t>
            </w:r>
            <w:r w:rsidRPr="00867FAF">
              <w:rPr>
                <w:rFonts w:ascii="Arial" w:hAnsi="Arial" w:cs="Arial"/>
                <w:spacing w:val="-9"/>
                <w:sz w:val="20"/>
                <w:szCs w:val="20"/>
              </w:rPr>
              <w:t xml:space="preserve"> </w:t>
            </w:r>
            <w:r w:rsidRPr="00867FAF">
              <w:rPr>
                <w:rFonts w:ascii="Arial" w:hAnsi="Arial" w:cs="Arial"/>
                <w:sz w:val="20"/>
                <w:szCs w:val="20"/>
              </w:rPr>
              <w:t xml:space="preserve">Agreement on </w:t>
            </w:r>
            <w:r w:rsidRPr="00867FAF">
              <w:rPr>
                <w:rFonts w:ascii="Arial" w:hAnsi="Arial" w:cs="Arial"/>
                <w:sz w:val="20"/>
                <w:szCs w:val="20"/>
              </w:rPr>
              <w:lastRenderedPageBreak/>
              <w:t>Closing the Gap</w:t>
            </w:r>
          </w:p>
        </w:tc>
        <w:tc>
          <w:tcPr>
            <w:tcW w:w="3967" w:type="pct"/>
            <w:tcBorders>
              <w:top w:val="single" w:sz="4" w:space="0" w:color="000000" w:themeColor="text1"/>
              <w:bottom w:val="single" w:sz="4" w:space="0" w:color="000000" w:themeColor="text1"/>
            </w:tcBorders>
          </w:tcPr>
          <w:p w14:paraId="55761BB1" w14:textId="6CAD125B" w:rsidR="00867FAF" w:rsidRPr="00A820CC" w:rsidRDefault="00867FAF" w:rsidP="003861F3">
            <w:pPr>
              <w:pStyle w:val="TableParagraph"/>
              <w:spacing w:before="0" w:after="120" w:line="242" w:lineRule="auto"/>
              <w:rPr>
                <w:rFonts w:ascii="Arial" w:hAnsi="Arial" w:cs="Arial"/>
              </w:rPr>
            </w:pPr>
            <w:r w:rsidRPr="00867FAF">
              <w:rPr>
                <w:rFonts w:ascii="Arial" w:hAnsi="Arial" w:cs="Arial"/>
                <w:sz w:val="21"/>
                <w:szCs w:val="21"/>
              </w:rPr>
              <w:lastRenderedPageBreak/>
              <w:t xml:space="preserve">The National Agreement on Closing the Gap was developed in formal partnership between all Australian governments and the Coalition of Aboriginal and Torres Strait Islander Peak Organisations. There are four </w:t>
            </w:r>
            <w:r w:rsidRPr="00867FAF">
              <w:rPr>
                <w:rFonts w:ascii="Arial" w:hAnsi="Arial" w:cs="Arial"/>
                <w:sz w:val="21"/>
                <w:szCs w:val="21"/>
              </w:rPr>
              <w:lastRenderedPageBreak/>
              <w:t>Priority Reforms</w:t>
            </w:r>
            <w:r w:rsidRPr="00867FAF">
              <w:rPr>
                <w:rFonts w:ascii="Arial" w:hAnsi="Arial" w:cs="Arial"/>
                <w:spacing w:val="40"/>
                <w:sz w:val="21"/>
                <w:szCs w:val="21"/>
              </w:rPr>
              <w:t xml:space="preserve"> </w:t>
            </w:r>
            <w:r w:rsidRPr="00867FAF">
              <w:rPr>
                <w:rFonts w:ascii="Arial" w:hAnsi="Arial" w:cs="Arial"/>
                <w:sz w:val="21"/>
                <w:szCs w:val="21"/>
              </w:rPr>
              <w:t>and 19 outcomes. The objective of the National Agreement on Closing the Gap</w:t>
            </w:r>
            <w:r w:rsidRPr="00867FAF">
              <w:rPr>
                <w:rFonts w:ascii="Arial" w:hAnsi="Arial" w:cs="Arial"/>
                <w:spacing w:val="40"/>
                <w:sz w:val="21"/>
                <w:szCs w:val="21"/>
              </w:rPr>
              <w:t xml:space="preserve"> </w:t>
            </w:r>
            <w:r w:rsidRPr="00867FAF">
              <w:rPr>
                <w:rFonts w:ascii="Arial" w:hAnsi="Arial" w:cs="Arial"/>
                <w:sz w:val="21"/>
                <w:szCs w:val="21"/>
              </w:rPr>
              <w:t>is to enable Aboriginal and Torres Strait Islander peoples and governments to work together to overcome the inequality experienced by Aboriginal and Torres Strait Islander peoples.</w:t>
            </w:r>
            <w:r w:rsidRPr="00867FAF">
              <w:rPr>
                <w:rStyle w:val="EndnoteReference"/>
                <w:rFonts w:ascii="Arial" w:hAnsi="Arial" w:cs="Arial"/>
                <w:sz w:val="21"/>
                <w:szCs w:val="21"/>
              </w:rPr>
              <w:endnoteReference w:id="61"/>
            </w:r>
          </w:p>
        </w:tc>
      </w:tr>
      <w:tr w:rsidR="00867FAF" w:rsidRPr="000057CB" w14:paraId="7BCD1530" w14:textId="77777777" w:rsidTr="005E0A16">
        <w:tc>
          <w:tcPr>
            <w:tcW w:w="1033" w:type="pct"/>
            <w:tcBorders>
              <w:top w:val="single" w:sz="4" w:space="0" w:color="000000" w:themeColor="text1"/>
              <w:bottom w:val="single" w:sz="4" w:space="0" w:color="000000" w:themeColor="text1"/>
            </w:tcBorders>
          </w:tcPr>
          <w:p w14:paraId="23F8F646" w14:textId="6DECEEA3" w:rsidR="00867FAF" w:rsidRPr="00867FAF" w:rsidRDefault="00867FAF" w:rsidP="003861F3">
            <w:pPr>
              <w:pStyle w:val="TableParagraph"/>
              <w:spacing w:before="0" w:after="120"/>
              <w:rPr>
                <w:rFonts w:ascii="Arial" w:hAnsi="Arial" w:cs="Arial"/>
                <w:spacing w:val="-2"/>
              </w:rPr>
            </w:pPr>
            <w:r w:rsidRPr="00867FAF">
              <w:rPr>
                <w:rFonts w:ascii="Arial" w:hAnsi="Arial" w:cs="Arial"/>
                <w:sz w:val="20"/>
                <w:szCs w:val="20"/>
              </w:rPr>
              <w:lastRenderedPageBreak/>
              <w:t>National</w:t>
            </w:r>
            <w:r w:rsidRPr="00867FAF">
              <w:rPr>
                <w:rFonts w:ascii="Arial" w:hAnsi="Arial" w:cs="Arial"/>
                <w:spacing w:val="-13"/>
                <w:sz w:val="20"/>
                <w:szCs w:val="20"/>
              </w:rPr>
              <w:t xml:space="preserve"> </w:t>
            </w:r>
            <w:r w:rsidRPr="00867FAF">
              <w:rPr>
                <w:rFonts w:ascii="Arial" w:hAnsi="Arial" w:cs="Arial"/>
                <w:sz w:val="20"/>
                <w:szCs w:val="20"/>
              </w:rPr>
              <w:t xml:space="preserve">outcome standards for </w:t>
            </w:r>
            <w:r w:rsidRPr="00867FAF">
              <w:rPr>
                <w:rFonts w:ascii="Arial" w:hAnsi="Arial" w:cs="Arial"/>
                <w:spacing w:val="-2"/>
                <w:sz w:val="20"/>
                <w:szCs w:val="20"/>
              </w:rPr>
              <w:t>perpetrator interventions</w:t>
            </w:r>
          </w:p>
        </w:tc>
        <w:tc>
          <w:tcPr>
            <w:tcW w:w="3967" w:type="pct"/>
            <w:tcBorders>
              <w:top w:val="single" w:sz="4" w:space="0" w:color="000000" w:themeColor="text1"/>
              <w:bottom w:val="single" w:sz="4" w:space="0" w:color="000000" w:themeColor="text1"/>
            </w:tcBorders>
          </w:tcPr>
          <w:p w14:paraId="210C9C18" w14:textId="358BD0C3" w:rsidR="00867FAF" w:rsidRPr="00A820CC" w:rsidRDefault="00867FAF" w:rsidP="003861F3">
            <w:pPr>
              <w:pStyle w:val="TableParagraph"/>
              <w:spacing w:before="0" w:after="120" w:line="242" w:lineRule="auto"/>
              <w:rPr>
                <w:rFonts w:ascii="Arial" w:hAnsi="Arial" w:cs="Arial"/>
              </w:rPr>
            </w:pPr>
            <w:r w:rsidRPr="00867FAF">
              <w:rPr>
                <w:rFonts w:ascii="Arial" w:hAnsi="Arial" w:cs="Arial"/>
                <w:sz w:val="21"/>
                <w:szCs w:val="21"/>
              </w:rPr>
              <w:t>Refers to the national document including standards that both guide and provide</w:t>
            </w:r>
            <w:r w:rsidRPr="00867FAF">
              <w:rPr>
                <w:rFonts w:ascii="Arial" w:hAnsi="Arial" w:cs="Arial"/>
                <w:spacing w:val="40"/>
                <w:sz w:val="21"/>
                <w:szCs w:val="21"/>
              </w:rPr>
              <w:t xml:space="preserve"> </w:t>
            </w:r>
            <w:r w:rsidRPr="00867FAF">
              <w:rPr>
                <w:rFonts w:ascii="Arial" w:hAnsi="Arial" w:cs="Arial"/>
                <w:sz w:val="21"/>
                <w:szCs w:val="21"/>
              </w:rPr>
              <w:t>a measure of the actions of government, community partners and systems, and</w:t>
            </w:r>
            <w:r w:rsidRPr="00867FAF">
              <w:rPr>
                <w:rFonts w:ascii="Arial" w:hAnsi="Arial" w:cs="Arial"/>
                <w:spacing w:val="40"/>
                <w:sz w:val="21"/>
                <w:szCs w:val="21"/>
              </w:rPr>
              <w:t xml:space="preserve"> </w:t>
            </w:r>
            <w:r w:rsidRPr="00867FAF">
              <w:rPr>
                <w:rFonts w:ascii="Arial" w:hAnsi="Arial" w:cs="Arial"/>
                <w:sz w:val="21"/>
                <w:szCs w:val="21"/>
              </w:rPr>
              <w:t>the outcomes they achieve when intervening with male perpetrators of domestic, family and sexual violence against women and children.</w:t>
            </w:r>
          </w:p>
        </w:tc>
      </w:tr>
      <w:tr w:rsidR="00867FAF" w:rsidRPr="000057CB" w14:paraId="5A41E84A" w14:textId="77777777" w:rsidTr="005E0A16">
        <w:tc>
          <w:tcPr>
            <w:tcW w:w="1033" w:type="pct"/>
            <w:tcBorders>
              <w:top w:val="single" w:sz="4" w:space="0" w:color="000000" w:themeColor="text1"/>
              <w:bottom w:val="single" w:sz="4" w:space="0" w:color="000000" w:themeColor="text1"/>
            </w:tcBorders>
          </w:tcPr>
          <w:p w14:paraId="48AB42EB" w14:textId="12A300B7" w:rsidR="00867FAF" w:rsidRPr="00867FAF" w:rsidRDefault="00867FAF" w:rsidP="003861F3">
            <w:pPr>
              <w:pStyle w:val="TableParagraph"/>
              <w:spacing w:before="0" w:after="120"/>
              <w:rPr>
                <w:rFonts w:ascii="Arial" w:hAnsi="Arial" w:cs="Arial"/>
                <w:spacing w:val="-2"/>
              </w:rPr>
            </w:pPr>
            <w:r w:rsidRPr="00867FAF">
              <w:rPr>
                <w:rFonts w:ascii="Arial" w:hAnsi="Arial" w:cs="Arial"/>
                <w:sz w:val="20"/>
                <w:szCs w:val="20"/>
              </w:rPr>
              <w:t>Non-</w:t>
            </w:r>
            <w:r w:rsidRPr="00867FAF">
              <w:rPr>
                <w:rFonts w:ascii="Arial" w:hAnsi="Arial" w:cs="Arial"/>
                <w:spacing w:val="-2"/>
                <w:sz w:val="20"/>
                <w:szCs w:val="20"/>
              </w:rPr>
              <w:t>binary</w:t>
            </w:r>
          </w:p>
        </w:tc>
        <w:tc>
          <w:tcPr>
            <w:tcW w:w="3967" w:type="pct"/>
            <w:tcBorders>
              <w:top w:val="single" w:sz="4" w:space="0" w:color="000000" w:themeColor="text1"/>
              <w:bottom w:val="single" w:sz="4" w:space="0" w:color="000000" w:themeColor="text1"/>
            </w:tcBorders>
          </w:tcPr>
          <w:p w14:paraId="6D330B35" w14:textId="125F1A91" w:rsidR="00867FAF" w:rsidRPr="00A820CC" w:rsidRDefault="00867FAF" w:rsidP="003861F3">
            <w:pPr>
              <w:pStyle w:val="TableParagraph"/>
              <w:spacing w:before="0" w:after="120" w:line="242" w:lineRule="auto"/>
              <w:rPr>
                <w:rFonts w:ascii="Arial" w:hAnsi="Arial" w:cs="Arial"/>
              </w:rPr>
            </w:pPr>
            <w:r w:rsidRPr="00867FAF">
              <w:rPr>
                <w:rFonts w:ascii="Arial" w:hAnsi="Arial" w:cs="Arial"/>
                <w:sz w:val="20"/>
                <w:szCs w:val="20"/>
              </w:rPr>
              <w:t>An umbrella term for any number of gender identities that sit within, outside of, across or between the spectrum of the male and female binary. A non-binary person might identify as gender fluid, trans masculine, trans feminine, agender, bigender, etc.</w:t>
            </w:r>
          </w:p>
        </w:tc>
      </w:tr>
      <w:tr w:rsidR="00867FAF" w:rsidRPr="000057CB" w14:paraId="373AAF42" w14:textId="77777777" w:rsidTr="005E0A16">
        <w:tc>
          <w:tcPr>
            <w:tcW w:w="1033" w:type="pct"/>
            <w:tcBorders>
              <w:top w:val="single" w:sz="4" w:space="0" w:color="000000" w:themeColor="text1"/>
              <w:bottom w:val="single" w:sz="4" w:space="0" w:color="000000" w:themeColor="text1"/>
            </w:tcBorders>
          </w:tcPr>
          <w:p w14:paraId="3ED00391" w14:textId="658AD4FC" w:rsidR="00867FAF" w:rsidRPr="00867FAF" w:rsidRDefault="00867FAF" w:rsidP="003861F3">
            <w:pPr>
              <w:pStyle w:val="TableParagraph"/>
              <w:spacing w:before="0" w:after="120"/>
              <w:rPr>
                <w:rFonts w:ascii="Arial" w:hAnsi="Arial" w:cs="Arial"/>
                <w:spacing w:val="-2"/>
              </w:rPr>
            </w:pPr>
            <w:r w:rsidRPr="00867FAF">
              <w:rPr>
                <w:rFonts w:ascii="Arial" w:hAnsi="Arial" w:cs="Arial"/>
                <w:sz w:val="20"/>
                <w:szCs w:val="20"/>
              </w:rPr>
              <w:t>Our</w:t>
            </w:r>
            <w:r w:rsidRPr="00867FAF">
              <w:rPr>
                <w:rFonts w:ascii="Arial" w:hAnsi="Arial" w:cs="Arial"/>
                <w:spacing w:val="4"/>
                <w:sz w:val="20"/>
                <w:szCs w:val="20"/>
              </w:rPr>
              <w:t xml:space="preserve"> </w:t>
            </w:r>
            <w:r w:rsidRPr="00867FAF">
              <w:rPr>
                <w:rFonts w:ascii="Arial" w:hAnsi="Arial" w:cs="Arial"/>
                <w:spacing w:val="-2"/>
                <w:sz w:val="20"/>
                <w:szCs w:val="20"/>
              </w:rPr>
              <w:t>Watch</w:t>
            </w:r>
          </w:p>
        </w:tc>
        <w:tc>
          <w:tcPr>
            <w:tcW w:w="3967" w:type="pct"/>
            <w:tcBorders>
              <w:top w:val="single" w:sz="4" w:space="0" w:color="000000" w:themeColor="text1"/>
              <w:bottom w:val="single" w:sz="4" w:space="0" w:color="000000" w:themeColor="text1"/>
            </w:tcBorders>
          </w:tcPr>
          <w:p w14:paraId="4D259E67" w14:textId="1A19BD1D" w:rsidR="00867FAF" w:rsidRPr="00A820CC" w:rsidRDefault="00867FAF" w:rsidP="003861F3">
            <w:pPr>
              <w:pStyle w:val="TableParagraph"/>
              <w:spacing w:before="0" w:after="120" w:line="242" w:lineRule="auto"/>
              <w:rPr>
                <w:rFonts w:ascii="Arial" w:hAnsi="Arial" w:cs="Arial"/>
              </w:rPr>
            </w:pPr>
            <w:r w:rsidRPr="00867FAF">
              <w:rPr>
                <w:rFonts w:ascii="Arial" w:hAnsi="Arial" w:cs="Arial"/>
                <w:sz w:val="20"/>
                <w:szCs w:val="20"/>
              </w:rPr>
              <w:t xml:space="preserve">The national organisation established under the </w:t>
            </w:r>
            <w:r w:rsidRPr="00867FAF">
              <w:rPr>
                <w:rFonts w:ascii="Arial" w:hAnsi="Arial" w:cs="Arial"/>
                <w:i/>
                <w:iCs/>
                <w:sz w:val="20"/>
                <w:szCs w:val="20"/>
              </w:rPr>
              <w:t>National Plan to Reduce Violence against Women and their Children 2010–2022</w:t>
            </w:r>
            <w:r w:rsidRPr="00867FAF">
              <w:rPr>
                <w:rFonts w:ascii="Arial" w:hAnsi="Arial" w:cs="Arial"/>
                <w:sz w:val="20"/>
                <w:szCs w:val="20"/>
              </w:rPr>
              <w:t>, to prevent violence against women and their children.</w:t>
            </w:r>
          </w:p>
        </w:tc>
      </w:tr>
      <w:tr w:rsidR="00867FAF" w:rsidRPr="000057CB" w14:paraId="5B78B6C7" w14:textId="77777777" w:rsidTr="005E0A16">
        <w:tc>
          <w:tcPr>
            <w:tcW w:w="1033" w:type="pct"/>
            <w:tcBorders>
              <w:top w:val="single" w:sz="4" w:space="0" w:color="000000" w:themeColor="text1"/>
              <w:bottom w:val="single" w:sz="4" w:space="0" w:color="000000" w:themeColor="text1"/>
            </w:tcBorders>
          </w:tcPr>
          <w:p w14:paraId="37BC0884" w14:textId="6878B4C9" w:rsidR="00867FAF" w:rsidRPr="00867FAF" w:rsidRDefault="00867FAF" w:rsidP="003861F3">
            <w:pPr>
              <w:pStyle w:val="TableParagraph"/>
              <w:spacing w:before="0" w:after="120"/>
              <w:rPr>
                <w:rFonts w:ascii="Arial" w:hAnsi="Arial" w:cs="Arial"/>
                <w:spacing w:val="-2"/>
              </w:rPr>
            </w:pPr>
            <w:r w:rsidRPr="00867FAF">
              <w:rPr>
                <w:rFonts w:ascii="Arial" w:hAnsi="Arial" w:cs="Arial"/>
                <w:spacing w:val="-2"/>
                <w:sz w:val="20"/>
                <w:szCs w:val="20"/>
              </w:rPr>
              <w:t>Perpetrator</w:t>
            </w:r>
          </w:p>
        </w:tc>
        <w:tc>
          <w:tcPr>
            <w:tcW w:w="3967" w:type="pct"/>
            <w:tcBorders>
              <w:top w:val="single" w:sz="4" w:space="0" w:color="000000" w:themeColor="text1"/>
              <w:bottom w:val="single" w:sz="4" w:space="0" w:color="000000" w:themeColor="text1"/>
            </w:tcBorders>
          </w:tcPr>
          <w:p w14:paraId="439F9089" w14:textId="79BC6625" w:rsidR="00867FAF" w:rsidRPr="00A820CC" w:rsidRDefault="00867FAF" w:rsidP="003861F3">
            <w:pPr>
              <w:pStyle w:val="TableParagraph"/>
              <w:spacing w:before="0" w:after="120" w:line="242" w:lineRule="auto"/>
              <w:rPr>
                <w:rFonts w:ascii="Arial" w:hAnsi="Arial" w:cs="Arial"/>
              </w:rPr>
            </w:pPr>
            <w:r w:rsidRPr="00867FAF">
              <w:rPr>
                <w:rFonts w:ascii="Arial" w:hAnsi="Arial" w:cs="Arial"/>
                <w:sz w:val="20"/>
                <w:szCs w:val="20"/>
              </w:rPr>
              <w:t>Refers to a person who commits an illegal, criminal or harmful act, including domestic, family or sexual violence.</w:t>
            </w:r>
          </w:p>
        </w:tc>
      </w:tr>
      <w:tr w:rsidR="00867FAF" w:rsidRPr="000057CB" w14:paraId="061EFAFA" w14:textId="77777777" w:rsidTr="005E0A16">
        <w:tc>
          <w:tcPr>
            <w:tcW w:w="1033" w:type="pct"/>
            <w:tcBorders>
              <w:top w:val="single" w:sz="4" w:space="0" w:color="000000" w:themeColor="text1"/>
              <w:bottom w:val="single" w:sz="4" w:space="0" w:color="000000" w:themeColor="text1"/>
            </w:tcBorders>
          </w:tcPr>
          <w:p w14:paraId="017031A4" w14:textId="4BA7A58F" w:rsidR="00867FAF" w:rsidRPr="00867FAF" w:rsidRDefault="00867FAF" w:rsidP="003861F3">
            <w:pPr>
              <w:pStyle w:val="TableParagraph"/>
              <w:spacing w:before="0" w:after="120"/>
              <w:rPr>
                <w:rFonts w:ascii="Arial" w:hAnsi="Arial" w:cs="Arial"/>
                <w:spacing w:val="-2"/>
              </w:rPr>
            </w:pPr>
            <w:r w:rsidRPr="00867FAF">
              <w:rPr>
                <w:rFonts w:ascii="Arial" w:hAnsi="Arial" w:cs="Arial"/>
                <w:sz w:val="20"/>
                <w:szCs w:val="20"/>
              </w:rPr>
              <w:t>Personal</w:t>
            </w:r>
            <w:r w:rsidRPr="00867FAF">
              <w:rPr>
                <w:rFonts w:ascii="Arial" w:hAnsi="Arial" w:cs="Arial"/>
                <w:spacing w:val="-13"/>
                <w:sz w:val="20"/>
                <w:szCs w:val="20"/>
              </w:rPr>
              <w:t xml:space="preserve"> </w:t>
            </w:r>
            <w:r w:rsidRPr="00867FAF">
              <w:rPr>
                <w:rFonts w:ascii="Arial" w:hAnsi="Arial" w:cs="Arial"/>
                <w:sz w:val="20"/>
                <w:szCs w:val="20"/>
              </w:rPr>
              <w:t>Safety Survey (PSS)</w:t>
            </w:r>
          </w:p>
        </w:tc>
        <w:tc>
          <w:tcPr>
            <w:tcW w:w="3967" w:type="pct"/>
            <w:tcBorders>
              <w:top w:val="single" w:sz="4" w:space="0" w:color="000000" w:themeColor="text1"/>
              <w:bottom w:val="single" w:sz="4" w:space="0" w:color="000000" w:themeColor="text1"/>
            </w:tcBorders>
          </w:tcPr>
          <w:p w14:paraId="482D1F85" w14:textId="79872C32" w:rsidR="00867FAF" w:rsidRPr="00A820CC" w:rsidRDefault="00867FAF" w:rsidP="003861F3">
            <w:pPr>
              <w:pStyle w:val="TableParagraph"/>
              <w:spacing w:before="0" w:after="120" w:line="242" w:lineRule="auto"/>
              <w:rPr>
                <w:rFonts w:ascii="Arial" w:hAnsi="Arial" w:cs="Arial"/>
              </w:rPr>
            </w:pPr>
            <w:r w:rsidRPr="00867FAF">
              <w:rPr>
                <w:rFonts w:ascii="Arial" w:hAnsi="Arial" w:cs="Arial"/>
                <w:sz w:val="20"/>
                <w:szCs w:val="20"/>
              </w:rPr>
              <w:t>Refers to the survey conducted by the Australian Bureau of Statistics collecting information from men and women aged 18 years and over about the nature and extent of violence experienced since the age of 15. PSS also includes childhood experiences of abuse.</w:t>
            </w:r>
          </w:p>
        </w:tc>
      </w:tr>
      <w:tr w:rsidR="00867FAF" w:rsidRPr="000057CB" w14:paraId="4DDFC07B" w14:textId="77777777" w:rsidTr="005E0A16">
        <w:tc>
          <w:tcPr>
            <w:tcW w:w="1033" w:type="pct"/>
            <w:tcBorders>
              <w:top w:val="single" w:sz="4" w:space="0" w:color="000000" w:themeColor="text1"/>
              <w:bottom w:val="single" w:sz="4" w:space="0" w:color="000000" w:themeColor="text1"/>
            </w:tcBorders>
          </w:tcPr>
          <w:p w14:paraId="67295101" w14:textId="51B784C8" w:rsidR="00867FAF" w:rsidRPr="00867FAF" w:rsidRDefault="00867FAF" w:rsidP="003861F3">
            <w:pPr>
              <w:pStyle w:val="TableParagraph"/>
              <w:spacing w:before="0" w:after="120"/>
              <w:rPr>
                <w:rFonts w:ascii="Arial" w:hAnsi="Arial" w:cs="Arial"/>
                <w:spacing w:val="-2"/>
              </w:rPr>
            </w:pPr>
            <w:r w:rsidRPr="00867FAF">
              <w:rPr>
                <w:rFonts w:ascii="Arial" w:hAnsi="Arial" w:cs="Arial"/>
                <w:spacing w:val="-2"/>
                <w:sz w:val="20"/>
                <w:szCs w:val="20"/>
              </w:rPr>
              <w:t>Practices</w:t>
            </w:r>
          </w:p>
        </w:tc>
        <w:tc>
          <w:tcPr>
            <w:tcW w:w="3967" w:type="pct"/>
            <w:tcBorders>
              <w:top w:val="single" w:sz="4" w:space="0" w:color="000000" w:themeColor="text1"/>
              <w:bottom w:val="single" w:sz="4" w:space="0" w:color="000000" w:themeColor="text1"/>
            </w:tcBorders>
          </w:tcPr>
          <w:p w14:paraId="3715796B" w14:textId="086DC7FF" w:rsidR="00867FAF" w:rsidRPr="00A820CC" w:rsidRDefault="00867FAF" w:rsidP="003861F3">
            <w:pPr>
              <w:pStyle w:val="TableParagraph"/>
              <w:spacing w:before="0" w:after="120" w:line="242" w:lineRule="auto"/>
              <w:rPr>
                <w:rFonts w:ascii="Arial" w:hAnsi="Arial" w:cs="Arial"/>
              </w:rPr>
            </w:pPr>
            <w:r w:rsidRPr="00867FAF">
              <w:rPr>
                <w:rFonts w:ascii="Arial" w:hAnsi="Arial" w:cs="Arial"/>
                <w:sz w:val="20"/>
                <w:szCs w:val="20"/>
              </w:rPr>
              <w:t>Gendered practices are the things people do to distinguish between girls and boys,</w:t>
            </w:r>
            <w:r w:rsidRPr="00867FAF">
              <w:rPr>
                <w:rFonts w:ascii="Arial" w:hAnsi="Arial" w:cs="Arial"/>
                <w:spacing w:val="18"/>
                <w:sz w:val="20"/>
                <w:szCs w:val="20"/>
              </w:rPr>
              <w:t xml:space="preserve"> </w:t>
            </w:r>
            <w:r w:rsidRPr="00867FAF">
              <w:rPr>
                <w:rFonts w:ascii="Arial" w:hAnsi="Arial" w:cs="Arial"/>
                <w:sz w:val="20"/>
                <w:szCs w:val="20"/>
              </w:rPr>
              <w:t>or</w:t>
            </w:r>
            <w:r w:rsidRPr="00867FAF">
              <w:rPr>
                <w:rFonts w:ascii="Arial" w:hAnsi="Arial" w:cs="Arial"/>
                <w:spacing w:val="18"/>
                <w:sz w:val="20"/>
                <w:szCs w:val="20"/>
              </w:rPr>
              <w:t xml:space="preserve"> </w:t>
            </w:r>
            <w:r w:rsidRPr="00867FAF">
              <w:rPr>
                <w:rFonts w:ascii="Arial" w:hAnsi="Arial" w:cs="Arial"/>
                <w:sz w:val="20"/>
                <w:szCs w:val="20"/>
              </w:rPr>
              <w:t>between</w:t>
            </w:r>
            <w:r w:rsidRPr="00867FAF">
              <w:rPr>
                <w:rFonts w:ascii="Arial" w:hAnsi="Arial" w:cs="Arial"/>
                <w:spacing w:val="18"/>
                <w:sz w:val="20"/>
                <w:szCs w:val="20"/>
              </w:rPr>
              <w:t xml:space="preserve"> </w:t>
            </w:r>
            <w:r w:rsidRPr="00867FAF">
              <w:rPr>
                <w:rFonts w:ascii="Arial" w:hAnsi="Arial" w:cs="Arial"/>
                <w:sz w:val="20"/>
                <w:szCs w:val="20"/>
              </w:rPr>
              <w:t>male</w:t>
            </w:r>
            <w:r w:rsidRPr="00867FAF">
              <w:rPr>
                <w:rFonts w:ascii="Arial" w:hAnsi="Arial" w:cs="Arial"/>
                <w:spacing w:val="18"/>
                <w:sz w:val="20"/>
                <w:szCs w:val="20"/>
              </w:rPr>
              <w:t xml:space="preserve"> </w:t>
            </w:r>
            <w:r w:rsidRPr="00867FAF">
              <w:rPr>
                <w:rFonts w:ascii="Arial" w:hAnsi="Arial" w:cs="Arial"/>
                <w:sz w:val="20"/>
                <w:szCs w:val="20"/>
              </w:rPr>
              <w:t>and</w:t>
            </w:r>
            <w:r w:rsidRPr="00867FAF">
              <w:rPr>
                <w:rFonts w:ascii="Arial" w:hAnsi="Arial" w:cs="Arial"/>
                <w:spacing w:val="18"/>
                <w:sz w:val="20"/>
                <w:szCs w:val="20"/>
              </w:rPr>
              <w:t xml:space="preserve"> </w:t>
            </w:r>
            <w:r w:rsidRPr="00867FAF">
              <w:rPr>
                <w:rFonts w:ascii="Arial" w:hAnsi="Arial" w:cs="Arial"/>
                <w:sz w:val="20"/>
                <w:szCs w:val="20"/>
              </w:rPr>
              <w:t>female</w:t>
            </w:r>
            <w:r w:rsidRPr="00867FAF">
              <w:rPr>
                <w:rFonts w:ascii="Arial" w:hAnsi="Arial" w:cs="Arial"/>
                <w:spacing w:val="18"/>
                <w:sz w:val="20"/>
                <w:szCs w:val="20"/>
              </w:rPr>
              <w:t xml:space="preserve"> </w:t>
            </w:r>
            <w:r w:rsidRPr="00867FAF">
              <w:rPr>
                <w:rFonts w:ascii="Arial" w:hAnsi="Arial" w:cs="Arial"/>
                <w:sz w:val="20"/>
                <w:szCs w:val="20"/>
              </w:rPr>
              <w:t>roles</w:t>
            </w:r>
            <w:r w:rsidRPr="00867FAF">
              <w:rPr>
                <w:rFonts w:ascii="Arial" w:hAnsi="Arial" w:cs="Arial"/>
                <w:spacing w:val="18"/>
                <w:sz w:val="20"/>
                <w:szCs w:val="20"/>
              </w:rPr>
              <w:t xml:space="preserve"> </w:t>
            </w:r>
            <w:r w:rsidRPr="00867FAF">
              <w:rPr>
                <w:rFonts w:ascii="Arial" w:hAnsi="Arial" w:cs="Arial"/>
                <w:sz w:val="20"/>
                <w:szCs w:val="20"/>
              </w:rPr>
              <w:t>or</w:t>
            </w:r>
            <w:r w:rsidRPr="00867FAF">
              <w:rPr>
                <w:rFonts w:ascii="Arial" w:hAnsi="Arial" w:cs="Arial"/>
                <w:spacing w:val="18"/>
                <w:sz w:val="20"/>
                <w:szCs w:val="20"/>
              </w:rPr>
              <w:t xml:space="preserve"> </w:t>
            </w:r>
            <w:r w:rsidRPr="00867FAF">
              <w:rPr>
                <w:rFonts w:ascii="Arial" w:hAnsi="Arial" w:cs="Arial"/>
                <w:sz w:val="20"/>
                <w:szCs w:val="20"/>
              </w:rPr>
              <w:t>spheres.</w:t>
            </w:r>
            <w:r w:rsidRPr="00867FAF">
              <w:rPr>
                <w:rFonts w:ascii="Arial" w:hAnsi="Arial" w:cs="Arial"/>
                <w:spacing w:val="18"/>
                <w:sz w:val="20"/>
                <w:szCs w:val="20"/>
              </w:rPr>
              <w:t xml:space="preserve"> </w:t>
            </w:r>
            <w:r w:rsidRPr="00867FAF">
              <w:rPr>
                <w:rFonts w:ascii="Arial" w:hAnsi="Arial" w:cs="Arial"/>
                <w:sz w:val="20"/>
                <w:szCs w:val="20"/>
              </w:rPr>
              <w:t>They</w:t>
            </w:r>
            <w:r w:rsidRPr="00867FAF">
              <w:rPr>
                <w:rFonts w:ascii="Arial" w:hAnsi="Arial" w:cs="Arial"/>
                <w:spacing w:val="18"/>
                <w:sz w:val="20"/>
                <w:szCs w:val="20"/>
              </w:rPr>
              <w:t xml:space="preserve"> </w:t>
            </w:r>
            <w:r w:rsidRPr="00867FAF">
              <w:rPr>
                <w:rFonts w:ascii="Arial" w:hAnsi="Arial" w:cs="Arial"/>
                <w:sz w:val="20"/>
                <w:szCs w:val="20"/>
              </w:rPr>
              <w:t>include</w:t>
            </w:r>
            <w:r w:rsidRPr="00867FAF">
              <w:rPr>
                <w:rFonts w:ascii="Arial" w:hAnsi="Arial" w:cs="Arial"/>
                <w:spacing w:val="18"/>
                <w:sz w:val="20"/>
                <w:szCs w:val="20"/>
              </w:rPr>
              <w:t xml:space="preserve"> </w:t>
            </w:r>
            <w:r w:rsidRPr="00867FAF">
              <w:rPr>
                <w:rFonts w:ascii="Arial" w:hAnsi="Arial" w:cs="Arial"/>
                <w:sz w:val="20"/>
                <w:szCs w:val="20"/>
              </w:rPr>
              <w:t>a</w:t>
            </w:r>
            <w:r w:rsidRPr="00867FAF">
              <w:rPr>
                <w:rFonts w:ascii="Arial" w:hAnsi="Arial" w:cs="Arial"/>
                <w:spacing w:val="18"/>
                <w:sz w:val="20"/>
                <w:szCs w:val="20"/>
              </w:rPr>
              <w:t xml:space="preserve"> </w:t>
            </w:r>
            <w:r w:rsidRPr="00867FAF">
              <w:rPr>
                <w:rFonts w:ascii="Arial" w:hAnsi="Arial" w:cs="Arial"/>
                <w:sz w:val="20"/>
                <w:szCs w:val="20"/>
              </w:rPr>
              <w:t>wide</w:t>
            </w:r>
            <w:r w:rsidRPr="00867FAF">
              <w:rPr>
                <w:rFonts w:ascii="Arial" w:hAnsi="Arial" w:cs="Arial"/>
                <w:spacing w:val="18"/>
                <w:sz w:val="20"/>
                <w:szCs w:val="20"/>
              </w:rPr>
              <w:t xml:space="preserve"> </w:t>
            </w:r>
            <w:r w:rsidRPr="00867FAF">
              <w:rPr>
                <w:rFonts w:ascii="Arial" w:hAnsi="Arial" w:cs="Arial"/>
                <w:sz w:val="20"/>
                <w:szCs w:val="20"/>
              </w:rPr>
              <w:t>range of everyday actions, processes and behaviours that are undertaken both at individual, relational, organisational/institutional and societal levels that reinforce and perpetuate gendered norms and structures.</w:t>
            </w:r>
          </w:p>
        </w:tc>
      </w:tr>
      <w:tr w:rsidR="00867FAF" w:rsidRPr="000057CB" w14:paraId="7FDF4B7F" w14:textId="77777777" w:rsidTr="005E0A16">
        <w:tc>
          <w:tcPr>
            <w:tcW w:w="1033" w:type="pct"/>
            <w:tcBorders>
              <w:top w:val="single" w:sz="4" w:space="0" w:color="000000" w:themeColor="text1"/>
              <w:bottom w:val="single" w:sz="4" w:space="0" w:color="000000" w:themeColor="text1"/>
            </w:tcBorders>
          </w:tcPr>
          <w:p w14:paraId="10AB834D" w14:textId="5D2269EA" w:rsidR="00867FAF" w:rsidRPr="00867FAF" w:rsidRDefault="00867FAF" w:rsidP="003861F3">
            <w:pPr>
              <w:pStyle w:val="TableParagraph"/>
              <w:spacing w:before="0" w:after="120"/>
              <w:rPr>
                <w:rFonts w:ascii="Arial" w:hAnsi="Arial" w:cs="Arial"/>
                <w:spacing w:val="-2"/>
              </w:rPr>
            </w:pPr>
            <w:r w:rsidRPr="00867FAF">
              <w:rPr>
                <w:rFonts w:ascii="Arial" w:hAnsi="Arial" w:cs="Arial"/>
                <w:spacing w:val="-2"/>
                <w:sz w:val="20"/>
                <w:szCs w:val="20"/>
              </w:rPr>
              <w:t>Queer</w:t>
            </w:r>
          </w:p>
        </w:tc>
        <w:tc>
          <w:tcPr>
            <w:tcW w:w="3967" w:type="pct"/>
            <w:tcBorders>
              <w:top w:val="single" w:sz="4" w:space="0" w:color="000000" w:themeColor="text1"/>
              <w:bottom w:val="single" w:sz="4" w:space="0" w:color="000000" w:themeColor="text1"/>
            </w:tcBorders>
          </w:tcPr>
          <w:p w14:paraId="7E4AAC81" w14:textId="77777777" w:rsidR="00867FAF" w:rsidRPr="00867FAF" w:rsidRDefault="00867FAF" w:rsidP="003861F3">
            <w:pPr>
              <w:pStyle w:val="TableParagraph"/>
              <w:spacing w:before="0" w:after="120" w:line="242" w:lineRule="auto"/>
              <w:rPr>
                <w:rFonts w:ascii="Arial" w:hAnsi="Arial" w:cs="Arial"/>
                <w:sz w:val="20"/>
                <w:szCs w:val="20"/>
              </w:rPr>
            </w:pPr>
            <w:r w:rsidRPr="00867FAF">
              <w:rPr>
                <w:rFonts w:ascii="Arial" w:hAnsi="Arial" w:cs="Arial"/>
                <w:sz w:val="20"/>
                <w:szCs w:val="20"/>
              </w:rPr>
              <w:t>The identity and term ‘queer’ can be used in different ways and by different people.</w:t>
            </w:r>
            <w:r w:rsidRPr="00867FAF">
              <w:rPr>
                <w:rFonts w:ascii="Arial" w:hAnsi="Arial" w:cs="Arial"/>
                <w:spacing w:val="-6"/>
                <w:sz w:val="20"/>
                <w:szCs w:val="20"/>
              </w:rPr>
              <w:t xml:space="preserve"> </w:t>
            </w:r>
            <w:r w:rsidRPr="00867FAF">
              <w:rPr>
                <w:rFonts w:ascii="Arial" w:hAnsi="Arial" w:cs="Arial"/>
                <w:sz w:val="20"/>
                <w:szCs w:val="20"/>
              </w:rPr>
              <w:t>For</w:t>
            </w:r>
            <w:r w:rsidRPr="00867FAF">
              <w:rPr>
                <w:rFonts w:ascii="Arial" w:hAnsi="Arial" w:cs="Arial"/>
                <w:spacing w:val="-6"/>
                <w:sz w:val="20"/>
                <w:szCs w:val="20"/>
              </w:rPr>
              <w:t xml:space="preserve"> </w:t>
            </w:r>
            <w:r w:rsidRPr="00867FAF">
              <w:rPr>
                <w:rFonts w:ascii="Arial" w:hAnsi="Arial" w:cs="Arial"/>
                <w:sz w:val="20"/>
                <w:szCs w:val="20"/>
              </w:rPr>
              <w:t>some</w:t>
            </w:r>
            <w:r w:rsidRPr="00867FAF">
              <w:rPr>
                <w:rFonts w:ascii="Arial" w:hAnsi="Arial" w:cs="Arial"/>
                <w:spacing w:val="-6"/>
                <w:sz w:val="20"/>
                <w:szCs w:val="20"/>
              </w:rPr>
              <w:t xml:space="preserve"> </w:t>
            </w:r>
            <w:r w:rsidRPr="00867FAF">
              <w:rPr>
                <w:rFonts w:ascii="Arial" w:hAnsi="Arial" w:cs="Arial"/>
                <w:sz w:val="20"/>
                <w:szCs w:val="20"/>
              </w:rPr>
              <w:t>it</w:t>
            </w:r>
            <w:r w:rsidRPr="00867FAF">
              <w:rPr>
                <w:rFonts w:ascii="Arial" w:hAnsi="Arial" w:cs="Arial"/>
                <w:spacing w:val="-6"/>
                <w:sz w:val="20"/>
                <w:szCs w:val="20"/>
              </w:rPr>
              <w:t xml:space="preserve"> </w:t>
            </w:r>
            <w:r w:rsidRPr="00867FAF">
              <w:rPr>
                <w:rFonts w:ascii="Arial" w:hAnsi="Arial" w:cs="Arial"/>
                <w:sz w:val="20"/>
                <w:szCs w:val="20"/>
              </w:rPr>
              <w:t>is</w:t>
            </w:r>
            <w:r w:rsidRPr="00867FAF">
              <w:rPr>
                <w:rFonts w:ascii="Arial" w:hAnsi="Arial" w:cs="Arial"/>
                <w:spacing w:val="-6"/>
                <w:sz w:val="20"/>
                <w:szCs w:val="20"/>
              </w:rPr>
              <w:t xml:space="preserve"> </w:t>
            </w:r>
            <w:r w:rsidRPr="00867FAF">
              <w:rPr>
                <w:rFonts w:ascii="Arial" w:hAnsi="Arial" w:cs="Arial"/>
                <w:sz w:val="20"/>
                <w:szCs w:val="20"/>
              </w:rPr>
              <w:t>a</w:t>
            </w:r>
            <w:r w:rsidRPr="00867FAF">
              <w:rPr>
                <w:rFonts w:ascii="Arial" w:hAnsi="Arial" w:cs="Arial"/>
                <w:spacing w:val="-6"/>
                <w:sz w:val="20"/>
                <w:szCs w:val="20"/>
              </w:rPr>
              <w:t xml:space="preserve"> </w:t>
            </w:r>
            <w:r w:rsidRPr="00867FAF">
              <w:rPr>
                <w:rFonts w:ascii="Arial" w:hAnsi="Arial" w:cs="Arial"/>
                <w:sz w:val="20"/>
                <w:szCs w:val="20"/>
              </w:rPr>
              <w:t>reclaimed</w:t>
            </w:r>
            <w:r w:rsidRPr="00867FAF">
              <w:rPr>
                <w:rFonts w:ascii="Arial" w:hAnsi="Arial" w:cs="Arial"/>
                <w:spacing w:val="-6"/>
                <w:sz w:val="20"/>
                <w:szCs w:val="20"/>
              </w:rPr>
              <w:t xml:space="preserve"> </w:t>
            </w:r>
            <w:r w:rsidRPr="00867FAF">
              <w:rPr>
                <w:rFonts w:ascii="Arial" w:hAnsi="Arial" w:cs="Arial"/>
                <w:sz w:val="20"/>
                <w:szCs w:val="20"/>
              </w:rPr>
              <w:t>derogatory</w:t>
            </w:r>
            <w:r w:rsidRPr="00867FAF">
              <w:rPr>
                <w:rFonts w:ascii="Arial" w:hAnsi="Arial" w:cs="Arial"/>
                <w:spacing w:val="-6"/>
                <w:sz w:val="20"/>
                <w:szCs w:val="20"/>
              </w:rPr>
              <w:t xml:space="preserve"> </w:t>
            </w:r>
            <w:r w:rsidRPr="00867FAF">
              <w:rPr>
                <w:rFonts w:ascii="Arial" w:hAnsi="Arial" w:cs="Arial"/>
                <w:sz w:val="20"/>
                <w:szCs w:val="20"/>
              </w:rPr>
              <w:t>term</w:t>
            </w:r>
            <w:r w:rsidRPr="00867FAF">
              <w:rPr>
                <w:rFonts w:ascii="Arial" w:hAnsi="Arial" w:cs="Arial"/>
                <w:spacing w:val="-6"/>
                <w:sz w:val="20"/>
                <w:szCs w:val="20"/>
              </w:rPr>
              <w:t xml:space="preserve"> </w:t>
            </w:r>
            <w:r w:rsidRPr="00867FAF">
              <w:rPr>
                <w:rFonts w:ascii="Arial" w:hAnsi="Arial" w:cs="Arial"/>
                <w:sz w:val="20"/>
                <w:szCs w:val="20"/>
              </w:rPr>
              <w:t>and</w:t>
            </w:r>
            <w:r w:rsidRPr="00867FAF">
              <w:rPr>
                <w:rFonts w:ascii="Arial" w:hAnsi="Arial" w:cs="Arial"/>
                <w:spacing w:val="-6"/>
                <w:sz w:val="20"/>
                <w:szCs w:val="20"/>
              </w:rPr>
              <w:t xml:space="preserve"> </w:t>
            </w:r>
            <w:r w:rsidRPr="00867FAF">
              <w:rPr>
                <w:rFonts w:ascii="Arial" w:hAnsi="Arial" w:cs="Arial"/>
                <w:sz w:val="20"/>
                <w:szCs w:val="20"/>
              </w:rPr>
              <w:t>a</w:t>
            </w:r>
            <w:r w:rsidRPr="00867FAF">
              <w:rPr>
                <w:rFonts w:ascii="Arial" w:hAnsi="Arial" w:cs="Arial"/>
                <w:spacing w:val="-6"/>
                <w:sz w:val="20"/>
                <w:szCs w:val="20"/>
              </w:rPr>
              <w:t xml:space="preserve"> </w:t>
            </w:r>
            <w:r w:rsidRPr="00867FAF">
              <w:rPr>
                <w:rFonts w:ascii="Arial" w:hAnsi="Arial" w:cs="Arial"/>
                <w:sz w:val="20"/>
                <w:szCs w:val="20"/>
              </w:rPr>
              <w:t>political</w:t>
            </w:r>
            <w:r w:rsidRPr="00867FAF">
              <w:rPr>
                <w:rFonts w:ascii="Arial" w:hAnsi="Arial" w:cs="Arial"/>
                <w:spacing w:val="-6"/>
                <w:sz w:val="20"/>
                <w:szCs w:val="20"/>
              </w:rPr>
              <w:t xml:space="preserve"> </w:t>
            </w:r>
            <w:r w:rsidRPr="00867FAF">
              <w:rPr>
                <w:rFonts w:ascii="Arial" w:hAnsi="Arial" w:cs="Arial"/>
                <w:sz w:val="20"/>
                <w:szCs w:val="20"/>
              </w:rPr>
              <w:t>movement</w:t>
            </w:r>
            <w:r w:rsidRPr="00867FAF">
              <w:rPr>
                <w:rFonts w:ascii="Arial" w:hAnsi="Arial" w:cs="Arial"/>
                <w:spacing w:val="-6"/>
                <w:sz w:val="20"/>
                <w:szCs w:val="20"/>
              </w:rPr>
              <w:t xml:space="preserve"> </w:t>
            </w:r>
            <w:r w:rsidRPr="00867FAF">
              <w:rPr>
                <w:rFonts w:ascii="Arial" w:hAnsi="Arial" w:cs="Arial"/>
                <w:sz w:val="20"/>
                <w:szCs w:val="20"/>
              </w:rPr>
              <w:t>that celebrates difference.</w:t>
            </w:r>
          </w:p>
          <w:p w14:paraId="11C8C8AD" w14:textId="77777777" w:rsidR="00867FAF" w:rsidRPr="00867FAF" w:rsidRDefault="00867FAF" w:rsidP="003861F3">
            <w:pPr>
              <w:pStyle w:val="TableParagraph"/>
              <w:spacing w:before="0" w:after="120" w:line="242" w:lineRule="auto"/>
              <w:rPr>
                <w:rFonts w:ascii="Arial" w:hAnsi="Arial" w:cs="Arial"/>
                <w:sz w:val="20"/>
                <w:szCs w:val="20"/>
              </w:rPr>
            </w:pPr>
            <w:r w:rsidRPr="00867FAF">
              <w:rPr>
                <w:rFonts w:ascii="Arial" w:hAnsi="Arial" w:cs="Arial"/>
                <w:sz w:val="20"/>
                <w:szCs w:val="20"/>
              </w:rPr>
              <w:t>The term ‘queer’ is a politicised term and often used as a reaction against pressures to be cisgender and heterosexual. It can also be used against</w:t>
            </w:r>
            <w:r w:rsidRPr="00867FAF">
              <w:rPr>
                <w:rFonts w:ascii="Arial" w:hAnsi="Arial" w:cs="Arial"/>
                <w:spacing w:val="40"/>
                <w:sz w:val="20"/>
                <w:szCs w:val="20"/>
              </w:rPr>
              <w:t xml:space="preserve"> </w:t>
            </w:r>
            <w:r w:rsidRPr="00867FAF">
              <w:rPr>
                <w:rFonts w:ascii="Arial" w:hAnsi="Arial" w:cs="Arial"/>
                <w:sz w:val="20"/>
                <w:szCs w:val="20"/>
              </w:rPr>
              <w:t>non-heterosexuals, intersex and trans people, based on the belief that they should express themselves only in ways acceptable to the cisgender heterosexual mainstream.</w:t>
            </w:r>
          </w:p>
          <w:p w14:paraId="1ED8D7E6" w14:textId="5EC75968" w:rsidR="00867FAF" w:rsidRPr="00A820CC" w:rsidRDefault="00867FAF" w:rsidP="003861F3">
            <w:pPr>
              <w:pStyle w:val="TableParagraph"/>
              <w:spacing w:before="0" w:after="120" w:line="242" w:lineRule="auto"/>
              <w:rPr>
                <w:rFonts w:ascii="Arial" w:hAnsi="Arial" w:cs="Arial"/>
              </w:rPr>
            </w:pPr>
            <w:r w:rsidRPr="00867FAF">
              <w:rPr>
                <w:rFonts w:ascii="Arial" w:hAnsi="Arial" w:cs="Arial"/>
                <w:sz w:val="20"/>
                <w:szCs w:val="20"/>
              </w:rPr>
              <w:t>For</w:t>
            </w:r>
            <w:r w:rsidRPr="00867FAF">
              <w:rPr>
                <w:rFonts w:ascii="Arial" w:hAnsi="Arial" w:cs="Arial"/>
                <w:spacing w:val="-7"/>
                <w:sz w:val="20"/>
                <w:szCs w:val="20"/>
              </w:rPr>
              <w:t xml:space="preserve"> </w:t>
            </w:r>
            <w:r w:rsidRPr="00867FAF">
              <w:rPr>
                <w:rFonts w:ascii="Arial" w:hAnsi="Arial" w:cs="Arial"/>
                <w:sz w:val="20"/>
                <w:szCs w:val="20"/>
              </w:rPr>
              <w:t>others,</w:t>
            </w:r>
            <w:r w:rsidRPr="00867FAF">
              <w:rPr>
                <w:rFonts w:ascii="Arial" w:hAnsi="Arial" w:cs="Arial"/>
                <w:spacing w:val="-7"/>
                <w:sz w:val="20"/>
                <w:szCs w:val="20"/>
              </w:rPr>
              <w:t xml:space="preserve"> </w:t>
            </w:r>
            <w:r w:rsidRPr="00867FAF">
              <w:rPr>
                <w:rFonts w:ascii="Arial" w:hAnsi="Arial" w:cs="Arial"/>
                <w:sz w:val="20"/>
                <w:szCs w:val="20"/>
              </w:rPr>
              <w:t>or</w:t>
            </w:r>
            <w:r w:rsidRPr="00867FAF">
              <w:rPr>
                <w:rFonts w:ascii="Arial" w:hAnsi="Arial" w:cs="Arial"/>
                <w:spacing w:val="-7"/>
                <w:sz w:val="20"/>
                <w:szCs w:val="20"/>
              </w:rPr>
              <w:t xml:space="preserve"> </w:t>
            </w:r>
            <w:r w:rsidRPr="00867FAF">
              <w:rPr>
                <w:rFonts w:ascii="Arial" w:hAnsi="Arial" w:cs="Arial"/>
                <w:sz w:val="20"/>
                <w:szCs w:val="20"/>
              </w:rPr>
              <w:t>in</w:t>
            </w:r>
            <w:r w:rsidRPr="00867FAF">
              <w:rPr>
                <w:rFonts w:ascii="Arial" w:hAnsi="Arial" w:cs="Arial"/>
                <w:spacing w:val="-7"/>
                <w:sz w:val="20"/>
                <w:szCs w:val="20"/>
              </w:rPr>
              <w:t xml:space="preserve"> </w:t>
            </w:r>
            <w:r w:rsidRPr="00867FAF">
              <w:rPr>
                <w:rFonts w:ascii="Arial" w:hAnsi="Arial" w:cs="Arial"/>
                <w:sz w:val="20"/>
                <w:szCs w:val="20"/>
              </w:rPr>
              <w:t>other</w:t>
            </w:r>
            <w:r w:rsidRPr="00867FAF">
              <w:rPr>
                <w:rFonts w:ascii="Arial" w:hAnsi="Arial" w:cs="Arial"/>
                <w:spacing w:val="-7"/>
                <w:sz w:val="20"/>
                <w:szCs w:val="20"/>
              </w:rPr>
              <w:t xml:space="preserve"> </w:t>
            </w:r>
            <w:r w:rsidRPr="00867FAF">
              <w:rPr>
                <w:rFonts w:ascii="Arial" w:hAnsi="Arial" w:cs="Arial"/>
                <w:sz w:val="20"/>
                <w:szCs w:val="20"/>
              </w:rPr>
              <w:t>circumstances,</w:t>
            </w:r>
            <w:r w:rsidRPr="00867FAF">
              <w:rPr>
                <w:rFonts w:ascii="Arial" w:hAnsi="Arial" w:cs="Arial"/>
                <w:spacing w:val="-7"/>
                <w:sz w:val="20"/>
                <w:szCs w:val="20"/>
              </w:rPr>
              <w:t xml:space="preserve"> </w:t>
            </w:r>
            <w:r w:rsidRPr="00867FAF">
              <w:rPr>
                <w:rFonts w:ascii="Arial" w:hAnsi="Arial" w:cs="Arial"/>
                <w:sz w:val="20"/>
                <w:szCs w:val="20"/>
              </w:rPr>
              <w:t>it</w:t>
            </w:r>
            <w:r w:rsidRPr="00867FAF">
              <w:rPr>
                <w:rFonts w:ascii="Arial" w:hAnsi="Arial" w:cs="Arial"/>
                <w:spacing w:val="-7"/>
                <w:sz w:val="20"/>
                <w:szCs w:val="20"/>
              </w:rPr>
              <w:t xml:space="preserve"> </w:t>
            </w:r>
            <w:r w:rsidRPr="00867FAF">
              <w:rPr>
                <w:rFonts w:ascii="Arial" w:hAnsi="Arial" w:cs="Arial"/>
                <w:sz w:val="20"/>
                <w:szCs w:val="20"/>
              </w:rPr>
              <w:t>is</w:t>
            </w:r>
            <w:r w:rsidRPr="00867FAF">
              <w:rPr>
                <w:rFonts w:ascii="Arial" w:hAnsi="Arial" w:cs="Arial"/>
                <w:spacing w:val="-7"/>
                <w:sz w:val="20"/>
                <w:szCs w:val="20"/>
              </w:rPr>
              <w:t xml:space="preserve"> </w:t>
            </w:r>
            <w:r w:rsidRPr="00867FAF">
              <w:rPr>
                <w:rFonts w:ascii="Arial" w:hAnsi="Arial" w:cs="Arial"/>
                <w:sz w:val="20"/>
                <w:szCs w:val="20"/>
              </w:rPr>
              <w:t>used</w:t>
            </w:r>
            <w:r w:rsidRPr="00867FAF">
              <w:rPr>
                <w:rFonts w:ascii="Arial" w:hAnsi="Arial" w:cs="Arial"/>
                <w:spacing w:val="-7"/>
                <w:sz w:val="20"/>
                <w:szCs w:val="20"/>
              </w:rPr>
              <w:t xml:space="preserve"> </w:t>
            </w:r>
            <w:r w:rsidRPr="00867FAF">
              <w:rPr>
                <w:rFonts w:ascii="Arial" w:hAnsi="Arial" w:cs="Arial"/>
                <w:sz w:val="20"/>
                <w:szCs w:val="20"/>
              </w:rPr>
              <w:t>as</w:t>
            </w:r>
            <w:r w:rsidRPr="00867FAF">
              <w:rPr>
                <w:rFonts w:ascii="Arial" w:hAnsi="Arial" w:cs="Arial"/>
                <w:spacing w:val="-7"/>
                <w:sz w:val="20"/>
                <w:szCs w:val="20"/>
              </w:rPr>
              <w:t xml:space="preserve"> </w:t>
            </w:r>
            <w:r w:rsidRPr="00867FAF">
              <w:rPr>
                <w:rFonts w:ascii="Arial" w:hAnsi="Arial" w:cs="Arial"/>
                <w:sz w:val="20"/>
                <w:szCs w:val="20"/>
              </w:rPr>
              <w:t>an</w:t>
            </w:r>
            <w:r w:rsidRPr="00867FAF">
              <w:rPr>
                <w:rFonts w:ascii="Arial" w:hAnsi="Arial" w:cs="Arial"/>
                <w:spacing w:val="-7"/>
                <w:sz w:val="20"/>
                <w:szCs w:val="20"/>
              </w:rPr>
              <w:t xml:space="preserve"> </w:t>
            </w:r>
            <w:r w:rsidRPr="00867FAF">
              <w:rPr>
                <w:rFonts w:ascii="Arial" w:hAnsi="Arial" w:cs="Arial"/>
                <w:sz w:val="20"/>
                <w:szCs w:val="20"/>
              </w:rPr>
              <w:t>umbrella</w:t>
            </w:r>
            <w:r w:rsidRPr="00867FAF">
              <w:rPr>
                <w:rFonts w:ascii="Arial" w:hAnsi="Arial" w:cs="Arial"/>
                <w:spacing w:val="-7"/>
                <w:sz w:val="20"/>
                <w:szCs w:val="20"/>
              </w:rPr>
              <w:t xml:space="preserve"> </w:t>
            </w:r>
            <w:r w:rsidRPr="00867FAF">
              <w:rPr>
                <w:rFonts w:ascii="Arial" w:hAnsi="Arial" w:cs="Arial"/>
                <w:sz w:val="20"/>
                <w:szCs w:val="20"/>
              </w:rPr>
              <w:t>term</w:t>
            </w:r>
            <w:r w:rsidRPr="00867FAF">
              <w:rPr>
                <w:rFonts w:ascii="Arial" w:hAnsi="Arial" w:cs="Arial"/>
                <w:spacing w:val="-7"/>
                <w:sz w:val="20"/>
                <w:szCs w:val="20"/>
              </w:rPr>
              <w:t xml:space="preserve"> </w:t>
            </w:r>
            <w:r w:rsidRPr="00867FAF">
              <w:rPr>
                <w:rFonts w:ascii="Arial" w:hAnsi="Arial" w:cs="Arial"/>
                <w:sz w:val="20"/>
                <w:szCs w:val="20"/>
              </w:rPr>
              <w:t>to</w:t>
            </w:r>
            <w:r w:rsidRPr="00867FAF">
              <w:rPr>
                <w:rFonts w:ascii="Arial" w:hAnsi="Arial" w:cs="Arial"/>
                <w:spacing w:val="-7"/>
                <w:sz w:val="20"/>
                <w:szCs w:val="20"/>
              </w:rPr>
              <w:t xml:space="preserve"> </w:t>
            </w:r>
            <w:r w:rsidRPr="00867FAF">
              <w:rPr>
                <w:rFonts w:ascii="Arial" w:hAnsi="Arial" w:cs="Arial"/>
                <w:sz w:val="20"/>
                <w:szCs w:val="20"/>
              </w:rPr>
              <w:t>be</w:t>
            </w:r>
            <w:r w:rsidRPr="00867FAF">
              <w:rPr>
                <w:rFonts w:ascii="Arial" w:hAnsi="Arial" w:cs="Arial"/>
                <w:spacing w:val="-7"/>
                <w:sz w:val="20"/>
                <w:szCs w:val="20"/>
              </w:rPr>
              <w:t xml:space="preserve"> </w:t>
            </w:r>
            <w:r w:rsidRPr="00867FAF">
              <w:rPr>
                <w:rFonts w:ascii="Arial" w:hAnsi="Arial" w:cs="Arial"/>
                <w:sz w:val="20"/>
                <w:szCs w:val="20"/>
              </w:rPr>
              <w:t>inclusive of anyone whose gender and/or sexual identity does not fit within the norm.</w:t>
            </w:r>
            <w:r w:rsidRPr="00867FAF">
              <w:rPr>
                <w:rStyle w:val="EndnoteReference"/>
                <w:rFonts w:ascii="Arial" w:hAnsi="Arial" w:cs="Arial"/>
                <w:sz w:val="20"/>
                <w:szCs w:val="20"/>
              </w:rPr>
              <w:endnoteReference w:id="62"/>
            </w:r>
          </w:p>
        </w:tc>
      </w:tr>
      <w:tr w:rsidR="00867FAF" w:rsidRPr="000057CB" w14:paraId="0068CE88" w14:textId="77777777" w:rsidTr="005E0A16">
        <w:tc>
          <w:tcPr>
            <w:tcW w:w="1033" w:type="pct"/>
            <w:tcBorders>
              <w:top w:val="single" w:sz="4" w:space="0" w:color="000000" w:themeColor="text1"/>
              <w:bottom w:val="single" w:sz="4" w:space="0" w:color="000000" w:themeColor="text1"/>
            </w:tcBorders>
          </w:tcPr>
          <w:p w14:paraId="4D9D986E" w14:textId="2C54EC1D" w:rsidR="00867FAF" w:rsidRPr="00867FAF" w:rsidRDefault="00867FAF" w:rsidP="003861F3">
            <w:pPr>
              <w:pStyle w:val="TableParagraph"/>
              <w:spacing w:before="0" w:after="120"/>
              <w:rPr>
                <w:rFonts w:ascii="Arial" w:hAnsi="Arial" w:cs="Arial"/>
                <w:spacing w:val="-2"/>
              </w:rPr>
            </w:pPr>
            <w:r w:rsidRPr="00867FAF">
              <w:rPr>
                <w:rFonts w:ascii="Arial" w:hAnsi="Arial" w:cs="Arial"/>
                <w:spacing w:val="-2"/>
                <w:sz w:val="20"/>
                <w:szCs w:val="20"/>
              </w:rPr>
              <w:t>Respectful relationships</w:t>
            </w:r>
          </w:p>
        </w:tc>
        <w:tc>
          <w:tcPr>
            <w:tcW w:w="3967" w:type="pct"/>
            <w:tcBorders>
              <w:top w:val="single" w:sz="4" w:space="0" w:color="000000" w:themeColor="text1"/>
              <w:bottom w:val="single" w:sz="4" w:space="0" w:color="000000" w:themeColor="text1"/>
            </w:tcBorders>
          </w:tcPr>
          <w:p w14:paraId="31ED8735" w14:textId="50F2EB74" w:rsidR="00867FAF" w:rsidRPr="00A820CC" w:rsidRDefault="00867FAF" w:rsidP="003861F3">
            <w:pPr>
              <w:pStyle w:val="TableParagraph"/>
              <w:spacing w:before="0" w:after="120" w:line="242" w:lineRule="auto"/>
              <w:rPr>
                <w:rFonts w:ascii="Arial" w:hAnsi="Arial" w:cs="Arial"/>
              </w:rPr>
            </w:pPr>
            <w:r w:rsidRPr="00867FAF">
              <w:rPr>
                <w:rFonts w:ascii="Arial" w:hAnsi="Arial" w:cs="Arial"/>
                <w:sz w:val="20"/>
                <w:szCs w:val="20"/>
              </w:rPr>
              <w:t>Refers to relationships among intimate, romantic, or dating partners that are characterised</w:t>
            </w:r>
            <w:r w:rsidRPr="00867FAF">
              <w:rPr>
                <w:rFonts w:ascii="Arial" w:hAnsi="Arial" w:cs="Arial"/>
                <w:spacing w:val="-13"/>
                <w:sz w:val="20"/>
                <w:szCs w:val="20"/>
              </w:rPr>
              <w:t xml:space="preserve"> </w:t>
            </w:r>
            <w:r w:rsidRPr="00867FAF">
              <w:rPr>
                <w:rFonts w:ascii="Arial" w:hAnsi="Arial" w:cs="Arial"/>
                <w:sz w:val="20"/>
                <w:szCs w:val="20"/>
              </w:rPr>
              <w:t>by</w:t>
            </w:r>
            <w:r w:rsidRPr="00867FAF">
              <w:rPr>
                <w:rFonts w:ascii="Arial" w:hAnsi="Arial" w:cs="Arial"/>
                <w:spacing w:val="-12"/>
                <w:sz w:val="20"/>
                <w:szCs w:val="20"/>
              </w:rPr>
              <w:t xml:space="preserve"> </w:t>
            </w:r>
            <w:r w:rsidRPr="00867FAF">
              <w:rPr>
                <w:rFonts w:ascii="Arial" w:hAnsi="Arial" w:cs="Arial"/>
                <w:sz w:val="20"/>
                <w:szCs w:val="20"/>
              </w:rPr>
              <w:t>non-violence,</w:t>
            </w:r>
            <w:r w:rsidRPr="00867FAF">
              <w:rPr>
                <w:rFonts w:ascii="Arial" w:hAnsi="Arial" w:cs="Arial"/>
                <w:spacing w:val="-13"/>
                <w:sz w:val="20"/>
                <w:szCs w:val="20"/>
              </w:rPr>
              <w:t xml:space="preserve"> </w:t>
            </w:r>
            <w:r w:rsidRPr="00867FAF">
              <w:rPr>
                <w:rFonts w:ascii="Arial" w:hAnsi="Arial" w:cs="Arial"/>
                <w:sz w:val="20"/>
                <w:szCs w:val="20"/>
              </w:rPr>
              <w:t>equality,</w:t>
            </w:r>
            <w:r w:rsidRPr="00867FAF">
              <w:rPr>
                <w:rFonts w:ascii="Arial" w:hAnsi="Arial" w:cs="Arial"/>
                <w:spacing w:val="-12"/>
                <w:sz w:val="20"/>
                <w:szCs w:val="20"/>
              </w:rPr>
              <w:t xml:space="preserve"> </w:t>
            </w:r>
            <w:r w:rsidRPr="00867FAF">
              <w:rPr>
                <w:rFonts w:ascii="Arial" w:hAnsi="Arial" w:cs="Arial"/>
                <w:sz w:val="20"/>
                <w:szCs w:val="20"/>
              </w:rPr>
              <w:t>mutual</w:t>
            </w:r>
            <w:r w:rsidRPr="00867FAF">
              <w:rPr>
                <w:rFonts w:ascii="Arial" w:hAnsi="Arial" w:cs="Arial"/>
                <w:spacing w:val="-13"/>
                <w:sz w:val="20"/>
                <w:szCs w:val="20"/>
              </w:rPr>
              <w:t xml:space="preserve"> </w:t>
            </w:r>
            <w:r w:rsidRPr="00867FAF">
              <w:rPr>
                <w:rFonts w:ascii="Arial" w:hAnsi="Arial" w:cs="Arial"/>
                <w:sz w:val="20"/>
                <w:szCs w:val="20"/>
              </w:rPr>
              <w:t>respect,</w:t>
            </w:r>
            <w:r w:rsidRPr="00867FAF">
              <w:rPr>
                <w:rFonts w:ascii="Arial" w:hAnsi="Arial" w:cs="Arial"/>
                <w:spacing w:val="-12"/>
                <w:sz w:val="20"/>
                <w:szCs w:val="20"/>
              </w:rPr>
              <w:t xml:space="preserve"> </w:t>
            </w:r>
            <w:r w:rsidRPr="00867FAF">
              <w:rPr>
                <w:rFonts w:ascii="Arial" w:hAnsi="Arial" w:cs="Arial"/>
                <w:sz w:val="20"/>
                <w:szCs w:val="20"/>
              </w:rPr>
              <w:t>consideration</w:t>
            </w:r>
            <w:r w:rsidRPr="00867FAF">
              <w:rPr>
                <w:rFonts w:ascii="Arial" w:hAnsi="Arial" w:cs="Arial"/>
                <w:spacing w:val="-13"/>
                <w:sz w:val="20"/>
                <w:szCs w:val="20"/>
              </w:rPr>
              <w:t xml:space="preserve"> </w:t>
            </w:r>
            <w:r w:rsidRPr="00867FAF">
              <w:rPr>
                <w:rFonts w:ascii="Arial" w:hAnsi="Arial" w:cs="Arial"/>
                <w:sz w:val="20"/>
                <w:szCs w:val="20"/>
              </w:rPr>
              <w:t>and</w:t>
            </w:r>
            <w:r w:rsidRPr="00867FAF">
              <w:rPr>
                <w:rFonts w:ascii="Arial" w:hAnsi="Arial" w:cs="Arial"/>
                <w:spacing w:val="-12"/>
                <w:sz w:val="20"/>
                <w:szCs w:val="20"/>
              </w:rPr>
              <w:t xml:space="preserve"> </w:t>
            </w:r>
            <w:r w:rsidRPr="00867FAF">
              <w:rPr>
                <w:rFonts w:ascii="Arial" w:hAnsi="Arial" w:cs="Arial"/>
                <w:sz w:val="20"/>
                <w:szCs w:val="20"/>
              </w:rPr>
              <w:t>trust.</w:t>
            </w:r>
            <w:r w:rsidRPr="00867FAF">
              <w:rPr>
                <w:rStyle w:val="EndnoteReference"/>
                <w:rFonts w:ascii="Arial" w:hAnsi="Arial" w:cs="Arial"/>
                <w:sz w:val="20"/>
                <w:szCs w:val="20"/>
              </w:rPr>
              <w:endnoteReference w:id="63"/>
            </w:r>
          </w:p>
        </w:tc>
      </w:tr>
      <w:tr w:rsidR="00867FAF" w:rsidRPr="000057CB" w14:paraId="7C6ACEAD" w14:textId="77777777" w:rsidTr="005E0A16">
        <w:tc>
          <w:tcPr>
            <w:tcW w:w="1033" w:type="pct"/>
            <w:tcBorders>
              <w:top w:val="single" w:sz="4" w:space="0" w:color="000000" w:themeColor="text1"/>
              <w:bottom w:val="single" w:sz="4" w:space="0" w:color="000000" w:themeColor="text1"/>
            </w:tcBorders>
          </w:tcPr>
          <w:p w14:paraId="082893FB" w14:textId="382DF3E2" w:rsidR="00867FAF" w:rsidRPr="00867FAF" w:rsidRDefault="00867FAF" w:rsidP="003861F3">
            <w:pPr>
              <w:pStyle w:val="TableParagraph"/>
              <w:spacing w:before="0" w:after="120" w:line="242" w:lineRule="auto"/>
              <w:rPr>
                <w:rFonts w:ascii="Arial" w:hAnsi="Arial" w:cs="Arial"/>
                <w:spacing w:val="-2"/>
              </w:rPr>
            </w:pPr>
            <w:r w:rsidRPr="00867FAF">
              <w:rPr>
                <w:rFonts w:ascii="Arial" w:hAnsi="Arial" w:cs="Arial"/>
                <w:spacing w:val="-2"/>
                <w:sz w:val="20"/>
                <w:szCs w:val="20"/>
              </w:rPr>
              <w:lastRenderedPageBreak/>
              <w:t>Respectful Relationships Education</w:t>
            </w:r>
          </w:p>
        </w:tc>
        <w:tc>
          <w:tcPr>
            <w:tcW w:w="3967" w:type="pct"/>
            <w:tcBorders>
              <w:top w:val="single" w:sz="4" w:space="0" w:color="000000" w:themeColor="text1"/>
              <w:bottom w:val="single" w:sz="4" w:space="0" w:color="000000" w:themeColor="text1"/>
            </w:tcBorders>
          </w:tcPr>
          <w:p w14:paraId="17C1AF32" w14:textId="2DA6AB92" w:rsidR="00867FAF" w:rsidRPr="00A820CC" w:rsidRDefault="00867FAF" w:rsidP="003861F3">
            <w:pPr>
              <w:pStyle w:val="TableParagraph"/>
              <w:spacing w:before="0" w:after="120" w:line="242" w:lineRule="auto"/>
              <w:rPr>
                <w:rFonts w:ascii="Arial" w:hAnsi="Arial" w:cs="Arial"/>
              </w:rPr>
            </w:pPr>
            <w:r w:rsidRPr="00867FAF">
              <w:rPr>
                <w:rFonts w:ascii="Arial" w:hAnsi="Arial" w:cs="Arial"/>
                <w:sz w:val="20"/>
                <w:szCs w:val="20"/>
              </w:rPr>
              <w:t>The holistic approach to school-based, primary prevention of healing-informed gender-based violence.</w:t>
            </w:r>
            <w:r w:rsidRPr="00867FAF">
              <w:rPr>
                <w:rStyle w:val="EndnoteReference"/>
                <w:rFonts w:ascii="Arial" w:hAnsi="Arial" w:cs="Arial"/>
                <w:sz w:val="20"/>
                <w:szCs w:val="20"/>
              </w:rPr>
              <w:endnoteReference w:id="64"/>
            </w:r>
          </w:p>
        </w:tc>
      </w:tr>
      <w:tr w:rsidR="00867FAF" w:rsidRPr="000057CB" w14:paraId="25A1360A" w14:textId="77777777" w:rsidTr="005E0A16">
        <w:tc>
          <w:tcPr>
            <w:tcW w:w="1033" w:type="pct"/>
            <w:tcBorders>
              <w:top w:val="single" w:sz="4" w:space="0" w:color="000000" w:themeColor="text1"/>
              <w:bottom w:val="single" w:sz="4" w:space="0" w:color="000000" w:themeColor="text1"/>
            </w:tcBorders>
          </w:tcPr>
          <w:p w14:paraId="2B012DFA" w14:textId="12FCF288" w:rsidR="00867FAF" w:rsidRPr="00867FAF" w:rsidRDefault="00867FAF" w:rsidP="003861F3">
            <w:pPr>
              <w:pStyle w:val="TableParagraph"/>
              <w:spacing w:before="0" w:after="120"/>
              <w:rPr>
                <w:rFonts w:ascii="Arial" w:hAnsi="Arial" w:cs="Arial"/>
                <w:spacing w:val="-2"/>
              </w:rPr>
            </w:pPr>
            <w:r w:rsidRPr="00867FAF">
              <w:rPr>
                <w:rFonts w:ascii="Arial" w:hAnsi="Arial" w:cs="Arial"/>
                <w:spacing w:val="-2"/>
                <w:sz w:val="20"/>
                <w:szCs w:val="20"/>
              </w:rPr>
              <w:t>Seclusion</w:t>
            </w:r>
          </w:p>
        </w:tc>
        <w:tc>
          <w:tcPr>
            <w:tcW w:w="3967" w:type="pct"/>
            <w:tcBorders>
              <w:top w:val="single" w:sz="4" w:space="0" w:color="000000" w:themeColor="text1"/>
              <w:bottom w:val="single" w:sz="4" w:space="0" w:color="000000" w:themeColor="text1"/>
            </w:tcBorders>
          </w:tcPr>
          <w:p w14:paraId="674D902F" w14:textId="0CF109AD" w:rsidR="00867FAF" w:rsidRPr="00A820CC" w:rsidRDefault="00867FAF" w:rsidP="003861F3">
            <w:pPr>
              <w:pStyle w:val="TableParagraph"/>
              <w:spacing w:before="0" w:after="120" w:line="242" w:lineRule="auto"/>
              <w:rPr>
                <w:rFonts w:ascii="Arial" w:hAnsi="Arial" w:cs="Arial"/>
              </w:rPr>
            </w:pPr>
            <w:r w:rsidRPr="00867FAF">
              <w:rPr>
                <w:rFonts w:ascii="Arial" w:hAnsi="Arial" w:cs="Arial"/>
                <w:sz w:val="20"/>
                <w:szCs w:val="20"/>
              </w:rPr>
              <w:t>Defined as isolating a person in a confined space where they are alone and unable to freely leave.</w:t>
            </w:r>
            <w:r w:rsidRPr="00867FAF">
              <w:rPr>
                <w:rStyle w:val="EndnoteReference"/>
                <w:rFonts w:ascii="Arial" w:hAnsi="Arial" w:cs="Arial"/>
                <w:sz w:val="20"/>
                <w:szCs w:val="20"/>
              </w:rPr>
              <w:endnoteReference w:id="65"/>
            </w:r>
          </w:p>
        </w:tc>
      </w:tr>
      <w:tr w:rsidR="00B74C5A" w:rsidRPr="000057CB" w14:paraId="357FB53C" w14:textId="77777777" w:rsidTr="005E0A16">
        <w:tc>
          <w:tcPr>
            <w:tcW w:w="1033" w:type="pct"/>
            <w:tcBorders>
              <w:top w:val="single" w:sz="4" w:space="0" w:color="000000" w:themeColor="text1"/>
              <w:bottom w:val="single" w:sz="4" w:space="0" w:color="000000" w:themeColor="text1"/>
            </w:tcBorders>
          </w:tcPr>
          <w:p w14:paraId="4A00C736" w14:textId="464478AA" w:rsidR="00B74C5A" w:rsidRPr="00867FAF" w:rsidRDefault="00B74C5A" w:rsidP="003861F3">
            <w:pPr>
              <w:pStyle w:val="TableParagraph"/>
              <w:spacing w:before="0" w:after="120"/>
              <w:rPr>
                <w:rFonts w:ascii="Arial" w:hAnsi="Arial" w:cs="Arial"/>
                <w:spacing w:val="-2"/>
              </w:rPr>
            </w:pPr>
            <w:r w:rsidRPr="00867FAF">
              <w:rPr>
                <w:rFonts w:ascii="Arial" w:hAnsi="Arial" w:cs="Arial"/>
                <w:spacing w:val="-2"/>
                <w:sz w:val="20"/>
                <w:szCs w:val="20"/>
              </w:rPr>
              <w:t>Settings</w:t>
            </w:r>
          </w:p>
        </w:tc>
        <w:tc>
          <w:tcPr>
            <w:tcW w:w="3967" w:type="pct"/>
            <w:tcBorders>
              <w:top w:val="single" w:sz="4" w:space="0" w:color="000000" w:themeColor="text1"/>
              <w:bottom w:val="single" w:sz="4" w:space="0" w:color="000000" w:themeColor="text1"/>
            </w:tcBorders>
          </w:tcPr>
          <w:p w14:paraId="1AE74646" w14:textId="00E40540" w:rsidR="00B74C5A" w:rsidRPr="00A820CC" w:rsidRDefault="00B74C5A" w:rsidP="003861F3">
            <w:pPr>
              <w:pStyle w:val="TableParagraph"/>
              <w:spacing w:before="0" w:after="120" w:line="242" w:lineRule="auto"/>
              <w:rPr>
                <w:rFonts w:ascii="Arial" w:hAnsi="Arial" w:cs="Arial"/>
              </w:rPr>
            </w:pPr>
            <w:r w:rsidRPr="00867FAF">
              <w:rPr>
                <w:rFonts w:ascii="Arial" w:hAnsi="Arial" w:cs="Arial"/>
                <w:sz w:val="20"/>
                <w:szCs w:val="20"/>
              </w:rPr>
              <w:t>Environments</w:t>
            </w:r>
            <w:r w:rsidRPr="00867FAF">
              <w:rPr>
                <w:rFonts w:ascii="Arial" w:hAnsi="Arial" w:cs="Arial"/>
                <w:spacing w:val="6"/>
                <w:sz w:val="20"/>
                <w:szCs w:val="20"/>
              </w:rPr>
              <w:t xml:space="preserve"> </w:t>
            </w:r>
            <w:r w:rsidRPr="00867FAF">
              <w:rPr>
                <w:rFonts w:ascii="Arial" w:hAnsi="Arial" w:cs="Arial"/>
                <w:sz w:val="20"/>
                <w:szCs w:val="20"/>
              </w:rPr>
              <w:t>in</w:t>
            </w:r>
            <w:r w:rsidRPr="00867FAF">
              <w:rPr>
                <w:rFonts w:ascii="Arial" w:hAnsi="Arial" w:cs="Arial"/>
                <w:spacing w:val="7"/>
                <w:sz w:val="20"/>
                <w:szCs w:val="20"/>
              </w:rPr>
              <w:t xml:space="preserve"> </w:t>
            </w:r>
            <w:r w:rsidRPr="00867FAF">
              <w:rPr>
                <w:rFonts w:ascii="Arial" w:hAnsi="Arial" w:cs="Arial"/>
                <w:sz w:val="20"/>
                <w:szCs w:val="20"/>
              </w:rPr>
              <w:t>which</w:t>
            </w:r>
            <w:r w:rsidRPr="00867FAF">
              <w:rPr>
                <w:rFonts w:ascii="Arial" w:hAnsi="Arial" w:cs="Arial"/>
                <w:spacing w:val="7"/>
                <w:sz w:val="20"/>
                <w:szCs w:val="20"/>
              </w:rPr>
              <w:t xml:space="preserve"> </w:t>
            </w:r>
            <w:r w:rsidRPr="00867FAF">
              <w:rPr>
                <w:rFonts w:ascii="Arial" w:hAnsi="Arial" w:cs="Arial"/>
                <w:sz w:val="20"/>
                <w:szCs w:val="20"/>
              </w:rPr>
              <w:t>people</w:t>
            </w:r>
            <w:r w:rsidRPr="00867FAF">
              <w:rPr>
                <w:rFonts w:ascii="Arial" w:hAnsi="Arial" w:cs="Arial"/>
                <w:spacing w:val="6"/>
                <w:sz w:val="20"/>
                <w:szCs w:val="20"/>
              </w:rPr>
              <w:t xml:space="preserve"> </w:t>
            </w:r>
            <w:r w:rsidRPr="00867FAF">
              <w:rPr>
                <w:rFonts w:ascii="Arial" w:hAnsi="Arial" w:cs="Arial"/>
                <w:sz w:val="20"/>
                <w:szCs w:val="20"/>
              </w:rPr>
              <w:t>live,</w:t>
            </w:r>
            <w:r w:rsidRPr="00867FAF">
              <w:rPr>
                <w:rFonts w:ascii="Arial" w:hAnsi="Arial" w:cs="Arial"/>
                <w:spacing w:val="7"/>
                <w:sz w:val="20"/>
                <w:szCs w:val="20"/>
              </w:rPr>
              <w:t xml:space="preserve"> </w:t>
            </w:r>
            <w:r w:rsidRPr="00867FAF">
              <w:rPr>
                <w:rFonts w:ascii="Arial" w:hAnsi="Arial" w:cs="Arial"/>
                <w:sz w:val="20"/>
                <w:szCs w:val="20"/>
              </w:rPr>
              <w:t>work,</w:t>
            </w:r>
            <w:r w:rsidRPr="00867FAF">
              <w:rPr>
                <w:rFonts w:ascii="Arial" w:hAnsi="Arial" w:cs="Arial"/>
                <w:spacing w:val="7"/>
                <w:sz w:val="20"/>
                <w:szCs w:val="20"/>
              </w:rPr>
              <w:t xml:space="preserve"> </w:t>
            </w:r>
            <w:r w:rsidRPr="00867FAF">
              <w:rPr>
                <w:rFonts w:ascii="Arial" w:hAnsi="Arial" w:cs="Arial"/>
                <w:sz w:val="20"/>
                <w:szCs w:val="20"/>
              </w:rPr>
              <w:t>learn,</w:t>
            </w:r>
            <w:r w:rsidRPr="00867FAF">
              <w:rPr>
                <w:rFonts w:ascii="Arial" w:hAnsi="Arial" w:cs="Arial"/>
                <w:spacing w:val="6"/>
                <w:sz w:val="20"/>
                <w:szCs w:val="20"/>
              </w:rPr>
              <w:t xml:space="preserve"> </w:t>
            </w:r>
            <w:r w:rsidRPr="00867FAF">
              <w:rPr>
                <w:rFonts w:ascii="Arial" w:hAnsi="Arial" w:cs="Arial"/>
                <w:sz w:val="20"/>
                <w:szCs w:val="20"/>
              </w:rPr>
              <w:t>socialise</w:t>
            </w:r>
            <w:r w:rsidRPr="00867FAF">
              <w:rPr>
                <w:rFonts w:ascii="Arial" w:hAnsi="Arial" w:cs="Arial"/>
                <w:spacing w:val="7"/>
                <w:sz w:val="20"/>
                <w:szCs w:val="20"/>
              </w:rPr>
              <w:t xml:space="preserve"> </w:t>
            </w:r>
            <w:r w:rsidRPr="00867FAF">
              <w:rPr>
                <w:rFonts w:ascii="Arial" w:hAnsi="Arial" w:cs="Arial"/>
                <w:sz w:val="20"/>
                <w:szCs w:val="20"/>
              </w:rPr>
              <w:t>and</w:t>
            </w:r>
            <w:r w:rsidRPr="00867FAF">
              <w:rPr>
                <w:rFonts w:ascii="Arial" w:hAnsi="Arial" w:cs="Arial"/>
                <w:spacing w:val="7"/>
                <w:sz w:val="20"/>
                <w:szCs w:val="20"/>
              </w:rPr>
              <w:t xml:space="preserve"> </w:t>
            </w:r>
            <w:r w:rsidRPr="00867FAF">
              <w:rPr>
                <w:rFonts w:ascii="Arial" w:hAnsi="Arial" w:cs="Arial"/>
                <w:spacing w:val="-4"/>
                <w:sz w:val="20"/>
                <w:szCs w:val="20"/>
              </w:rPr>
              <w:t>play. Institutional settings can include settings such as educational institutions or residential institutions, or any settings where people receive a service or support. Broadly, these could include residential institutions, boarding houses, group homes, workplaces, respite care services, day centres, recreation programs, mental health facilities, hostels, supported accommodation, prisons, out-of-home care, in-home care provided by a service provider, hospitals, juvenile justice facilities, disability services, education institutions, and aged care facilities.</w:t>
            </w:r>
            <w:r w:rsidRPr="00867FAF">
              <w:rPr>
                <w:rStyle w:val="EndnoteReference"/>
                <w:rFonts w:ascii="Arial" w:hAnsi="Arial" w:cs="Arial"/>
                <w:spacing w:val="-4"/>
                <w:sz w:val="20"/>
                <w:szCs w:val="20"/>
              </w:rPr>
              <w:endnoteReference w:id="66"/>
            </w:r>
          </w:p>
        </w:tc>
      </w:tr>
      <w:tr w:rsidR="00B74C5A" w:rsidRPr="000057CB" w14:paraId="3C34BDCC" w14:textId="77777777" w:rsidTr="005E0A16">
        <w:tc>
          <w:tcPr>
            <w:tcW w:w="1033" w:type="pct"/>
            <w:tcBorders>
              <w:top w:val="single" w:sz="4" w:space="0" w:color="000000" w:themeColor="text1"/>
              <w:bottom w:val="single" w:sz="4" w:space="0" w:color="000000" w:themeColor="text1"/>
            </w:tcBorders>
          </w:tcPr>
          <w:p w14:paraId="45DDF2A1" w14:textId="0427E094" w:rsidR="00B74C5A" w:rsidRPr="00867FAF" w:rsidRDefault="00B74C5A" w:rsidP="003861F3">
            <w:pPr>
              <w:pStyle w:val="TableParagraph"/>
              <w:spacing w:before="0" w:after="120"/>
              <w:rPr>
                <w:rFonts w:ascii="Arial" w:hAnsi="Arial" w:cs="Arial"/>
                <w:spacing w:val="-2"/>
              </w:rPr>
            </w:pPr>
            <w:r w:rsidRPr="00867FAF">
              <w:rPr>
                <w:rFonts w:ascii="Arial" w:hAnsi="Arial" w:cs="Arial"/>
                <w:spacing w:val="-2"/>
                <w:sz w:val="20"/>
                <w:szCs w:val="20"/>
              </w:rPr>
              <w:t>Sexism</w:t>
            </w:r>
          </w:p>
        </w:tc>
        <w:tc>
          <w:tcPr>
            <w:tcW w:w="3967" w:type="pct"/>
            <w:tcBorders>
              <w:top w:val="single" w:sz="4" w:space="0" w:color="000000" w:themeColor="text1"/>
              <w:bottom w:val="single" w:sz="4" w:space="0" w:color="000000" w:themeColor="text1"/>
            </w:tcBorders>
          </w:tcPr>
          <w:p w14:paraId="6EB1F5EF" w14:textId="08DF46B7" w:rsidR="00B74C5A" w:rsidRPr="00A820CC" w:rsidRDefault="00B74C5A" w:rsidP="003861F3">
            <w:pPr>
              <w:pStyle w:val="TableParagraph"/>
              <w:spacing w:before="0" w:after="120" w:line="242" w:lineRule="auto"/>
              <w:rPr>
                <w:rFonts w:ascii="Arial" w:hAnsi="Arial" w:cs="Arial"/>
              </w:rPr>
            </w:pPr>
            <w:r w:rsidRPr="00867FAF">
              <w:rPr>
                <w:rFonts w:ascii="Arial" w:hAnsi="Arial" w:cs="Arial"/>
                <w:sz w:val="20"/>
                <w:szCs w:val="20"/>
              </w:rPr>
              <w:t>Discrimination based on gender, and the attitudes, stereotypes and cultural elements that promote this discrimination.</w:t>
            </w:r>
            <w:r w:rsidRPr="00867FAF">
              <w:rPr>
                <w:rStyle w:val="EndnoteReference"/>
                <w:rFonts w:ascii="Arial" w:hAnsi="Arial" w:cs="Arial"/>
                <w:sz w:val="20"/>
                <w:szCs w:val="20"/>
              </w:rPr>
              <w:endnoteReference w:id="67"/>
            </w:r>
          </w:p>
        </w:tc>
      </w:tr>
      <w:tr w:rsidR="00B74C5A" w:rsidRPr="000057CB" w14:paraId="1707D01E" w14:textId="77777777" w:rsidTr="005E0A16">
        <w:tc>
          <w:tcPr>
            <w:tcW w:w="1033" w:type="pct"/>
            <w:tcBorders>
              <w:top w:val="single" w:sz="4" w:space="0" w:color="000000" w:themeColor="text1"/>
              <w:bottom w:val="single" w:sz="4" w:space="0" w:color="000000" w:themeColor="text1"/>
            </w:tcBorders>
          </w:tcPr>
          <w:p w14:paraId="2AD9A0E2" w14:textId="759FBE92" w:rsidR="00B74C5A" w:rsidRPr="00867FAF" w:rsidRDefault="00B74C5A" w:rsidP="003861F3">
            <w:pPr>
              <w:pStyle w:val="TableParagraph"/>
              <w:spacing w:before="0" w:after="120"/>
              <w:rPr>
                <w:rFonts w:ascii="Arial" w:hAnsi="Arial" w:cs="Arial"/>
                <w:spacing w:val="-2"/>
              </w:rPr>
            </w:pPr>
            <w:r w:rsidRPr="00867FAF">
              <w:rPr>
                <w:rFonts w:ascii="Arial" w:hAnsi="Arial" w:cs="Arial"/>
                <w:sz w:val="20"/>
                <w:szCs w:val="20"/>
              </w:rPr>
              <w:t>Sexual abuse</w:t>
            </w:r>
          </w:p>
        </w:tc>
        <w:tc>
          <w:tcPr>
            <w:tcW w:w="3967" w:type="pct"/>
            <w:tcBorders>
              <w:top w:val="single" w:sz="4" w:space="0" w:color="000000" w:themeColor="text1"/>
              <w:bottom w:val="single" w:sz="4" w:space="0" w:color="000000" w:themeColor="text1"/>
            </w:tcBorders>
          </w:tcPr>
          <w:p w14:paraId="79FDC1FC" w14:textId="0C5ED0C4" w:rsidR="00B74C5A" w:rsidRPr="00A820CC" w:rsidRDefault="00B74C5A" w:rsidP="003861F3">
            <w:pPr>
              <w:pStyle w:val="TableParagraph"/>
              <w:spacing w:before="0" w:after="120" w:line="242" w:lineRule="auto"/>
              <w:rPr>
                <w:rFonts w:ascii="Arial" w:hAnsi="Arial" w:cs="Arial"/>
              </w:rPr>
            </w:pPr>
            <w:r w:rsidRPr="00867FAF">
              <w:rPr>
                <w:rFonts w:ascii="Arial" w:hAnsi="Arial" w:cs="Arial"/>
                <w:sz w:val="20"/>
                <w:szCs w:val="20"/>
              </w:rPr>
              <w:t>See sexual violence.</w:t>
            </w:r>
          </w:p>
        </w:tc>
      </w:tr>
      <w:tr w:rsidR="00B74C5A" w:rsidRPr="000057CB" w14:paraId="3926D8E5" w14:textId="77777777" w:rsidTr="005E0A16">
        <w:tc>
          <w:tcPr>
            <w:tcW w:w="1033" w:type="pct"/>
            <w:tcBorders>
              <w:top w:val="single" w:sz="4" w:space="0" w:color="000000" w:themeColor="text1"/>
              <w:bottom w:val="single" w:sz="4" w:space="0" w:color="000000" w:themeColor="text1"/>
            </w:tcBorders>
          </w:tcPr>
          <w:p w14:paraId="41437C3A" w14:textId="2C7BAE12" w:rsidR="00B74C5A" w:rsidRPr="00867FAF" w:rsidRDefault="00B74C5A" w:rsidP="003861F3">
            <w:pPr>
              <w:pStyle w:val="TableParagraph"/>
              <w:spacing w:before="0" w:after="120"/>
              <w:rPr>
                <w:rFonts w:ascii="Arial" w:hAnsi="Arial" w:cs="Arial"/>
                <w:spacing w:val="-2"/>
              </w:rPr>
            </w:pPr>
            <w:r w:rsidRPr="00867FAF">
              <w:rPr>
                <w:rFonts w:ascii="Arial" w:hAnsi="Arial" w:cs="Arial"/>
                <w:sz w:val="20"/>
                <w:szCs w:val="20"/>
              </w:rPr>
              <w:t>Sexual</w:t>
            </w:r>
            <w:r w:rsidRPr="00867FAF">
              <w:rPr>
                <w:rFonts w:ascii="Arial" w:hAnsi="Arial" w:cs="Arial"/>
                <w:spacing w:val="2"/>
                <w:sz w:val="20"/>
                <w:szCs w:val="20"/>
              </w:rPr>
              <w:t xml:space="preserve"> </w:t>
            </w:r>
            <w:r w:rsidRPr="00867FAF">
              <w:rPr>
                <w:rFonts w:ascii="Arial" w:hAnsi="Arial" w:cs="Arial"/>
                <w:spacing w:val="-2"/>
                <w:sz w:val="20"/>
                <w:szCs w:val="20"/>
              </w:rPr>
              <w:t>assault</w:t>
            </w:r>
          </w:p>
        </w:tc>
        <w:tc>
          <w:tcPr>
            <w:tcW w:w="3967" w:type="pct"/>
            <w:tcBorders>
              <w:top w:val="single" w:sz="4" w:space="0" w:color="000000" w:themeColor="text1"/>
              <w:bottom w:val="single" w:sz="4" w:space="0" w:color="000000" w:themeColor="text1"/>
            </w:tcBorders>
          </w:tcPr>
          <w:p w14:paraId="550197BC" w14:textId="1FD1AB3A" w:rsidR="00B74C5A" w:rsidRPr="00A820CC" w:rsidRDefault="00B74C5A" w:rsidP="003861F3">
            <w:pPr>
              <w:pStyle w:val="TableParagraph"/>
              <w:spacing w:before="0" w:after="120" w:line="242" w:lineRule="auto"/>
              <w:rPr>
                <w:rFonts w:ascii="Arial" w:hAnsi="Arial" w:cs="Arial"/>
              </w:rPr>
            </w:pPr>
            <w:r w:rsidRPr="00867FAF">
              <w:rPr>
                <w:rFonts w:ascii="Arial" w:hAnsi="Arial" w:cs="Arial"/>
                <w:sz w:val="20"/>
                <w:szCs w:val="20"/>
              </w:rPr>
              <w:t>Sexual assault is an act of a sexual nature carried out against a person’s will through the use of physical force, intimidation or coercion, including any attempts to do this. This includes rape, attempted rape, aggravated sexual assault (assault with a weapon), indecent assault, penetration by objects, forced sexual activity that did not end in penetration and attempts to force a person into sexual activity. Note</w:t>
            </w:r>
            <w:r w:rsidRPr="00867FAF">
              <w:rPr>
                <w:rFonts w:ascii="Arial" w:hAnsi="Arial" w:cs="Arial"/>
                <w:spacing w:val="20"/>
                <w:sz w:val="20"/>
                <w:szCs w:val="20"/>
              </w:rPr>
              <w:t xml:space="preserve"> </w:t>
            </w:r>
            <w:r w:rsidRPr="00867FAF">
              <w:rPr>
                <w:rFonts w:ascii="Arial" w:hAnsi="Arial" w:cs="Arial"/>
                <w:sz w:val="20"/>
                <w:szCs w:val="20"/>
              </w:rPr>
              <w:t>sexual</w:t>
            </w:r>
            <w:r w:rsidRPr="00867FAF">
              <w:rPr>
                <w:rFonts w:ascii="Arial" w:hAnsi="Arial" w:cs="Arial"/>
                <w:spacing w:val="20"/>
                <w:sz w:val="20"/>
                <w:szCs w:val="20"/>
              </w:rPr>
              <w:t xml:space="preserve"> </w:t>
            </w:r>
            <w:r w:rsidRPr="00867FAF">
              <w:rPr>
                <w:rFonts w:ascii="Arial" w:hAnsi="Arial" w:cs="Arial"/>
                <w:sz w:val="20"/>
                <w:szCs w:val="20"/>
              </w:rPr>
              <w:t>assault</w:t>
            </w:r>
            <w:r w:rsidRPr="00867FAF">
              <w:rPr>
                <w:rFonts w:ascii="Arial" w:hAnsi="Arial" w:cs="Arial"/>
                <w:spacing w:val="20"/>
                <w:sz w:val="20"/>
                <w:szCs w:val="20"/>
              </w:rPr>
              <w:t xml:space="preserve"> </w:t>
            </w:r>
            <w:r w:rsidRPr="00867FAF">
              <w:rPr>
                <w:rFonts w:ascii="Arial" w:hAnsi="Arial" w:cs="Arial"/>
                <w:sz w:val="20"/>
                <w:szCs w:val="20"/>
              </w:rPr>
              <w:t>occurs</w:t>
            </w:r>
            <w:r w:rsidRPr="00867FAF">
              <w:rPr>
                <w:rFonts w:ascii="Arial" w:hAnsi="Arial" w:cs="Arial"/>
                <w:spacing w:val="20"/>
                <w:sz w:val="20"/>
                <w:szCs w:val="20"/>
              </w:rPr>
              <w:t xml:space="preserve"> </w:t>
            </w:r>
            <w:r w:rsidRPr="00867FAF">
              <w:rPr>
                <w:rFonts w:ascii="Arial" w:hAnsi="Arial" w:cs="Arial"/>
                <w:sz w:val="20"/>
                <w:szCs w:val="20"/>
              </w:rPr>
              <w:t>when</w:t>
            </w:r>
            <w:r w:rsidRPr="00867FAF">
              <w:rPr>
                <w:rFonts w:ascii="Arial" w:hAnsi="Arial" w:cs="Arial"/>
                <w:spacing w:val="20"/>
                <w:sz w:val="20"/>
                <w:szCs w:val="20"/>
              </w:rPr>
              <w:t xml:space="preserve"> </w:t>
            </w:r>
            <w:r w:rsidRPr="00867FAF">
              <w:rPr>
                <w:rFonts w:ascii="Arial" w:hAnsi="Arial" w:cs="Arial"/>
                <w:sz w:val="20"/>
                <w:szCs w:val="20"/>
              </w:rPr>
              <w:t>a</w:t>
            </w:r>
            <w:r w:rsidRPr="00867FAF">
              <w:rPr>
                <w:rFonts w:ascii="Arial" w:hAnsi="Arial" w:cs="Arial"/>
                <w:spacing w:val="20"/>
                <w:sz w:val="20"/>
                <w:szCs w:val="20"/>
              </w:rPr>
              <w:t xml:space="preserve"> </w:t>
            </w:r>
            <w:r w:rsidRPr="00867FAF">
              <w:rPr>
                <w:rFonts w:ascii="Arial" w:hAnsi="Arial" w:cs="Arial"/>
                <w:sz w:val="20"/>
                <w:szCs w:val="20"/>
              </w:rPr>
              <w:t>person</w:t>
            </w:r>
            <w:r w:rsidRPr="00867FAF">
              <w:rPr>
                <w:rFonts w:ascii="Arial" w:hAnsi="Arial" w:cs="Arial"/>
                <w:spacing w:val="20"/>
                <w:sz w:val="20"/>
                <w:szCs w:val="20"/>
              </w:rPr>
              <w:t xml:space="preserve"> </w:t>
            </w:r>
            <w:r w:rsidRPr="00867FAF">
              <w:rPr>
                <w:rFonts w:ascii="Arial" w:hAnsi="Arial" w:cs="Arial"/>
                <w:sz w:val="20"/>
                <w:szCs w:val="20"/>
              </w:rPr>
              <w:t>is</w:t>
            </w:r>
            <w:r w:rsidRPr="00867FAF">
              <w:rPr>
                <w:rFonts w:ascii="Arial" w:hAnsi="Arial" w:cs="Arial"/>
                <w:spacing w:val="20"/>
                <w:sz w:val="20"/>
                <w:szCs w:val="20"/>
              </w:rPr>
              <w:t xml:space="preserve"> </w:t>
            </w:r>
            <w:r w:rsidRPr="00867FAF">
              <w:rPr>
                <w:rFonts w:ascii="Arial" w:hAnsi="Arial" w:cs="Arial"/>
                <w:sz w:val="20"/>
                <w:szCs w:val="20"/>
              </w:rPr>
              <w:t>forced,</w:t>
            </w:r>
            <w:r w:rsidRPr="00867FAF">
              <w:rPr>
                <w:rFonts w:ascii="Arial" w:hAnsi="Arial" w:cs="Arial"/>
                <w:spacing w:val="20"/>
                <w:sz w:val="20"/>
                <w:szCs w:val="20"/>
              </w:rPr>
              <w:t xml:space="preserve"> </w:t>
            </w:r>
            <w:r w:rsidRPr="00867FAF">
              <w:rPr>
                <w:rFonts w:ascii="Arial" w:hAnsi="Arial" w:cs="Arial"/>
                <w:sz w:val="20"/>
                <w:szCs w:val="20"/>
              </w:rPr>
              <w:t>coerced</w:t>
            </w:r>
            <w:r w:rsidRPr="00867FAF">
              <w:rPr>
                <w:rFonts w:ascii="Arial" w:hAnsi="Arial" w:cs="Arial"/>
                <w:spacing w:val="20"/>
                <w:sz w:val="20"/>
                <w:szCs w:val="20"/>
              </w:rPr>
              <w:t xml:space="preserve"> </w:t>
            </w:r>
            <w:r w:rsidRPr="00867FAF">
              <w:rPr>
                <w:rFonts w:ascii="Arial" w:hAnsi="Arial" w:cs="Arial"/>
                <w:sz w:val="20"/>
                <w:szCs w:val="20"/>
              </w:rPr>
              <w:t>or</w:t>
            </w:r>
            <w:r w:rsidRPr="00867FAF">
              <w:rPr>
                <w:rFonts w:ascii="Arial" w:hAnsi="Arial" w:cs="Arial"/>
                <w:spacing w:val="20"/>
                <w:sz w:val="20"/>
                <w:szCs w:val="20"/>
              </w:rPr>
              <w:t xml:space="preserve"> </w:t>
            </w:r>
            <w:r w:rsidRPr="00867FAF">
              <w:rPr>
                <w:rFonts w:ascii="Arial" w:hAnsi="Arial" w:cs="Arial"/>
                <w:sz w:val="20"/>
                <w:szCs w:val="20"/>
              </w:rPr>
              <w:t>tricked</w:t>
            </w:r>
            <w:r w:rsidRPr="00867FAF">
              <w:rPr>
                <w:rFonts w:ascii="Arial" w:hAnsi="Arial" w:cs="Arial"/>
                <w:spacing w:val="20"/>
                <w:sz w:val="20"/>
                <w:szCs w:val="20"/>
              </w:rPr>
              <w:t xml:space="preserve"> </w:t>
            </w:r>
            <w:r w:rsidRPr="00867FAF">
              <w:rPr>
                <w:rFonts w:ascii="Arial" w:hAnsi="Arial" w:cs="Arial"/>
                <w:sz w:val="20"/>
                <w:szCs w:val="20"/>
              </w:rPr>
              <w:t>into sexual acts against their will or without their consent, including when they have withdrawn their consent.</w:t>
            </w:r>
            <w:r w:rsidRPr="00867FAF">
              <w:rPr>
                <w:rStyle w:val="EndnoteReference"/>
                <w:rFonts w:ascii="Arial" w:hAnsi="Arial" w:cs="Arial"/>
                <w:sz w:val="20"/>
                <w:szCs w:val="20"/>
              </w:rPr>
              <w:endnoteReference w:id="68"/>
            </w:r>
          </w:p>
        </w:tc>
      </w:tr>
      <w:tr w:rsidR="00B74C5A" w:rsidRPr="000057CB" w14:paraId="208956B3" w14:textId="77777777" w:rsidTr="005E0A16">
        <w:tc>
          <w:tcPr>
            <w:tcW w:w="1033" w:type="pct"/>
            <w:tcBorders>
              <w:top w:val="single" w:sz="4" w:space="0" w:color="000000" w:themeColor="text1"/>
              <w:bottom w:val="single" w:sz="4" w:space="0" w:color="000000" w:themeColor="text1"/>
            </w:tcBorders>
          </w:tcPr>
          <w:p w14:paraId="1CE182FB" w14:textId="7E68F7D1" w:rsidR="00B74C5A" w:rsidRPr="00867FAF" w:rsidRDefault="00B74C5A" w:rsidP="003861F3">
            <w:pPr>
              <w:pStyle w:val="TableParagraph"/>
              <w:spacing w:before="0" w:after="120"/>
              <w:rPr>
                <w:rFonts w:ascii="Arial" w:hAnsi="Arial" w:cs="Arial"/>
                <w:spacing w:val="-2"/>
              </w:rPr>
            </w:pPr>
            <w:r w:rsidRPr="00867FAF">
              <w:rPr>
                <w:rFonts w:ascii="Arial" w:hAnsi="Arial" w:cs="Arial"/>
                <w:sz w:val="20"/>
                <w:szCs w:val="20"/>
              </w:rPr>
              <w:t>Sexual</w:t>
            </w:r>
            <w:r w:rsidRPr="00867FAF">
              <w:rPr>
                <w:rFonts w:ascii="Arial" w:hAnsi="Arial" w:cs="Arial"/>
                <w:spacing w:val="2"/>
                <w:sz w:val="20"/>
                <w:szCs w:val="20"/>
              </w:rPr>
              <w:t xml:space="preserve"> </w:t>
            </w:r>
            <w:r w:rsidRPr="00867FAF">
              <w:rPr>
                <w:rFonts w:ascii="Arial" w:hAnsi="Arial" w:cs="Arial"/>
                <w:spacing w:val="-2"/>
                <w:sz w:val="20"/>
                <w:szCs w:val="20"/>
              </w:rPr>
              <w:t>harassment</w:t>
            </w:r>
          </w:p>
        </w:tc>
        <w:tc>
          <w:tcPr>
            <w:tcW w:w="3967" w:type="pct"/>
            <w:tcBorders>
              <w:top w:val="single" w:sz="4" w:space="0" w:color="000000" w:themeColor="text1"/>
              <w:bottom w:val="single" w:sz="4" w:space="0" w:color="000000" w:themeColor="text1"/>
            </w:tcBorders>
          </w:tcPr>
          <w:p w14:paraId="126AA6B0" w14:textId="1BF800D8" w:rsidR="00B74C5A" w:rsidRPr="00A820CC" w:rsidRDefault="00B74C5A" w:rsidP="003861F3">
            <w:pPr>
              <w:pStyle w:val="TableParagraph"/>
              <w:spacing w:before="0" w:after="120" w:line="242" w:lineRule="auto"/>
              <w:rPr>
                <w:rFonts w:ascii="Arial" w:hAnsi="Arial" w:cs="Arial"/>
              </w:rPr>
            </w:pPr>
            <w:r w:rsidRPr="00867FAF">
              <w:rPr>
                <w:rFonts w:ascii="Arial" w:hAnsi="Arial" w:cs="Arial"/>
                <w:sz w:val="20"/>
                <w:szCs w:val="20"/>
              </w:rPr>
              <w:t>An unwelcome sexual advance, unwelcome request for sexual favours or other unwelcome conduct of a sexual nature which makes a person feel offended, humiliated and/or intimidated, where a reasonable person would anticipate that reaction in the circumstances.</w:t>
            </w:r>
          </w:p>
        </w:tc>
      </w:tr>
      <w:tr w:rsidR="00B74C5A" w:rsidRPr="000057CB" w14:paraId="0F047C64" w14:textId="77777777" w:rsidTr="005E0A16">
        <w:tc>
          <w:tcPr>
            <w:tcW w:w="1033" w:type="pct"/>
            <w:tcBorders>
              <w:top w:val="single" w:sz="4" w:space="0" w:color="000000" w:themeColor="text1"/>
              <w:bottom w:val="single" w:sz="4" w:space="0" w:color="000000" w:themeColor="text1"/>
            </w:tcBorders>
          </w:tcPr>
          <w:p w14:paraId="37B425AD" w14:textId="144511F3" w:rsidR="00B74C5A" w:rsidRPr="00867FAF" w:rsidRDefault="00B74C5A" w:rsidP="003861F3">
            <w:pPr>
              <w:pStyle w:val="TableParagraph"/>
              <w:spacing w:before="0" w:after="120"/>
              <w:rPr>
                <w:rFonts w:ascii="Arial" w:hAnsi="Arial" w:cs="Arial"/>
                <w:spacing w:val="-2"/>
              </w:rPr>
            </w:pPr>
            <w:r w:rsidRPr="00867FAF">
              <w:rPr>
                <w:rFonts w:ascii="Arial" w:hAnsi="Arial" w:cs="Arial"/>
                <w:sz w:val="20"/>
                <w:szCs w:val="20"/>
              </w:rPr>
              <w:t>Sexual violence</w:t>
            </w:r>
          </w:p>
        </w:tc>
        <w:tc>
          <w:tcPr>
            <w:tcW w:w="3967" w:type="pct"/>
            <w:tcBorders>
              <w:top w:val="single" w:sz="4" w:space="0" w:color="000000" w:themeColor="text1"/>
              <w:bottom w:val="single" w:sz="4" w:space="0" w:color="000000" w:themeColor="text1"/>
            </w:tcBorders>
          </w:tcPr>
          <w:p w14:paraId="15162E8C" w14:textId="38CE4296" w:rsidR="00B74C5A" w:rsidRPr="00A820CC" w:rsidRDefault="00B74C5A" w:rsidP="003861F3">
            <w:pPr>
              <w:pStyle w:val="TableParagraph"/>
              <w:spacing w:before="0" w:after="120" w:line="242" w:lineRule="auto"/>
              <w:rPr>
                <w:rFonts w:ascii="Arial" w:hAnsi="Arial" w:cs="Arial"/>
              </w:rPr>
            </w:pPr>
            <w:r w:rsidRPr="00867FAF">
              <w:rPr>
                <w:rFonts w:ascii="Arial" w:hAnsi="Arial" w:cs="Arial"/>
                <w:sz w:val="20"/>
                <w:szCs w:val="20"/>
              </w:rPr>
              <w:t>Refers to sexual activity that happens where consent is not obtained or freely given. It occurs any time a person is forced, coerced or manipulated into any unwanted sexual activity, such as touching, sexual harassment and intimidation, forced marriage, trafficking for the purpose of sexual exploitation, sexual abuse, sexual assault, and rape. Sexual assault is only one type of sexual violence and does not include sexual harassment, or broader and complex forms of sexual violence, such as technology-facilitated or image-based abuse.</w:t>
            </w:r>
            <w:r w:rsidRPr="00867FAF">
              <w:rPr>
                <w:rStyle w:val="EndnoteReference"/>
                <w:rFonts w:ascii="Arial" w:hAnsi="Arial" w:cs="Arial"/>
                <w:sz w:val="20"/>
                <w:szCs w:val="20"/>
              </w:rPr>
              <w:endnoteReference w:id="69"/>
            </w:r>
          </w:p>
        </w:tc>
      </w:tr>
      <w:tr w:rsidR="00B74C5A" w:rsidRPr="000057CB" w14:paraId="6520AF28" w14:textId="77777777" w:rsidTr="005E0A16">
        <w:tc>
          <w:tcPr>
            <w:tcW w:w="1033" w:type="pct"/>
            <w:tcBorders>
              <w:top w:val="single" w:sz="4" w:space="0" w:color="000000" w:themeColor="text1"/>
              <w:bottom w:val="single" w:sz="4" w:space="0" w:color="000000" w:themeColor="text1"/>
            </w:tcBorders>
          </w:tcPr>
          <w:p w14:paraId="6CD8939C" w14:textId="72233490" w:rsidR="00B74C5A" w:rsidRPr="00867FAF" w:rsidRDefault="00B74C5A" w:rsidP="003861F3">
            <w:pPr>
              <w:pStyle w:val="TableParagraph"/>
              <w:spacing w:before="0" w:after="120"/>
              <w:rPr>
                <w:rFonts w:ascii="Arial" w:hAnsi="Arial" w:cs="Arial"/>
                <w:spacing w:val="-2"/>
              </w:rPr>
            </w:pPr>
            <w:r w:rsidRPr="00867FAF">
              <w:rPr>
                <w:rFonts w:ascii="Arial" w:hAnsi="Arial" w:cs="Arial"/>
                <w:spacing w:val="-2"/>
                <w:sz w:val="20"/>
                <w:szCs w:val="20"/>
              </w:rPr>
              <w:t>Sexuality</w:t>
            </w:r>
          </w:p>
        </w:tc>
        <w:tc>
          <w:tcPr>
            <w:tcW w:w="3967" w:type="pct"/>
            <w:tcBorders>
              <w:top w:val="single" w:sz="4" w:space="0" w:color="000000" w:themeColor="text1"/>
              <w:bottom w:val="single" w:sz="4" w:space="0" w:color="000000" w:themeColor="text1"/>
            </w:tcBorders>
          </w:tcPr>
          <w:p w14:paraId="4BA3C746" w14:textId="4BA45E24" w:rsidR="00B74C5A" w:rsidRPr="00A820CC" w:rsidRDefault="00B74C5A" w:rsidP="003861F3">
            <w:pPr>
              <w:pStyle w:val="TableParagraph"/>
              <w:spacing w:before="0" w:after="120" w:line="242" w:lineRule="auto"/>
              <w:rPr>
                <w:rFonts w:ascii="Arial" w:hAnsi="Arial" w:cs="Arial"/>
              </w:rPr>
            </w:pPr>
            <w:r w:rsidRPr="00867FAF">
              <w:rPr>
                <w:rFonts w:ascii="Arial" w:hAnsi="Arial" w:cs="Arial"/>
                <w:sz w:val="20"/>
                <w:szCs w:val="20"/>
              </w:rPr>
              <w:t>Refers</w:t>
            </w:r>
            <w:r w:rsidRPr="00867FAF">
              <w:rPr>
                <w:rFonts w:ascii="Arial" w:hAnsi="Arial" w:cs="Arial"/>
                <w:spacing w:val="-8"/>
                <w:sz w:val="20"/>
                <w:szCs w:val="20"/>
              </w:rPr>
              <w:t xml:space="preserve"> </w:t>
            </w:r>
            <w:r w:rsidRPr="00867FAF">
              <w:rPr>
                <w:rFonts w:ascii="Arial" w:hAnsi="Arial" w:cs="Arial"/>
                <w:sz w:val="20"/>
                <w:szCs w:val="20"/>
              </w:rPr>
              <w:t>to</w:t>
            </w:r>
            <w:r w:rsidRPr="00867FAF">
              <w:rPr>
                <w:rFonts w:ascii="Arial" w:hAnsi="Arial" w:cs="Arial"/>
                <w:spacing w:val="-8"/>
                <w:sz w:val="20"/>
                <w:szCs w:val="20"/>
              </w:rPr>
              <w:t xml:space="preserve"> </w:t>
            </w:r>
            <w:r w:rsidRPr="00867FAF">
              <w:rPr>
                <w:rFonts w:ascii="Arial" w:hAnsi="Arial" w:cs="Arial"/>
                <w:sz w:val="20"/>
                <w:szCs w:val="20"/>
              </w:rPr>
              <w:t>the</w:t>
            </w:r>
            <w:r w:rsidRPr="00867FAF">
              <w:rPr>
                <w:rFonts w:ascii="Arial" w:hAnsi="Arial" w:cs="Arial"/>
                <w:spacing w:val="-8"/>
                <w:sz w:val="20"/>
                <w:szCs w:val="20"/>
              </w:rPr>
              <w:t xml:space="preserve"> </w:t>
            </w:r>
            <w:r w:rsidRPr="00867FAF">
              <w:rPr>
                <w:rFonts w:ascii="Arial" w:hAnsi="Arial" w:cs="Arial"/>
                <w:sz w:val="20"/>
                <w:szCs w:val="20"/>
              </w:rPr>
              <w:t>component</w:t>
            </w:r>
            <w:r w:rsidRPr="00867FAF">
              <w:rPr>
                <w:rFonts w:ascii="Arial" w:hAnsi="Arial" w:cs="Arial"/>
                <w:spacing w:val="-8"/>
                <w:sz w:val="20"/>
                <w:szCs w:val="20"/>
              </w:rPr>
              <w:t xml:space="preserve"> </w:t>
            </w:r>
            <w:r w:rsidRPr="00867FAF">
              <w:rPr>
                <w:rFonts w:ascii="Arial" w:hAnsi="Arial" w:cs="Arial"/>
                <w:sz w:val="20"/>
                <w:szCs w:val="20"/>
              </w:rPr>
              <w:t>of</w:t>
            </w:r>
            <w:r w:rsidRPr="00867FAF">
              <w:rPr>
                <w:rFonts w:ascii="Arial" w:hAnsi="Arial" w:cs="Arial"/>
                <w:spacing w:val="-8"/>
                <w:sz w:val="20"/>
                <w:szCs w:val="20"/>
              </w:rPr>
              <w:t xml:space="preserve"> </w:t>
            </w:r>
            <w:r w:rsidRPr="00867FAF">
              <w:rPr>
                <w:rFonts w:ascii="Arial" w:hAnsi="Arial" w:cs="Arial"/>
                <w:sz w:val="20"/>
                <w:szCs w:val="20"/>
              </w:rPr>
              <w:t>identity</w:t>
            </w:r>
            <w:r w:rsidRPr="00867FAF">
              <w:rPr>
                <w:rFonts w:ascii="Arial" w:hAnsi="Arial" w:cs="Arial"/>
                <w:spacing w:val="-8"/>
                <w:sz w:val="20"/>
                <w:szCs w:val="20"/>
              </w:rPr>
              <w:t xml:space="preserve"> </w:t>
            </w:r>
            <w:r w:rsidRPr="00867FAF">
              <w:rPr>
                <w:rFonts w:ascii="Arial" w:hAnsi="Arial" w:cs="Arial"/>
                <w:sz w:val="20"/>
                <w:szCs w:val="20"/>
              </w:rPr>
              <w:t>that</w:t>
            </w:r>
            <w:r w:rsidRPr="00867FAF">
              <w:rPr>
                <w:rFonts w:ascii="Arial" w:hAnsi="Arial" w:cs="Arial"/>
                <w:spacing w:val="-8"/>
                <w:sz w:val="20"/>
                <w:szCs w:val="20"/>
              </w:rPr>
              <w:t xml:space="preserve"> </w:t>
            </w:r>
            <w:r w:rsidRPr="00867FAF">
              <w:rPr>
                <w:rFonts w:ascii="Arial" w:hAnsi="Arial" w:cs="Arial"/>
                <w:sz w:val="20"/>
                <w:szCs w:val="20"/>
              </w:rPr>
              <w:t>includes</w:t>
            </w:r>
            <w:r w:rsidRPr="00867FAF">
              <w:rPr>
                <w:rFonts w:ascii="Arial" w:hAnsi="Arial" w:cs="Arial"/>
                <w:spacing w:val="-8"/>
                <w:sz w:val="20"/>
                <w:szCs w:val="20"/>
              </w:rPr>
              <w:t xml:space="preserve"> </w:t>
            </w:r>
            <w:r w:rsidRPr="00867FAF">
              <w:rPr>
                <w:rFonts w:ascii="Arial" w:hAnsi="Arial" w:cs="Arial"/>
                <w:sz w:val="20"/>
                <w:szCs w:val="20"/>
              </w:rPr>
              <w:t>a</w:t>
            </w:r>
            <w:r w:rsidRPr="00867FAF">
              <w:rPr>
                <w:rFonts w:ascii="Arial" w:hAnsi="Arial" w:cs="Arial"/>
                <w:spacing w:val="-8"/>
                <w:sz w:val="20"/>
                <w:szCs w:val="20"/>
              </w:rPr>
              <w:t xml:space="preserve"> </w:t>
            </w:r>
            <w:r w:rsidRPr="00867FAF">
              <w:rPr>
                <w:rFonts w:ascii="Arial" w:hAnsi="Arial" w:cs="Arial"/>
                <w:sz w:val="20"/>
                <w:szCs w:val="20"/>
              </w:rPr>
              <w:t>person’s</w:t>
            </w:r>
            <w:r w:rsidRPr="00867FAF">
              <w:rPr>
                <w:rFonts w:ascii="Arial" w:hAnsi="Arial" w:cs="Arial"/>
                <w:spacing w:val="-8"/>
                <w:sz w:val="20"/>
                <w:szCs w:val="20"/>
              </w:rPr>
              <w:t xml:space="preserve"> </w:t>
            </w:r>
            <w:r w:rsidRPr="00867FAF">
              <w:rPr>
                <w:rFonts w:ascii="Arial" w:hAnsi="Arial" w:cs="Arial"/>
                <w:sz w:val="20"/>
                <w:szCs w:val="20"/>
              </w:rPr>
              <w:t>sexual</w:t>
            </w:r>
            <w:r w:rsidRPr="00867FAF">
              <w:rPr>
                <w:rFonts w:ascii="Arial" w:hAnsi="Arial" w:cs="Arial"/>
                <w:spacing w:val="-8"/>
                <w:sz w:val="20"/>
                <w:szCs w:val="20"/>
              </w:rPr>
              <w:t xml:space="preserve"> </w:t>
            </w:r>
            <w:r w:rsidRPr="00867FAF">
              <w:rPr>
                <w:rFonts w:ascii="Arial" w:hAnsi="Arial" w:cs="Arial"/>
                <w:sz w:val="20"/>
                <w:szCs w:val="20"/>
              </w:rPr>
              <w:t>and</w:t>
            </w:r>
            <w:r w:rsidRPr="00867FAF">
              <w:rPr>
                <w:rFonts w:ascii="Arial" w:hAnsi="Arial" w:cs="Arial"/>
                <w:spacing w:val="-8"/>
                <w:sz w:val="20"/>
                <w:szCs w:val="20"/>
              </w:rPr>
              <w:t xml:space="preserve"> </w:t>
            </w:r>
            <w:r w:rsidRPr="00867FAF">
              <w:rPr>
                <w:rFonts w:ascii="Arial" w:hAnsi="Arial" w:cs="Arial"/>
                <w:sz w:val="20"/>
                <w:szCs w:val="20"/>
              </w:rPr>
              <w:t>emotional attraction to another person. A person may be attracted to men, women, both, neither, and/or to people who are non-binary, or have other gender identities.</w:t>
            </w:r>
          </w:p>
        </w:tc>
      </w:tr>
      <w:tr w:rsidR="00B74C5A" w:rsidRPr="000057CB" w14:paraId="6857CECA" w14:textId="77777777" w:rsidTr="005E0A16">
        <w:tc>
          <w:tcPr>
            <w:tcW w:w="1033" w:type="pct"/>
            <w:tcBorders>
              <w:top w:val="single" w:sz="4" w:space="0" w:color="000000" w:themeColor="text1"/>
              <w:bottom w:val="single" w:sz="4" w:space="0" w:color="000000" w:themeColor="text1"/>
            </w:tcBorders>
          </w:tcPr>
          <w:p w14:paraId="00BB31D4" w14:textId="7BBC5F38" w:rsidR="00B74C5A" w:rsidRPr="00867FAF" w:rsidRDefault="00B74C5A" w:rsidP="003861F3">
            <w:pPr>
              <w:pStyle w:val="TableParagraph"/>
              <w:spacing w:before="0" w:after="120"/>
              <w:rPr>
                <w:rFonts w:ascii="Arial" w:hAnsi="Arial" w:cs="Arial"/>
                <w:spacing w:val="-2"/>
              </w:rPr>
            </w:pPr>
            <w:r w:rsidRPr="00867FAF">
              <w:rPr>
                <w:rFonts w:ascii="Arial" w:hAnsi="Arial" w:cs="Arial"/>
                <w:spacing w:val="-2"/>
                <w:sz w:val="20"/>
                <w:szCs w:val="20"/>
              </w:rPr>
              <w:t>Sistergirl</w:t>
            </w:r>
          </w:p>
        </w:tc>
        <w:tc>
          <w:tcPr>
            <w:tcW w:w="3967" w:type="pct"/>
            <w:tcBorders>
              <w:top w:val="single" w:sz="4" w:space="0" w:color="000000" w:themeColor="text1"/>
              <w:bottom w:val="single" w:sz="4" w:space="0" w:color="000000" w:themeColor="text1"/>
            </w:tcBorders>
          </w:tcPr>
          <w:p w14:paraId="28733F80" w14:textId="79493E6B" w:rsidR="00B74C5A" w:rsidRPr="00A820CC" w:rsidRDefault="00B74C5A" w:rsidP="003861F3">
            <w:pPr>
              <w:pStyle w:val="TableParagraph"/>
              <w:spacing w:before="0" w:after="120" w:line="242" w:lineRule="auto"/>
              <w:rPr>
                <w:rFonts w:ascii="Arial" w:hAnsi="Arial" w:cs="Arial"/>
              </w:rPr>
            </w:pPr>
            <w:r w:rsidRPr="00867FAF">
              <w:rPr>
                <w:rFonts w:ascii="Arial" w:hAnsi="Arial" w:cs="Arial"/>
                <w:sz w:val="20"/>
                <w:szCs w:val="20"/>
              </w:rPr>
              <w:t>A</w:t>
            </w:r>
            <w:r w:rsidRPr="00867FAF">
              <w:rPr>
                <w:rFonts w:ascii="Arial" w:hAnsi="Arial" w:cs="Arial"/>
                <w:spacing w:val="22"/>
                <w:sz w:val="20"/>
                <w:szCs w:val="20"/>
              </w:rPr>
              <w:t xml:space="preserve"> </w:t>
            </w:r>
            <w:r w:rsidRPr="00867FAF">
              <w:rPr>
                <w:rFonts w:ascii="Arial" w:hAnsi="Arial" w:cs="Arial"/>
                <w:sz w:val="20"/>
                <w:szCs w:val="20"/>
              </w:rPr>
              <w:t>term</w:t>
            </w:r>
            <w:r w:rsidRPr="00867FAF">
              <w:rPr>
                <w:rFonts w:ascii="Arial" w:hAnsi="Arial" w:cs="Arial"/>
                <w:spacing w:val="22"/>
                <w:sz w:val="20"/>
                <w:szCs w:val="20"/>
              </w:rPr>
              <w:t xml:space="preserve"> </w:t>
            </w:r>
            <w:r w:rsidRPr="00867FAF">
              <w:rPr>
                <w:rFonts w:ascii="Arial" w:hAnsi="Arial" w:cs="Arial"/>
                <w:sz w:val="20"/>
                <w:szCs w:val="20"/>
              </w:rPr>
              <w:t>used</w:t>
            </w:r>
            <w:r w:rsidRPr="00867FAF">
              <w:rPr>
                <w:rFonts w:ascii="Arial" w:hAnsi="Arial" w:cs="Arial"/>
                <w:spacing w:val="22"/>
                <w:sz w:val="20"/>
                <w:szCs w:val="20"/>
              </w:rPr>
              <w:t xml:space="preserve"> </w:t>
            </w:r>
            <w:r w:rsidRPr="00867FAF">
              <w:rPr>
                <w:rFonts w:ascii="Arial" w:hAnsi="Arial" w:cs="Arial"/>
                <w:sz w:val="20"/>
                <w:szCs w:val="20"/>
              </w:rPr>
              <w:t>by</w:t>
            </w:r>
            <w:r w:rsidRPr="00867FAF">
              <w:rPr>
                <w:rFonts w:ascii="Arial" w:hAnsi="Arial" w:cs="Arial"/>
                <w:spacing w:val="22"/>
                <w:sz w:val="20"/>
                <w:szCs w:val="20"/>
              </w:rPr>
              <w:t xml:space="preserve"> </w:t>
            </w:r>
            <w:r w:rsidRPr="00867FAF">
              <w:rPr>
                <w:rFonts w:ascii="Arial" w:hAnsi="Arial" w:cs="Arial"/>
                <w:sz w:val="20"/>
                <w:szCs w:val="20"/>
              </w:rPr>
              <w:t>Aboriginal</w:t>
            </w:r>
            <w:r w:rsidRPr="00867FAF">
              <w:rPr>
                <w:rFonts w:ascii="Arial" w:hAnsi="Arial" w:cs="Arial"/>
                <w:spacing w:val="22"/>
                <w:sz w:val="20"/>
                <w:szCs w:val="20"/>
              </w:rPr>
              <w:t xml:space="preserve"> </w:t>
            </w:r>
            <w:r w:rsidRPr="00867FAF">
              <w:rPr>
                <w:rFonts w:ascii="Arial" w:hAnsi="Arial" w:cs="Arial"/>
                <w:sz w:val="20"/>
                <w:szCs w:val="20"/>
              </w:rPr>
              <w:t>and</w:t>
            </w:r>
            <w:r w:rsidRPr="00867FAF">
              <w:rPr>
                <w:rFonts w:ascii="Arial" w:hAnsi="Arial" w:cs="Arial"/>
                <w:spacing w:val="22"/>
                <w:sz w:val="20"/>
                <w:szCs w:val="20"/>
              </w:rPr>
              <w:t xml:space="preserve"> </w:t>
            </w:r>
            <w:r w:rsidRPr="00867FAF">
              <w:rPr>
                <w:rFonts w:ascii="Arial" w:hAnsi="Arial" w:cs="Arial"/>
                <w:sz w:val="20"/>
                <w:szCs w:val="20"/>
              </w:rPr>
              <w:t>Torres</w:t>
            </w:r>
            <w:r w:rsidRPr="00867FAF">
              <w:rPr>
                <w:rFonts w:ascii="Arial" w:hAnsi="Arial" w:cs="Arial"/>
                <w:spacing w:val="22"/>
                <w:sz w:val="20"/>
                <w:szCs w:val="20"/>
              </w:rPr>
              <w:t xml:space="preserve"> </w:t>
            </w:r>
            <w:r w:rsidRPr="00867FAF">
              <w:rPr>
                <w:rFonts w:ascii="Arial" w:hAnsi="Arial" w:cs="Arial"/>
                <w:sz w:val="20"/>
                <w:szCs w:val="20"/>
              </w:rPr>
              <w:t>Strait</w:t>
            </w:r>
            <w:r w:rsidRPr="00867FAF">
              <w:rPr>
                <w:rFonts w:ascii="Arial" w:hAnsi="Arial" w:cs="Arial"/>
                <w:spacing w:val="22"/>
                <w:sz w:val="20"/>
                <w:szCs w:val="20"/>
              </w:rPr>
              <w:t xml:space="preserve"> </w:t>
            </w:r>
            <w:r w:rsidRPr="00867FAF">
              <w:rPr>
                <w:rFonts w:ascii="Arial" w:hAnsi="Arial" w:cs="Arial"/>
                <w:sz w:val="20"/>
                <w:szCs w:val="20"/>
              </w:rPr>
              <w:t>Islander</w:t>
            </w:r>
            <w:r w:rsidRPr="00867FAF">
              <w:rPr>
                <w:rFonts w:ascii="Arial" w:hAnsi="Arial" w:cs="Arial"/>
                <w:spacing w:val="22"/>
                <w:sz w:val="20"/>
                <w:szCs w:val="20"/>
              </w:rPr>
              <w:t xml:space="preserve"> </w:t>
            </w:r>
            <w:r w:rsidRPr="00867FAF">
              <w:rPr>
                <w:rFonts w:ascii="Arial" w:hAnsi="Arial" w:cs="Arial"/>
                <w:sz w:val="20"/>
                <w:szCs w:val="20"/>
              </w:rPr>
              <w:t>peoples</w:t>
            </w:r>
            <w:r w:rsidRPr="00867FAF">
              <w:rPr>
                <w:rFonts w:ascii="Arial" w:hAnsi="Arial" w:cs="Arial"/>
                <w:spacing w:val="22"/>
                <w:sz w:val="20"/>
                <w:szCs w:val="20"/>
              </w:rPr>
              <w:t xml:space="preserve"> </w:t>
            </w:r>
            <w:r w:rsidRPr="00867FAF">
              <w:rPr>
                <w:rFonts w:ascii="Arial" w:hAnsi="Arial" w:cs="Arial"/>
                <w:sz w:val="20"/>
                <w:szCs w:val="20"/>
              </w:rPr>
              <w:t>to</w:t>
            </w:r>
            <w:r w:rsidRPr="00867FAF">
              <w:rPr>
                <w:rFonts w:ascii="Arial" w:hAnsi="Arial" w:cs="Arial"/>
                <w:spacing w:val="22"/>
                <w:sz w:val="20"/>
                <w:szCs w:val="20"/>
              </w:rPr>
              <w:t xml:space="preserve"> </w:t>
            </w:r>
            <w:r w:rsidRPr="00867FAF">
              <w:rPr>
                <w:rFonts w:ascii="Arial" w:hAnsi="Arial" w:cs="Arial"/>
                <w:sz w:val="20"/>
                <w:szCs w:val="20"/>
              </w:rPr>
              <w:t xml:space="preserve">describe gender diverse people who have a female spirit and take on female roles </w:t>
            </w:r>
            <w:r w:rsidRPr="00867FAF">
              <w:rPr>
                <w:rFonts w:ascii="Arial" w:hAnsi="Arial" w:cs="Arial"/>
                <w:sz w:val="20"/>
                <w:szCs w:val="20"/>
              </w:rPr>
              <w:lastRenderedPageBreak/>
              <w:t>within the community.</w:t>
            </w:r>
            <w:r w:rsidRPr="00867FAF">
              <w:rPr>
                <w:rStyle w:val="EndnoteReference"/>
                <w:rFonts w:ascii="Arial" w:hAnsi="Arial" w:cs="Arial"/>
                <w:sz w:val="20"/>
                <w:szCs w:val="20"/>
              </w:rPr>
              <w:endnoteReference w:id="70"/>
            </w:r>
          </w:p>
        </w:tc>
      </w:tr>
      <w:tr w:rsidR="00B74C5A" w:rsidRPr="000057CB" w14:paraId="0E9C7070" w14:textId="77777777" w:rsidTr="005E0A16">
        <w:tc>
          <w:tcPr>
            <w:tcW w:w="1033" w:type="pct"/>
            <w:tcBorders>
              <w:top w:val="single" w:sz="4" w:space="0" w:color="000000" w:themeColor="text1"/>
              <w:bottom w:val="single" w:sz="4" w:space="0" w:color="000000" w:themeColor="text1"/>
            </w:tcBorders>
          </w:tcPr>
          <w:p w14:paraId="531C5D32" w14:textId="4C091B5B" w:rsidR="00B74C5A" w:rsidRPr="00867FAF" w:rsidRDefault="00B74C5A" w:rsidP="003861F3">
            <w:pPr>
              <w:pStyle w:val="TableParagraph"/>
              <w:spacing w:before="0" w:after="120"/>
              <w:rPr>
                <w:rFonts w:ascii="Arial" w:hAnsi="Arial" w:cs="Arial"/>
                <w:spacing w:val="-2"/>
              </w:rPr>
            </w:pPr>
            <w:r w:rsidRPr="00867FAF">
              <w:rPr>
                <w:rFonts w:ascii="Arial" w:hAnsi="Arial" w:cs="Arial"/>
                <w:sz w:val="20"/>
                <w:szCs w:val="20"/>
              </w:rPr>
              <w:lastRenderedPageBreak/>
              <w:t>Social</w:t>
            </w:r>
            <w:r w:rsidRPr="00867FAF">
              <w:rPr>
                <w:rFonts w:ascii="Arial" w:hAnsi="Arial" w:cs="Arial"/>
                <w:spacing w:val="6"/>
                <w:sz w:val="20"/>
                <w:szCs w:val="20"/>
              </w:rPr>
              <w:t xml:space="preserve"> </w:t>
            </w:r>
            <w:r w:rsidRPr="00867FAF">
              <w:rPr>
                <w:rFonts w:ascii="Arial" w:hAnsi="Arial" w:cs="Arial"/>
                <w:spacing w:val="-4"/>
                <w:sz w:val="20"/>
                <w:szCs w:val="20"/>
              </w:rPr>
              <w:t>norms</w:t>
            </w:r>
          </w:p>
        </w:tc>
        <w:tc>
          <w:tcPr>
            <w:tcW w:w="3967" w:type="pct"/>
            <w:tcBorders>
              <w:top w:val="single" w:sz="4" w:space="0" w:color="000000" w:themeColor="text1"/>
              <w:bottom w:val="single" w:sz="4" w:space="0" w:color="000000" w:themeColor="text1"/>
            </w:tcBorders>
          </w:tcPr>
          <w:p w14:paraId="02303636" w14:textId="146B48C1" w:rsidR="00B74C5A" w:rsidRPr="00A820CC" w:rsidRDefault="00B74C5A" w:rsidP="003861F3">
            <w:pPr>
              <w:pStyle w:val="TableParagraph"/>
              <w:spacing w:before="0" w:after="120" w:line="242" w:lineRule="auto"/>
              <w:rPr>
                <w:rFonts w:ascii="Arial" w:hAnsi="Arial" w:cs="Arial"/>
              </w:rPr>
            </w:pPr>
            <w:r w:rsidRPr="00867FAF">
              <w:rPr>
                <w:rFonts w:ascii="Arial" w:hAnsi="Arial" w:cs="Arial"/>
                <w:sz w:val="20"/>
                <w:szCs w:val="20"/>
              </w:rPr>
              <w:t>The informal, mostly unwritten and unspoken collective rules that define typical, acceptable, appropriate and obligatory actions in a social group, setting or</w:t>
            </w:r>
            <w:r w:rsidRPr="00867FAF">
              <w:rPr>
                <w:rFonts w:ascii="Arial" w:hAnsi="Arial" w:cs="Arial"/>
                <w:spacing w:val="40"/>
                <w:sz w:val="20"/>
                <w:szCs w:val="20"/>
              </w:rPr>
              <w:t xml:space="preserve"> </w:t>
            </w:r>
            <w:r w:rsidRPr="00867FAF">
              <w:rPr>
                <w:rFonts w:ascii="Arial" w:hAnsi="Arial" w:cs="Arial"/>
                <w:sz w:val="20"/>
                <w:szCs w:val="20"/>
              </w:rPr>
              <w:t>society. They are produced and reproduced by customs, traditions and value systems that develop over time to uphold forms of social order.</w:t>
            </w:r>
          </w:p>
        </w:tc>
      </w:tr>
      <w:tr w:rsidR="00B74C5A" w:rsidRPr="000057CB" w14:paraId="7350AB4D" w14:textId="77777777" w:rsidTr="005E0A16">
        <w:tc>
          <w:tcPr>
            <w:tcW w:w="1033" w:type="pct"/>
            <w:tcBorders>
              <w:top w:val="single" w:sz="4" w:space="0" w:color="000000" w:themeColor="text1"/>
              <w:bottom w:val="single" w:sz="4" w:space="0" w:color="000000" w:themeColor="text1"/>
            </w:tcBorders>
          </w:tcPr>
          <w:p w14:paraId="56C7353C" w14:textId="6F971EB4" w:rsidR="00B74C5A" w:rsidRPr="00867FAF" w:rsidRDefault="00B74C5A" w:rsidP="003861F3">
            <w:pPr>
              <w:pStyle w:val="TableParagraph"/>
              <w:spacing w:before="0" w:after="120"/>
              <w:rPr>
                <w:rFonts w:ascii="Arial" w:hAnsi="Arial" w:cs="Arial"/>
                <w:spacing w:val="-2"/>
              </w:rPr>
            </w:pPr>
            <w:r w:rsidRPr="00A820CC">
              <w:rPr>
                <w:rFonts w:ascii="Arial" w:hAnsi="Arial" w:cs="Arial"/>
                <w:sz w:val="21"/>
                <w:szCs w:val="21"/>
              </w:rPr>
              <w:t>Systems</w:t>
            </w:r>
            <w:r w:rsidRPr="00A820CC">
              <w:rPr>
                <w:rFonts w:ascii="Arial" w:hAnsi="Arial" w:cs="Arial"/>
                <w:spacing w:val="-5"/>
                <w:sz w:val="21"/>
                <w:szCs w:val="21"/>
              </w:rPr>
              <w:t xml:space="preserve"> </w:t>
            </w:r>
            <w:r w:rsidRPr="00A820CC">
              <w:rPr>
                <w:rFonts w:ascii="Arial" w:hAnsi="Arial" w:cs="Arial"/>
                <w:spacing w:val="-4"/>
                <w:sz w:val="21"/>
                <w:szCs w:val="21"/>
              </w:rPr>
              <w:t>abuse</w:t>
            </w:r>
          </w:p>
        </w:tc>
        <w:tc>
          <w:tcPr>
            <w:tcW w:w="3967" w:type="pct"/>
            <w:tcBorders>
              <w:top w:val="single" w:sz="4" w:space="0" w:color="000000" w:themeColor="text1"/>
              <w:bottom w:val="single" w:sz="4" w:space="0" w:color="000000" w:themeColor="text1"/>
            </w:tcBorders>
          </w:tcPr>
          <w:p w14:paraId="335231E3" w14:textId="6DA38CD2" w:rsidR="00B74C5A" w:rsidRPr="00A820CC" w:rsidRDefault="00B74C5A" w:rsidP="003861F3">
            <w:pPr>
              <w:pStyle w:val="TableParagraph"/>
              <w:spacing w:before="0" w:after="120" w:line="242" w:lineRule="auto"/>
              <w:rPr>
                <w:rFonts w:ascii="Arial" w:hAnsi="Arial" w:cs="Arial"/>
              </w:rPr>
            </w:pPr>
            <w:r w:rsidRPr="00A820CC">
              <w:rPr>
                <w:rFonts w:ascii="Arial" w:hAnsi="Arial" w:cs="Arial"/>
                <w:sz w:val="21"/>
                <w:szCs w:val="21"/>
              </w:rPr>
              <w:t>Refers to the manipulation of legal and other systems by perpetrators of family violence,</w:t>
            </w:r>
            <w:r w:rsidRPr="00A820CC">
              <w:rPr>
                <w:rFonts w:ascii="Arial" w:hAnsi="Arial" w:cs="Arial"/>
                <w:spacing w:val="20"/>
                <w:sz w:val="21"/>
                <w:szCs w:val="21"/>
              </w:rPr>
              <w:t xml:space="preserve"> </w:t>
            </w:r>
            <w:r w:rsidRPr="00A820CC">
              <w:rPr>
                <w:rFonts w:ascii="Arial" w:hAnsi="Arial" w:cs="Arial"/>
                <w:sz w:val="21"/>
                <w:szCs w:val="21"/>
              </w:rPr>
              <w:t>done</w:t>
            </w:r>
            <w:r w:rsidRPr="00A820CC">
              <w:rPr>
                <w:rFonts w:ascii="Arial" w:hAnsi="Arial" w:cs="Arial"/>
                <w:spacing w:val="20"/>
                <w:sz w:val="21"/>
                <w:szCs w:val="21"/>
              </w:rPr>
              <w:t xml:space="preserve"> </w:t>
            </w:r>
            <w:r w:rsidRPr="00A820CC">
              <w:rPr>
                <w:rFonts w:ascii="Arial" w:hAnsi="Arial" w:cs="Arial"/>
                <w:sz w:val="21"/>
                <w:szCs w:val="21"/>
              </w:rPr>
              <w:t>so</w:t>
            </w:r>
            <w:r w:rsidRPr="00A820CC">
              <w:rPr>
                <w:rFonts w:ascii="Arial" w:hAnsi="Arial" w:cs="Arial"/>
                <w:spacing w:val="20"/>
                <w:sz w:val="21"/>
                <w:szCs w:val="21"/>
              </w:rPr>
              <w:t xml:space="preserve"> </w:t>
            </w:r>
            <w:r w:rsidRPr="00A820CC">
              <w:rPr>
                <w:rFonts w:ascii="Arial" w:hAnsi="Arial" w:cs="Arial"/>
                <w:sz w:val="21"/>
                <w:szCs w:val="21"/>
              </w:rPr>
              <w:t>in</w:t>
            </w:r>
            <w:r w:rsidRPr="00A820CC">
              <w:rPr>
                <w:rFonts w:ascii="Arial" w:hAnsi="Arial" w:cs="Arial"/>
                <w:spacing w:val="20"/>
                <w:sz w:val="21"/>
                <w:szCs w:val="21"/>
              </w:rPr>
              <w:t xml:space="preserve"> </w:t>
            </w:r>
            <w:r w:rsidRPr="00A820CC">
              <w:rPr>
                <w:rFonts w:ascii="Arial" w:hAnsi="Arial" w:cs="Arial"/>
                <w:sz w:val="21"/>
                <w:szCs w:val="21"/>
              </w:rPr>
              <w:t>order</w:t>
            </w:r>
            <w:r w:rsidRPr="00A820CC">
              <w:rPr>
                <w:rFonts w:ascii="Arial" w:hAnsi="Arial" w:cs="Arial"/>
                <w:spacing w:val="20"/>
                <w:sz w:val="21"/>
                <w:szCs w:val="21"/>
              </w:rPr>
              <w:t xml:space="preserve"> </w:t>
            </w:r>
            <w:r w:rsidRPr="00A820CC">
              <w:rPr>
                <w:rFonts w:ascii="Arial" w:hAnsi="Arial" w:cs="Arial"/>
                <w:sz w:val="21"/>
                <w:szCs w:val="21"/>
              </w:rPr>
              <w:t>to</w:t>
            </w:r>
            <w:r w:rsidRPr="00A820CC">
              <w:rPr>
                <w:rFonts w:ascii="Arial" w:hAnsi="Arial" w:cs="Arial"/>
                <w:spacing w:val="20"/>
                <w:sz w:val="21"/>
                <w:szCs w:val="21"/>
              </w:rPr>
              <w:t xml:space="preserve"> </w:t>
            </w:r>
            <w:r w:rsidRPr="00A820CC">
              <w:rPr>
                <w:rFonts w:ascii="Arial" w:hAnsi="Arial" w:cs="Arial"/>
                <w:sz w:val="21"/>
                <w:szCs w:val="21"/>
              </w:rPr>
              <w:t>exert</w:t>
            </w:r>
            <w:r w:rsidRPr="00A820CC">
              <w:rPr>
                <w:rFonts w:ascii="Arial" w:hAnsi="Arial" w:cs="Arial"/>
                <w:spacing w:val="20"/>
                <w:sz w:val="21"/>
                <w:szCs w:val="21"/>
              </w:rPr>
              <w:t xml:space="preserve"> </w:t>
            </w:r>
            <w:r w:rsidRPr="00A820CC">
              <w:rPr>
                <w:rFonts w:ascii="Arial" w:hAnsi="Arial" w:cs="Arial"/>
                <w:sz w:val="21"/>
                <w:szCs w:val="21"/>
              </w:rPr>
              <w:t>control</w:t>
            </w:r>
            <w:r w:rsidRPr="00A820CC">
              <w:rPr>
                <w:rFonts w:ascii="Arial" w:hAnsi="Arial" w:cs="Arial"/>
                <w:spacing w:val="20"/>
                <w:sz w:val="21"/>
                <w:szCs w:val="21"/>
              </w:rPr>
              <w:t xml:space="preserve"> </w:t>
            </w:r>
            <w:r w:rsidRPr="00A820CC">
              <w:rPr>
                <w:rFonts w:ascii="Arial" w:hAnsi="Arial" w:cs="Arial"/>
                <w:sz w:val="21"/>
                <w:szCs w:val="21"/>
              </w:rPr>
              <w:t>over,</w:t>
            </w:r>
            <w:r w:rsidRPr="00A820CC">
              <w:rPr>
                <w:rFonts w:ascii="Arial" w:hAnsi="Arial" w:cs="Arial"/>
                <w:spacing w:val="20"/>
                <w:sz w:val="21"/>
                <w:szCs w:val="21"/>
              </w:rPr>
              <w:t xml:space="preserve"> </w:t>
            </w:r>
            <w:r w:rsidRPr="00A820CC">
              <w:rPr>
                <w:rFonts w:ascii="Arial" w:hAnsi="Arial" w:cs="Arial"/>
                <w:sz w:val="21"/>
                <w:szCs w:val="21"/>
              </w:rPr>
              <w:t>threaten</w:t>
            </w:r>
            <w:r w:rsidRPr="00A820CC">
              <w:rPr>
                <w:rFonts w:ascii="Arial" w:hAnsi="Arial" w:cs="Arial"/>
                <w:spacing w:val="20"/>
                <w:sz w:val="21"/>
                <w:szCs w:val="21"/>
              </w:rPr>
              <w:t xml:space="preserve"> </w:t>
            </w:r>
            <w:r w:rsidRPr="00A820CC">
              <w:rPr>
                <w:rFonts w:ascii="Arial" w:hAnsi="Arial" w:cs="Arial"/>
                <w:sz w:val="21"/>
                <w:szCs w:val="21"/>
              </w:rPr>
              <w:t>and</w:t>
            </w:r>
            <w:r w:rsidRPr="00A820CC">
              <w:rPr>
                <w:rFonts w:ascii="Arial" w:hAnsi="Arial" w:cs="Arial"/>
                <w:spacing w:val="20"/>
                <w:sz w:val="21"/>
                <w:szCs w:val="21"/>
              </w:rPr>
              <w:t xml:space="preserve"> </w:t>
            </w:r>
            <w:r w:rsidRPr="00A820CC">
              <w:rPr>
                <w:rFonts w:ascii="Arial" w:hAnsi="Arial" w:cs="Arial"/>
                <w:sz w:val="21"/>
                <w:szCs w:val="21"/>
              </w:rPr>
              <w:t>harass</w:t>
            </w:r>
            <w:r w:rsidRPr="00A820CC">
              <w:rPr>
                <w:rFonts w:ascii="Arial" w:hAnsi="Arial" w:cs="Arial"/>
                <w:spacing w:val="20"/>
                <w:sz w:val="21"/>
                <w:szCs w:val="21"/>
              </w:rPr>
              <w:t xml:space="preserve"> </w:t>
            </w:r>
            <w:r w:rsidRPr="00A820CC">
              <w:rPr>
                <w:rFonts w:ascii="Arial" w:hAnsi="Arial" w:cs="Arial"/>
                <w:sz w:val="21"/>
                <w:szCs w:val="21"/>
              </w:rPr>
              <w:t>a</w:t>
            </w:r>
            <w:r w:rsidRPr="00A820CC">
              <w:rPr>
                <w:rFonts w:ascii="Arial" w:hAnsi="Arial" w:cs="Arial"/>
                <w:spacing w:val="20"/>
                <w:sz w:val="21"/>
                <w:szCs w:val="21"/>
              </w:rPr>
              <w:t xml:space="preserve"> </w:t>
            </w:r>
            <w:r w:rsidRPr="00A820CC">
              <w:rPr>
                <w:rFonts w:ascii="Arial" w:hAnsi="Arial" w:cs="Arial"/>
                <w:sz w:val="21"/>
                <w:szCs w:val="21"/>
              </w:rPr>
              <w:t>current or former partner.</w:t>
            </w:r>
            <w:r w:rsidRPr="00A820CC">
              <w:rPr>
                <w:rStyle w:val="EndnoteReference"/>
                <w:rFonts w:ascii="Arial" w:hAnsi="Arial" w:cs="Arial"/>
                <w:sz w:val="21"/>
                <w:szCs w:val="21"/>
              </w:rPr>
              <w:endnoteReference w:id="71"/>
            </w:r>
            <w:r w:rsidRPr="00A820CC">
              <w:rPr>
                <w:rFonts w:ascii="Arial" w:hAnsi="Arial" w:cs="Arial"/>
                <w:spacing w:val="40"/>
                <w:position w:val="7"/>
                <w:sz w:val="12"/>
                <w:szCs w:val="12"/>
              </w:rPr>
              <w:t xml:space="preserve"> </w:t>
            </w:r>
            <w:r w:rsidRPr="00A820CC">
              <w:rPr>
                <w:rFonts w:ascii="Arial" w:hAnsi="Arial" w:cs="Arial"/>
                <w:sz w:val="21"/>
                <w:szCs w:val="21"/>
              </w:rPr>
              <w:t>Perpetrators of domestic and family violence who seek</w:t>
            </w:r>
            <w:r>
              <w:rPr>
                <w:rFonts w:ascii="Arial" w:hAnsi="Arial" w:cs="Arial"/>
                <w:sz w:val="21"/>
                <w:szCs w:val="21"/>
              </w:rPr>
              <w:t xml:space="preserve"> </w:t>
            </w:r>
            <w:r w:rsidRPr="00A820CC">
              <w:rPr>
                <w:rFonts w:ascii="Arial" w:hAnsi="Arial" w:cs="Arial"/>
                <w:sz w:val="21"/>
                <w:szCs w:val="21"/>
              </w:rPr>
              <w:t>to control the victim before, during or after separation may make multiple applications and complaints in multiple systems (for example the courts, Child Support, Centrelink) in relation to a protection order, breach, parenting, divorce, property, child and welfare support and other matters with the intention of interrupting, deferring, prolonging or dismissing judicial and administrative processes, which may result in depleting the victim’s financial resources and emotional wellbeing, and adversely impacting the victim’s capacity to maintain employment or to care for children.</w:t>
            </w:r>
            <w:r w:rsidRPr="00A820CC">
              <w:rPr>
                <w:rStyle w:val="EndnoteReference"/>
                <w:rFonts w:ascii="Arial" w:hAnsi="Arial" w:cs="Arial"/>
                <w:sz w:val="21"/>
                <w:szCs w:val="21"/>
              </w:rPr>
              <w:endnoteReference w:id="72"/>
            </w:r>
          </w:p>
        </w:tc>
      </w:tr>
      <w:tr w:rsidR="00B74C5A" w:rsidRPr="000057CB" w14:paraId="0EBADEAA" w14:textId="77777777" w:rsidTr="005E0A16">
        <w:tc>
          <w:tcPr>
            <w:tcW w:w="1033" w:type="pct"/>
            <w:tcBorders>
              <w:top w:val="single" w:sz="4" w:space="0" w:color="000000" w:themeColor="text1"/>
              <w:bottom w:val="single" w:sz="4" w:space="0" w:color="000000" w:themeColor="text1"/>
            </w:tcBorders>
          </w:tcPr>
          <w:p w14:paraId="75E543F0" w14:textId="54806A0C" w:rsidR="00B74C5A" w:rsidRPr="00867FAF" w:rsidRDefault="00B74C5A" w:rsidP="003861F3">
            <w:pPr>
              <w:pStyle w:val="TableParagraph"/>
              <w:spacing w:before="0" w:after="120"/>
              <w:rPr>
                <w:rFonts w:ascii="Arial" w:hAnsi="Arial" w:cs="Arial"/>
                <w:spacing w:val="-2"/>
              </w:rPr>
            </w:pPr>
            <w:r w:rsidRPr="00A820CC">
              <w:rPr>
                <w:rFonts w:ascii="Arial" w:hAnsi="Arial" w:cs="Arial"/>
                <w:sz w:val="21"/>
                <w:szCs w:val="21"/>
              </w:rPr>
              <w:t>Systems and Structures</w:t>
            </w:r>
          </w:p>
        </w:tc>
        <w:tc>
          <w:tcPr>
            <w:tcW w:w="3967" w:type="pct"/>
            <w:tcBorders>
              <w:top w:val="single" w:sz="4" w:space="0" w:color="000000" w:themeColor="text1"/>
              <w:bottom w:val="single" w:sz="4" w:space="0" w:color="000000" w:themeColor="text1"/>
            </w:tcBorders>
          </w:tcPr>
          <w:p w14:paraId="776C3F07" w14:textId="40C8B01B" w:rsidR="00B74C5A" w:rsidRPr="00A820CC" w:rsidRDefault="00B74C5A" w:rsidP="003861F3">
            <w:pPr>
              <w:pStyle w:val="TableParagraph"/>
              <w:spacing w:before="0" w:after="120" w:line="242" w:lineRule="auto"/>
              <w:rPr>
                <w:rFonts w:ascii="Arial" w:hAnsi="Arial" w:cs="Arial"/>
              </w:rPr>
            </w:pPr>
            <w:r w:rsidRPr="00A820CC">
              <w:rPr>
                <w:rFonts w:ascii="Arial" w:hAnsi="Arial" w:cs="Arial"/>
                <w:sz w:val="21"/>
                <w:szCs w:val="21"/>
              </w:rPr>
              <w:t>Macro-level mechanisms, both formal (policies, institutions and laws) and informal (social norms), which serve to organise society, and create power relationships between different groups of people and patterns of social and political power.</w:t>
            </w:r>
            <w:r w:rsidRPr="00A820CC">
              <w:rPr>
                <w:rStyle w:val="EndnoteReference"/>
                <w:rFonts w:ascii="Arial" w:hAnsi="Arial" w:cs="Arial"/>
                <w:sz w:val="21"/>
                <w:szCs w:val="21"/>
              </w:rPr>
              <w:endnoteReference w:id="73"/>
            </w:r>
          </w:p>
        </w:tc>
      </w:tr>
      <w:tr w:rsidR="00B74C5A" w:rsidRPr="000057CB" w14:paraId="6A7962F7" w14:textId="77777777" w:rsidTr="005E0A16">
        <w:tc>
          <w:tcPr>
            <w:tcW w:w="1033" w:type="pct"/>
            <w:tcBorders>
              <w:top w:val="single" w:sz="4" w:space="0" w:color="000000" w:themeColor="text1"/>
              <w:bottom w:val="single" w:sz="4" w:space="0" w:color="000000" w:themeColor="text1"/>
            </w:tcBorders>
          </w:tcPr>
          <w:p w14:paraId="5A9AE5A6" w14:textId="061A9E84" w:rsidR="00B74C5A" w:rsidRPr="00867FAF" w:rsidRDefault="00B74C5A" w:rsidP="003861F3">
            <w:pPr>
              <w:pStyle w:val="TableParagraph"/>
              <w:spacing w:before="0" w:after="120"/>
              <w:rPr>
                <w:rFonts w:ascii="Arial" w:hAnsi="Arial" w:cs="Arial"/>
                <w:spacing w:val="-2"/>
              </w:rPr>
            </w:pPr>
            <w:r w:rsidRPr="00A820CC">
              <w:rPr>
                <w:rFonts w:ascii="Arial" w:hAnsi="Arial" w:cs="Arial"/>
                <w:spacing w:val="-4"/>
                <w:sz w:val="21"/>
                <w:szCs w:val="21"/>
              </w:rPr>
              <w:t>Technology-facilitated abuse</w:t>
            </w:r>
          </w:p>
        </w:tc>
        <w:tc>
          <w:tcPr>
            <w:tcW w:w="3967" w:type="pct"/>
            <w:tcBorders>
              <w:top w:val="single" w:sz="4" w:space="0" w:color="000000" w:themeColor="text1"/>
              <w:bottom w:val="single" w:sz="4" w:space="0" w:color="000000" w:themeColor="text1"/>
            </w:tcBorders>
          </w:tcPr>
          <w:p w14:paraId="0368E72D" w14:textId="2AB8A8EF" w:rsidR="00B74C5A" w:rsidRPr="00A820CC" w:rsidRDefault="00B74C5A" w:rsidP="003861F3">
            <w:pPr>
              <w:pStyle w:val="TableParagraph"/>
              <w:spacing w:before="0" w:after="120" w:line="242" w:lineRule="auto"/>
              <w:rPr>
                <w:rFonts w:ascii="Arial" w:hAnsi="Arial" w:cs="Arial"/>
              </w:rPr>
            </w:pPr>
            <w:r w:rsidRPr="00A820CC">
              <w:rPr>
                <w:rFonts w:ascii="Arial" w:hAnsi="Arial" w:cs="Arial"/>
                <w:sz w:val="21"/>
                <w:szCs w:val="21"/>
              </w:rPr>
              <w:t>A wide-ranging term that encompasses many subtypes of interpersonal violence and abuse using mobile, online and other digital technologies. These include harassing behaviours, sexual violence and image-based sexual abuse, monitoring and controlling behaviours, and emotional abuse and threats.</w:t>
            </w:r>
          </w:p>
        </w:tc>
      </w:tr>
      <w:tr w:rsidR="00B74C5A" w:rsidRPr="000057CB" w14:paraId="6B0D46AC" w14:textId="77777777" w:rsidTr="005E0A16">
        <w:tc>
          <w:tcPr>
            <w:tcW w:w="1033" w:type="pct"/>
            <w:tcBorders>
              <w:top w:val="single" w:sz="4" w:space="0" w:color="000000" w:themeColor="text1"/>
              <w:bottom w:val="single" w:sz="4" w:space="0" w:color="000000" w:themeColor="text1"/>
            </w:tcBorders>
          </w:tcPr>
          <w:p w14:paraId="2F6B9459" w14:textId="659A2A1E" w:rsidR="00B74C5A" w:rsidRPr="00867FAF" w:rsidRDefault="00B74C5A" w:rsidP="003861F3">
            <w:pPr>
              <w:pStyle w:val="TableParagraph"/>
              <w:spacing w:before="0" w:after="120"/>
              <w:rPr>
                <w:rFonts w:ascii="Arial" w:hAnsi="Arial" w:cs="Arial"/>
                <w:spacing w:val="-2"/>
              </w:rPr>
            </w:pPr>
            <w:r w:rsidRPr="00A820CC">
              <w:rPr>
                <w:rFonts w:ascii="Arial" w:hAnsi="Arial" w:cs="Arial"/>
                <w:spacing w:val="-2"/>
                <w:sz w:val="21"/>
                <w:szCs w:val="21"/>
              </w:rPr>
              <w:t>Trans</w:t>
            </w:r>
          </w:p>
        </w:tc>
        <w:tc>
          <w:tcPr>
            <w:tcW w:w="3967" w:type="pct"/>
            <w:tcBorders>
              <w:top w:val="single" w:sz="4" w:space="0" w:color="000000" w:themeColor="text1"/>
              <w:bottom w:val="single" w:sz="4" w:space="0" w:color="000000" w:themeColor="text1"/>
            </w:tcBorders>
          </w:tcPr>
          <w:p w14:paraId="4D26F837" w14:textId="5514F458" w:rsidR="00B74C5A" w:rsidRPr="00A820CC" w:rsidRDefault="00B74C5A" w:rsidP="003861F3">
            <w:pPr>
              <w:pStyle w:val="TableParagraph"/>
              <w:spacing w:before="0" w:after="120" w:line="242" w:lineRule="auto"/>
              <w:rPr>
                <w:rFonts w:ascii="Arial" w:hAnsi="Arial" w:cs="Arial"/>
              </w:rPr>
            </w:pPr>
            <w:r w:rsidRPr="00A820CC">
              <w:rPr>
                <w:rFonts w:ascii="Arial" w:hAnsi="Arial" w:cs="Arial"/>
                <w:sz w:val="21"/>
                <w:szCs w:val="21"/>
              </w:rPr>
              <w:t>An inclusive umbrella term that describes people whose gender is different to what</w:t>
            </w:r>
            <w:r w:rsidRPr="00A820CC">
              <w:rPr>
                <w:rFonts w:ascii="Arial" w:hAnsi="Arial" w:cs="Arial"/>
                <w:spacing w:val="-3"/>
                <w:sz w:val="21"/>
                <w:szCs w:val="21"/>
              </w:rPr>
              <w:t xml:space="preserve"> </w:t>
            </w:r>
            <w:r w:rsidRPr="00A820CC">
              <w:rPr>
                <w:rFonts w:ascii="Arial" w:hAnsi="Arial" w:cs="Arial"/>
                <w:sz w:val="21"/>
                <w:szCs w:val="21"/>
              </w:rPr>
              <w:t>was</w:t>
            </w:r>
            <w:r w:rsidRPr="00A820CC">
              <w:rPr>
                <w:rFonts w:ascii="Arial" w:hAnsi="Arial" w:cs="Arial"/>
                <w:spacing w:val="-3"/>
                <w:sz w:val="21"/>
                <w:szCs w:val="21"/>
              </w:rPr>
              <w:t xml:space="preserve"> </w:t>
            </w:r>
            <w:r w:rsidRPr="00A820CC">
              <w:rPr>
                <w:rFonts w:ascii="Arial" w:hAnsi="Arial" w:cs="Arial"/>
                <w:sz w:val="21"/>
                <w:szCs w:val="21"/>
              </w:rPr>
              <w:t>presumed</w:t>
            </w:r>
            <w:r w:rsidRPr="00A820CC">
              <w:rPr>
                <w:rFonts w:ascii="Arial" w:hAnsi="Arial" w:cs="Arial"/>
                <w:spacing w:val="-3"/>
                <w:sz w:val="21"/>
                <w:szCs w:val="21"/>
              </w:rPr>
              <w:t xml:space="preserve"> </w:t>
            </w:r>
            <w:r w:rsidRPr="00A820CC">
              <w:rPr>
                <w:rFonts w:ascii="Arial" w:hAnsi="Arial" w:cs="Arial"/>
                <w:sz w:val="21"/>
                <w:szCs w:val="21"/>
              </w:rPr>
              <w:t>for</w:t>
            </w:r>
            <w:r w:rsidRPr="00A820CC">
              <w:rPr>
                <w:rFonts w:ascii="Arial" w:hAnsi="Arial" w:cs="Arial"/>
                <w:spacing w:val="-3"/>
                <w:sz w:val="21"/>
                <w:szCs w:val="21"/>
              </w:rPr>
              <w:t xml:space="preserve"> </w:t>
            </w:r>
            <w:r w:rsidRPr="00A820CC">
              <w:rPr>
                <w:rFonts w:ascii="Arial" w:hAnsi="Arial" w:cs="Arial"/>
                <w:sz w:val="21"/>
                <w:szCs w:val="21"/>
              </w:rPr>
              <w:t>them</w:t>
            </w:r>
            <w:r w:rsidRPr="00A820CC">
              <w:rPr>
                <w:rFonts w:ascii="Arial" w:hAnsi="Arial" w:cs="Arial"/>
                <w:spacing w:val="-3"/>
                <w:sz w:val="21"/>
                <w:szCs w:val="21"/>
              </w:rPr>
              <w:t xml:space="preserve"> </w:t>
            </w:r>
            <w:r w:rsidRPr="00A820CC">
              <w:rPr>
                <w:rFonts w:ascii="Arial" w:hAnsi="Arial" w:cs="Arial"/>
                <w:sz w:val="21"/>
                <w:szCs w:val="21"/>
              </w:rPr>
              <w:t>at</w:t>
            </w:r>
            <w:r w:rsidRPr="00A820CC">
              <w:rPr>
                <w:rFonts w:ascii="Arial" w:hAnsi="Arial" w:cs="Arial"/>
                <w:spacing w:val="-3"/>
                <w:sz w:val="21"/>
                <w:szCs w:val="21"/>
              </w:rPr>
              <w:t xml:space="preserve"> </w:t>
            </w:r>
            <w:r w:rsidRPr="00A820CC">
              <w:rPr>
                <w:rFonts w:ascii="Arial" w:hAnsi="Arial" w:cs="Arial"/>
                <w:sz w:val="21"/>
                <w:szCs w:val="21"/>
              </w:rPr>
              <w:t>birth.</w:t>
            </w:r>
            <w:r w:rsidRPr="00A820CC">
              <w:rPr>
                <w:rFonts w:ascii="Arial" w:hAnsi="Arial" w:cs="Arial"/>
                <w:spacing w:val="-3"/>
                <w:sz w:val="21"/>
                <w:szCs w:val="21"/>
              </w:rPr>
              <w:t xml:space="preserve"> </w:t>
            </w:r>
            <w:r w:rsidRPr="00A820CC">
              <w:rPr>
                <w:rFonts w:ascii="Arial" w:hAnsi="Arial" w:cs="Arial"/>
                <w:sz w:val="21"/>
                <w:szCs w:val="21"/>
              </w:rPr>
              <w:t>Trans</w:t>
            </w:r>
            <w:r w:rsidRPr="00A820CC">
              <w:rPr>
                <w:rFonts w:ascii="Arial" w:hAnsi="Arial" w:cs="Arial"/>
                <w:spacing w:val="-3"/>
                <w:sz w:val="21"/>
                <w:szCs w:val="21"/>
              </w:rPr>
              <w:t xml:space="preserve"> </w:t>
            </w:r>
            <w:r w:rsidRPr="00A820CC">
              <w:rPr>
                <w:rFonts w:ascii="Arial" w:hAnsi="Arial" w:cs="Arial"/>
                <w:sz w:val="21"/>
                <w:szCs w:val="21"/>
              </w:rPr>
              <w:t>people</w:t>
            </w:r>
            <w:r w:rsidRPr="00A820CC">
              <w:rPr>
                <w:rFonts w:ascii="Arial" w:hAnsi="Arial" w:cs="Arial"/>
                <w:spacing w:val="-3"/>
                <w:sz w:val="21"/>
                <w:szCs w:val="21"/>
              </w:rPr>
              <w:t xml:space="preserve"> </w:t>
            </w:r>
            <w:r w:rsidRPr="00A820CC">
              <w:rPr>
                <w:rFonts w:ascii="Arial" w:hAnsi="Arial" w:cs="Arial"/>
                <w:sz w:val="21"/>
                <w:szCs w:val="21"/>
              </w:rPr>
              <w:t>may</w:t>
            </w:r>
            <w:r w:rsidRPr="00A820CC">
              <w:rPr>
                <w:rFonts w:ascii="Arial" w:hAnsi="Arial" w:cs="Arial"/>
                <w:spacing w:val="-3"/>
                <w:sz w:val="21"/>
                <w:szCs w:val="21"/>
              </w:rPr>
              <w:t xml:space="preserve"> </w:t>
            </w:r>
            <w:r w:rsidRPr="00A820CC">
              <w:rPr>
                <w:rFonts w:ascii="Arial" w:hAnsi="Arial" w:cs="Arial"/>
                <w:sz w:val="21"/>
                <w:szCs w:val="21"/>
              </w:rPr>
              <w:t>position</w:t>
            </w:r>
            <w:r w:rsidRPr="00A820CC">
              <w:rPr>
                <w:rFonts w:ascii="Arial" w:hAnsi="Arial" w:cs="Arial"/>
                <w:spacing w:val="-3"/>
                <w:sz w:val="21"/>
                <w:szCs w:val="21"/>
              </w:rPr>
              <w:t xml:space="preserve"> </w:t>
            </w:r>
            <w:r w:rsidRPr="00A820CC">
              <w:rPr>
                <w:rFonts w:ascii="Arial" w:hAnsi="Arial" w:cs="Arial"/>
                <w:sz w:val="21"/>
                <w:szCs w:val="21"/>
              </w:rPr>
              <w:t>‘being</w:t>
            </w:r>
            <w:r w:rsidRPr="00A820CC">
              <w:rPr>
                <w:rFonts w:ascii="Arial" w:hAnsi="Arial" w:cs="Arial"/>
                <w:spacing w:val="-3"/>
                <w:sz w:val="21"/>
                <w:szCs w:val="21"/>
              </w:rPr>
              <w:t xml:space="preserve"> </w:t>
            </w:r>
            <w:r w:rsidRPr="00A820CC">
              <w:rPr>
                <w:rFonts w:ascii="Arial" w:hAnsi="Arial" w:cs="Arial"/>
                <w:sz w:val="21"/>
                <w:szCs w:val="21"/>
              </w:rPr>
              <w:t>trans’</w:t>
            </w:r>
            <w:r w:rsidRPr="00A820CC">
              <w:rPr>
                <w:rFonts w:ascii="Arial" w:hAnsi="Arial" w:cs="Arial"/>
                <w:spacing w:val="-3"/>
                <w:sz w:val="21"/>
                <w:szCs w:val="21"/>
              </w:rPr>
              <w:t xml:space="preserve"> </w:t>
            </w:r>
            <w:r w:rsidRPr="00A820CC">
              <w:rPr>
                <w:rFonts w:ascii="Arial" w:hAnsi="Arial" w:cs="Arial"/>
                <w:sz w:val="21"/>
                <w:szCs w:val="21"/>
              </w:rPr>
              <w:t>as a</w:t>
            </w:r>
            <w:r w:rsidRPr="00A820CC">
              <w:rPr>
                <w:rFonts w:ascii="Arial" w:hAnsi="Arial" w:cs="Arial"/>
                <w:spacing w:val="-1"/>
                <w:sz w:val="21"/>
                <w:szCs w:val="21"/>
              </w:rPr>
              <w:t xml:space="preserve"> </w:t>
            </w:r>
            <w:r w:rsidRPr="00A820CC">
              <w:rPr>
                <w:rFonts w:ascii="Arial" w:hAnsi="Arial" w:cs="Arial"/>
                <w:sz w:val="21"/>
                <w:szCs w:val="21"/>
              </w:rPr>
              <w:t>history</w:t>
            </w:r>
            <w:r w:rsidRPr="00A820CC">
              <w:rPr>
                <w:rFonts w:ascii="Arial" w:hAnsi="Arial" w:cs="Arial"/>
                <w:spacing w:val="-1"/>
                <w:sz w:val="21"/>
                <w:szCs w:val="21"/>
              </w:rPr>
              <w:t xml:space="preserve"> </w:t>
            </w:r>
            <w:r w:rsidRPr="00A820CC">
              <w:rPr>
                <w:rFonts w:ascii="Arial" w:hAnsi="Arial" w:cs="Arial"/>
                <w:sz w:val="21"/>
                <w:szCs w:val="21"/>
              </w:rPr>
              <w:t>or</w:t>
            </w:r>
            <w:r w:rsidRPr="00A820CC">
              <w:rPr>
                <w:rFonts w:ascii="Arial" w:hAnsi="Arial" w:cs="Arial"/>
                <w:spacing w:val="-1"/>
                <w:sz w:val="21"/>
                <w:szCs w:val="21"/>
              </w:rPr>
              <w:t xml:space="preserve"> </w:t>
            </w:r>
            <w:r w:rsidRPr="00A820CC">
              <w:rPr>
                <w:rFonts w:ascii="Arial" w:hAnsi="Arial" w:cs="Arial"/>
                <w:sz w:val="21"/>
                <w:szCs w:val="21"/>
              </w:rPr>
              <w:t>experience,</w:t>
            </w:r>
            <w:r w:rsidRPr="00A820CC">
              <w:rPr>
                <w:rFonts w:ascii="Arial" w:hAnsi="Arial" w:cs="Arial"/>
                <w:spacing w:val="-1"/>
                <w:sz w:val="21"/>
                <w:szCs w:val="21"/>
              </w:rPr>
              <w:t xml:space="preserve"> </w:t>
            </w:r>
            <w:r w:rsidRPr="00A820CC">
              <w:rPr>
                <w:rFonts w:ascii="Arial" w:hAnsi="Arial" w:cs="Arial"/>
                <w:sz w:val="21"/>
                <w:szCs w:val="21"/>
              </w:rPr>
              <w:t>rather</w:t>
            </w:r>
            <w:r w:rsidRPr="00A820CC">
              <w:rPr>
                <w:rFonts w:ascii="Arial" w:hAnsi="Arial" w:cs="Arial"/>
                <w:spacing w:val="-1"/>
                <w:sz w:val="21"/>
                <w:szCs w:val="21"/>
              </w:rPr>
              <w:t xml:space="preserve"> </w:t>
            </w:r>
            <w:r w:rsidRPr="00A820CC">
              <w:rPr>
                <w:rFonts w:ascii="Arial" w:hAnsi="Arial" w:cs="Arial"/>
                <w:sz w:val="21"/>
                <w:szCs w:val="21"/>
              </w:rPr>
              <w:t>than</w:t>
            </w:r>
            <w:r w:rsidRPr="00A820CC">
              <w:rPr>
                <w:rFonts w:ascii="Arial" w:hAnsi="Arial" w:cs="Arial"/>
                <w:spacing w:val="-1"/>
                <w:sz w:val="21"/>
                <w:szCs w:val="21"/>
              </w:rPr>
              <w:t xml:space="preserve"> </w:t>
            </w:r>
            <w:r w:rsidRPr="00A820CC">
              <w:rPr>
                <w:rFonts w:ascii="Arial" w:hAnsi="Arial" w:cs="Arial"/>
                <w:sz w:val="21"/>
                <w:szCs w:val="21"/>
              </w:rPr>
              <w:t>an</w:t>
            </w:r>
            <w:r w:rsidRPr="00A820CC">
              <w:rPr>
                <w:rFonts w:ascii="Arial" w:hAnsi="Arial" w:cs="Arial"/>
                <w:spacing w:val="-1"/>
                <w:sz w:val="21"/>
                <w:szCs w:val="21"/>
              </w:rPr>
              <w:t xml:space="preserve"> </w:t>
            </w:r>
            <w:r w:rsidRPr="00A820CC">
              <w:rPr>
                <w:rFonts w:ascii="Arial" w:hAnsi="Arial" w:cs="Arial"/>
                <w:sz w:val="21"/>
                <w:szCs w:val="21"/>
              </w:rPr>
              <w:t>identity,</w:t>
            </w:r>
            <w:r w:rsidRPr="00A820CC">
              <w:rPr>
                <w:rFonts w:ascii="Arial" w:hAnsi="Arial" w:cs="Arial"/>
                <w:spacing w:val="-1"/>
                <w:sz w:val="21"/>
                <w:szCs w:val="21"/>
              </w:rPr>
              <w:t xml:space="preserve"> </w:t>
            </w:r>
            <w:r w:rsidRPr="00A820CC">
              <w:rPr>
                <w:rFonts w:ascii="Arial" w:hAnsi="Arial" w:cs="Arial"/>
                <w:sz w:val="21"/>
                <w:szCs w:val="21"/>
              </w:rPr>
              <w:t>and</w:t>
            </w:r>
            <w:r w:rsidRPr="00A820CC">
              <w:rPr>
                <w:rFonts w:ascii="Arial" w:hAnsi="Arial" w:cs="Arial"/>
                <w:spacing w:val="-1"/>
                <w:sz w:val="21"/>
                <w:szCs w:val="21"/>
              </w:rPr>
              <w:t xml:space="preserve"> </w:t>
            </w:r>
            <w:r w:rsidRPr="00A820CC">
              <w:rPr>
                <w:rFonts w:ascii="Arial" w:hAnsi="Arial" w:cs="Arial"/>
                <w:sz w:val="21"/>
                <w:szCs w:val="21"/>
              </w:rPr>
              <w:t>consider</w:t>
            </w:r>
            <w:r w:rsidRPr="00A820CC">
              <w:rPr>
                <w:rFonts w:ascii="Arial" w:hAnsi="Arial" w:cs="Arial"/>
                <w:spacing w:val="-1"/>
                <w:sz w:val="21"/>
                <w:szCs w:val="21"/>
              </w:rPr>
              <w:t xml:space="preserve"> </w:t>
            </w:r>
            <w:r w:rsidRPr="00A820CC">
              <w:rPr>
                <w:rFonts w:ascii="Arial" w:hAnsi="Arial" w:cs="Arial"/>
                <w:sz w:val="21"/>
                <w:szCs w:val="21"/>
              </w:rPr>
              <w:t>their</w:t>
            </w:r>
            <w:r w:rsidRPr="00A820CC">
              <w:rPr>
                <w:rFonts w:ascii="Arial" w:hAnsi="Arial" w:cs="Arial"/>
                <w:spacing w:val="-1"/>
                <w:sz w:val="21"/>
                <w:szCs w:val="21"/>
              </w:rPr>
              <w:t xml:space="preserve"> </w:t>
            </w:r>
            <w:r w:rsidRPr="00A820CC">
              <w:rPr>
                <w:rFonts w:ascii="Arial" w:hAnsi="Arial" w:cs="Arial"/>
                <w:sz w:val="21"/>
                <w:szCs w:val="21"/>
              </w:rPr>
              <w:t>gender</w:t>
            </w:r>
            <w:r w:rsidRPr="00A820CC">
              <w:rPr>
                <w:rFonts w:ascii="Arial" w:hAnsi="Arial" w:cs="Arial"/>
                <w:spacing w:val="-1"/>
                <w:sz w:val="21"/>
                <w:szCs w:val="21"/>
              </w:rPr>
              <w:t xml:space="preserve"> </w:t>
            </w:r>
            <w:r w:rsidRPr="00A820CC">
              <w:rPr>
                <w:rFonts w:ascii="Arial" w:hAnsi="Arial" w:cs="Arial"/>
                <w:sz w:val="21"/>
                <w:szCs w:val="21"/>
              </w:rPr>
              <w:t>identity as</w:t>
            </w:r>
            <w:r w:rsidRPr="00A820CC">
              <w:rPr>
                <w:rFonts w:ascii="Arial" w:hAnsi="Arial" w:cs="Arial"/>
                <w:spacing w:val="-8"/>
                <w:sz w:val="21"/>
                <w:szCs w:val="21"/>
              </w:rPr>
              <w:t xml:space="preserve"> </w:t>
            </w:r>
            <w:r w:rsidRPr="00A820CC">
              <w:rPr>
                <w:rFonts w:ascii="Arial" w:hAnsi="Arial" w:cs="Arial"/>
                <w:sz w:val="21"/>
                <w:szCs w:val="21"/>
              </w:rPr>
              <w:t>simply</w:t>
            </w:r>
            <w:r w:rsidRPr="00A820CC">
              <w:rPr>
                <w:rFonts w:ascii="Arial" w:hAnsi="Arial" w:cs="Arial"/>
                <w:spacing w:val="-8"/>
                <w:sz w:val="21"/>
                <w:szCs w:val="21"/>
              </w:rPr>
              <w:t xml:space="preserve"> </w:t>
            </w:r>
            <w:r w:rsidRPr="00A820CC">
              <w:rPr>
                <w:rFonts w:ascii="Arial" w:hAnsi="Arial" w:cs="Arial"/>
                <w:sz w:val="21"/>
                <w:szCs w:val="21"/>
              </w:rPr>
              <w:t>being</w:t>
            </w:r>
            <w:r w:rsidRPr="00A820CC">
              <w:rPr>
                <w:rFonts w:ascii="Arial" w:hAnsi="Arial" w:cs="Arial"/>
                <w:spacing w:val="-8"/>
                <w:sz w:val="21"/>
                <w:szCs w:val="21"/>
              </w:rPr>
              <w:t xml:space="preserve"> </w:t>
            </w:r>
            <w:r w:rsidRPr="00A820CC">
              <w:rPr>
                <w:rFonts w:ascii="Arial" w:hAnsi="Arial" w:cs="Arial"/>
                <w:sz w:val="21"/>
                <w:szCs w:val="21"/>
              </w:rPr>
              <w:t>female,</w:t>
            </w:r>
            <w:r w:rsidRPr="00A820CC">
              <w:rPr>
                <w:rFonts w:ascii="Arial" w:hAnsi="Arial" w:cs="Arial"/>
                <w:spacing w:val="-8"/>
                <w:sz w:val="21"/>
                <w:szCs w:val="21"/>
              </w:rPr>
              <w:t xml:space="preserve"> </w:t>
            </w:r>
            <w:r w:rsidRPr="00A820CC">
              <w:rPr>
                <w:rFonts w:ascii="Arial" w:hAnsi="Arial" w:cs="Arial"/>
                <w:sz w:val="21"/>
                <w:szCs w:val="21"/>
              </w:rPr>
              <w:t>male</w:t>
            </w:r>
            <w:r w:rsidRPr="00A820CC">
              <w:rPr>
                <w:rFonts w:ascii="Arial" w:hAnsi="Arial" w:cs="Arial"/>
                <w:spacing w:val="-8"/>
                <w:sz w:val="21"/>
                <w:szCs w:val="21"/>
              </w:rPr>
              <w:t xml:space="preserve"> </w:t>
            </w:r>
            <w:r w:rsidRPr="00A820CC">
              <w:rPr>
                <w:rFonts w:ascii="Arial" w:hAnsi="Arial" w:cs="Arial"/>
                <w:sz w:val="21"/>
                <w:szCs w:val="21"/>
              </w:rPr>
              <w:t>or</w:t>
            </w:r>
            <w:r w:rsidRPr="00A820CC">
              <w:rPr>
                <w:rFonts w:ascii="Arial" w:hAnsi="Arial" w:cs="Arial"/>
                <w:spacing w:val="-8"/>
                <w:sz w:val="21"/>
                <w:szCs w:val="21"/>
              </w:rPr>
              <w:t xml:space="preserve"> </w:t>
            </w:r>
            <w:r w:rsidRPr="00A820CC">
              <w:rPr>
                <w:rFonts w:ascii="Arial" w:hAnsi="Arial" w:cs="Arial"/>
                <w:sz w:val="21"/>
                <w:szCs w:val="21"/>
              </w:rPr>
              <w:t>a</w:t>
            </w:r>
            <w:r w:rsidRPr="00A820CC">
              <w:rPr>
                <w:rFonts w:ascii="Arial" w:hAnsi="Arial" w:cs="Arial"/>
                <w:spacing w:val="-8"/>
                <w:sz w:val="21"/>
                <w:szCs w:val="21"/>
              </w:rPr>
              <w:t xml:space="preserve"> </w:t>
            </w:r>
            <w:r w:rsidRPr="00A820CC">
              <w:rPr>
                <w:rFonts w:ascii="Arial" w:hAnsi="Arial" w:cs="Arial"/>
                <w:sz w:val="21"/>
                <w:szCs w:val="21"/>
              </w:rPr>
              <w:t>non-binary</w:t>
            </w:r>
            <w:r w:rsidRPr="00A820CC">
              <w:rPr>
                <w:rFonts w:ascii="Arial" w:hAnsi="Arial" w:cs="Arial"/>
                <w:spacing w:val="-8"/>
                <w:sz w:val="21"/>
                <w:szCs w:val="21"/>
              </w:rPr>
              <w:t xml:space="preserve"> </w:t>
            </w:r>
            <w:r w:rsidRPr="00A820CC">
              <w:rPr>
                <w:rFonts w:ascii="Arial" w:hAnsi="Arial" w:cs="Arial"/>
                <w:sz w:val="21"/>
                <w:szCs w:val="21"/>
              </w:rPr>
              <w:t>gender.</w:t>
            </w:r>
            <w:r w:rsidRPr="00A820CC">
              <w:rPr>
                <w:rFonts w:ascii="Arial" w:hAnsi="Arial" w:cs="Arial"/>
                <w:spacing w:val="-8"/>
                <w:sz w:val="21"/>
                <w:szCs w:val="21"/>
              </w:rPr>
              <w:t xml:space="preserve"> </w:t>
            </w:r>
            <w:r w:rsidRPr="00A820CC">
              <w:rPr>
                <w:rFonts w:ascii="Arial" w:hAnsi="Arial" w:cs="Arial"/>
                <w:sz w:val="21"/>
                <w:szCs w:val="21"/>
              </w:rPr>
              <w:t>Some</w:t>
            </w:r>
            <w:r w:rsidRPr="00A820CC">
              <w:rPr>
                <w:rFonts w:ascii="Arial" w:hAnsi="Arial" w:cs="Arial"/>
                <w:spacing w:val="-8"/>
                <w:sz w:val="21"/>
                <w:szCs w:val="21"/>
              </w:rPr>
              <w:t xml:space="preserve"> </w:t>
            </w:r>
            <w:r w:rsidRPr="00A820CC">
              <w:rPr>
                <w:rFonts w:ascii="Arial" w:hAnsi="Arial" w:cs="Arial"/>
                <w:sz w:val="21"/>
                <w:szCs w:val="21"/>
              </w:rPr>
              <w:t>trans</w:t>
            </w:r>
            <w:r w:rsidRPr="00A820CC">
              <w:rPr>
                <w:rFonts w:ascii="Arial" w:hAnsi="Arial" w:cs="Arial"/>
                <w:spacing w:val="-8"/>
                <w:sz w:val="21"/>
                <w:szCs w:val="21"/>
              </w:rPr>
              <w:t xml:space="preserve"> </w:t>
            </w:r>
            <w:r w:rsidRPr="00A820CC">
              <w:rPr>
                <w:rFonts w:ascii="Arial" w:hAnsi="Arial" w:cs="Arial"/>
                <w:sz w:val="21"/>
                <w:szCs w:val="21"/>
              </w:rPr>
              <w:t>people</w:t>
            </w:r>
            <w:r w:rsidRPr="00A820CC">
              <w:rPr>
                <w:rFonts w:ascii="Arial" w:hAnsi="Arial" w:cs="Arial"/>
                <w:spacing w:val="-8"/>
                <w:sz w:val="21"/>
                <w:szCs w:val="21"/>
              </w:rPr>
              <w:t xml:space="preserve"> </w:t>
            </w:r>
            <w:r w:rsidRPr="00A820CC">
              <w:rPr>
                <w:rFonts w:ascii="Arial" w:hAnsi="Arial" w:cs="Arial"/>
                <w:sz w:val="21"/>
                <w:szCs w:val="21"/>
              </w:rPr>
              <w:t>connect strongly</w:t>
            </w:r>
            <w:r w:rsidRPr="00A820CC">
              <w:rPr>
                <w:rFonts w:ascii="Arial" w:hAnsi="Arial" w:cs="Arial"/>
                <w:spacing w:val="-9"/>
                <w:sz w:val="21"/>
                <w:szCs w:val="21"/>
              </w:rPr>
              <w:t xml:space="preserve"> </w:t>
            </w:r>
            <w:r w:rsidRPr="00A820CC">
              <w:rPr>
                <w:rFonts w:ascii="Arial" w:hAnsi="Arial" w:cs="Arial"/>
                <w:sz w:val="21"/>
                <w:szCs w:val="21"/>
              </w:rPr>
              <w:t>with</w:t>
            </w:r>
            <w:r w:rsidRPr="00A820CC">
              <w:rPr>
                <w:rFonts w:ascii="Arial" w:hAnsi="Arial" w:cs="Arial"/>
                <w:spacing w:val="-9"/>
                <w:sz w:val="21"/>
                <w:szCs w:val="21"/>
              </w:rPr>
              <w:t xml:space="preserve"> </w:t>
            </w:r>
            <w:r w:rsidRPr="00A820CC">
              <w:rPr>
                <w:rFonts w:ascii="Arial" w:hAnsi="Arial" w:cs="Arial"/>
                <w:sz w:val="21"/>
                <w:szCs w:val="21"/>
              </w:rPr>
              <w:t>their</w:t>
            </w:r>
            <w:r w:rsidRPr="00A820CC">
              <w:rPr>
                <w:rFonts w:ascii="Arial" w:hAnsi="Arial" w:cs="Arial"/>
                <w:spacing w:val="-9"/>
                <w:sz w:val="21"/>
                <w:szCs w:val="21"/>
              </w:rPr>
              <w:t xml:space="preserve"> </w:t>
            </w:r>
            <w:r w:rsidRPr="00A820CC">
              <w:rPr>
                <w:rFonts w:ascii="Arial" w:hAnsi="Arial" w:cs="Arial"/>
                <w:sz w:val="21"/>
                <w:szCs w:val="21"/>
              </w:rPr>
              <w:t>trans</w:t>
            </w:r>
            <w:r w:rsidRPr="00A820CC">
              <w:rPr>
                <w:rFonts w:ascii="Arial" w:hAnsi="Arial" w:cs="Arial"/>
                <w:spacing w:val="-9"/>
                <w:sz w:val="21"/>
                <w:szCs w:val="21"/>
              </w:rPr>
              <w:t xml:space="preserve"> </w:t>
            </w:r>
            <w:r w:rsidRPr="00A820CC">
              <w:rPr>
                <w:rFonts w:ascii="Arial" w:hAnsi="Arial" w:cs="Arial"/>
                <w:sz w:val="21"/>
                <w:szCs w:val="21"/>
              </w:rPr>
              <w:t>experience,</w:t>
            </w:r>
            <w:r w:rsidRPr="00A820CC">
              <w:rPr>
                <w:rFonts w:ascii="Arial" w:hAnsi="Arial" w:cs="Arial"/>
                <w:spacing w:val="-9"/>
                <w:sz w:val="21"/>
                <w:szCs w:val="21"/>
              </w:rPr>
              <w:t xml:space="preserve"> </w:t>
            </w:r>
            <w:r w:rsidRPr="00A820CC">
              <w:rPr>
                <w:rFonts w:ascii="Arial" w:hAnsi="Arial" w:cs="Arial"/>
                <w:sz w:val="21"/>
                <w:szCs w:val="21"/>
              </w:rPr>
              <w:t>whereas</w:t>
            </w:r>
            <w:r w:rsidRPr="00A820CC">
              <w:rPr>
                <w:rFonts w:ascii="Arial" w:hAnsi="Arial" w:cs="Arial"/>
                <w:spacing w:val="-9"/>
                <w:sz w:val="21"/>
                <w:szCs w:val="21"/>
              </w:rPr>
              <w:t xml:space="preserve"> </w:t>
            </w:r>
            <w:r w:rsidRPr="00A820CC">
              <w:rPr>
                <w:rFonts w:ascii="Arial" w:hAnsi="Arial" w:cs="Arial"/>
                <w:sz w:val="21"/>
                <w:szCs w:val="21"/>
              </w:rPr>
              <w:t>others</w:t>
            </w:r>
            <w:r w:rsidRPr="00A820CC">
              <w:rPr>
                <w:rFonts w:ascii="Arial" w:hAnsi="Arial" w:cs="Arial"/>
                <w:spacing w:val="-9"/>
                <w:sz w:val="21"/>
                <w:szCs w:val="21"/>
              </w:rPr>
              <w:t xml:space="preserve"> </w:t>
            </w:r>
            <w:r w:rsidRPr="00A820CC">
              <w:rPr>
                <w:rFonts w:ascii="Arial" w:hAnsi="Arial" w:cs="Arial"/>
                <w:sz w:val="21"/>
                <w:szCs w:val="21"/>
              </w:rPr>
              <w:t>do</w:t>
            </w:r>
            <w:r w:rsidRPr="00A820CC">
              <w:rPr>
                <w:rFonts w:ascii="Arial" w:hAnsi="Arial" w:cs="Arial"/>
                <w:spacing w:val="-9"/>
                <w:sz w:val="21"/>
                <w:szCs w:val="21"/>
              </w:rPr>
              <w:t xml:space="preserve"> </w:t>
            </w:r>
            <w:r w:rsidRPr="00A820CC">
              <w:rPr>
                <w:rFonts w:ascii="Arial" w:hAnsi="Arial" w:cs="Arial"/>
                <w:sz w:val="21"/>
                <w:szCs w:val="21"/>
              </w:rPr>
              <w:t>not.</w:t>
            </w:r>
            <w:r w:rsidRPr="00A820CC">
              <w:rPr>
                <w:rFonts w:ascii="Arial" w:hAnsi="Arial" w:cs="Arial"/>
                <w:spacing w:val="-9"/>
                <w:sz w:val="21"/>
                <w:szCs w:val="21"/>
              </w:rPr>
              <w:t xml:space="preserve"> </w:t>
            </w:r>
            <w:r w:rsidRPr="00A820CC">
              <w:rPr>
                <w:rFonts w:ascii="Arial" w:hAnsi="Arial" w:cs="Arial"/>
                <w:sz w:val="21"/>
                <w:szCs w:val="21"/>
              </w:rPr>
              <w:t>Processes</w:t>
            </w:r>
            <w:r w:rsidRPr="00A820CC">
              <w:rPr>
                <w:rFonts w:ascii="Arial" w:hAnsi="Arial" w:cs="Arial"/>
                <w:spacing w:val="-9"/>
                <w:sz w:val="21"/>
                <w:szCs w:val="21"/>
              </w:rPr>
              <w:t xml:space="preserve"> </w:t>
            </w:r>
            <w:r w:rsidRPr="00A820CC">
              <w:rPr>
                <w:rFonts w:ascii="Arial" w:hAnsi="Arial" w:cs="Arial"/>
                <w:sz w:val="21"/>
                <w:szCs w:val="21"/>
              </w:rPr>
              <w:t>of</w:t>
            </w:r>
            <w:r w:rsidRPr="00A820CC">
              <w:rPr>
                <w:rFonts w:ascii="Arial" w:hAnsi="Arial" w:cs="Arial"/>
                <w:spacing w:val="-9"/>
                <w:sz w:val="21"/>
                <w:szCs w:val="21"/>
              </w:rPr>
              <w:t xml:space="preserve"> </w:t>
            </w:r>
            <w:r w:rsidRPr="00A820CC">
              <w:rPr>
                <w:rFonts w:ascii="Arial" w:hAnsi="Arial" w:cs="Arial"/>
                <w:sz w:val="21"/>
                <w:szCs w:val="21"/>
              </w:rPr>
              <w:t>medical and legal gender affirmation may or may not be part of a trans person’s life. Throughout this plan we use trans as the shorthand for trans and gender diverse people.</w:t>
            </w:r>
          </w:p>
        </w:tc>
      </w:tr>
      <w:tr w:rsidR="00B74C5A" w:rsidRPr="000057CB" w14:paraId="4C623672" w14:textId="77777777" w:rsidTr="005E0A16">
        <w:tc>
          <w:tcPr>
            <w:tcW w:w="1033" w:type="pct"/>
            <w:tcBorders>
              <w:top w:val="single" w:sz="4" w:space="0" w:color="000000" w:themeColor="text1"/>
              <w:bottom w:val="single" w:sz="4" w:space="0" w:color="000000" w:themeColor="text1"/>
            </w:tcBorders>
          </w:tcPr>
          <w:p w14:paraId="3CFE09D6" w14:textId="2C2C4D47" w:rsidR="00B74C5A" w:rsidRPr="00867FAF" w:rsidRDefault="00B74C5A" w:rsidP="003861F3">
            <w:pPr>
              <w:pStyle w:val="TableParagraph"/>
              <w:spacing w:before="0" w:after="120"/>
              <w:rPr>
                <w:rFonts w:ascii="Arial" w:hAnsi="Arial" w:cs="Arial"/>
                <w:spacing w:val="-2"/>
              </w:rPr>
            </w:pPr>
            <w:r w:rsidRPr="00A820CC">
              <w:rPr>
                <w:rFonts w:ascii="Arial" w:hAnsi="Arial" w:cs="Arial"/>
                <w:spacing w:val="-2"/>
                <w:sz w:val="21"/>
                <w:szCs w:val="21"/>
              </w:rPr>
              <w:t>Trauma</w:t>
            </w:r>
          </w:p>
        </w:tc>
        <w:tc>
          <w:tcPr>
            <w:tcW w:w="3967" w:type="pct"/>
            <w:tcBorders>
              <w:top w:val="single" w:sz="4" w:space="0" w:color="000000" w:themeColor="text1"/>
              <w:bottom w:val="single" w:sz="4" w:space="0" w:color="000000" w:themeColor="text1"/>
            </w:tcBorders>
          </w:tcPr>
          <w:p w14:paraId="05C0BF06" w14:textId="77777777" w:rsidR="00B74C5A" w:rsidRPr="00A820CC" w:rsidRDefault="00B74C5A" w:rsidP="003861F3">
            <w:pPr>
              <w:pStyle w:val="TableParagraph"/>
              <w:spacing w:before="0" w:after="120" w:line="242" w:lineRule="auto"/>
              <w:rPr>
                <w:rFonts w:ascii="Arial" w:hAnsi="Arial" w:cs="Arial"/>
                <w:sz w:val="21"/>
                <w:szCs w:val="21"/>
              </w:rPr>
            </w:pPr>
            <w:r w:rsidRPr="00A820CC">
              <w:rPr>
                <w:rFonts w:ascii="Arial" w:hAnsi="Arial" w:cs="Arial"/>
                <w:sz w:val="21"/>
                <w:szCs w:val="21"/>
              </w:rPr>
              <w:t>Trauma occurs when someone’s ability to cope is overwhelmed. It can have a significant effect on someone’s physical, emotional and psychological</w:t>
            </w:r>
            <w:r>
              <w:rPr>
                <w:rFonts w:ascii="Arial" w:hAnsi="Arial" w:cs="Arial"/>
                <w:sz w:val="21"/>
                <w:szCs w:val="21"/>
              </w:rPr>
              <w:t xml:space="preserve"> </w:t>
            </w:r>
            <w:r w:rsidRPr="00A820CC">
              <w:rPr>
                <w:rFonts w:ascii="Arial" w:hAnsi="Arial" w:cs="Arial"/>
                <w:sz w:val="21"/>
                <w:szCs w:val="21"/>
              </w:rPr>
              <w:t>wellbeing. The impacts of trauma, whether resolved or acknowledged, may surface at any time, particularly when victim-survivors tell or repeat their experiences, or when they encounter similar experiences that are shared</w:t>
            </w:r>
            <w:r>
              <w:rPr>
                <w:rFonts w:ascii="Arial" w:hAnsi="Arial" w:cs="Arial"/>
                <w:sz w:val="21"/>
                <w:szCs w:val="21"/>
              </w:rPr>
              <w:t xml:space="preserve"> </w:t>
            </w:r>
            <w:r w:rsidRPr="00A820CC">
              <w:rPr>
                <w:rFonts w:ascii="Arial" w:hAnsi="Arial" w:cs="Arial"/>
                <w:sz w:val="21"/>
                <w:szCs w:val="21"/>
              </w:rPr>
              <w:t xml:space="preserve">by </w:t>
            </w:r>
            <w:r w:rsidRPr="00A820CC">
              <w:rPr>
                <w:rFonts w:ascii="Arial" w:hAnsi="Arial" w:cs="Arial"/>
                <w:spacing w:val="-2"/>
                <w:sz w:val="21"/>
                <w:szCs w:val="21"/>
              </w:rPr>
              <w:t>others.</w:t>
            </w:r>
          </w:p>
          <w:p w14:paraId="78CC3034" w14:textId="4E6CF7A2" w:rsidR="00B74C5A" w:rsidRPr="00A820CC" w:rsidRDefault="00B74C5A" w:rsidP="003861F3">
            <w:pPr>
              <w:pStyle w:val="TableParagraph"/>
              <w:spacing w:before="0" w:after="120" w:line="242" w:lineRule="auto"/>
              <w:rPr>
                <w:rFonts w:ascii="Arial" w:hAnsi="Arial" w:cs="Arial"/>
              </w:rPr>
            </w:pPr>
            <w:r w:rsidRPr="00A820CC">
              <w:rPr>
                <w:rFonts w:ascii="Arial" w:hAnsi="Arial" w:cs="Arial"/>
                <w:sz w:val="21"/>
                <w:szCs w:val="21"/>
              </w:rPr>
              <w:t>Trauma looks different for people depending on their experience of trauma and other factors such as exposure to previous traumatic events, access to support and mental health status.</w:t>
            </w:r>
            <w:r w:rsidRPr="00A820CC">
              <w:rPr>
                <w:rStyle w:val="EndnoteReference"/>
                <w:rFonts w:ascii="Arial" w:hAnsi="Arial" w:cs="Arial"/>
                <w:sz w:val="21"/>
                <w:szCs w:val="21"/>
              </w:rPr>
              <w:endnoteReference w:id="74"/>
            </w:r>
          </w:p>
        </w:tc>
      </w:tr>
      <w:tr w:rsidR="00B74C5A" w:rsidRPr="000057CB" w14:paraId="77DEED64" w14:textId="77777777" w:rsidTr="005E0A16">
        <w:tc>
          <w:tcPr>
            <w:tcW w:w="1033" w:type="pct"/>
            <w:tcBorders>
              <w:top w:val="single" w:sz="4" w:space="0" w:color="000000" w:themeColor="text1"/>
              <w:bottom w:val="single" w:sz="4" w:space="0" w:color="000000" w:themeColor="text1"/>
            </w:tcBorders>
          </w:tcPr>
          <w:p w14:paraId="08D62064" w14:textId="6EB437E0" w:rsidR="00B74C5A" w:rsidRPr="00867FAF" w:rsidRDefault="003861F3" w:rsidP="003861F3">
            <w:pPr>
              <w:pStyle w:val="TableParagraph"/>
              <w:spacing w:before="0" w:after="120"/>
              <w:rPr>
                <w:rFonts w:ascii="Arial" w:hAnsi="Arial" w:cs="Arial"/>
                <w:spacing w:val="-2"/>
              </w:rPr>
            </w:pPr>
            <w:r w:rsidRPr="00A820CC">
              <w:rPr>
                <w:rFonts w:ascii="Arial" w:hAnsi="Arial" w:cs="Arial"/>
                <w:spacing w:val="-2"/>
                <w:sz w:val="21"/>
                <w:szCs w:val="21"/>
              </w:rPr>
              <w:lastRenderedPageBreak/>
              <w:t>Trauma-informed</w:t>
            </w:r>
          </w:p>
        </w:tc>
        <w:tc>
          <w:tcPr>
            <w:tcW w:w="3967" w:type="pct"/>
            <w:tcBorders>
              <w:top w:val="single" w:sz="4" w:space="0" w:color="000000" w:themeColor="text1"/>
              <w:bottom w:val="single" w:sz="4" w:space="0" w:color="000000" w:themeColor="text1"/>
            </w:tcBorders>
          </w:tcPr>
          <w:p w14:paraId="24EDCF25" w14:textId="77777777" w:rsidR="003861F3" w:rsidRPr="00A820CC" w:rsidRDefault="003861F3" w:rsidP="003861F3">
            <w:pPr>
              <w:pStyle w:val="TableParagraph"/>
              <w:spacing w:before="0" w:after="120" w:line="242" w:lineRule="auto"/>
              <w:rPr>
                <w:rFonts w:ascii="Arial" w:hAnsi="Arial" w:cs="Arial"/>
                <w:sz w:val="21"/>
                <w:szCs w:val="21"/>
              </w:rPr>
            </w:pPr>
            <w:r w:rsidRPr="00A820CC">
              <w:rPr>
                <w:rFonts w:ascii="Arial" w:hAnsi="Arial" w:cs="Arial"/>
                <w:sz w:val="21"/>
                <w:szCs w:val="21"/>
              </w:rPr>
              <w:t>Trauma-informed care and practice recognises the prevalence of trauma and its impacts on the emotional, psychological and social wellbeing of people</w:t>
            </w:r>
            <w:r>
              <w:rPr>
                <w:rFonts w:ascii="Arial" w:hAnsi="Arial" w:cs="Arial"/>
                <w:sz w:val="21"/>
                <w:szCs w:val="21"/>
              </w:rPr>
              <w:t xml:space="preserve"> </w:t>
            </w:r>
            <w:r w:rsidRPr="00A820CC">
              <w:rPr>
                <w:rFonts w:ascii="Arial" w:hAnsi="Arial" w:cs="Arial"/>
                <w:sz w:val="21"/>
                <w:szCs w:val="21"/>
              </w:rPr>
              <w:t>and</w:t>
            </w:r>
            <w:r w:rsidRPr="00A820CC">
              <w:rPr>
                <w:rFonts w:ascii="Arial" w:hAnsi="Arial" w:cs="Arial"/>
                <w:spacing w:val="4"/>
                <w:sz w:val="21"/>
                <w:szCs w:val="21"/>
              </w:rPr>
              <w:t xml:space="preserve"> </w:t>
            </w:r>
            <w:r w:rsidRPr="00A820CC">
              <w:rPr>
                <w:rFonts w:ascii="Arial" w:hAnsi="Arial" w:cs="Arial"/>
                <w:spacing w:val="-2"/>
                <w:sz w:val="21"/>
                <w:szCs w:val="21"/>
              </w:rPr>
              <w:t>communities.</w:t>
            </w:r>
          </w:p>
          <w:p w14:paraId="19A55C9F" w14:textId="523071FE" w:rsidR="00B74C5A" w:rsidRPr="00A820CC" w:rsidRDefault="003861F3" w:rsidP="003861F3">
            <w:pPr>
              <w:pStyle w:val="TableParagraph"/>
              <w:spacing w:before="0" w:after="120" w:line="242" w:lineRule="auto"/>
              <w:rPr>
                <w:rFonts w:ascii="Arial" w:hAnsi="Arial" w:cs="Arial"/>
              </w:rPr>
            </w:pPr>
            <w:r w:rsidRPr="00A820CC">
              <w:rPr>
                <w:rFonts w:ascii="Arial" w:hAnsi="Arial" w:cs="Arial"/>
                <w:sz w:val="21"/>
                <w:szCs w:val="21"/>
              </w:rPr>
              <w:t>Trauma-informed practice means integrating an understanding of past and current experiences of violence and trauma in all aspects of service delivery. The goal of trauma-informed systems is to avoid re-traumatising individuals and support safety, choice and control to promote healing.</w:t>
            </w:r>
          </w:p>
        </w:tc>
      </w:tr>
      <w:tr w:rsidR="00B74C5A" w:rsidRPr="000057CB" w14:paraId="52B18DC6" w14:textId="77777777" w:rsidTr="005E0A16">
        <w:tc>
          <w:tcPr>
            <w:tcW w:w="1033" w:type="pct"/>
            <w:tcBorders>
              <w:top w:val="single" w:sz="4" w:space="0" w:color="000000" w:themeColor="text1"/>
              <w:bottom w:val="single" w:sz="4" w:space="0" w:color="000000" w:themeColor="text1"/>
            </w:tcBorders>
          </w:tcPr>
          <w:p w14:paraId="319633FA" w14:textId="0E8FAB55" w:rsidR="00B74C5A" w:rsidRPr="00867FAF" w:rsidRDefault="003861F3" w:rsidP="003861F3">
            <w:pPr>
              <w:pStyle w:val="TableParagraph"/>
              <w:spacing w:before="0" w:after="120"/>
              <w:rPr>
                <w:rFonts w:ascii="Arial" w:hAnsi="Arial" w:cs="Arial"/>
                <w:spacing w:val="-2"/>
              </w:rPr>
            </w:pPr>
            <w:r w:rsidRPr="00A820CC">
              <w:rPr>
                <w:rFonts w:ascii="Arial" w:hAnsi="Arial" w:cs="Arial"/>
                <w:sz w:val="21"/>
                <w:szCs w:val="21"/>
              </w:rPr>
              <w:t>Victim-</w:t>
            </w:r>
            <w:r w:rsidRPr="00A820CC">
              <w:rPr>
                <w:rFonts w:ascii="Arial" w:hAnsi="Arial" w:cs="Arial"/>
                <w:spacing w:val="-2"/>
                <w:sz w:val="21"/>
                <w:szCs w:val="21"/>
              </w:rPr>
              <w:t>blaming</w:t>
            </w:r>
          </w:p>
        </w:tc>
        <w:tc>
          <w:tcPr>
            <w:tcW w:w="3967" w:type="pct"/>
            <w:tcBorders>
              <w:top w:val="single" w:sz="4" w:space="0" w:color="000000" w:themeColor="text1"/>
              <w:bottom w:val="single" w:sz="4" w:space="0" w:color="000000" w:themeColor="text1"/>
            </w:tcBorders>
          </w:tcPr>
          <w:p w14:paraId="6A54CFB7" w14:textId="7251E9B1" w:rsidR="00B74C5A" w:rsidRPr="00A820CC" w:rsidRDefault="003861F3" w:rsidP="003861F3">
            <w:pPr>
              <w:pStyle w:val="TableParagraph"/>
              <w:spacing w:before="0" w:after="120" w:line="242" w:lineRule="auto"/>
              <w:rPr>
                <w:rFonts w:ascii="Arial" w:hAnsi="Arial" w:cs="Arial"/>
              </w:rPr>
            </w:pPr>
            <w:r w:rsidRPr="00A820CC">
              <w:rPr>
                <w:rFonts w:ascii="Arial" w:hAnsi="Arial" w:cs="Arial"/>
                <w:sz w:val="21"/>
                <w:szCs w:val="21"/>
              </w:rPr>
              <w:t>Refers to comments and suggestions that directly or indirectly, intentionally or uni</w:t>
            </w:r>
            <w:r w:rsidRPr="00F35954">
              <w:rPr>
                <w:rFonts w:ascii="Arial" w:hAnsi="Arial" w:cs="Arial"/>
                <w:sz w:val="21"/>
                <w:szCs w:val="21"/>
              </w:rPr>
              <w:t>ntentionally, put blame on the person experiencing violence for the abuse they have or continue to experience.</w:t>
            </w:r>
          </w:p>
        </w:tc>
      </w:tr>
      <w:tr w:rsidR="00B74C5A" w:rsidRPr="000057CB" w14:paraId="3F43FCA3" w14:textId="77777777" w:rsidTr="005E0A16">
        <w:tc>
          <w:tcPr>
            <w:tcW w:w="1033" w:type="pct"/>
            <w:tcBorders>
              <w:top w:val="single" w:sz="4" w:space="0" w:color="000000" w:themeColor="text1"/>
              <w:bottom w:val="single" w:sz="4" w:space="0" w:color="000000" w:themeColor="text1"/>
            </w:tcBorders>
          </w:tcPr>
          <w:p w14:paraId="7564318E" w14:textId="382F4F60" w:rsidR="00B74C5A" w:rsidRPr="00867FAF" w:rsidRDefault="003861F3" w:rsidP="003861F3">
            <w:pPr>
              <w:pStyle w:val="TableParagraph"/>
              <w:spacing w:before="0" w:after="120"/>
              <w:rPr>
                <w:rFonts w:ascii="Arial" w:hAnsi="Arial" w:cs="Arial"/>
                <w:spacing w:val="-2"/>
              </w:rPr>
            </w:pPr>
            <w:r w:rsidRPr="00F35954">
              <w:rPr>
                <w:rFonts w:ascii="Arial" w:hAnsi="Arial" w:cs="Arial"/>
                <w:sz w:val="21"/>
                <w:szCs w:val="21"/>
              </w:rPr>
              <w:t>Victim-</w:t>
            </w:r>
            <w:r w:rsidRPr="00F35954">
              <w:rPr>
                <w:rFonts w:ascii="Arial" w:hAnsi="Arial" w:cs="Arial"/>
                <w:spacing w:val="-2"/>
                <w:sz w:val="21"/>
                <w:szCs w:val="21"/>
              </w:rPr>
              <w:t>survivors</w:t>
            </w:r>
          </w:p>
        </w:tc>
        <w:tc>
          <w:tcPr>
            <w:tcW w:w="3967" w:type="pct"/>
            <w:tcBorders>
              <w:top w:val="single" w:sz="4" w:space="0" w:color="000000" w:themeColor="text1"/>
              <w:bottom w:val="single" w:sz="4" w:space="0" w:color="000000" w:themeColor="text1"/>
            </w:tcBorders>
          </w:tcPr>
          <w:p w14:paraId="1FCE0FE1" w14:textId="58390E87" w:rsidR="00B74C5A" w:rsidRPr="00A820CC" w:rsidRDefault="003861F3" w:rsidP="003861F3">
            <w:pPr>
              <w:pStyle w:val="TableParagraph"/>
              <w:spacing w:before="0" w:after="120" w:line="242" w:lineRule="auto"/>
              <w:rPr>
                <w:rFonts w:ascii="Arial" w:hAnsi="Arial" w:cs="Arial"/>
              </w:rPr>
            </w:pPr>
            <w:r w:rsidRPr="00F35954">
              <w:rPr>
                <w:rFonts w:ascii="Arial" w:hAnsi="Arial" w:cs="Arial"/>
                <w:sz w:val="21"/>
                <w:szCs w:val="21"/>
              </w:rPr>
              <w:t>People who have experienced family and domestic violence or gender-based violence. This term is understood to acknowledge the strength and resilience shown by people who have experienced or are currently living with violence. People who have experienced violence have different preferences about how they would like to be identified and may choose to use ‘victim’ or ‘survivor’ separately, or another term altogether. Some people prefer to use ‘people who experience, or are at risk of experiencing, violence’.</w:t>
            </w:r>
            <w:r w:rsidRPr="00F35954">
              <w:rPr>
                <w:rStyle w:val="EndnoteReference"/>
                <w:rFonts w:ascii="Arial" w:hAnsi="Arial" w:cs="Arial"/>
                <w:sz w:val="21"/>
                <w:szCs w:val="21"/>
              </w:rPr>
              <w:endnoteReference w:id="75"/>
            </w:r>
          </w:p>
        </w:tc>
      </w:tr>
    </w:tbl>
    <w:p w14:paraId="46D781FC" w14:textId="77777777" w:rsidR="00DF4276" w:rsidRDefault="00DF4276">
      <w:r>
        <w:br w:type="page"/>
      </w:r>
    </w:p>
    <w:p w14:paraId="0B96AED5" w14:textId="60FF6FAD" w:rsidR="007B0256" w:rsidRPr="00B91E3E" w:rsidRDefault="0059491F" w:rsidP="00BF6AD8">
      <w:pPr>
        <w:pStyle w:val="Heading1"/>
      </w:pPr>
      <w:bookmarkStart w:id="298" w:name="_Toc144909159"/>
      <w:r>
        <w:lastRenderedPageBreak/>
        <w:t>References</w:t>
      </w:r>
      <w:bookmarkEnd w:id="298"/>
    </w:p>
    <w:sectPr w:rsidR="007B0256" w:rsidRPr="00B91E3E" w:rsidSect="006D659C">
      <w:footerReference w:type="default" r:id="rId42"/>
      <w:endnotePr>
        <w:numFmt w:val="decimal"/>
      </w:endnotePr>
      <w:pgSz w:w="11909" w:h="16834"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49F18" w14:textId="77777777" w:rsidR="00E32E71" w:rsidRDefault="00E32E71" w:rsidP="00B04ED8">
      <w:pPr>
        <w:spacing w:after="0" w:line="240" w:lineRule="auto"/>
      </w:pPr>
      <w:r>
        <w:separator/>
      </w:r>
    </w:p>
  </w:endnote>
  <w:endnote w:type="continuationSeparator" w:id="0">
    <w:p w14:paraId="4A0AEF70" w14:textId="77777777" w:rsidR="00E32E71" w:rsidRDefault="00E32E71" w:rsidP="00B04ED8">
      <w:pPr>
        <w:spacing w:after="0" w:line="240" w:lineRule="auto"/>
      </w:pPr>
      <w:r>
        <w:continuationSeparator/>
      </w:r>
    </w:p>
  </w:endnote>
  <w:endnote w:type="continuationNotice" w:id="1">
    <w:p w14:paraId="604195FD" w14:textId="77777777" w:rsidR="00E32E71" w:rsidRDefault="00E32E71">
      <w:pPr>
        <w:spacing w:after="0" w:line="240" w:lineRule="auto"/>
      </w:pPr>
    </w:p>
  </w:endnote>
  <w:endnote w:id="2">
    <w:p w14:paraId="2B9E0496" w14:textId="0A72B02D" w:rsidR="005B21FA" w:rsidRDefault="005B21FA" w:rsidP="00AA49F5">
      <w:pPr>
        <w:pStyle w:val="EndnoteText"/>
        <w:spacing w:before="120" w:after="120"/>
        <w:ind w:left="360" w:hanging="360"/>
      </w:pPr>
      <w:r>
        <w:rPr>
          <w:rStyle w:val="EndnoteReference"/>
        </w:rPr>
        <w:endnoteRef/>
      </w:r>
      <w:r w:rsidR="00AA49F5">
        <w:tab/>
      </w:r>
      <w:r>
        <w:t xml:space="preserve">Parliament of Australia, </w:t>
      </w:r>
      <w:hyperlink r:id="rId1" w:history="1">
        <w:r>
          <w:rPr>
            <w:rStyle w:val="Hyperlink"/>
          </w:rPr>
          <w:t>Inquiry into family, domestic and sexual violence – Parliament of Australia (aph.gov.au)</w:t>
        </w:r>
      </w:hyperlink>
      <w:r>
        <w:t>, 30 March 2023.</w:t>
      </w:r>
    </w:p>
  </w:endnote>
  <w:endnote w:id="3">
    <w:p w14:paraId="63E827E2" w14:textId="195A9273" w:rsidR="005B21FA" w:rsidRDefault="005B21FA" w:rsidP="00AA49F5">
      <w:pPr>
        <w:pStyle w:val="EndnoteText"/>
        <w:spacing w:before="120" w:after="120"/>
        <w:ind w:left="360" w:hanging="360"/>
      </w:pPr>
      <w:r>
        <w:rPr>
          <w:rStyle w:val="EndnoteReference"/>
        </w:rPr>
        <w:endnoteRef/>
      </w:r>
      <w:r>
        <w:t xml:space="preserve"> </w:t>
      </w:r>
      <w:r w:rsidR="00AA49F5">
        <w:tab/>
      </w:r>
      <w:r>
        <w:t xml:space="preserve">EP Agency, </w:t>
      </w:r>
      <w:hyperlink r:id="rId2" w:history="1">
        <w:r>
          <w:rPr>
            <w:rStyle w:val="Hyperlink"/>
          </w:rPr>
          <w:t>Womens Safety Summit (eventsair.com)</w:t>
        </w:r>
      </w:hyperlink>
      <w:r>
        <w:t>, 6 &amp; 7 September 2022.</w:t>
      </w:r>
    </w:p>
  </w:endnote>
  <w:endnote w:id="4">
    <w:p w14:paraId="5C4F0016" w14:textId="67A302AA" w:rsidR="005B21FA" w:rsidRDefault="005B21FA" w:rsidP="00AA49F5">
      <w:pPr>
        <w:pStyle w:val="EndnoteText"/>
        <w:spacing w:before="120" w:after="120"/>
        <w:ind w:left="360" w:hanging="360"/>
      </w:pPr>
      <w:r>
        <w:rPr>
          <w:rStyle w:val="EndnoteReference"/>
        </w:rPr>
        <w:endnoteRef/>
      </w:r>
      <w:r>
        <w:t xml:space="preserve"> </w:t>
      </w:r>
      <w:r w:rsidR="00AA49F5">
        <w:tab/>
      </w:r>
      <w:r>
        <w:t xml:space="preserve">Australian Government, </w:t>
      </w:r>
      <w:hyperlink r:id="rId3" w:history="1">
        <w:r>
          <w:rPr>
            <w:rStyle w:val="Hyperlink"/>
          </w:rPr>
          <w:t>National Plan Consultation Reports – National Plan to Reduce Violence against Women and their Children (dss.gov.au)</w:t>
        </w:r>
      </w:hyperlink>
      <w:r>
        <w:t>, 14 July 2022.</w:t>
      </w:r>
    </w:p>
  </w:endnote>
  <w:endnote w:id="5">
    <w:p w14:paraId="5ECFCD17" w14:textId="179D304A" w:rsidR="005B21FA" w:rsidRDefault="005B21FA" w:rsidP="00AA49F5">
      <w:pPr>
        <w:pStyle w:val="EndnoteText"/>
        <w:spacing w:before="120" w:after="120"/>
        <w:ind w:left="360" w:hanging="360"/>
      </w:pPr>
      <w:r>
        <w:rPr>
          <w:rStyle w:val="EndnoteReference"/>
        </w:rPr>
        <w:endnoteRef/>
      </w:r>
      <w:r>
        <w:t xml:space="preserve"> </w:t>
      </w:r>
      <w:r w:rsidR="00AA49F5">
        <w:tab/>
      </w:r>
      <w:r w:rsidRPr="00C21399">
        <w:t>Morgenbesser, J., Dembele, L., Matthews, L., Brown, C., Cataldo, M., ‘Put Us First or We Finish Last: Victim Survivors’ Consultation Report for the First Action Plan, An Independent Collective of Survivors Report’, Independent Collective of Survivors, 2023.</w:t>
      </w:r>
    </w:p>
  </w:endnote>
  <w:endnote w:id="6">
    <w:p w14:paraId="5DC336EA" w14:textId="7CED784E" w:rsidR="005B21FA" w:rsidRDefault="005B21FA" w:rsidP="00AA49F5">
      <w:pPr>
        <w:pStyle w:val="EndnoteText"/>
        <w:spacing w:before="120" w:after="120"/>
        <w:ind w:left="360" w:hanging="360"/>
      </w:pPr>
      <w:r>
        <w:rPr>
          <w:rStyle w:val="EndnoteReference"/>
        </w:rPr>
        <w:endnoteRef/>
      </w:r>
      <w:r>
        <w:t xml:space="preserve"> </w:t>
      </w:r>
      <w:r w:rsidR="00AA49F5">
        <w:tab/>
      </w:r>
      <w:r>
        <w:t xml:space="preserve">Our Watch. </w:t>
      </w:r>
      <w:hyperlink r:id="rId4" w:history="1">
        <w:r>
          <w:rPr>
            <w:rStyle w:val="Hyperlink"/>
          </w:rPr>
          <w:t>Preventing violence against Aboriginal and Torres Strait Islander women - Our Watch</w:t>
        </w:r>
      </w:hyperlink>
      <w:r>
        <w:t>. May 2023.</w:t>
      </w:r>
    </w:p>
  </w:endnote>
  <w:endnote w:id="7">
    <w:p w14:paraId="251E9091" w14:textId="5E0320F8" w:rsidR="005B21FA" w:rsidRDefault="005B21FA" w:rsidP="00AA49F5">
      <w:pPr>
        <w:pStyle w:val="EndnoteText"/>
        <w:spacing w:before="120" w:after="120"/>
        <w:ind w:left="360" w:hanging="360"/>
      </w:pPr>
      <w:r>
        <w:rPr>
          <w:rStyle w:val="EndnoteReference"/>
        </w:rPr>
        <w:endnoteRef/>
      </w:r>
      <w:r>
        <w:t xml:space="preserve"> </w:t>
      </w:r>
      <w:r w:rsidR="00AA49F5">
        <w:tab/>
      </w:r>
      <w:r>
        <w:t>G Sutherland, A McCormack, J Pirkis, C Vaughan, M Dunne Breen, P Easteal and K Holland, Media representations of violence against women and their children: Final report, ANROWS Horizons 03/2016, ANROWS, 2016; C Brown, M Taylor, C Simpson and S Campbell, Media changing the story: Media guidelines for the reporting of domestic, family, and sexual violence in the Northern Territory, Tangentyere Council, 2021.</w:t>
      </w:r>
    </w:p>
  </w:endnote>
  <w:endnote w:id="8">
    <w:p w14:paraId="57280E91" w14:textId="06B67C83" w:rsidR="005B21FA" w:rsidRDefault="005B21FA" w:rsidP="00AA49F5">
      <w:pPr>
        <w:pStyle w:val="EndnoteText"/>
        <w:spacing w:before="120" w:after="120"/>
        <w:ind w:left="360" w:hanging="360"/>
      </w:pPr>
      <w:r>
        <w:rPr>
          <w:rStyle w:val="EndnoteReference"/>
        </w:rPr>
        <w:endnoteRef/>
      </w:r>
      <w:r>
        <w:t xml:space="preserve"> </w:t>
      </w:r>
      <w:r w:rsidR="00AA49F5">
        <w:tab/>
      </w:r>
      <w:hyperlink r:id="rId5" w:history="1">
        <w:r>
          <w:rPr>
            <w:rStyle w:val="Hyperlink"/>
          </w:rPr>
          <w:t>Guidelines for reporting violence against women - Tertiary Education - Our Watch</w:t>
        </w:r>
      </w:hyperlink>
      <w:r>
        <w:rPr>
          <w:rStyle w:val="Hyperlink"/>
        </w:rPr>
        <w:t>.</w:t>
      </w:r>
    </w:p>
  </w:endnote>
  <w:endnote w:id="9">
    <w:p w14:paraId="7D503C6C" w14:textId="5B214F89" w:rsidR="005B21FA" w:rsidRDefault="005B21FA" w:rsidP="00AA49F5">
      <w:pPr>
        <w:pStyle w:val="EndnoteText"/>
        <w:spacing w:before="120" w:after="120"/>
        <w:ind w:left="360" w:hanging="360"/>
      </w:pPr>
      <w:r>
        <w:rPr>
          <w:rStyle w:val="EndnoteReference"/>
        </w:rPr>
        <w:endnoteRef/>
      </w:r>
      <w:r>
        <w:t xml:space="preserve"> </w:t>
      </w:r>
      <w:r w:rsidR="00AA49F5">
        <w:tab/>
      </w:r>
      <w:r>
        <w:t xml:space="preserve">Local Government Victoria, ‘Free from Violence Local Government Program’, </w:t>
      </w:r>
      <w:hyperlink r:id="rId6" w:history="1">
        <w:r w:rsidRPr="00287BF3">
          <w:rPr>
            <w:rStyle w:val="Hyperlink"/>
          </w:rPr>
          <w:t>Local Government Victoria website</w:t>
        </w:r>
      </w:hyperlink>
      <w:r>
        <w:t>, Victorian Government, n.d.</w:t>
      </w:r>
    </w:p>
  </w:endnote>
  <w:endnote w:id="10">
    <w:p w14:paraId="3B11CEFE" w14:textId="20B51D8E" w:rsidR="005B21FA" w:rsidRDefault="005B21FA" w:rsidP="00AA49F5">
      <w:pPr>
        <w:pStyle w:val="EndnoteText"/>
        <w:spacing w:before="120" w:after="120"/>
        <w:ind w:left="360" w:hanging="360"/>
      </w:pPr>
      <w:r>
        <w:rPr>
          <w:rStyle w:val="EndnoteReference"/>
        </w:rPr>
        <w:endnoteRef/>
      </w:r>
      <w:r>
        <w:t xml:space="preserve"> </w:t>
      </w:r>
      <w:r w:rsidR="00AA49F5">
        <w:tab/>
      </w:r>
      <w:r>
        <w:t xml:space="preserve">Department of Social Services, </w:t>
      </w:r>
      <w:hyperlink r:id="rId7" w:history="1">
        <w:r>
          <w:rPr>
            <w:rStyle w:val="Hyperlink"/>
          </w:rPr>
          <w:t>National Plan to End Violence against Women and Children 2022–2032 (dss.gov.au)</w:t>
        </w:r>
      </w:hyperlink>
      <w:r>
        <w:t>, 17 October 2022, p. 29.</w:t>
      </w:r>
    </w:p>
  </w:endnote>
  <w:endnote w:id="11">
    <w:p w14:paraId="0D4B5A87" w14:textId="46D28E11" w:rsidR="005B21FA" w:rsidRDefault="005B21FA" w:rsidP="00AA49F5">
      <w:pPr>
        <w:pStyle w:val="EndnoteText"/>
        <w:spacing w:before="120" w:after="120"/>
        <w:ind w:left="360" w:hanging="360"/>
      </w:pPr>
      <w:r>
        <w:rPr>
          <w:rStyle w:val="EndnoteReference"/>
        </w:rPr>
        <w:endnoteRef/>
      </w:r>
      <w:r>
        <w:t xml:space="preserve"> </w:t>
      </w:r>
      <w:r w:rsidR="00AA49F5">
        <w:tab/>
      </w:r>
      <w:r>
        <w:t xml:space="preserve">Australian Human Rights Commission, </w:t>
      </w:r>
      <w:hyperlink r:id="rId8" w:history="1">
        <w:r>
          <w:rPr>
            <w:rStyle w:val="Hyperlink"/>
          </w:rPr>
          <w:t>National Principles for Child Safe Organisations (humanrights.gov.au)</w:t>
        </w:r>
      </w:hyperlink>
      <w:r>
        <w:t>, 2018.</w:t>
      </w:r>
    </w:p>
  </w:endnote>
  <w:endnote w:id="12">
    <w:p w14:paraId="1FA270F9" w14:textId="0B4C6AB1" w:rsidR="005B21FA" w:rsidRDefault="005B21FA" w:rsidP="00AA49F5">
      <w:pPr>
        <w:pStyle w:val="EndnoteText"/>
        <w:spacing w:before="120" w:after="120"/>
        <w:ind w:left="360" w:hanging="360"/>
      </w:pPr>
      <w:r>
        <w:rPr>
          <w:rStyle w:val="EndnoteReference"/>
        </w:rPr>
        <w:endnoteRef/>
      </w:r>
      <w:r>
        <w:t xml:space="preserve"> </w:t>
      </w:r>
      <w:r w:rsidR="00AA49F5">
        <w:tab/>
      </w:r>
      <w:r>
        <w:t>Our Watch, ‘</w:t>
      </w:r>
      <w:hyperlink r:id="rId9" w:history="1">
        <w:r w:rsidRPr="00B5470C">
          <w:rPr>
            <w:rStyle w:val="Hyperlink"/>
          </w:rPr>
          <w:t>Equality in Sport</w:t>
        </w:r>
      </w:hyperlink>
      <w:r>
        <w:t>’, Our Watch website, 2023.</w:t>
      </w:r>
    </w:p>
  </w:endnote>
  <w:endnote w:id="13">
    <w:p w14:paraId="193B5593" w14:textId="1C5D93CD" w:rsidR="005B21FA" w:rsidRDefault="005B21FA" w:rsidP="00AA49F5">
      <w:pPr>
        <w:pStyle w:val="EndnoteText"/>
        <w:spacing w:before="120" w:after="120"/>
        <w:ind w:left="360" w:hanging="360"/>
      </w:pPr>
      <w:r w:rsidRPr="00C21399">
        <w:rPr>
          <w:rStyle w:val="EndnoteReference"/>
        </w:rPr>
        <w:endnoteRef/>
      </w:r>
      <w:r w:rsidRPr="186ACD00">
        <w:t xml:space="preserve"> </w:t>
      </w:r>
      <w:r w:rsidR="00AA49F5">
        <w:tab/>
      </w:r>
      <w:r>
        <w:t xml:space="preserve">Our Watch, </w:t>
      </w:r>
      <w:hyperlink r:id="rId10" w:history="1">
        <w:r w:rsidRPr="007B3E70">
          <w:rPr>
            <w:rStyle w:val="Hyperlink"/>
          </w:rPr>
          <w:t>Change the Story: A shared framework for the primary prevention of violence against women in Australia</w:t>
        </w:r>
      </w:hyperlink>
      <w:r>
        <w:t>, 2nd edn, Our Watch, 2021.</w:t>
      </w:r>
    </w:p>
  </w:endnote>
  <w:endnote w:id="14">
    <w:p w14:paraId="197D7468" w14:textId="5580417A" w:rsidR="005B21FA" w:rsidRDefault="005B21FA" w:rsidP="001D7BEE">
      <w:pPr>
        <w:pStyle w:val="EndnoteText"/>
        <w:spacing w:before="120" w:after="120"/>
        <w:ind w:left="360" w:hanging="360"/>
      </w:pPr>
      <w:r w:rsidRPr="00C21399">
        <w:rPr>
          <w:rStyle w:val="EndnoteReference"/>
        </w:rPr>
        <w:endnoteRef/>
      </w:r>
      <w:r w:rsidRPr="186ACD00">
        <w:t xml:space="preserve"> </w:t>
      </w:r>
      <w:r w:rsidR="001D7BEE">
        <w:tab/>
      </w:r>
      <w:r>
        <w:t xml:space="preserve">Australian Government, Priority Reforms, </w:t>
      </w:r>
      <w:hyperlink r:id="rId11" w:history="1">
        <w:r w:rsidRPr="00C255DA">
          <w:rPr>
            <w:rStyle w:val="Hyperlink"/>
          </w:rPr>
          <w:t>National Agreement on Closing the Gap</w:t>
        </w:r>
      </w:hyperlink>
      <w:r>
        <w:t>, Australian Government, 2020.</w:t>
      </w:r>
    </w:p>
  </w:endnote>
  <w:endnote w:id="15">
    <w:p w14:paraId="7066A5F4" w14:textId="5A39DDD6" w:rsidR="005B21FA" w:rsidRDefault="005B21FA" w:rsidP="00AA49F5">
      <w:pPr>
        <w:pStyle w:val="EndnoteText"/>
        <w:spacing w:before="120" w:after="120"/>
        <w:ind w:left="360" w:hanging="360"/>
      </w:pPr>
      <w:r>
        <w:rPr>
          <w:rStyle w:val="EndnoteReference"/>
        </w:rPr>
        <w:endnoteRef/>
      </w:r>
      <w:r>
        <w:t xml:space="preserve"> </w:t>
      </w:r>
      <w:r w:rsidR="00AA49F5">
        <w:tab/>
      </w:r>
      <w:r>
        <w:t>Royal Commission into Violence, Abuse, Neglect and Exploitation of People with Disability, ‘</w:t>
      </w:r>
      <w:hyperlink r:id="rId12" w:history="1">
        <w:r w:rsidRPr="00454A9B">
          <w:rPr>
            <w:rStyle w:val="Hyperlink"/>
          </w:rPr>
          <w:t>Violence and abuse of people with disability at home’</w:t>
        </w:r>
      </w:hyperlink>
      <w:r>
        <w:t>, Issues paper, December 2020.</w:t>
      </w:r>
    </w:p>
  </w:endnote>
  <w:endnote w:id="16">
    <w:p w14:paraId="4F5E1FA0" w14:textId="2AEB442D" w:rsidR="005B21FA" w:rsidRDefault="005B21FA" w:rsidP="00AA49F5">
      <w:pPr>
        <w:pStyle w:val="EndnoteText"/>
        <w:spacing w:before="120" w:after="120"/>
        <w:ind w:left="360" w:hanging="360"/>
      </w:pPr>
      <w:r>
        <w:rPr>
          <w:rStyle w:val="EndnoteReference"/>
        </w:rPr>
        <w:endnoteRef/>
      </w:r>
      <w:r>
        <w:t xml:space="preserve"> </w:t>
      </w:r>
      <w:r w:rsidR="00AA49F5">
        <w:tab/>
      </w:r>
      <w:r>
        <w:t>Women With Disabilities Australia, ‘</w:t>
      </w:r>
      <w:hyperlink r:id="rId13" w:history="1">
        <w:r w:rsidRPr="00AB3A31">
          <w:rPr>
            <w:rStyle w:val="Hyperlink"/>
          </w:rPr>
          <w:t>Improving Service Responses for Women with Disability Experiencing Violence</w:t>
        </w:r>
      </w:hyperlink>
      <w:r>
        <w:t>’; Final Report, Women with Disabilities Australia, August 2016; Commonwealth of Australia (November 2015) Senate Community Affairs References Committee ‘</w:t>
      </w:r>
      <w:hyperlink r:id="rId14" w:history="1">
        <w:r w:rsidRPr="00AB3A31">
          <w:rPr>
            <w:rStyle w:val="Hyperlink"/>
          </w:rPr>
          <w:t>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hyperlink>
      <w:r>
        <w:t>, Canberra.</w:t>
      </w:r>
    </w:p>
  </w:endnote>
  <w:endnote w:id="17">
    <w:p w14:paraId="76F11FC8" w14:textId="03EE6C82" w:rsidR="005B21FA" w:rsidRDefault="005B21FA" w:rsidP="00AA49F5">
      <w:pPr>
        <w:pStyle w:val="EndnoteText"/>
        <w:spacing w:before="120" w:after="120"/>
        <w:ind w:left="360" w:hanging="360"/>
      </w:pPr>
      <w:r>
        <w:rPr>
          <w:rStyle w:val="EndnoteReference"/>
        </w:rPr>
        <w:endnoteRef/>
      </w:r>
      <w:r>
        <w:t xml:space="preserve"> </w:t>
      </w:r>
      <w:r w:rsidR="00AA49F5">
        <w:tab/>
      </w:r>
      <w:r>
        <w:t xml:space="preserve">Disabled People’s Organisations Australia and the National Women’s Alliances, </w:t>
      </w:r>
      <w:hyperlink r:id="rId15" w:history="1">
        <w:r w:rsidRPr="00B973F6">
          <w:rPr>
            <w:rStyle w:val="Hyperlink"/>
          </w:rPr>
          <w:t>The Status of Women and Girls with Disability in Australia</w:t>
        </w:r>
      </w:hyperlink>
      <w:r>
        <w:t>, Position Paper, November 2019.</w:t>
      </w:r>
    </w:p>
  </w:endnote>
  <w:endnote w:id="18">
    <w:p w14:paraId="662A585F" w14:textId="6BF419C5" w:rsidR="005B21FA" w:rsidRDefault="005B21FA" w:rsidP="00AA49F5">
      <w:pPr>
        <w:pStyle w:val="EndnoteText"/>
        <w:spacing w:before="120" w:after="120"/>
        <w:ind w:left="360" w:hanging="360"/>
      </w:pPr>
      <w:r>
        <w:rPr>
          <w:rStyle w:val="EndnoteReference"/>
        </w:rPr>
        <w:endnoteRef/>
      </w:r>
      <w:r>
        <w:t xml:space="preserve"> </w:t>
      </w:r>
      <w:r w:rsidR="00AA49F5">
        <w:tab/>
      </w:r>
      <w:r>
        <w:t xml:space="preserve">L Dowse, K Soldatic, A Didi, C Frohmader and G van Toorn, </w:t>
      </w:r>
      <w:hyperlink r:id="rId16" w:history="1">
        <w:r w:rsidRPr="00C21399">
          <w:rPr>
            <w:rStyle w:val="Hyperlink"/>
          </w:rPr>
          <w:t>Stop the violence: addressing violence against women and girls with disabilities in Australia</w:t>
        </w:r>
      </w:hyperlink>
      <w:r>
        <w:t>, Background Paper, Women with Disabilities Australia, 2013.</w:t>
      </w:r>
    </w:p>
  </w:endnote>
  <w:endnote w:id="19">
    <w:p w14:paraId="519DA92A" w14:textId="0528026A" w:rsidR="005B21FA" w:rsidRDefault="005B21FA" w:rsidP="00AA49F5">
      <w:pPr>
        <w:pStyle w:val="EndnoteText"/>
        <w:spacing w:before="120" w:after="120"/>
        <w:ind w:left="360" w:hanging="360"/>
      </w:pPr>
      <w:r>
        <w:rPr>
          <w:rStyle w:val="EndnoteReference"/>
        </w:rPr>
        <w:endnoteRef/>
      </w:r>
      <w:r>
        <w:t xml:space="preserve"> </w:t>
      </w:r>
      <w:r w:rsidR="00AA49F5">
        <w:tab/>
      </w:r>
      <w:r>
        <w:t xml:space="preserve">L Dowse, K Soldatic, A Didi, C Frohmader and G van Toorn, </w:t>
      </w:r>
      <w:hyperlink r:id="rId17" w:history="1">
        <w:r w:rsidRPr="00C21399">
          <w:rPr>
            <w:rStyle w:val="Hyperlink"/>
          </w:rPr>
          <w:t>Stop the violence: addressing violence against women and girls with disabilities in Australia</w:t>
        </w:r>
      </w:hyperlink>
      <w:r>
        <w:t>, Background Paper, Women with Disabilities Australia, 2013.</w:t>
      </w:r>
    </w:p>
  </w:endnote>
  <w:endnote w:id="20">
    <w:p w14:paraId="1770CD76" w14:textId="72D6D5E3" w:rsidR="005B21FA" w:rsidRDefault="005B21FA" w:rsidP="00AA49F5">
      <w:pPr>
        <w:pStyle w:val="EndnoteText"/>
        <w:spacing w:before="120" w:after="120"/>
        <w:ind w:left="360" w:hanging="360"/>
      </w:pPr>
      <w:r>
        <w:rPr>
          <w:rStyle w:val="EndnoteReference"/>
        </w:rPr>
        <w:endnoteRef/>
      </w:r>
      <w:r>
        <w:t xml:space="preserve"> </w:t>
      </w:r>
      <w:r w:rsidR="00AA49F5">
        <w:tab/>
      </w:r>
      <w:r>
        <w:t>eSafety Commissioner, ‘</w:t>
      </w:r>
      <w:hyperlink r:id="rId18" w:history="1">
        <w:r w:rsidRPr="00C21399">
          <w:rPr>
            <w:rStyle w:val="Hyperlink"/>
          </w:rPr>
          <w:t>For my safety’: Experiences of technology-facilitated abuse among women with intellectual disability or cognitive disability</w:t>
        </w:r>
      </w:hyperlink>
      <w:r>
        <w:t>, eSafety, 2021.</w:t>
      </w:r>
    </w:p>
  </w:endnote>
  <w:endnote w:id="21">
    <w:p w14:paraId="4C32F6EC" w14:textId="7C8ED4C3" w:rsidR="005B21FA" w:rsidRDefault="005B21FA" w:rsidP="00AA49F5">
      <w:pPr>
        <w:pStyle w:val="EndnoteText"/>
        <w:spacing w:before="120" w:after="120"/>
        <w:ind w:left="360" w:hanging="360"/>
      </w:pPr>
      <w:r>
        <w:rPr>
          <w:rStyle w:val="EndnoteReference"/>
        </w:rPr>
        <w:endnoteRef/>
      </w:r>
      <w:r>
        <w:t xml:space="preserve"> </w:t>
      </w:r>
      <w:r w:rsidR="00AA49F5">
        <w:tab/>
      </w:r>
      <w:r>
        <w:t>Parliament of the Commonwealth of Australia,</w:t>
      </w:r>
      <w:r w:rsidRPr="00C06DAB">
        <w:t xml:space="preserve"> </w:t>
      </w:r>
      <w:hyperlink r:id="rId19" w:history="1">
        <w:r w:rsidRPr="004378FF">
          <w:rPr>
            <w:rStyle w:val="Hyperlink"/>
          </w:rPr>
          <w:t>https://www.aph.gov.au/familyviolence</w:t>
        </w:r>
      </w:hyperlink>
      <w:r>
        <w:t>, 2021.</w:t>
      </w:r>
    </w:p>
  </w:endnote>
  <w:endnote w:id="22">
    <w:p w14:paraId="5A37A442" w14:textId="3620EA59" w:rsidR="005B21FA" w:rsidRDefault="005B21FA" w:rsidP="00AA49F5">
      <w:pPr>
        <w:pStyle w:val="EndnoteText"/>
        <w:spacing w:before="120" w:after="120"/>
        <w:ind w:left="360" w:hanging="360"/>
      </w:pPr>
      <w:r>
        <w:rPr>
          <w:rStyle w:val="EndnoteReference"/>
        </w:rPr>
        <w:endnoteRef/>
      </w:r>
      <w:r>
        <w:t xml:space="preserve"> </w:t>
      </w:r>
      <w:r w:rsidR="00AA49F5">
        <w:tab/>
      </w:r>
      <w:r>
        <w:t xml:space="preserve">Productivity Commission 2020, </w:t>
      </w:r>
      <w:hyperlink r:id="rId20" w:history="1">
        <w:r w:rsidRPr="00DB455B">
          <w:rPr>
            <w:rStyle w:val="Hyperlink"/>
            <w:i/>
          </w:rPr>
          <w:t>Mental Health</w:t>
        </w:r>
      </w:hyperlink>
      <w:r>
        <w:t xml:space="preserve">, Report no. 95, Canberra; Blue Knot Foundation, </w:t>
      </w:r>
      <w:hyperlink r:id="rId21" w:history="1">
        <w:r>
          <w:rPr>
            <w:rStyle w:val="Hyperlink"/>
          </w:rPr>
          <w:t>Submission to Productivity Commission Mental Health Inquiry</w:t>
        </w:r>
      </w:hyperlink>
      <w:r>
        <w:t>, n.d.</w:t>
      </w:r>
    </w:p>
  </w:endnote>
  <w:endnote w:id="23">
    <w:p w14:paraId="23A560BA" w14:textId="5CADACC5" w:rsidR="005B21FA" w:rsidRDefault="005B21FA" w:rsidP="00AA49F5">
      <w:pPr>
        <w:pStyle w:val="EndnoteText"/>
        <w:spacing w:before="120" w:after="120"/>
        <w:ind w:left="360" w:hanging="360"/>
      </w:pPr>
      <w:r>
        <w:rPr>
          <w:rStyle w:val="EndnoteReference"/>
        </w:rPr>
        <w:endnoteRef/>
      </w:r>
      <w:r>
        <w:t xml:space="preserve"> </w:t>
      </w:r>
      <w:r w:rsidR="00AA49F5">
        <w:tab/>
      </w:r>
      <w:r>
        <w:t xml:space="preserve">Department of Health and Aged Care, </w:t>
      </w:r>
      <w:hyperlink r:id="rId22" w:history="1">
        <w:r>
          <w:rPr>
            <w:rStyle w:val="Hyperlink"/>
          </w:rPr>
          <w:t>National Women’s Health Strategy 2020–2030 | Australian Government Department of Health and Aged Care</w:t>
        </w:r>
      </w:hyperlink>
      <w:r>
        <w:t>, 2019.</w:t>
      </w:r>
    </w:p>
  </w:endnote>
  <w:endnote w:id="24">
    <w:p w14:paraId="1A7C96DD" w14:textId="6BBD761D" w:rsidR="005B21FA" w:rsidRDefault="005B21FA" w:rsidP="00AA49F5">
      <w:pPr>
        <w:pStyle w:val="EndnoteText"/>
        <w:spacing w:before="120" w:after="120"/>
        <w:ind w:left="360" w:hanging="360"/>
      </w:pPr>
      <w:r>
        <w:rPr>
          <w:rStyle w:val="EndnoteReference"/>
        </w:rPr>
        <w:endnoteRef/>
      </w:r>
      <w:r>
        <w:t xml:space="preserve"> </w:t>
      </w:r>
      <w:r w:rsidR="00AA49F5">
        <w:tab/>
      </w:r>
      <w:r>
        <w:t xml:space="preserve">DSS Engage, </w:t>
      </w:r>
      <w:hyperlink r:id="rId23" w:history="1">
        <w:r>
          <w:rPr>
            <w:rStyle w:val="Hyperlink"/>
          </w:rPr>
          <w:t>National Summit on Women’s Safety | engage.dss.gov.au</w:t>
        </w:r>
      </w:hyperlink>
      <w:r>
        <w:t>, 2021.</w:t>
      </w:r>
    </w:p>
  </w:endnote>
  <w:endnote w:id="25">
    <w:p w14:paraId="36C3B648" w14:textId="11EFF7E0" w:rsidR="005B21FA" w:rsidRDefault="005B21FA" w:rsidP="00AA49F5">
      <w:pPr>
        <w:pStyle w:val="EndnoteText"/>
        <w:spacing w:before="120" w:after="120"/>
        <w:ind w:left="360" w:hanging="360"/>
      </w:pPr>
      <w:r>
        <w:rPr>
          <w:rStyle w:val="EndnoteReference"/>
        </w:rPr>
        <w:endnoteRef/>
      </w:r>
      <w:r>
        <w:t xml:space="preserve"> </w:t>
      </w:r>
      <w:r w:rsidR="00AA49F5">
        <w:tab/>
      </w:r>
      <w:r>
        <w:t xml:space="preserve">Our Watch, </w:t>
      </w:r>
      <w:hyperlink r:id="rId24" w:history="1">
        <w:r w:rsidRPr="007B3E70">
          <w:rPr>
            <w:rStyle w:val="Hyperlink"/>
          </w:rPr>
          <w:t>Change the Story: A shared framework for the primary prevention of violence against women in Australia</w:t>
        </w:r>
      </w:hyperlink>
      <w:r>
        <w:t>, 2nd edn, Our Watch, 2021.</w:t>
      </w:r>
    </w:p>
  </w:endnote>
  <w:endnote w:id="26">
    <w:p w14:paraId="0D34A753" w14:textId="181FAEB7" w:rsidR="005B21FA" w:rsidRDefault="005B21FA" w:rsidP="00AA49F5">
      <w:pPr>
        <w:pStyle w:val="EndnoteText"/>
        <w:spacing w:before="120" w:after="120"/>
        <w:ind w:left="360" w:hanging="360"/>
      </w:pPr>
      <w:r>
        <w:rPr>
          <w:rStyle w:val="EndnoteReference"/>
        </w:rPr>
        <w:endnoteRef/>
      </w:r>
      <w:r>
        <w:t xml:space="preserve"> </w:t>
      </w:r>
      <w:r w:rsidR="00AA49F5">
        <w:tab/>
      </w:r>
      <w:r>
        <w:t xml:space="preserve">K Diemer, </w:t>
      </w:r>
      <w:hyperlink r:id="rId25" w:history="1">
        <w:r>
          <w:rPr>
            <w:rStyle w:val="Hyperlink"/>
          </w:rPr>
          <w:t>Personal Safety, Australia, 2021–22 financial year | Australian Bureau of Statistics (abs.gov.au)</w:t>
        </w:r>
      </w:hyperlink>
      <w:r>
        <w:t>, 2021.</w:t>
      </w:r>
    </w:p>
  </w:endnote>
  <w:endnote w:id="27">
    <w:p w14:paraId="3A0A3206" w14:textId="7599BD5A" w:rsidR="005B21FA" w:rsidRDefault="005B21FA" w:rsidP="00AA49F5">
      <w:pPr>
        <w:pStyle w:val="EndnoteText"/>
        <w:spacing w:before="120" w:after="120"/>
        <w:ind w:left="360" w:hanging="360"/>
      </w:pPr>
      <w:r>
        <w:rPr>
          <w:rStyle w:val="EndnoteReference"/>
        </w:rPr>
        <w:endnoteRef/>
      </w:r>
      <w:r>
        <w:t xml:space="preserve"> </w:t>
      </w:r>
      <w:r w:rsidR="00AA49F5">
        <w:tab/>
      </w:r>
      <w:r>
        <w:t xml:space="preserve">M Salter, E Conroy, M Dragiewicz, J Burke, J Ussher, W Middleton, S Vilenica, B Martin Monzon and K Noack Lundberg, </w:t>
      </w:r>
      <w:hyperlink r:id="rId26" w:history="1">
        <w:r>
          <w:rPr>
            <w:rStyle w:val="Hyperlink"/>
          </w:rPr>
          <w:t>“A deep wound under my heart”: Constructions of complex trauma and implications for women’s wellbeing and safety from violence - ANROWS - Australia's National Research Organisation for Women's Safety</w:t>
        </w:r>
      </w:hyperlink>
      <w:r>
        <w:t>, 2020.</w:t>
      </w:r>
    </w:p>
  </w:endnote>
  <w:endnote w:id="28">
    <w:p w14:paraId="342DF423" w14:textId="3F251F70" w:rsidR="005B21FA" w:rsidRDefault="005B21FA" w:rsidP="00AA49F5">
      <w:pPr>
        <w:pStyle w:val="EndnoteText"/>
        <w:spacing w:before="120" w:after="120"/>
        <w:ind w:left="360" w:hanging="360"/>
      </w:pPr>
      <w:r>
        <w:rPr>
          <w:rStyle w:val="EndnoteReference"/>
        </w:rPr>
        <w:endnoteRef/>
      </w:r>
      <w:r>
        <w:t xml:space="preserve"> </w:t>
      </w:r>
      <w:r w:rsidR="00AA49F5">
        <w:tab/>
      </w:r>
      <w:r>
        <w:t xml:space="preserve">A Olsen and R Lovett, </w:t>
      </w:r>
      <w:hyperlink r:id="rId27" w:history="1">
        <w:r>
          <w:rPr>
            <w:rStyle w:val="Hyperlink"/>
          </w:rPr>
          <w:t>Existing knowledge, practice and responses to violence against women in Australian Indigenous communities: State of knowledge paper - ANROWS - Australia's National Research Organisation for Women's Safety</w:t>
        </w:r>
      </w:hyperlink>
      <w:r>
        <w:t>, 2016.</w:t>
      </w:r>
    </w:p>
  </w:endnote>
  <w:endnote w:id="29">
    <w:p w14:paraId="61FBA207" w14:textId="3EF1EB6D" w:rsidR="005B21FA" w:rsidRDefault="005B21FA" w:rsidP="00AA49F5">
      <w:pPr>
        <w:pStyle w:val="EndnoteText"/>
        <w:spacing w:before="120" w:after="120"/>
        <w:ind w:left="360" w:hanging="360"/>
      </w:pPr>
      <w:r>
        <w:rPr>
          <w:rStyle w:val="EndnoteReference"/>
        </w:rPr>
        <w:endnoteRef/>
      </w:r>
      <w:r>
        <w:t xml:space="preserve"> </w:t>
      </w:r>
      <w:r w:rsidR="00AA49F5">
        <w:tab/>
      </w:r>
      <w:r>
        <w:t xml:space="preserve">M Langton, K Smith, T Eastman, L O’Neill, E Cheesman and M Rose, </w:t>
      </w:r>
      <w:hyperlink r:id="rId28" w:history="1">
        <w:r>
          <w:rPr>
            <w:rStyle w:val="Hyperlink"/>
          </w:rPr>
          <w:t>Improving family violence legal and support services for Aboriginal and Torres Strait Islander peoples: Key findings and future directions - ANROWS - Australia's National Research Organisation for Women's Safety</w:t>
        </w:r>
      </w:hyperlink>
      <w:r>
        <w:t>, 2020.</w:t>
      </w:r>
    </w:p>
  </w:endnote>
  <w:endnote w:id="30">
    <w:p w14:paraId="0D83D30B" w14:textId="334A1457" w:rsidR="005B21FA" w:rsidRDefault="005B21FA" w:rsidP="00AA49F5">
      <w:pPr>
        <w:pStyle w:val="EndnoteText"/>
        <w:spacing w:before="120" w:after="120"/>
        <w:ind w:left="360" w:hanging="360"/>
      </w:pPr>
      <w:r>
        <w:rPr>
          <w:rStyle w:val="EndnoteReference"/>
        </w:rPr>
        <w:endnoteRef/>
      </w:r>
      <w:r>
        <w:t xml:space="preserve"> </w:t>
      </w:r>
      <w:r w:rsidR="00AA49F5">
        <w:tab/>
      </w:r>
      <w:r>
        <w:t xml:space="preserve">Our Watch, </w:t>
      </w:r>
      <w:r w:rsidRPr="00DF4276">
        <w:rPr>
          <w:i/>
        </w:rPr>
        <w:t>Changing the picture.</w:t>
      </w:r>
    </w:p>
  </w:endnote>
  <w:endnote w:id="31">
    <w:p w14:paraId="73784D29" w14:textId="6F150EBD" w:rsidR="005B21FA" w:rsidRDefault="005B21FA" w:rsidP="00AA49F5">
      <w:pPr>
        <w:pStyle w:val="EndnoteText"/>
        <w:spacing w:before="120" w:after="120"/>
        <w:ind w:left="360" w:hanging="360"/>
      </w:pPr>
      <w:r>
        <w:rPr>
          <w:rStyle w:val="EndnoteReference"/>
        </w:rPr>
        <w:endnoteRef/>
      </w:r>
      <w:r>
        <w:t xml:space="preserve"> </w:t>
      </w:r>
      <w:r w:rsidR="00AA49F5">
        <w:tab/>
      </w:r>
      <w:r>
        <w:t>AIHW,</w:t>
      </w:r>
      <w:r w:rsidRPr="00454A9B">
        <w:t xml:space="preserve"> </w:t>
      </w:r>
      <w:r>
        <w:t>‘</w:t>
      </w:r>
      <w:hyperlink r:id="rId29">
        <w:r>
          <w:rPr>
            <w:u w:val="single"/>
          </w:rPr>
          <w:t>Family,</w:t>
        </w:r>
        <w:r>
          <w:rPr>
            <w:spacing w:val="-2"/>
            <w:u w:val="single"/>
          </w:rPr>
          <w:t xml:space="preserve"> </w:t>
        </w:r>
        <w:r>
          <w:rPr>
            <w:u w:val="single"/>
          </w:rPr>
          <w:t>domestic</w:t>
        </w:r>
        <w:r>
          <w:rPr>
            <w:spacing w:val="-2"/>
            <w:u w:val="single"/>
          </w:rPr>
          <w:t xml:space="preserve"> </w:t>
        </w:r>
        <w:r>
          <w:rPr>
            <w:u w:val="single"/>
          </w:rPr>
          <w:t>and</w:t>
        </w:r>
        <w:r>
          <w:rPr>
            <w:spacing w:val="-2"/>
            <w:u w:val="single"/>
          </w:rPr>
          <w:t xml:space="preserve"> </w:t>
        </w:r>
        <w:r>
          <w:rPr>
            <w:u w:val="single"/>
          </w:rPr>
          <w:t>sexual</w:t>
        </w:r>
        <w:r>
          <w:rPr>
            <w:spacing w:val="-2"/>
            <w:u w:val="single"/>
          </w:rPr>
          <w:t xml:space="preserve"> </w:t>
        </w:r>
        <w:r>
          <w:rPr>
            <w:u w:val="single"/>
          </w:rPr>
          <w:t>violence</w:t>
        </w:r>
      </w:hyperlink>
      <w:r>
        <w:t>’, AIHW website, 2022.</w:t>
      </w:r>
    </w:p>
  </w:endnote>
  <w:endnote w:id="32">
    <w:p w14:paraId="46EB785E" w14:textId="69C35E71" w:rsidR="005B21FA" w:rsidRDefault="005B21FA" w:rsidP="00AA49F5">
      <w:pPr>
        <w:pStyle w:val="EndnoteText"/>
        <w:spacing w:before="120" w:after="120"/>
        <w:ind w:left="360" w:hanging="360"/>
      </w:pPr>
      <w:r>
        <w:rPr>
          <w:rStyle w:val="EndnoteReference"/>
        </w:rPr>
        <w:endnoteRef/>
      </w:r>
      <w:r>
        <w:t xml:space="preserve"> </w:t>
      </w:r>
      <w:r w:rsidR="00AA49F5">
        <w:tab/>
      </w:r>
      <w:r>
        <w:t>81 J Ogilvie, L Thomsen, J Barton, DArlanda Harris, J Rynne and P O’Leary, Adverse childhood experiences among youth who offend: Examining exposure to domestic and family violence for male youth who perpetrate sexual harm and violence, Research report 13/2022, ANROWS, 2022.</w:t>
      </w:r>
    </w:p>
  </w:endnote>
  <w:endnote w:id="33">
    <w:p w14:paraId="33F0BE16" w14:textId="46BAC6AA" w:rsidR="005B21FA" w:rsidRDefault="005B21FA" w:rsidP="00AA49F5">
      <w:pPr>
        <w:pStyle w:val="EndnoteText"/>
        <w:spacing w:before="120" w:after="120"/>
        <w:ind w:left="360" w:hanging="360"/>
      </w:pPr>
      <w:r>
        <w:rPr>
          <w:rStyle w:val="EndnoteReference"/>
        </w:rPr>
        <w:endnoteRef/>
      </w:r>
      <w:r>
        <w:t xml:space="preserve"> </w:t>
      </w:r>
      <w:r w:rsidR="00AA49F5">
        <w:tab/>
      </w:r>
      <w:r>
        <w:t xml:space="preserve">M Campo, </w:t>
      </w:r>
      <w:hyperlink r:id="rId30" w:history="1">
        <w:r>
          <w:rPr>
            <w:rStyle w:val="Hyperlink"/>
          </w:rPr>
          <w:t>Living in Partner-violent Families: Developmental Links to Antisocial Behavior and Relationship Violence | SpringerLink</w:t>
        </w:r>
      </w:hyperlink>
      <w:r>
        <w:t>, 2009.</w:t>
      </w:r>
    </w:p>
  </w:endnote>
  <w:endnote w:id="34">
    <w:p w14:paraId="35B9167A" w14:textId="124414C0" w:rsidR="005B21FA" w:rsidRDefault="005B21FA" w:rsidP="00AA49F5">
      <w:pPr>
        <w:pStyle w:val="EndnoteText"/>
        <w:spacing w:before="120" w:after="120"/>
        <w:ind w:left="360" w:hanging="360"/>
      </w:pPr>
      <w:r>
        <w:rPr>
          <w:rStyle w:val="EndnoteReference"/>
        </w:rPr>
        <w:endnoteRef/>
      </w:r>
      <w:r>
        <w:t xml:space="preserve"> </w:t>
      </w:r>
      <w:r w:rsidR="00AA49F5">
        <w:tab/>
      </w:r>
      <w:r>
        <w:t xml:space="preserve">K Fitz-Gibbon, S Meyer, J Maher, and S Roberts, </w:t>
      </w:r>
      <w:hyperlink r:id="rId31" w:history="1">
        <w:r>
          <w:rPr>
            <w:rStyle w:val="Hyperlink"/>
          </w:rPr>
          <w:t>Adolescent family violence in Australia: A national study of prevalence, history of childhood victimisation and impacts - ANROWS - Australia's National Research Organisation for Women's Safety</w:t>
        </w:r>
      </w:hyperlink>
      <w:r>
        <w:t>, 2022.</w:t>
      </w:r>
    </w:p>
  </w:endnote>
  <w:endnote w:id="35">
    <w:p w14:paraId="660C9000" w14:textId="27E1F8C6" w:rsidR="005B21FA" w:rsidRDefault="005B21FA" w:rsidP="00AA49F5">
      <w:pPr>
        <w:pStyle w:val="EndnoteText"/>
        <w:spacing w:before="120" w:after="120"/>
        <w:ind w:left="360" w:hanging="360"/>
      </w:pPr>
      <w:r>
        <w:rPr>
          <w:rStyle w:val="EndnoteReference"/>
        </w:rPr>
        <w:endnoteRef/>
      </w:r>
      <w:r>
        <w:t xml:space="preserve"> </w:t>
      </w:r>
      <w:r w:rsidR="00AA49F5">
        <w:tab/>
      </w:r>
      <w:r>
        <w:t xml:space="preserve">Department of Social Services, </w:t>
      </w:r>
      <w:hyperlink r:id="rId32" w:history="1">
        <w:r>
          <w:rPr>
            <w:rStyle w:val="Hyperlink"/>
          </w:rPr>
          <w:t>Safe &amp; Supported: the National Framework for Protecting Australia's Children 2021–2031 (dss.gov.au)</w:t>
        </w:r>
      </w:hyperlink>
      <w:r>
        <w:t>, 2021.</w:t>
      </w:r>
    </w:p>
  </w:endnote>
  <w:endnote w:id="36">
    <w:p w14:paraId="0AFD47AA" w14:textId="19BE99AF" w:rsidR="005B21FA" w:rsidRDefault="005B21FA" w:rsidP="00AA49F5">
      <w:pPr>
        <w:pStyle w:val="EndnoteText"/>
        <w:spacing w:before="120" w:after="120"/>
        <w:ind w:left="360" w:hanging="360"/>
      </w:pPr>
      <w:r>
        <w:rPr>
          <w:rStyle w:val="EndnoteReference"/>
        </w:rPr>
        <w:endnoteRef/>
      </w:r>
      <w:r>
        <w:t xml:space="preserve"> </w:t>
      </w:r>
      <w:r w:rsidR="00AA49F5">
        <w:tab/>
      </w:r>
      <w:r>
        <w:t xml:space="preserve">Department of Social Services, </w:t>
      </w:r>
      <w:hyperlink r:id="rId33" w:history="1">
        <w:r>
          <w:rPr>
            <w:rStyle w:val="Hyperlink"/>
          </w:rPr>
          <w:t>Early Years Strategy | Department of Social Services, Australian Government (dss.gov.au)</w:t>
        </w:r>
      </w:hyperlink>
      <w:r>
        <w:t>, n.d.</w:t>
      </w:r>
    </w:p>
  </w:endnote>
  <w:endnote w:id="37">
    <w:p w14:paraId="0AF4DB86" w14:textId="6C2B7744" w:rsidR="005B21FA" w:rsidRDefault="005B21FA" w:rsidP="00AA49F5">
      <w:pPr>
        <w:pStyle w:val="EndnoteText"/>
        <w:spacing w:before="120" w:after="120"/>
        <w:ind w:left="360" w:hanging="360"/>
      </w:pPr>
      <w:r>
        <w:rPr>
          <w:rStyle w:val="EndnoteReference"/>
        </w:rPr>
        <w:endnoteRef/>
      </w:r>
      <w:r>
        <w:t xml:space="preserve"> </w:t>
      </w:r>
      <w:r w:rsidR="00AA49F5">
        <w:tab/>
      </w:r>
      <w:r>
        <w:t xml:space="preserve">Department of the Prime Minister and Cabinet, </w:t>
      </w:r>
      <w:hyperlink r:id="rId34" w:history="1">
        <w:r w:rsidRPr="00D2570A">
          <w:rPr>
            <w:rStyle w:val="Hyperlink"/>
          </w:rPr>
          <w:t>National Strategy to Prevent and Respond to Child Sexual Abuse 2021–2030</w:t>
        </w:r>
      </w:hyperlink>
      <w:r>
        <w:t>, 2021.</w:t>
      </w:r>
    </w:p>
  </w:endnote>
  <w:endnote w:id="38">
    <w:p w14:paraId="31B2FB4F" w14:textId="7663893E" w:rsidR="005B21FA" w:rsidRDefault="005B21FA" w:rsidP="00AA49F5">
      <w:pPr>
        <w:pStyle w:val="EndnoteText"/>
        <w:spacing w:before="120" w:after="120"/>
        <w:ind w:left="360" w:hanging="360"/>
      </w:pPr>
      <w:r>
        <w:rPr>
          <w:rStyle w:val="EndnoteReference"/>
        </w:rPr>
        <w:endnoteRef/>
      </w:r>
      <w:r>
        <w:t xml:space="preserve"> </w:t>
      </w:r>
      <w:r w:rsidR="00AA49F5">
        <w:tab/>
      </w:r>
      <w:r>
        <w:t xml:space="preserve">H Douglas, </w:t>
      </w:r>
      <w:hyperlink r:id="rId35" w:history="1">
        <w:r>
          <w:rPr>
            <w:rStyle w:val="Hyperlink"/>
          </w:rPr>
          <w:t>Legal systems abuse and coercive control - Heather Douglas, 2018 (sagepub.com)</w:t>
        </w:r>
      </w:hyperlink>
      <w:r>
        <w:t>, 2018.</w:t>
      </w:r>
    </w:p>
  </w:endnote>
  <w:endnote w:id="39">
    <w:p w14:paraId="3A5FC22B" w14:textId="75486935" w:rsidR="005B21FA" w:rsidRDefault="005B21FA" w:rsidP="00AA49F5">
      <w:pPr>
        <w:pStyle w:val="EndnoteText"/>
        <w:spacing w:before="120" w:after="120"/>
        <w:ind w:left="360" w:hanging="360"/>
      </w:pPr>
      <w:r>
        <w:rPr>
          <w:rStyle w:val="EndnoteReference"/>
        </w:rPr>
        <w:endnoteRef/>
      </w:r>
      <w:r>
        <w:t xml:space="preserve"> </w:t>
      </w:r>
      <w:r w:rsidR="00AA49F5">
        <w:tab/>
      </w:r>
      <w:r>
        <w:t xml:space="preserve">EP Agency, </w:t>
      </w:r>
      <w:hyperlink r:id="rId36" w:history="1">
        <w:r>
          <w:rPr>
            <w:rStyle w:val="Hyperlink"/>
          </w:rPr>
          <w:t>Womens Safety Summit (eventsair.com)</w:t>
        </w:r>
      </w:hyperlink>
      <w:r>
        <w:t>, 6 &amp; 7 September 2022.</w:t>
      </w:r>
    </w:p>
  </w:endnote>
  <w:endnote w:id="40">
    <w:p w14:paraId="06A8B581" w14:textId="57961689" w:rsidR="005B21FA" w:rsidRDefault="005B21FA" w:rsidP="00F77CAB">
      <w:pPr>
        <w:pStyle w:val="EndnoteText"/>
        <w:spacing w:before="120" w:after="120"/>
        <w:ind w:left="360" w:hanging="360"/>
      </w:pPr>
      <w:r>
        <w:rPr>
          <w:rStyle w:val="EndnoteReference"/>
        </w:rPr>
        <w:endnoteRef/>
      </w:r>
      <w:r>
        <w:t xml:space="preserve"> </w:t>
      </w:r>
      <w:r w:rsidR="00F77CAB">
        <w:tab/>
      </w:r>
      <w:r>
        <w:t xml:space="preserve">Northern Territory Government, </w:t>
      </w:r>
      <w:hyperlink r:id="rId37" w:history="1">
        <w:r>
          <w:rPr>
            <w:rStyle w:val="Hyperlink"/>
          </w:rPr>
          <w:t>Domestic, family and sexual violence reduction | Department of Territory Families, Housing and Communities</w:t>
        </w:r>
      </w:hyperlink>
      <w:r>
        <w:t>, 2018.</w:t>
      </w:r>
    </w:p>
  </w:endnote>
  <w:endnote w:id="41">
    <w:p w14:paraId="1B1762DE" w14:textId="1A6581EC" w:rsidR="005B21FA" w:rsidRDefault="005B21FA" w:rsidP="00F77CAB">
      <w:pPr>
        <w:pStyle w:val="EndnoteText"/>
        <w:spacing w:before="120" w:after="120"/>
        <w:ind w:left="360" w:hanging="360"/>
      </w:pPr>
      <w:r>
        <w:rPr>
          <w:rStyle w:val="EndnoteReference"/>
        </w:rPr>
        <w:endnoteRef/>
      </w:r>
      <w:r>
        <w:t xml:space="preserve"> </w:t>
      </w:r>
      <w:r w:rsidR="00F77CAB">
        <w:tab/>
      </w:r>
      <w:hyperlink r:id="rId38" w:history="1">
        <w:r>
          <w:rPr>
            <w:rStyle w:val="Hyperlink"/>
          </w:rPr>
          <w:t>Children’s exposure to domestic and family violence (aifs.gov.au)</w:t>
        </w:r>
      </w:hyperlink>
      <w:r>
        <w:rPr>
          <w:rStyle w:val="Hyperlink"/>
        </w:rPr>
        <w:t>.</w:t>
      </w:r>
    </w:p>
  </w:endnote>
  <w:endnote w:id="42">
    <w:p w14:paraId="1147CD17" w14:textId="797F3D2B" w:rsidR="005B21FA" w:rsidRDefault="005B21FA" w:rsidP="00F77CAB">
      <w:pPr>
        <w:pStyle w:val="EndnoteText"/>
        <w:spacing w:before="120" w:after="120"/>
        <w:ind w:left="360" w:hanging="360"/>
      </w:pPr>
      <w:r>
        <w:rPr>
          <w:rStyle w:val="EndnoteReference"/>
        </w:rPr>
        <w:endnoteRef/>
      </w:r>
      <w:r>
        <w:t xml:space="preserve"> </w:t>
      </w:r>
      <w:r w:rsidR="00F77CAB">
        <w:tab/>
      </w:r>
      <w:r>
        <w:t xml:space="preserve">Equity Economics, </w:t>
      </w:r>
      <w:hyperlink r:id="rId39" w:history="1">
        <w:r>
          <w:rPr>
            <w:rStyle w:val="Hyperlink"/>
          </w:rPr>
          <w:t>Social and affordable housing — Equity Economics</w:t>
        </w:r>
      </w:hyperlink>
      <w:r>
        <w:t>, 2021.</w:t>
      </w:r>
    </w:p>
  </w:endnote>
  <w:endnote w:id="43">
    <w:p w14:paraId="0A9399D1" w14:textId="70689CF4" w:rsidR="005B21FA" w:rsidRDefault="005B21FA" w:rsidP="00F77CAB">
      <w:pPr>
        <w:pStyle w:val="EndnoteText"/>
        <w:spacing w:before="120" w:after="120"/>
        <w:ind w:left="360" w:hanging="360"/>
      </w:pPr>
      <w:r>
        <w:rPr>
          <w:rStyle w:val="EndnoteReference"/>
        </w:rPr>
        <w:endnoteRef/>
      </w:r>
      <w:r>
        <w:t xml:space="preserve"> </w:t>
      </w:r>
      <w:r w:rsidR="00F77CAB">
        <w:tab/>
      </w:r>
      <w:r>
        <w:t xml:space="preserve">AIHW, </w:t>
      </w:r>
      <w:r w:rsidRPr="00DF4276">
        <w:rPr>
          <w:i/>
        </w:rPr>
        <w:t>Continuing the national story.</w:t>
      </w:r>
    </w:p>
  </w:endnote>
  <w:endnote w:id="44">
    <w:p w14:paraId="7A09A334" w14:textId="1DC36C4D" w:rsidR="005B21FA" w:rsidRDefault="005B21FA" w:rsidP="00F77CAB">
      <w:pPr>
        <w:pStyle w:val="EndnoteText"/>
        <w:spacing w:before="120" w:after="120"/>
        <w:ind w:left="360" w:hanging="360"/>
      </w:pPr>
      <w:r>
        <w:rPr>
          <w:rStyle w:val="EndnoteReference"/>
        </w:rPr>
        <w:endnoteRef/>
      </w:r>
      <w:r>
        <w:t xml:space="preserve"> </w:t>
      </w:r>
      <w:r w:rsidR="00F77CAB">
        <w:tab/>
      </w:r>
      <w:r>
        <w:t xml:space="preserve">C Frohmader, </w:t>
      </w:r>
      <w:hyperlink r:id="rId40" w:history="1">
        <w:r w:rsidRPr="007D768A">
          <w:rPr>
            <w:rStyle w:val="Hyperlink"/>
          </w:rPr>
          <w:t>Women with Disabilities Australia election platform 2019</w:t>
        </w:r>
      </w:hyperlink>
      <w:r>
        <w:t>, Women with Disabilities Australia, 2019.</w:t>
      </w:r>
    </w:p>
  </w:endnote>
  <w:endnote w:id="45">
    <w:p w14:paraId="4302B3BF" w14:textId="04E26571" w:rsidR="005B21FA" w:rsidRDefault="005B21FA" w:rsidP="00F77CAB">
      <w:pPr>
        <w:pStyle w:val="EndnoteText"/>
        <w:spacing w:before="120" w:after="120"/>
        <w:ind w:left="360" w:hanging="360"/>
      </w:pPr>
      <w:r>
        <w:rPr>
          <w:rStyle w:val="EndnoteReference"/>
        </w:rPr>
        <w:endnoteRef/>
      </w:r>
      <w:r>
        <w:t xml:space="preserve"> </w:t>
      </w:r>
      <w:r w:rsidR="00F77CAB">
        <w:tab/>
      </w:r>
      <w:r>
        <w:t xml:space="preserve">ActionAid, Department for International Development and Gender and Development Network, </w:t>
      </w:r>
      <w:hyperlink r:id="rId41" w:history="1">
        <w:r w:rsidRPr="000B6B64">
          <w:rPr>
            <w:rStyle w:val="Hyperlink"/>
          </w:rPr>
          <w:t>A theory of change for tackling violence against women and girls</w:t>
        </w:r>
      </w:hyperlink>
      <w:r>
        <w:t>, ActionAid, 2015.</w:t>
      </w:r>
    </w:p>
  </w:endnote>
  <w:endnote w:id="46">
    <w:p w14:paraId="35EF5D3C" w14:textId="5CC26CC3" w:rsidR="005B21FA" w:rsidRDefault="005B21FA" w:rsidP="00F77CAB">
      <w:pPr>
        <w:pStyle w:val="EndnoteText"/>
        <w:spacing w:before="120" w:after="120"/>
        <w:ind w:left="360" w:hanging="360"/>
      </w:pPr>
      <w:r>
        <w:rPr>
          <w:rStyle w:val="EndnoteReference"/>
        </w:rPr>
        <w:endnoteRef/>
      </w:r>
      <w:r>
        <w:t xml:space="preserve"> </w:t>
      </w:r>
      <w:r w:rsidR="00F77CAB">
        <w:tab/>
      </w:r>
      <w:r>
        <w:t>ACON, ‘</w:t>
      </w:r>
      <w:hyperlink r:id="rId42" w:history="1">
        <w:r w:rsidRPr="000B6B64">
          <w:rPr>
            <w:rStyle w:val="Hyperlink"/>
          </w:rPr>
          <w:t>Trans mob’</w:t>
        </w:r>
      </w:hyperlink>
      <w:r>
        <w:t>, TransHub website, ACON, 2021.</w:t>
      </w:r>
    </w:p>
  </w:endnote>
  <w:endnote w:id="47">
    <w:p w14:paraId="7B22A416" w14:textId="77777777" w:rsidR="00867FAF" w:rsidRDefault="00867FAF" w:rsidP="00F77CAB">
      <w:pPr>
        <w:pStyle w:val="EndnoteText"/>
        <w:spacing w:before="120" w:after="120"/>
        <w:ind w:left="360" w:hanging="360"/>
      </w:pPr>
      <w:r>
        <w:rPr>
          <w:rStyle w:val="EndnoteReference"/>
        </w:rPr>
        <w:endnoteRef/>
      </w:r>
      <w:r>
        <w:t xml:space="preserve"> </w:t>
      </w:r>
      <w:r>
        <w:tab/>
        <w:t>ACON, ‘</w:t>
      </w:r>
      <w:hyperlink r:id="rId43" w:anchor="glossary" w:history="1">
        <w:r w:rsidRPr="000B6B64">
          <w:rPr>
            <w:rStyle w:val="Hyperlink"/>
          </w:rPr>
          <w:t>Language’</w:t>
        </w:r>
      </w:hyperlink>
      <w:r>
        <w:t>, TransHub website, ACON, 2021.</w:t>
      </w:r>
    </w:p>
  </w:endnote>
  <w:endnote w:id="48">
    <w:p w14:paraId="14BB602C" w14:textId="77777777" w:rsidR="00867FAF" w:rsidRDefault="00867FAF" w:rsidP="00F77CAB">
      <w:pPr>
        <w:pStyle w:val="EndnoteText"/>
        <w:spacing w:before="120" w:after="120"/>
        <w:ind w:left="360" w:hanging="360"/>
      </w:pPr>
      <w:r>
        <w:rPr>
          <w:rStyle w:val="EndnoteReference"/>
        </w:rPr>
        <w:endnoteRef/>
      </w:r>
      <w:r>
        <w:t xml:space="preserve"> </w:t>
      </w:r>
      <w:r>
        <w:tab/>
        <w:t>K Minter, E Carlisle and C Coumarelos, ‘</w:t>
      </w:r>
      <w:hyperlink r:id="rId44" w:history="1">
        <w:r w:rsidRPr="000B6B64">
          <w:rPr>
            <w:rStyle w:val="Hyperlink"/>
          </w:rPr>
          <w:t>Chuck her on a lie detector’: Investigating Australians’ mistrust in women’s reports of sexual assault</w:t>
        </w:r>
      </w:hyperlink>
      <w:r>
        <w:t>, Research report 04/2021, ANROWS, 2021.</w:t>
      </w:r>
    </w:p>
  </w:endnote>
  <w:endnote w:id="49">
    <w:p w14:paraId="017FF12E" w14:textId="77777777" w:rsidR="00867FAF" w:rsidRDefault="00867FAF" w:rsidP="00F77CAB">
      <w:pPr>
        <w:pStyle w:val="EndnoteText"/>
        <w:spacing w:before="120" w:after="120"/>
        <w:ind w:left="360" w:hanging="360"/>
      </w:pPr>
      <w:r>
        <w:rPr>
          <w:rStyle w:val="EndnoteReference"/>
        </w:rPr>
        <w:endnoteRef/>
      </w:r>
      <w:r>
        <w:t xml:space="preserve"> </w:t>
      </w:r>
      <w:r>
        <w:tab/>
        <w:t xml:space="preserve">Jhpiego, </w:t>
      </w:r>
      <w:hyperlink r:id="rId45" w:history="1">
        <w:r w:rsidRPr="0063447D">
          <w:rPr>
            <w:rStyle w:val="Hyperlink"/>
          </w:rPr>
          <w:t>Gender concepts and definitions</w:t>
        </w:r>
      </w:hyperlink>
      <w:r>
        <w:t>, jhpiego website, 2020.</w:t>
      </w:r>
    </w:p>
  </w:endnote>
  <w:endnote w:id="50">
    <w:p w14:paraId="615CFE8F" w14:textId="77777777" w:rsidR="00867FAF" w:rsidRDefault="00867FAF" w:rsidP="00F77CAB">
      <w:pPr>
        <w:pStyle w:val="EndnoteText"/>
        <w:spacing w:before="120" w:after="120"/>
        <w:ind w:left="360" w:hanging="360"/>
      </w:pPr>
      <w:r>
        <w:rPr>
          <w:rStyle w:val="EndnoteReference"/>
        </w:rPr>
        <w:endnoteRef/>
      </w:r>
      <w:r>
        <w:t xml:space="preserve"> </w:t>
      </w:r>
      <w:r>
        <w:tab/>
        <w:t xml:space="preserve">L Hillier, T Jones, M Monagle, N Overton, L Gahan, J Blackman, A Mitchell, </w:t>
      </w:r>
      <w:hyperlink r:id="rId46" w:history="1">
        <w:r w:rsidRPr="00D777A9">
          <w:rPr>
            <w:rStyle w:val="Hyperlink"/>
          </w:rPr>
          <w:t>Writing themselves in 3: The third national study on the sexual health and well-being of same sex attracted and gender questioning young people</w:t>
        </w:r>
      </w:hyperlink>
      <w:r>
        <w:t>, Australian Research Centre in Sex, Health and Society, La Trobe University, 2010.</w:t>
      </w:r>
    </w:p>
  </w:endnote>
  <w:endnote w:id="51">
    <w:p w14:paraId="1250092E" w14:textId="77777777" w:rsidR="00867FAF" w:rsidRDefault="00867FAF" w:rsidP="00F77CAB">
      <w:pPr>
        <w:pStyle w:val="EndnoteText"/>
        <w:spacing w:before="120" w:after="120"/>
        <w:ind w:left="360" w:hanging="360"/>
      </w:pPr>
      <w:r>
        <w:rPr>
          <w:rStyle w:val="EndnoteReference"/>
        </w:rPr>
        <w:endnoteRef/>
      </w:r>
      <w:r>
        <w:t xml:space="preserve"> </w:t>
      </w:r>
      <w:r>
        <w:tab/>
        <w:t xml:space="preserve">United Nations Committee on the Elimination of Discrimination against Women (CEDAW), </w:t>
      </w:r>
      <w:hyperlink r:id="rId47" w:history="1">
        <w:r w:rsidRPr="00EA0AA3">
          <w:rPr>
            <w:rStyle w:val="Hyperlink"/>
          </w:rPr>
          <w:t>General recommendation no. 35 on gender-based violence against women</w:t>
        </w:r>
      </w:hyperlink>
      <w:r>
        <w:t>, United Nations, 2017.</w:t>
      </w:r>
    </w:p>
  </w:endnote>
  <w:endnote w:id="52">
    <w:p w14:paraId="1DEA56F8" w14:textId="77777777" w:rsidR="00867FAF" w:rsidRDefault="00867FAF" w:rsidP="00F77CAB">
      <w:pPr>
        <w:pStyle w:val="EndnoteText"/>
        <w:spacing w:before="120" w:after="120"/>
        <w:ind w:left="360" w:hanging="360"/>
      </w:pPr>
      <w:r>
        <w:rPr>
          <w:rStyle w:val="EndnoteReference"/>
        </w:rPr>
        <w:endnoteRef/>
      </w:r>
      <w:r>
        <w:t xml:space="preserve"> </w:t>
      </w:r>
      <w:r>
        <w:tab/>
        <w:t>Office of the United National High Commissioner for Human Rights (OHCHR), ‘</w:t>
      </w:r>
      <w:hyperlink r:id="rId48" w:history="1">
        <w:r w:rsidRPr="009A4327">
          <w:rPr>
            <w:rStyle w:val="Hyperlink"/>
          </w:rPr>
          <w:t>Gender Stereotyping’</w:t>
        </w:r>
      </w:hyperlink>
      <w:r>
        <w:t>, OHCHR website, n.d.; Domestic Violence Resource Centre Victoria (DVRCV), Key terms in the prevention of violence against women, Partners in Prevention, Victoria State Government and DVRCV, 2019.</w:t>
      </w:r>
    </w:p>
  </w:endnote>
  <w:endnote w:id="53">
    <w:p w14:paraId="5C572A3E" w14:textId="77777777" w:rsidR="00867FAF" w:rsidRDefault="00867FAF" w:rsidP="00F77CAB">
      <w:pPr>
        <w:pStyle w:val="EndnoteText"/>
        <w:spacing w:before="120" w:after="120"/>
        <w:ind w:left="360" w:hanging="360"/>
      </w:pPr>
      <w:r>
        <w:rPr>
          <w:rStyle w:val="EndnoteReference"/>
        </w:rPr>
        <w:endnoteRef/>
      </w:r>
      <w:r>
        <w:t xml:space="preserve"> </w:t>
      </w:r>
      <w:r>
        <w:tab/>
        <w:t xml:space="preserve">L Hillier, T Jones, M Monagle, N Overton, L Gahan, J Blackman, A Mitchell, </w:t>
      </w:r>
      <w:hyperlink r:id="rId49" w:history="1">
        <w:r w:rsidRPr="00D777A9">
          <w:rPr>
            <w:rStyle w:val="Hyperlink"/>
          </w:rPr>
          <w:t>Writing themselves in 3: The third national study on the sexual health and well-being of same sex attracted and gender questioning young people</w:t>
        </w:r>
      </w:hyperlink>
      <w:r>
        <w:t>, Australian Research Centre in Sex, Health and Society, La Trobe University, 2010.</w:t>
      </w:r>
    </w:p>
  </w:endnote>
  <w:endnote w:id="54">
    <w:p w14:paraId="42B5A08C" w14:textId="77777777" w:rsidR="00867FAF" w:rsidRDefault="00867FAF" w:rsidP="00F77CAB">
      <w:pPr>
        <w:pStyle w:val="EndnoteText"/>
        <w:spacing w:before="120" w:after="120"/>
        <w:ind w:left="360" w:hanging="360"/>
      </w:pPr>
      <w:r>
        <w:rPr>
          <w:rStyle w:val="EndnoteReference"/>
        </w:rPr>
        <w:endnoteRef/>
      </w:r>
      <w:r>
        <w:t xml:space="preserve"> </w:t>
      </w:r>
      <w:r>
        <w:tab/>
        <w:t xml:space="preserve">eSafety Commission, </w:t>
      </w:r>
      <w:hyperlink r:id="rId50" w:history="1">
        <w:r w:rsidRPr="009A4327">
          <w:rPr>
            <w:rStyle w:val="Hyperlink"/>
          </w:rPr>
          <w:t>Image-based abuse</w:t>
        </w:r>
      </w:hyperlink>
      <w:r>
        <w:t>, eSafety website, n.d.</w:t>
      </w:r>
    </w:p>
  </w:endnote>
  <w:endnote w:id="55">
    <w:p w14:paraId="3412D4CA" w14:textId="77777777" w:rsidR="00867FAF" w:rsidRDefault="00867FAF" w:rsidP="00F77CAB">
      <w:pPr>
        <w:pStyle w:val="EndnoteText"/>
        <w:spacing w:before="120" w:after="120"/>
        <w:ind w:left="360" w:hanging="360"/>
      </w:pPr>
      <w:r>
        <w:rPr>
          <w:rStyle w:val="EndnoteReference"/>
        </w:rPr>
        <w:endnoteRef/>
      </w:r>
      <w:r>
        <w:t xml:space="preserve"> </w:t>
      </w:r>
      <w:r>
        <w:tab/>
        <w:t>Healing Foundation, ‘</w:t>
      </w:r>
      <w:hyperlink r:id="rId51" w:history="1">
        <w:r w:rsidRPr="009A4327">
          <w:rPr>
            <w:rStyle w:val="Hyperlink"/>
          </w:rPr>
          <w:t>Intergenerational trauma’</w:t>
        </w:r>
      </w:hyperlink>
      <w:r>
        <w:t>, Healing Foundation website, 2022.</w:t>
      </w:r>
    </w:p>
  </w:endnote>
  <w:endnote w:id="56">
    <w:p w14:paraId="3490E47A" w14:textId="77777777" w:rsidR="00867FAF" w:rsidRDefault="00867FAF" w:rsidP="00F77CAB">
      <w:pPr>
        <w:pStyle w:val="EndnoteText"/>
        <w:spacing w:before="120" w:after="120"/>
        <w:ind w:left="360" w:hanging="360"/>
      </w:pPr>
      <w:r>
        <w:rPr>
          <w:rStyle w:val="EndnoteReference"/>
        </w:rPr>
        <w:endnoteRef/>
      </w:r>
      <w:r>
        <w:t xml:space="preserve"> </w:t>
      </w:r>
      <w:r>
        <w:tab/>
        <w:t>Key terms in the prevention of violence against women, Partners in Prevention, Victoria State Government and DVRCV, 2019.</w:t>
      </w:r>
    </w:p>
  </w:endnote>
  <w:endnote w:id="57">
    <w:p w14:paraId="13F47339" w14:textId="77777777" w:rsidR="00867FAF" w:rsidRDefault="00867FAF" w:rsidP="00F77CAB">
      <w:pPr>
        <w:pStyle w:val="EndnoteText"/>
        <w:spacing w:before="120" w:after="120"/>
        <w:ind w:left="360" w:hanging="360"/>
      </w:pPr>
      <w:r>
        <w:rPr>
          <w:rStyle w:val="EndnoteReference"/>
        </w:rPr>
        <w:endnoteRef/>
      </w:r>
      <w:r>
        <w:t xml:space="preserve"> </w:t>
      </w:r>
      <w:r>
        <w:tab/>
        <w:t>Intersex Human Rights Australia (IHRA), ‘</w:t>
      </w:r>
      <w:hyperlink r:id="rId52" w:history="1">
        <w:r w:rsidRPr="00416FB4">
          <w:rPr>
            <w:rStyle w:val="Hyperlink"/>
          </w:rPr>
          <w:t>What is intersex?</w:t>
        </w:r>
      </w:hyperlink>
      <w:r>
        <w:t>’, IHRA website, 2013.</w:t>
      </w:r>
    </w:p>
  </w:endnote>
  <w:endnote w:id="58">
    <w:p w14:paraId="58505B08" w14:textId="77777777" w:rsidR="00867FAF" w:rsidRDefault="00867FAF" w:rsidP="00F77CAB">
      <w:pPr>
        <w:pStyle w:val="EndnoteText"/>
        <w:spacing w:before="120" w:after="120"/>
        <w:ind w:left="360" w:hanging="360"/>
      </w:pPr>
      <w:r>
        <w:rPr>
          <w:rStyle w:val="EndnoteReference"/>
        </w:rPr>
        <w:endnoteRef/>
      </w:r>
      <w:r>
        <w:t xml:space="preserve"> </w:t>
      </w:r>
      <w:r>
        <w:tab/>
        <w:t xml:space="preserve">Aboriginal and Torres Strait Islander Social Justice Commissioner, </w:t>
      </w:r>
      <w:hyperlink r:id="rId53" w:history="1">
        <w:r w:rsidRPr="00416FB4">
          <w:rPr>
            <w:rStyle w:val="Hyperlink"/>
          </w:rPr>
          <w:t>Social justice report 2011</w:t>
        </w:r>
      </w:hyperlink>
      <w:r>
        <w:t>, AHRC, 2011.</w:t>
      </w:r>
    </w:p>
  </w:endnote>
  <w:endnote w:id="59">
    <w:p w14:paraId="5F08A20E" w14:textId="77777777" w:rsidR="00867FAF" w:rsidRDefault="00867FAF" w:rsidP="00F77CAB">
      <w:pPr>
        <w:pStyle w:val="EndnoteText"/>
        <w:spacing w:before="120" w:after="120"/>
        <w:ind w:left="360" w:hanging="360"/>
      </w:pPr>
      <w:r>
        <w:rPr>
          <w:rStyle w:val="EndnoteReference"/>
        </w:rPr>
        <w:endnoteRef/>
      </w:r>
      <w:r>
        <w:t xml:space="preserve"> </w:t>
      </w:r>
      <w:r>
        <w:tab/>
        <w:t xml:space="preserve">L Hillier, T Jones, M Monagle, N Overton, L Gahan, J Blackman, A Mitchell, </w:t>
      </w:r>
      <w:hyperlink r:id="rId54" w:history="1">
        <w:r w:rsidRPr="00D777A9">
          <w:rPr>
            <w:rStyle w:val="Hyperlink"/>
          </w:rPr>
          <w:t>Writing themselves in 3: The third national study on the sexual health and well-being of same sex attracted and gender questioning young people</w:t>
        </w:r>
      </w:hyperlink>
      <w:r>
        <w:t>, Australian Research Centre in Sex, Health and Society, La Trobe University, 2010.</w:t>
      </w:r>
    </w:p>
  </w:endnote>
  <w:endnote w:id="60">
    <w:p w14:paraId="115464EF" w14:textId="77777777" w:rsidR="00867FAF" w:rsidRPr="00DF4276" w:rsidRDefault="00867FAF" w:rsidP="00F77CAB">
      <w:pPr>
        <w:pStyle w:val="EndnoteText"/>
        <w:spacing w:before="120" w:after="120"/>
        <w:ind w:left="360" w:hanging="360"/>
        <w:rPr>
          <w:b/>
        </w:rPr>
      </w:pPr>
      <w:r>
        <w:rPr>
          <w:rStyle w:val="EndnoteReference"/>
        </w:rPr>
        <w:endnoteRef/>
      </w:r>
      <w:r>
        <w:t xml:space="preserve"> </w:t>
      </w:r>
      <w:r>
        <w:tab/>
        <w:t xml:space="preserve">Victorian Department of Health, </w:t>
      </w:r>
      <w:hyperlink r:id="rId55" w:history="1">
        <w:r w:rsidRPr="002028E0">
          <w:rPr>
            <w:rStyle w:val="Hyperlink"/>
          </w:rPr>
          <w:t>Rainbow eQuality guide definitions and inclusive language</w:t>
        </w:r>
      </w:hyperlink>
      <w:r>
        <w:t>, Victorian Department of Health website, 9 September 2015.</w:t>
      </w:r>
    </w:p>
  </w:endnote>
  <w:endnote w:id="61">
    <w:p w14:paraId="46A61E80" w14:textId="77777777" w:rsidR="00867FAF" w:rsidRDefault="00867FAF" w:rsidP="00F77CAB">
      <w:pPr>
        <w:pStyle w:val="EndnoteText"/>
        <w:spacing w:before="120" w:after="120"/>
        <w:ind w:left="360" w:hanging="360"/>
      </w:pPr>
      <w:r>
        <w:rPr>
          <w:rStyle w:val="EndnoteReference"/>
        </w:rPr>
        <w:endnoteRef/>
      </w:r>
      <w:r>
        <w:t xml:space="preserve"> </w:t>
      </w:r>
      <w:r>
        <w:tab/>
        <w:t xml:space="preserve">Australian Government, </w:t>
      </w:r>
      <w:hyperlink r:id="rId56" w:history="1">
        <w:r w:rsidRPr="00C255DA">
          <w:rPr>
            <w:rStyle w:val="Hyperlink"/>
          </w:rPr>
          <w:t>National Agreement on Closing the Gap</w:t>
        </w:r>
      </w:hyperlink>
      <w:r>
        <w:t>, Australian Government, 2020.</w:t>
      </w:r>
    </w:p>
  </w:endnote>
  <w:endnote w:id="62">
    <w:p w14:paraId="20BDCC57" w14:textId="77777777" w:rsidR="00867FAF" w:rsidRDefault="00867FAF" w:rsidP="00F77CAB">
      <w:pPr>
        <w:pStyle w:val="EndnoteText"/>
        <w:spacing w:before="120" w:after="120"/>
        <w:ind w:left="360" w:hanging="360"/>
      </w:pPr>
      <w:r>
        <w:rPr>
          <w:rStyle w:val="EndnoteReference"/>
        </w:rPr>
        <w:endnoteRef/>
      </w:r>
      <w:r>
        <w:t xml:space="preserve"> </w:t>
      </w:r>
      <w:r>
        <w:tab/>
        <w:t xml:space="preserve">Victorian Department of Health, </w:t>
      </w:r>
      <w:hyperlink r:id="rId57" w:history="1">
        <w:r w:rsidRPr="002028E0">
          <w:rPr>
            <w:rStyle w:val="Hyperlink"/>
          </w:rPr>
          <w:t>Rainbow eQuality guide definitions and inclusive language</w:t>
        </w:r>
      </w:hyperlink>
      <w:r>
        <w:t>, Victorian Department of Health website, 9 September 2015.</w:t>
      </w:r>
    </w:p>
  </w:endnote>
  <w:endnote w:id="63">
    <w:p w14:paraId="123F8F98" w14:textId="77777777" w:rsidR="00867FAF" w:rsidRDefault="00867FAF" w:rsidP="00F77CAB">
      <w:pPr>
        <w:pStyle w:val="EndnoteText"/>
        <w:spacing w:before="120" w:after="120"/>
        <w:ind w:left="360" w:hanging="360"/>
      </w:pPr>
      <w:r>
        <w:rPr>
          <w:rStyle w:val="EndnoteReference"/>
        </w:rPr>
        <w:endnoteRef/>
      </w:r>
      <w:r>
        <w:t xml:space="preserve"> </w:t>
      </w:r>
      <w:r>
        <w:tab/>
        <w:t xml:space="preserve">Our Watch and Universities Australia, </w:t>
      </w:r>
      <w:hyperlink r:id="rId58" w:history="1">
        <w:r w:rsidRPr="00C255DA">
          <w:rPr>
            <w:rStyle w:val="Hyperlink"/>
          </w:rPr>
          <w:t>Educating for equality: Glossary of key terms and definitions</w:t>
        </w:r>
      </w:hyperlink>
      <w:r>
        <w:t>, Our Watch, 2021.</w:t>
      </w:r>
    </w:p>
  </w:endnote>
  <w:endnote w:id="64">
    <w:p w14:paraId="6E10BBAE" w14:textId="77777777" w:rsidR="00867FAF" w:rsidRDefault="00867FAF" w:rsidP="00F77CAB">
      <w:pPr>
        <w:pStyle w:val="EndnoteText"/>
        <w:spacing w:before="120" w:after="120"/>
        <w:ind w:left="360" w:hanging="360"/>
      </w:pPr>
      <w:r>
        <w:rPr>
          <w:rStyle w:val="EndnoteReference"/>
        </w:rPr>
        <w:endnoteRef/>
      </w:r>
      <w:r>
        <w:t xml:space="preserve"> </w:t>
      </w:r>
      <w:r>
        <w:tab/>
        <w:t xml:space="preserve">Our Watch, </w:t>
      </w:r>
      <w:hyperlink r:id="rId59" w:history="1">
        <w:r w:rsidRPr="009F1690">
          <w:rPr>
            <w:rStyle w:val="Hyperlink"/>
          </w:rPr>
          <w:t>Respectful relationships education as part of a national approach to preventing gender-based violence: a brief for policy makers</w:t>
        </w:r>
      </w:hyperlink>
      <w:r>
        <w:t>, Our Watch, 2021.</w:t>
      </w:r>
    </w:p>
  </w:endnote>
  <w:endnote w:id="65">
    <w:p w14:paraId="160CE327" w14:textId="77777777" w:rsidR="00867FAF" w:rsidRDefault="00867FAF" w:rsidP="00F77CAB">
      <w:pPr>
        <w:pStyle w:val="EndnoteText"/>
        <w:spacing w:before="120" w:after="120"/>
        <w:ind w:left="360" w:hanging="360"/>
      </w:pPr>
      <w:r>
        <w:rPr>
          <w:rStyle w:val="EndnoteReference"/>
        </w:rPr>
        <w:endnoteRef/>
      </w:r>
      <w:r>
        <w:t xml:space="preserve"> </w:t>
      </w:r>
      <w:r>
        <w:tab/>
        <w:t xml:space="preserve">AIHW, </w:t>
      </w:r>
      <w:hyperlink r:id="rId60" w:history="1">
        <w:r w:rsidRPr="00C255DA">
          <w:rPr>
            <w:rStyle w:val="Hyperlink"/>
          </w:rPr>
          <w:t>Mental health services in Australia</w:t>
        </w:r>
      </w:hyperlink>
      <w:r>
        <w:t>, AIHW, Australian Government, 2022.</w:t>
      </w:r>
    </w:p>
  </w:endnote>
  <w:endnote w:id="66">
    <w:p w14:paraId="46AA08FE" w14:textId="77777777" w:rsidR="00B74C5A" w:rsidRDefault="00B74C5A" w:rsidP="00F77CAB">
      <w:pPr>
        <w:pStyle w:val="EndnoteText"/>
        <w:spacing w:before="120" w:after="120"/>
        <w:ind w:left="360" w:hanging="360"/>
      </w:pPr>
      <w:r>
        <w:rPr>
          <w:rStyle w:val="EndnoteReference"/>
        </w:rPr>
        <w:endnoteRef/>
      </w:r>
      <w:r>
        <w:t xml:space="preserve"> </w:t>
      </w:r>
      <w:r>
        <w:tab/>
        <w:t xml:space="preserve">Australian Human Rights Commission, </w:t>
      </w:r>
      <w:hyperlink r:id="rId61" w:history="1">
        <w:r w:rsidRPr="00DF4276">
          <w:rPr>
            <w:rStyle w:val="Hyperlink"/>
          </w:rPr>
          <w:t>A Future Without Violence: Quality, safeguarding and oversight to prevent and address violence against people with disability in institutional settings</w:t>
        </w:r>
      </w:hyperlink>
      <w:r>
        <w:t>, AHRC, June 2018.</w:t>
      </w:r>
    </w:p>
  </w:endnote>
  <w:endnote w:id="67">
    <w:p w14:paraId="78A88FC0" w14:textId="77777777" w:rsidR="00B74C5A" w:rsidRDefault="00B74C5A" w:rsidP="00F77CAB">
      <w:pPr>
        <w:pStyle w:val="EndnoteText"/>
        <w:spacing w:before="120" w:after="120"/>
        <w:ind w:left="360" w:hanging="360"/>
      </w:pPr>
      <w:r>
        <w:rPr>
          <w:rStyle w:val="EndnoteReference"/>
        </w:rPr>
        <w:endnoteRef/>
      </w:r>
      <w:r>
        <w:t xml:space="preserve"> </w:t>
      </w:r>
      <w:r>
        <w:tab/>
        <w:t xml:space="preserve">Australian Women’s Health Network, </w:t>
      </w:r>
      <w:hyperlink r:id="rId62" w:history="1">
        <w:r w:rsidRPr="00C255DA">
          <w:rPr>
            <w:rStyle w:val="Hyperlink"/>
          </w:rPr>
          <w:t>Health and the primary prevention of violence against women: second edition, position paper</w:t>
        </w:r>
      </w:hyperlink>
      <w:r>
        <w:t>, Australian Women’s Health Network, 2019.</w:t>
      </w:r>
    </w:p>
  </w:endnote>
  <w:endnote w:id="68">
    <w:p w14:paraId="49A29CDF" w14:textId="77777777" w:rsidR="00B74C5A" w:rsidRDefault="00B74C5A" w:rsidP="00F77CAB">
      <w:pPr>
        <w:pStyle w:val="EndnoteText"/>
        <w:spacing w:before="120" w:after="120"/>
        <w:ind w:left="360" w:hanging="360"/>
      </w:pPr>
      <w:r>
        <w:rPr>
          <w:rStyle w:val="EndnoteReference"/>
        </w:rPr>
        <w:endnoteRef/>
      </w:r>
      <w:r>
        <w:t xml:space="preserve"> </w:t>
      </w:r>
      <w:r>
        <w:tab/>
        <w:t xml:space="preserve">AHRC and Full Stop Australia, </w:t>
      </w:r>
      <w:hyperlink r:id="rId63" w:history="1">
        <w:r w:rsidRPr="00C255DA">
          <w:rPr>
            <w:rStyle w:val="Hyperlink"/>
          </w:rPr>
          <w:t>Support and self care guide: Trauma informed guidance to accompany the release of the Set the standard: Report on the Independent Review into Commonwealth Parliamentary Workplaces</w:t>
        </w:r>
      </w:hyperlink>
      <w:r>
        <w:t>, AHRC, 2021.</w:t>
      </w:r>
    </w:p>
  </w:endnote>
  <w:endnote w:id="69">
    <w:p w14:paraId="5BDD4DE1" w14:textId="77777777" w:rsidR="00B74C5A" w:rsidRDefault="00B74C5A" w:rsidP="00F77CAB">
      <w:pPr>
        <w:pStyle w:val="EndnoteText"/>
        <w:spacing w:before="120" w:after="120"/>
        <w:ind w:left="360" w:hanging="360"/>
      </w:pPr>
      <w:r>
        <w:rPr>
          <w:rStyle w:val="EndnoteReference"/>
        </w:rPr>
        <w:endnoteRef/>
      </w:r>
      <w:r>
        <w:t xml:space="preserve"> </w:t>
      </w:r>
      <w:r>
        <w:tab/>
        <w:t xml:space="preserve">Our Watch, </w:t>
      </w:r>
      <w:hyperlink r:id="rId64" w:history="1">
        <w:r w:rsidRPr="007B3E70">
          <w:rPr>
            <w:rStyle w:val="Hyperlink"/>
          </w:rPr>
          <w:t>Change the Story: A shared framework for the primary prevention of violence against women in Australia</w:t>
        </w:r>
      </w:hyperlink>
      <w:r>
        <w:t>, 2nd edn, Our Watch, 2021.</w:t>
      </w:r>
    </w:p>
  </w:endnote>
  <w:endnote w:id="70">
    <w:p w14:paraId="09EC8C3B" w14:textId="77777777" w:rsidR="00B74C5A" w:rsidRDefault="00B74C5A" w:rsidP="00F77CAB">
      <w:pPr>
        <w:pStyle w:val="EndnoteText"/>
        <w:spacing w:before="120" w:after="120"/>
        <w:ind w:left="360" w:hanging="360"/>
      </w:pPr>
      <w:r>
        <w:rPr>
          <w:rStyle w:val="EndnoteReference"/>
        </w:rPr>
        <w:endnoteRef/>
      </w:r>
      <w:r>
        <w:t xml:space="preserve"> </w:t>
      </w:r>
      <w:r>
        <w:tab/>
        <w:t>ACON, ‘</w:t>
      </w:r>
      <w:hyperlink r:id="rId65" w:history="1">
        <w:r w:rsidRPr="000B6B64">
          <w:rPr>
            <w:rStyle w:val="Hyperlink"/>
          </w:rPr>
          <w:t>Trans mob’</w:t>
        </w:r>
      </w:hyperlink>
      <w:r>
        <w:t>, TransHub website, ACON, 2021.</w:t>
      </w:r>
    </w:p>
  </w:endnote>
  <w:endnote w:id="71">
    <w:p w14:paraId="365E39BE" w14:textId="77777777" w:rsidR="00B74C5A" w:rsidRDefault="00B74C5A" w:rsidP="00B74C5A">
      <w:pPr>
        <w:pStyle w:val="EndnoteText"/>
        <w:spacing w:before="120" w:after="120"/>
        <w:ind w:left="360" w:hanging="360"/>
      </w:pPr>
      <w:r>
        <w:rPr>
          <w:rStyle w:val="EndnoteReference"/>
        </w:rPr>
        <w:endnoteRef/>
      </w:r>
      <w:r>
        <w:t xml:space="preserve"> </w:t>
      </w:r>
      <w:r>
        <w:tab/>
        <w:t>H Douglas, ‘</w:t>
      </w:r>
      <w:hyperlink r:id="rId66" w:history="1">
        <w:r w:rsidRPr="00C255DA">
          <w:rPr>
            <w:rStyle w:val="Hyperlink"/>
          </w:rPr>
          <w:t>Legal systems abuse and coercive control’</w:t>
        </w:r>
      </w:hyperlink>
      <w:r>
        <w:t>, Criminology &amp; Criminal Justice, 2018, 18(1):84–99, doi:10.1177/1748895817728380.</w:t>
      </w:r>
    </w:p>
  </w:endnote>
  <w:endnote w:id="72">
    <w:p w14:paraId="57DA05C3" w14:textId="77777777" w:rsidR="00B74C5A" w:rsidRDefault="00B74C5A" w:rsidP="00B74C5A">
      <w:pPr>
        <w:pStyle w:val="EndnoteText"/>
        <w:spacing w:before="120" w:after="120"/>
        <w:ind w:left="360" w:hanging="360"/>
      </w:pPr>
      <w:r>
        <w:rPr>
          <w:rStyle w:val="EndnoteReference"/>
        </w:rPr>
        <w:endnoteRef/>
      </w:r>
      <w:r>
        <w:t xml:space="preserve"> </w:t>
      </w:r>
      <w:r>
        <w:tab/>
        <w:t xml:space="preserve">Attorney-General’s Department, Australasian Institute of Judicial Administration, University of Queensland, University of Melbourne, </w:t>
      </w:r>
      <w:hyperlink r:id="rId67" w:history="1">
        <w:r w:rsidRPr="00C255DA">
          <w:rPr>
            <w:rStyle w:val="Hyperlink"/>
          </w:rPr>
          <w:t>National domestic and family violence bench book</w:t>
        </w:r>
      </w:hyperlink>
      <w:r>
        <w:t>, Australian Government, 2022.</w:t>
      </w:r>
    </w:p>
  </w:endnote>
  <w:endnote w:id="73">
    <w:p w14:paraId="6E18CA42" w14:textId="77777777" w:rsidR="00B74C5A" w:rsidRDefault="00B74C5A" w:rsidP="00B74C5A">
      <w:pPr>
        <w:pStyle w:val="EndnoteText"/>
        <w:spacing w:before="120" w:after="120"/>
        <w:ind w:left="360" w:hanging="360"/>
      </w:pPr>
      <w:r>
        <w:rPr>
          <w:rStyle w:val="EndnoteReference"/>
        </w:rPr>
        <w:endnoteRef/>
      </w:r>
      <w:r>
        <w:t xml:space="preserve"> </w:t>
      </w:r>
      <w:r>
        <w:tab/>
        <w:t xml:space="preserve">Our Watch, </w:t>
      </w:r>
      <w:hyperlink r:id="rId68" w:history="1">
        <w:r w:rsidRPr="007B3E70">
          <w:rPr>
            <w:rStyle w:val="Hyperlink"/>
          </w:rPr>
          <w:t>Change the Story: A shared framework for the primary prevention of violence against women in Australia</w:t>
        </w:r>
      </w:hyperlink>
      <w:r>
        <w:t>, 2nd edn, Our Watch, 2021.</w:t>
      </w:r>
    </w:p>
  </w:endnote>
  <w:endnote w:id="74">
    <w:p w14:paraId="4564F35E" w14:textId="77777777" w:rsidR="00B74C5A" w:rsidRDefault="00B74C5A" w:rsidP="00B74C5A">
      <w:pPr>
        <w:pStyle w:val="EndnoteText"/>
        <w:spacing w:before="120" w:after="120"/>
        <w:ind w:left="360" w:hanging="360"/>
      </w:pPr>
      <w:r>
        <w:rPr>
          <w:rStyle w:val="EndnoteReference"/>
        </w:rPr>
        <w:endnoteRef/>
      </w:r>
      <w:r>
        <w:t xml:space="preserve"> </w:t>
      </w:r>
      <w:r>
        <w:tab/>
        <w:t xml:space="preserve">AHRC and Full Stop Australia, </w:t>
      </w:r>
      <w:hyperlink r:id="rId69" w:history="1">
        <w:r w:rsidRPr="00C255DA">
          <w:rPr>
            <w:rStyle w:val="Hyperlink"/>
          </w:rPr>
          <w:t>Support and self care guide: Trauma informed guidance to accompany the release of the Set the standard: Report on the Independent Review into Commonwealth Parliamentary Workplaces</w:t>
        </w:r>
      </w:hyperlink>
      <w:r>
        <w:t>, AHRC, 2021.</w:t>
      </w:r>
    </w:p>
  </w:endnote>
  <w:endnote w:id="75">
    <w:p w14:paraId="1FEF373D" w14:textId="77777777" w:rsidR="003861F3" w:rsidRDefault="003861F3" w:rsidP="003861F3">
      <w:pPr>
        <w:pStyle w:val="EndnoteText"/>
        <w:spacing w:before="120" w:after="120"/>
        <w:ind w:left="360" w:hanging="360"/>
      </w:pPr>
      <w:r>
        <w:rPr>
          <w:rStyle w:val="EndnoteReference"/>
        </w:rPr>
        <w:endnoteRef/>
      </w:r>
      <w:r>
        <w:t xml:space="preserve"> </w:t>
      </w:r>
      <w:r>
        <w:tab/>
        <w:t xml:space="preserve">Our Watch and Universities Australia, Educating for equality; DVRCV, Key terms; Victorian Government, </w:t>
      </w:r>
      <w:hyperlink r:id="rId70" w:history="1">
        <w:r w:rsidRPr="00C255DA">
          <w:rPr>
            <w:rStyle w:val="Hyperlink"/>
          </w:rPr>
          <w:t>Free from violence: Victoria’s strategy to prevent family violence and all forms of violence against women</w:t>
        </w:r>
      </w:hyperlink>
      <w:r>
        <w:t>, Victorian Government,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unito-ExtraLight">
    <w:altName w:val="Cambria"/>
    <w:charset w:val="4D"/>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Minion Pro">
    <w:charset w:val="00"/>
    <w:family w:val="roman"/>
    <w:pitch w:val="variable"/>
    <w:sig w:usb0="60000287" w:usb1="00000001" w:usb2="00000000" w:usb3="00000000" w:csb0="0000019F" w:csb1="00000000"/>
  </w:font>
  <w:font w:name="MetaPro-Light">
    <w:altName w:val="Calibri"/>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Arial-BoldItalic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289053"/>
      <w:docPartObj>
        <w:docPartGallery w:val="Page Numbers (Bottom of Page)"/>
        <w:docPartUnique/>
      </w:docPartObj>
    </w:sdtPr>
    <w:sdtEndPr>
      <w:rPr>
        <w:noProof/>
      </w:rPr>
    </w:sdtEndPr>
    <w:sdtContent>
      <w:p w14:paraId="073DC937" w14:textId="35DEDF97" w:rsidR="006D659C" w:rsidRDefault="006D659C" w:rsidP="006D659C">
        <w:pPr>
          <w:pStyle w:val="Footer"/>
          <w:tabs>
            <w:tab w:val="right" w:pos="9360"/>
          </w:tabs>
          <w:rPr>
            <w:noProof/>
          </w:rPr>
        </w:pPr>
        <w:r>
          <w:t>First Action Plan 2023–2027</w:t>
        </w:r>
        <w:r>
          <w:tab/>
        </w:r>
        <w:r w:rsidR="00677F34">
          <w:tab/>
        </w:r>
        <w:r>
          <w:fldChar w:fldCharType="begin"/>
        </w:r>
        <w:r>
          <w:instrText xml:space="preserve"> PAGE   \* MERGEFORMAT </w:instrText>
        </w:r>
        <w:r>
          <w:fldChar w:fldCharType="separate"/>
        </w:r>
        <w:r w:rsidR="00E92BAE">
          <w:rPr>
            <w:noProof/>
          </w:rPr>
          <w:t>4</w:t>
        </w:r>
        <w:r>
          <w:rPr>
            <w:noProof/>
          </w:rPr>
          <w:fldChar w:fldCharType="end"/>
        </w:r>
      </w:p>
    </w:sdtContent>
  </w:sdt>
  <w:p w14:paraId="3CE03021" w14:textId="77777777" w:rsidR="005B21FA" w:rsidRDefault="005B2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C2F17" w14:textId="77777777" w:rsidR="00E32E71" w:rsidRDefault="00E32E71" w:rsidP="00B04ED8">
      <w:pPr>
        <w:spacing w:after="0" w:line="240" w:lineRule="auto"/>
      </w:pPr>
      <w:r>
        <w:separator/>
      </w:r>
    </w:p>
  </w:footnote>
  <w:footnote w:type="continuationSeparator" w:id="0">
    <w:p w14:paraId="6514B2C3" w14:textId="77777777" w:rsidR="00E32E71" w:rsidRDefault="00E32E71" w:rsidP="00B04ED8">
      <w:pPr>
        <w:spacing w:after="0" w:line="240" w:lineRule="auto"/>
      </w:pPr>
      <w:r>
        <w:continuationSeparator/>
      </w:r>
    </w:p>
  </w:footnote>
  <w:footnote w:type="continuationNotice" w:id="1">
    <w:p w14:paraId="2CC4D9DD" w14:textId="77777777" w:rsidR="00E32E71" w:rsidRDefault="00E32E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F49"/>
    <w:multiLevelType w:val="multilevel"/>
    <w:tmpl w:val="ED22B550"/>
    <w:lvl w:ilvl="0">
      <w:start w:val="1"/>
      <w:numFmt w:val="bullet"/>
      <w:pStyle w:val="Bullet"/>
      <w:lvlText w:val="•"/>
      <w:lvlJc w:val="left"/>
      <w:pPr>
        <w:tabs>
          <w:tab w:val="num" w:pos="567"/>
        </w:tabs>
        <w:ind w:left="567" w:hanging="567"/>
      </w:pPr>
      <w:rPr>
        <w:rFonts w:ascii="Times New Roman" w:hAnsi="Times New Roman" w:cs="Times New Roman"/>
        <w:b/>
        <w:color w:val="000000"/>
        <w:sz w:val="34"/>
        <w:szCs w:val="34"/>
      </w:rPr>
    </w:lvl>
    <w:lvl w:ilvl="1">
      <w:start w:val="1"/>
      <w:numFmt w:val="bullet"/>
      <w:pStyle w:val="Dash"/>
      <w:lvlText w:val="o"/>
      <w:lvlJc w:val="left"/>
      <w:pPr>
        <w:tabs>
          <w:tab w:val="num" w:pos="1134"/>
        </w:tabs>
        <w:ind w:left="1134" w:hanging="567"/>
      </w:pPr>
      <w:rPr>
        <w:rFonts w:ascii="Courier New" w:hAnsi="Courier New" w:cs="Courier New" w:hint="default"/>
        <w:color w:val="000000"/>
      </w:rPr>
    </w:lvl>
    <w:lvl w:ilvl="2">
      <w:start w:val="1"/>
      <w:numFmt w:val="bullet"/>
      <w:pStyle w:val="DoubleDot"/>
      <w:lvlText w:val=""/>
      <w:lvlJc w:val="left"/>
      <w:pPr>
        <w:tabs>
          <w:tab w:val="num" w:pos="1701"/>
        </w:tabs>
        <w:ind w:left="1701" w:hanging="567"/>
      </w:pPr>
      <w:rPr>
        <w:rFonts w:ascii="Wingdings" w:hAnsi="Wingdings" w:hint="default"/>
        <w:color w:val="00000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E801A6"/>
    <w:multiLevelType w:val="hybridMultilevel"/>
    <w:tmpl w:val="D4E4B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C3122B"/>
    <w:multiLevelType w:val="hybridMultilevel"/>
    <w:tmpl w:val="5DEEDC8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ECB2346"/>
    <w:multiLevelType w:val="hybridMultilevel"/>
    <w:tmpl w:val="CAE2D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5A2B5C"/>
    <w:multiLevelType w:val="hybridMultilevel"/>
    <w:tmpl w:val="47A25F70"/>
    <w:lvl w:ilvl="0" w:tplc="B9DE15C2">
      <w:start w:val="1"/>
      <w:numFmt w:val="bullet"/>
      <w:pStyle w:val="TalkingPoint"/>
      <w:lvlText w:val=""/>
      <w:lvlJc w:val="left"/>
      <w:pPr>
        <w:ind w:left="360" w:hanging="360"/>
      </w:pPr>
      <w:rPr>
        <w:rFonts w:ascii="Symbol" w:hAnsi="Symbol" w:hint="default"/>
        <w:color w:val="auto"/>
        <w:sz w:val="32"/>
        <w:szCs w:val="32"/>
        <w:effect w:val="none"/>
      </w:rPr>
    </w:lvl>
    <w:lvl w:ilvl="1" w:tplc="1C6A765A">
      <w:start w:val="1"/>
      <w:numFmt w:val="bullet"/>
      <w:lvlText w:val="o"/>
      <w:lvlJc w:val="left"/>
      <w:pPr>
        <w:ind w:left="1080" w:hanging="360"/>
      </w:pPr>
      <w:rPr>
        <w:rFonts w:ascii="Courier New" w:hAnsi="Courier New" w:cs="Courier New" w:hint="default"/>
      </w:rPr>
    </w:lvl>
    <w:lvl w:ilvl="2" w:tplc="BC50F010">
      <w:start w:val="1"/>
      <w:numFmt w:val="bullet"/>
      <w:lvlText w:val=""/>
      <w:lvlJc w:val="left"/>
      <w:pPr>
        <w:ind w:left="1800" w:hanging="360"/>
      </w:pPr>
      <w:rPr>
        <w:rFonts w:ascii="Wingdings" w:hAnsi="Wingdings" w:hint="default"/>
      </w:rPr>
    </w:lvl>
    <w:lvl w:ilvl="3" w:tplc="24760D1E">
      <w:start w:val="1"/>
      <w:numFmt w:val="bullet"/>
      <w:lvlText w:val=""/>
      <w:lvlJc w:val="left"/>
      <w:pPr>
        <w:ind w:left="2520" w:hanging="360"/>
      </w:pPr>
      <w:rPr>
        <w:rFonts w:ascii="Symbol" w:hAnsi="Symbol" w:hint="default"/>
      </w:rPr>
    </w:lvl>
    <w:lvl w:ilvl="4" w:tplc="892CEC0A" w:tentative="1">
      <w:start w:val="1"/>
      <w:numFmt w:val="bullet"/>
      <w:lvlText w:val="o"/>
      <w:lvlJc w:val="left"/>
      <w:pPr>
        <w:ind w:left="3240" w:hanging="360"/>
      </w:pPr>
      <w:rPr>
        <w:rFonts w:ascii="Courier New" w:hAnsi="Courier New" w:cs="Courier New" w:hint="default"/>
      </w:rPr>
    </w:lvl>
    <w:lvl w:ilvl="5" w:tplc="F6107C96" w:tentative="1">
      <w:start w:val="1"/>
      <w:numFmt w:val="bullet"/>
      <w:lvlText w:val=""/>
      <w:lvlJc w:val="left"/>
      <w:pPr>
        <w:ind w:left="3960" w:hanging="360"/>
      </w:pPr>
      <w:rPr>
        <w:rFonts w:ascii="Wingdings" w:hAnsi="Wingdings" w:hint="default"/>
      </w:rPr>
    </w:lvl>
    <w:lvl w:ilvl="6" w:tplc="EDA8F01A" w:tentative="1">
      <w:start w:val="1"/>
      <w:numFmt w:val="bullet"/>
      <w:lvlText w:val=""/>
      <w:lvlJc w:val="left"/>
      <w:pPr>
        <w:ind w:left="4680" w:hanging="360"/>
      </w:pPr>
      <w:rPr>
        <w:rFonts w:ascii="Symbol" w:hAnsi="Symbol" w:hint="default"/>
      </w:rPr>
    </w:lvl>
    <w:lvl w:ilvl="7" w:tplc="ABB49398" w:tentative="1">
      <w:start w:val="1"/>
      <w:numFmt w:val="bullet"/>
      <w:lvlText w:val="o"/>
      <w:lvlJc w:val="left"/>
      <w:pPr>
        <w:ind w:left="5400" w:hanging="360"/>
      </w:pPr>
      <w:rPr>
        <w:rFonts w:ascii="Courier New" w:hAnsi="Courier New" w:cs="Courier New" w:hint="default"/>
      </w:rPr>
    </w:lvl>
    <w:lvl w:ilvl="8" w:tplc="D806E73C" w:tentative="1">
      <w:start w:val="1"/>
      <w:numFmt w:val="bullet"/>
      <w:lvlText w:val=""/>
      <w:lvlJc w:val="left"/>
      <w:pPr>
        <w:ind w:left="6120" w:hanging="360"/>
      </w:pPr>
      <w:rPr>
        <w:rFonts w:ascii="Wingdings" w:hAnsi="Wingdings" w:hint="default"/>
      </w:rPr>
    </w:lvl>
  </w:abstractNum>
  <w:abstractNum w:abstractNumId="5" w15:restartNumberingAfterBreak="0">
    <w:nsid w:val="14D67BA8"/>
    <w:multiLevelType w:val="hybridMultilevel"/>
    <w:tmpl w:val="DEB8F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C16F1E"/>
    <w:multiLevelType w:val="hybridMultilevel"/>
    <w:tmpl w:val="494C71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8DA1F1E"/>
    <w:multiLevelType w:val="hybridMultilevel"/>
    <w:tmpl w:val="4A62F2D2"/>
    <w:lvl w:ilvl="0" w:tplc="F3B274B8">
      <w:start w:val="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B263E52"/>
    <w:multiLevelType w:val="hybridMultilevel"/>
    <w:tmpl w:val="66A65138"/>
    <w:lvl w:ilvl="0" w:tplc="547EF876">
      <w:start w:val="1"/>
      <w:numFmt w:val="bullet"/>
      <w:pStyle w:val="Bulletedlis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6A65C1"/>
    <w:multiLevelType w:val="hybridMultilevel"/>
    <w:tmpl w:val="077C98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0D3838"/>
    <w:multiLevelType w:val="hybridMultilevel"/>
    <w:tmpl w:val="9BFA44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CA5093"/>
    <w:multiLevelType w:val="hybridMultilevel"/>
    <w:tmpl w:val="9AE84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EA0E3F"/>
    <w:multiLevelType w:val="hybridMultilevel"/>
    <w:tmpl w:val="710E8E42"/>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3" w15:restartNumberingAfterBreak="0">
    <w:nsid w:val="32983FCB"/>
    <w:multiLevelType w:val="hybridMultilevel"/>
    <w:tmpl w:val="34C86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0E63A1"/>
    <w:multiLevelType w:val="hybridMultilevel"/>
    <w:tmpl w:val="459843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3D541CC"/>
    <w:multiLevelType w:val="hybridMultilevel"/>
    <w:tmpl w:val="CB2E5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662DC4"/>
    <w:multiLevelType w:val="hybridMultilevel"/>
    <w:tmpl w:val="7B6435C8"/>
    <w:lvl w:ilvl="0" w:tplc="A844BEE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9F62921"/>
    <w:multiLevelType w:val="hybridMultilevel"/>
    <w:tmpl w:val="2B8059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016167C"/>
    <w:multiLevelType w:val="hybridMultilevel"/>
    <w:tmpl w:val="B1A69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AB25D3"/>
    <w:multiLevelType w:val="hybridMultilevel"/>
    <w:tmpl w:val="EABA62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48E62E4"/>
    <w:multiLevelType w:val="multilevel"/>
    <w:tmpl w:val="4636E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6"/>
  </w:num>
  <w:num w:numId="3">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1"/>
  </w:num>
  <w:num w:numId="6">
    <w:abstractNumId w:val="17"/>
  </w:num>
  <w:num w:numId="7">
    <w:abstractNumId w:val="12"/>
  </w:num>
  <w:num w:numId="8">
    <w:abstractNumId w:val="10"/>
  </w:num>
  <w:num w:numId="9">
    <w:abstractNumId w:val="4"/>
  </w:num>
  <w:num w:numId="10">
    <w:abstractNumId w:val="1"/>
  </w:num>
  <w:num w:numId="11">
    <w:abstractNumId w:val="14"/>
  </w:num>
  <w:num w:numId="12">
    <w:abstractNumId w:val="3"/>
  </w:num>
  <w:num w:numId="13">
    <w:abstractNumId w:val="8"/>
  </w:num>
  <w:num w:numId="14">
    <w:abstractNumId w:val="7"/>
  </w:num>
  <w:num w:numId="15">
    <w:abstractNumId w:val="19"/>
  </w:num>
  <w:num w:numId="16">
    <w:abstractNumId w:val="18"/>
  </w:num>
  <w:num w:numId="17">
    <w:abstractNumId w:val="16"/>
  </w:num>
  <w:num w:numId="18">
    <w:abstractNumId w:val="2"/>
  </w:num>
  <w:num w:numId="19">
    <w:abstractNumId w:val="13"/>
  </w:num>
  <w:num w:numId="20">
    <w:abstractNumId w:val="5"/>
  </w:num>
  <w:num w:numId="2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BD9"/>
    <w:rsid w:val="0000080F"/>
    <w:rsid w:val="000009BD"/>
    <w:rsid w:val="000038C9"/>
    <w:rsid w:val="0000469B"/>
    <w:rsid w:val="000047CA"/>
    <w:rsid w:val="00004879"/>
    <w:rsid w:val="00005633"/>
    <w:rsid w:val="0000573D"/>
    <w:rsid w:val="000057CB"/>
    <w:rsid w:val="000061A4"/>
    <w:rsid w:val="0000687A"/>
    <w:rsid w:val="00007536"/>
    <w:rsid w:val="000103CB"/>
    <w:rsid w:val="000104D6"/>
    <w:rsid w:val="00012F7E"/>
    <w:rsid w:val="000155FB"/>
    <w:rsid w:val="000177E9"/>
    <w:rsid w:val="000204F7"/>
    <w:rsid w:val="000207FF"/>
    <w:rsid w:val="0002164B"/>
    <w:rsid w:val="00021F9A"/>
    <w:rsid w:val="00023851"/>
    <w:rsid w:val="00024C82"/>
    <w:rsid w:val="000262FF"/>
    <w:rsid w:val="0003046C"/>
    <w:rsid w:val="00030473"/>
    <w:rsid w:val="0003055C"/>
    <w:rsid w:val="00030714"/>
    <w:rsid w:val="00030BE3"/>
    <w:rsid w:val="00032090"/>
    <w:rsid w:val="000333E5"/>
    <w:rsid w:val="00034995"/>
    <w:rsid w:val="000356C7"/>
    <w:rsid w:val="00036EBD"/>
    <w:rsid w:val="00040050"/>
    <w:rsid w:val="00040122"/>
    <w:rsid w:val="000420F9"/>
    <w:rsid w:val="00046B22"/>
    <w:rsid w:val="00052FE4"/>
    <w:rsid w:val="000547D3"/>
    <w:rsid w:val="00054909"/>
    <w:rsid w:val="00055BEB"/>
    <w:rsid w:val="00060C49"/>
    <w:rsid w:val="0006171D"/>
    <w:rsid w:val="0006183E"/>
    <w:rsid w:val="00064EC2"/>
    <w:rsid w:val="00064F4B"/>
    <w:rsid w:val="00066891"/>
    <w:rsid w:val="0007002F"/>
    <w:rsid w:val="0007085E"/>
    <w:rsid w:val="0007372F"/>
    <w:rsid w:val="0007498A"/>
    <w:rsid w:val="00075228"/>
    <w:rsid w:val="00077B55"/>
    <w:rsid w:val="00077DE1"/>
    <w:rsid w:val="00080790"/>
    <w:rsid w:val="00081E0D"/>
    <w:rsid w:val="0008575C"/>
    <w:rsid w:val="00085D98"/>
    <w:rsid w:val="00086263"/>
    <w:rsid w:val="000863AF"/>
    <w:rsid w:val="00086A4D"/>
    <w:rsid w:val="00086A8A"/>
    <w:rsid w:val="000873F7"/>
    <w:rsid w:val="00087710"/>
    <w:rsid w:val="00087930"/>
    <w:rsid w:val="0009216F"/>
    <w:rsid w:val="0009242F"/>
    <w:rsid w:val="00093885"/>
    <w:rsid w:val="00093A46"/>
    <w:rsid w:val="00094A1B"/>
    <w:rsid w:val="00095457"/>
    <w:rsid w:val="000960D4"/>
    <w:rsid w:val="00096326"/>
    <w:rsid w:val="000A0429"/>
    <w:rsid w:val="000A0EA2"/>
    <w:rsid w:val="000A68E0"/>
    <w:rsid w:val="000A733C"/>
    <w:rsid w:val="000A74B9"/>
    <w:rsid w:val="000A7D7E"/>
    <w:rsid w:val="000B18DD"/>
    <w:rsid w:val="000B261C"/>
    <w:rsid w:val="000B37EF"/>
    <w:rsid w:val="000B4343"/>
    <w:rsid w:val="000B4EDA"/>
    <w:rsid w:val="000B6B64"/>
    <w:rsid w:val="000B6DD3"/>
    <w:rsid w:val="000B742D"/>
    <w:rsid w:val="000C2763"/>
    <w:rsid w:val="000C2799"/>
    <w:rsid w:val="000C3042"/>
    <w:rsid w:val="000C5D5A"/>
    <w:rsid w:val="000C61A2"/>
    <w:rsid w:val="000C659C"/>
    <w:rsid w:val="000C68A5"/>
    <w:rsid w:val="000C6B5C"/>
    <w:rsid w:val="000D03F7"/>
    <w:rsid w:val="000D2E59"/>
    <w:rsid w:val="000D2F79"/>
    <w:rsid w:val="000D4B30"/>
    <w:rsid w:val="000D5CEE"/>
    <w:rsid w:val="000D6E52"/>
    <w:rsid w:val="000E05A0"/>
    <w:rsid w:val="000E0632"/>
    <w:rsid w:val="000E0BB7"/>
    <w:rsid w:val="000E1257"/>
    <w:rsid w:val="000E33DE"/>
    <w:rsid w:val="000E453A"/>
    <w:rsid w:val="000E4E22"/>
    <w:rsid w:val="000E5A90"/>
    <w:rsid w:val="000E6047"/>
    <w:rsid w:val="000F11C3"/>
    <w:rsid w:val="000F1649"/>
    <w:rsid w:val="000F16A4"/>
    <w:rsid w:val="000F2CAE"/>
    <w:rsid w:val="000F42B6"/>
    <w:rsid w:val="000F47CA"/>
    <w:rsid w:val="000F49BB"/>
    <w:rsid w:val="000F5790"/>
    <w:rsid w:val="000F6C83"/>
    <w:rsid w:val="000F78E3"/>
    <w:rsid w:val="001018D3"/>
    <w:rsid w:val="00101C58"/>
    <w:rsid w:val="00102D41"/>
    <w:rsid w:val="001041CE"/>
    <w:rsid w:val="001047CB"/>
    <w:rsid w:val="00104EE2"/>
    <w:rsid w:val="00105530"/>
    <w:rsid w:val="00106034"/>
    <w:rsid w:val="00106704"/>
    <w:rsid w:val="00110B36"/>
    <w:rsid w:val="00111D8C"/>
    <w:rsid w:val="0011245E"/>
    <w:rsid w:val="00112775"/>
    <w:rsid w:val="0011298A"/>
    <w:rsid w:val="001144FF"/>
    <w:rsid w:val="001148D8"/>
    <w:rsid w:val="0011505B"/>
    <w:rsid w:val="00116755"/>
    <w:rsid w:val="00120131"/>
    <w:rsid w:val="00120779"/>
    <w:rsid w:val="0012093A"/>
    <w:rsid w:val="0012376D"/>
    <w:rsid w:val="00124658"/>
    <w:rsid w:val="00124E25"/>
    <w:rsid w:val="00125BD8"/>
    <w:rsid w:val="00125C49"/>
    <w:rsid w:val="00126219"/>
    <w:rsid w:val="00126BB1"/>
    <w:rsid w:val="00126C34"/>
    <w:rsid w:val="0013012C"/>
    <w:rsid w:val="00130BEA"/>
    <w:rsid w:val="001317E3"/>
    <w:rsid w:val="00131FE0"/>
    <w:rsid w:val="001322C1"/>
    <w:rsid w:val="00132625"/>
    <w:rsid w:val="00132717"/>
    <w:rsid w:val="00136A38"/>
    <w:rsid w:val="0013701D"/>
    <w:rsid w:val="00140663"/>
    <w:rsid w:val="0014110C"/>
    <w:rsid w:val="001414E2"/>
    <w:rsid w:val="00141E2C"/>
    <w:rsid w:val="001422FD"/>
    <w:rsid w:val="00145363"/>
    <w:rsid w:val="00145BDE"/>
    <w:rsid w:val="00146D16"/>
    <w:rsid w:val="00150257"/>
    <w:rsid w:val="0015170F"/>
    <w:rsid w:val="00151D29"/>
    <w:rsid w:val="00152687"/>
    <w:rsid w:val="00152912"/>
    <w:rsid w:val="00153AD1"/>
    <w:rsid w:val="0015544E"/>
    <w:rsid w:val="001565EB"/>
    <w:rsid w:val="00156B47"/>
    <w:rsid w:val="00156F22"/>
    <w:rsid w:val="00160C59"/>
    <w:rsid w:val="0016285E"/>
    <w:rsid w:val="00162DCA"/>
    <w:rsid w:val="0016362D"/>
    <w:rsid w:val="001637D4"/>
    <w:rsid w:val="0016429B"/>
    <w:rsid w:val="001658DD"/>
    <w:rsid w:val="00165AB5"/>
    <w:rsid w:val="0016747C"/>
    <w:rsid w:val="001675FE"/>
    <w:rsid w:val="001707DE"/>
    <w:rsid w:val="00170D53"/>
    <w:rsid w:val="00171D6F"/>
    <w:rsid w:val="00172540"/>
    <w:rsid w:val="0018099F"/>
    <w:rsid w:val="00181126"/>
    <w:rsid w:val="00181540"/>
    <w:rsid w:val="001829EA"/>
    <w:rsid w:val="00182B0E"/>
    <w:rsid w:val="00182C5F"/>
    <w:rsid w:val="00184445"/>
    <w:rsid w:val="0018489D"/>
    <w:rsid w:val="001850F2"/>
    <w:rsid w:val="00186ECA"/>
    <w:rsid w:val="00187DD3"/>
    <w:rsid w:val="00191F07"/>
    <w:rsid w:val="0019203B"/>
    <w:rsid w:val="001929FF"/>
    <w:rsid w:val="00192A85"/>
    <w:rsid w:val="001945EA"/>
    <w:rsid w:val="0019560D"/>
    <w:rsid w:val="00195793"/>
    <w:rsid w:val="0019663B"/>
    <w:rsid w:val="00197303"/>
    <w:rsid w:val="00197F24"/>
    <w:rsid w:val="001A003D"/>
    <w:rsid w:val="001A1D02"/>
    <w:rsid w:val="001A26A3"/>
    <w:rsid w:val="001A2786"/>
    <w:rsid w:val="001A2F13"/>
    <w:rsid w:val="001A44B3"/>
    <w:rsid w:val="001A4DF8"/>
    <w:rsid w:val="001A4FC9"/>
    <w:rsid w:val="001A5B4B"/>
    <w:rsid w:val="001A5E8E"/>
    <w:rsid w:val="001A7FC5"/>
    <w:rsid w:val="001B20AC"/>
    <w:rsid w:val="001B2790"/>
    <w:rsid w:val="001B2BE3"/>
    <w:rsid w:val="001B3CE6"/>
    <w:rsid w:val="001B4271"/>
    <w:rsid w:val="001B47F2"/>
    <w:rsid w:val="001B58E2"/>
    <w:rsid w:val="001B5B51"/>
    <w:rsid w:val="001B64AB"/>
    <w:rsid w:val="001B7847"/>
    <w:rsid w:val="001B7EA4"/>
    <w:rsid w:val="001C097E"/>
    <w:rsid w:val="001C1858"/>
    <w:rsid w:val="001C1DAA"/>
    <w:rsid w:val="001C1DD7"/>
    <w:rsid w:val="001C219F"/>
    <w:rsid w:val="001C4E1C"/>
    <w:rsid w:val="001C581E"/>
    <w:rsid w:val="001C58BC"/>
    <w:rsid w:val="001C64BF"/>
    <w:rsid w:val="001C64F7"/>
    <w:rsid w:val="001C68F7"/>
    <w:rsid w:val="001C74A6"/>
    <w:rsid w:val="001C7DEE"/>
    <w:rsid w:val="001D0205"/>
    <w:rsid w:val="001D155A"/>
    <w:rsid w:val="001D1DA1"/>
    <w:rsid w:val="001D5945"/>
    <w:rsid w:val="001D59C5"/>
    <w:rsid w:val="001D70EC"/>
    <w:rsid w:val="001D7BEE"/>
    <w:rsid w:val="001E0492"/>
    <w:rsid w:val="001E0754"/>
    <w:rsid w:val="001E1F99"/>
    <w:rsid w:val="001E2882"/>
    <w:rsid w:val="001E630D"/>
    <w:rsid w:val="001E6AC0"/>
    <w:rsid w:val="001E76CF"/>
    <w:rsid w:val="001F1718"/>
    <w:rsid w:val="001F4717"/>
    <w:rsid w:val="001F5F91"/>
    <w:rsid w:val="002000EC"/>
    <w:rsid w:val="0020066B"/>
    <w:rsid w:val="002006C5"/>
    <w:rsid w:val="002009A6"/>
    <w:rsid w:val="0020183D"/>
    <w:rsid w:val="00201BB0"/>
    <w:rsid w:val="00201C26"/>
    <w:rsid w:val="002028E0"/>
    <w:rsid w:val="002031C4"/>
    <w:rsid w:val="002035FF"/>
    <w:rsid w:val="00203BC2"/>
    <w:rsid w:val="002049A6"/>
    <w:rsid w:val="002055B7"/>
    <w:rsid w:val="00205E79"/>
    <w:rsid w:val="00205ECD"/>
    <w:rsid w:val="00206751"/>
    <w:rsid w:val="002077E3"/>
    <w:rsid w:val="002079F9"/>
    <w:rsid w:val="00207A75"/>
    <w:rsid w:val="002108D1"/>
    <w:rsid w:val="00211865"/>
    <w:rsid w:val="002128EB"/>
    <w:rsid w:val="00212D04"/>
    <w:rsid w:val="0021451D"/>
    <w:rsid w:val="00216359"/>
    <w:rsid w:val="00217F67"/>
    <w:rsid w:val="00220A84"/>
    <w:rsid w:val="00221362"/>
    <w:rsid w:val="00221882"/>
    <w:rsid w:val="002222C7"/>
    <w:rsid w:val="002230FE"/>
    <w:rsid w:val="00223353"/>
    <w:rsid w:val="00224954"/>
    <w:rsid w:val="002307F5"/>
    <w:rsid w:val="0023119E"/>
    <w:rsid w:val="002321AF"/>
    <w:rsid w:val="00233476"/>
    <w:rsid w:val="00233BC9"/>
    <w:rsid w:val="00234A65"/>
    <w:rsid w:val="00236CFD"/>
    <w:rsid w:val="0023742B"/>
    <w:rsid w:val="002400D2"/>
    <w:rsid w:val="0024020E"/>
    <w:rsid w:val="00243A57"/>
    <w:rsid w:val="00251FD1"/>
    <w:rsid w:val="002528F2"/>
    <w:rsid w:val="00254432"/>
    <w:rsid w:val="002554E9"/>
    <w:rsid w:val="00255ABE"/>
    <w:rsid w:val="00257E3D"/>
    <w:rsid w:val="00260844"/>
    <w:rsid w:val="00260FD2"/>
    <w:rsid w:val="0026139A"/>
    <w:rsid w:val="00261DF2"/>
    <w:rsid w:val="0026244E"/>
    <w:rsid w:val="00262B1A"/>
    <w:rsid w:val="00265DEB"/>
    <w:rsid w:val="00266CC6"/>
    <w:rsid w:val="0026729B"/>
    <w:rsid w:val="00267419"/>
    <w:rsid w:val="00267FFD"/>
    <w:rsid w:val="00270441"/>
    <w:rsid w:val="0027045A"/>
    <w:rsid w:val="00270A0C"/>
    <w:rsid w:val="00270DC9"/>
    <w:rsid w:val="00270E77"/>
    <w:rsid w:val="0027167A"/>
    <w:rsid w:val="00271932"/>
    <w:rsid w:val="00271A58"/>
    <w:rsid w:val="00271B3D"/>
    <w:rsid w:val="0027253F"/>
    <w:rsid w:val="0027503B"/>
    <w:rsid w:val="002753A8"/>
    <w:rsid w:val="00276837"/>
    <w:rsid w:val="00276A78"/>
    <w:rsid w:val="0027744C"/>
    <w:rsid w:val="0028033E"/>
    <w:rsid w:val="002821F2"/>
    <w:rsid w:val="0028499A"/>
    <w:rsid w:val="00284DC9"/>
    <w:rsid w:val="00287BF3"/>
    <w:rsid w:val="00294119"/>
    <w:rsid w:val="002941B3"/>
    <w:rsid w:val="0029493F"/>
    <w:rsid w:val="00294DF6"/>
    <w:rsid w:val="0029548B"/>
    <w:rsid w:val="002A0CF7"/>
    <w:rsid w:val="002A126F"/>
    <w:rsid w:val="002A12A3"/>
    <w:rsid w:val="002A2389"/>
    <w:rsid w:val="002A2ADB"/>
    <w:rsid w:val="002A5B55"/>
    <w:rsid w:val="002A66A3"/>
    <w:rsid w:val="002A7240"/>
    <w:rsid w:val="002A7404"/>
    <w:rsid w:val="002B175F"/>
    <w:rsid w:val="002B315B"/>
    <w:rsid w:val="002B5618"/>
    <w:rsid w:val="002B66F7"/>
    <w:rsid w:val="002C029E"/>
    <w:rsid w:val="002C0E09"/>
    <w:rsid w:val="002C1859"/>
    <w:rsid w:val="002C1971"/>
    <w:rsid w:val="002C2743"/>
    <w:rsid w:val="002C2844"/>
    <w:rsid w:val="002C31DD"/>
    <w:rsid w:val="002C56B1"/>
    <w:rsid w:val="002C661E"/>
    <w:rsid w:val="002C7194"/>
    <w:rsid w:val="002C7EB8"/>
    <w:rsid w:val="002D3AB0"/>
    <w:rsid w:val="002D5401"/>
    <w:rsid w:val="002D56F3"/>
    <w:rsid w:val="002D6303"/>
    <w:rsid w:val="002E02F0"/>
    <w:rsid w:val="002E0CEC"/>
    <w:rsid w:val="002E1397"/>
    <w:rsid w:val="002E1A35"/>
    <w:rsid w:val="002E3076"/>
    <w:rsid w:val="002E3169"/>
    <w:rsid w:val="002E3DF5"/>
    <w:rsid w:val="002E4E5F"/>
    <w:rsid w:val="002E6968"/>
    <w:rsid w:val="002E7652"/>
    <w:rsid w:val="002F1B58"/>
    <w:rsid w:val="002F57AA"/>
    <w:rsid w:val="002F5CEC"/>
    <w:rsid w:val="002F6441"/>
    <w:rsid w:val="002F6601"/>
    <w:rsid w:val="002F6A6D"/>
    <w:rsid w:val="002F7CB7"/>
    <w:rsid w:val="003004FC"/>
    <w:rsid w:val="003008AE"/>
    <w:rsid w:val="003029C9"/>
    <w:rsid w:val="00302A1A"/>
    <w:rsid w:val="00302DD6"/>
    <w:rsid w:val="003033BA"/>
    <w:rsid w:val="00303497"/>
    <w:rsid w:val="00303B5E"/>
    <w:rsid w:val="00305358"/>
    <w:rsid w:val="00306FED"/>
    <w:rsid w:val="0030787B"/>
    <w:rsid w:val="003105B9"/>
    <w:rsid w:val="00312E90"/>
    <w:rsid w:val="00312F2A"/>
    <w:rsid w:val="00313ABD"/>
    <w:rsid w:val="00313B56"/>
    <w:rsid w:val="0031684B"/>
    <w:rsid w:val="00317C14"/>
    <w:rsid w:val="00321275"/>
    <w:rsid w:val="0032245E"/>
    <w:rsid w:val="0033038D"/>
    <w:rsid w:val="00330F0E"/>
    <w:rsid w:val="00330FDB"/>
    <w:rsid w:val="003317CF"/>
    <w:rsid w:val="00331BC9"/>
    <w:rsid w:val="00331F92"/>
    <w:rsid w:val="003336AF"/>
    <w:rsid w:val="00333703"/>
    <w:rsid w:val="00333AAF"/>
    <w:rsid w:val="00333EEA"/>
    <w:rsid w:val="00334022"/>
    <w:rsid w:val="00334A89"/>
    <w:rsid w:val="00335324"/>
    <w:rsid w:val="00336856"/>
    <w:rsid w:val="003373AF"/>
    <w:rsid w:val="00337EFB"/>
    <w:rsid w:val="003412BA"/>
    <w:rsid w:val="003413E8"/>
    <w:rsid w:val="003430E0"/>
    <w:rsid w:val="00343405"/>
    <w:rsid w:val="00343E1A"/>
    <w:rsid w:val="003445F5"/>
    <w:rsid w:val="00344686"/>
    <w:rsid w:val="00344F6A"/>
    <w:rsid w:val="00345480"/>
    <w:rsid w:val="003466EF"/>
    <w:rsid w:val="003467CB"/>
    <w:rsid w:val="00347B2E"/>
    <w:rsid w:val="00347D6F"/>
    <w:rsid w:val="00352C87"/>
    <w:rsid w:val="00353B14"/>
    <w:rsid w:val="0035421A"/>
    <w:rsid w:val="0035438F"/>
    <w:rsid w:val="003557F7"/>
    <w:rsid w:val="00355A06"/>
    <w:rsid w:val="0035643B"/>
    <w:rsid w:val="00357375"/>
    <w:rsid w:val="003575D7"/>
    <w:rsid w:val="0036071B"/>
    <w:rsid w:val="00360CBB"/>
    <w:rsid w:val="00361503"/>
    <w:rsid w:val="0036223D"/>
    <w:rsid w:val="0036254E"/>
    <w:rsid w:val="00364BE7"/>
    <w:rsid w:val="003666B2"/>
    <w:rsid w:val="00366C6E"/>
    <w:rsid w:val="00372DF7"/>
    <w:rsid w:val="003752C4"/>
    <w:rsid w:val="00375BD3"/>
    <w:rsid w:val="00380042"/>
    <w:rsid w:val="00381BEC"/>
    <w:rsid w:val="003823A1"/>
    <w:rsid w:val="0038394F"/>
    <w:rsid w:val="00383A43"/>
    <w:rsid w:val="00384DBE"/>
    <w:rsid w:val="00384F58"/>
    <w:rsid w:val="0038547E"/>
    <w:rsid w:val="003861F3"/>
    <w:rsid w:val="003870B2"/>
    <w:rsid w:val="00387409"/>
    <w:rsid w:val="003877F0"/>
    <w:rsid w:val="00390003"/>
    <w:rsid w:val="0039249B"/>
    <w:rsid w:val="003934CB"/>
    <w:rsid w:val="00394A94"/>
    <w:rsid w:val="00395042"/>
    <w:rsid w:val="003957B7"/>
    <w:rsid w:val="0039748D"/>
    <w:rsid w:val="00397598"/>
    <w:rsid w:val="003979EF"/>
    <w:rsid w:val="003A0254"/>
    <w:rsid w:val="003A142A"/>
    <w:rsid w:val="003A160E"/>
    <w:rsid w:val="003A1E43"/>
    <w:rsid w:val="003A21B1"/>
    <w:rsid w:val="003A2484"/>
    <w:rsid w:val="003A437C"/>
    <w:rsid w:val="003A45D7"/>
    <w:rsid w:val="003A5317"/>
    <w:rsid w:val="003A6759"/>
    <w:rsid w:val="003A6777"/>
    <w:rsid w:val="003A7121"/>
    <w:rsid w:val="003B036F"/>
    <w:rsid w:val="003B06C0"/>
    <w:rsid w:val="003B1372"/>
    <w:rsid w:val="003B13EF"/>
    <w:rsid w:val="003B2BB8"/>
    <w:rsid w:val="003B2D36"/>
    <w:rsid w:val="003B2E6D"/>
    <w:rsid w:val="003B2F75"/>
    <w:rsid w:val="003B3AA1"/>
    <w:rsid w:val="003B3E59"/>
    <w:rsid w:val="003B4369"/>
    <w:rsid w:val="003B6886"/>
    <w:rsid w:val="003C0DC1"/>
    <w:rsid w:val="003C10F0"/>
    <w:rsid w:val="003C24E0"/>
    <w:rsid w:val="003C2B42"/>
    <w:rsid w:val="003C45EC"/>
    <w:rsid w:val="003C49B1"/>
    <w:rsid w:val="003C4DCE"/>
    <w:rsid w:val="003C54F4"/>
    <w:rsid w:val="003C7020"/>
    <w:rsid w:val="003D093D"/>
    <w:rsid w:val="003D3328"/>
    <w:rsid w:val="003D34FF"/>
    <w:rsid w:val="003D3DC5"/>
    <w:rsid w:val="003D4055"/>
    <w:rsid w:val="003D5613"/>
    <w:rsid w:val="003D65E8"/>
    <w:rsid w:val="003D6678"/>
    <w:rsid w:val="003D7DFF"/>
    <w:rsid w:val="003E0014"/>
    <w:rsid w:val="003E093A"/>
    <w:rsid w:val="003E14E6"/>
    <w:rsid w:val="003E275D"/>
    <w:rsid w:val="003E277B"/>
    <w:rsid w:val="003E2BFB"/>
    <w:rsid w:val="003E3277"/>
    <w:rsid w:val="003E3524"/>
    <w:rsid w:val="003E60C2"/>
    <w:rsid w:val="003E6A88"/>
    <w:rsid w:val="003E741C"/>
    <w:rsid w:val="003E77D1"/>
    <w:rsid w:val="003E78C1"/>
    <w:rsid w:val="003F3175"/>
    <w:rsid w:val="003F3C61"/>
    <w:rsid w:val="003F458F"/>
    <w:rsid w:val="003F4BF5"/>
    <w:rsid w:val="003F503F"/>
    <w:rsid w:val="003F55FB"/>
    <w:rsid w:val="003F627D"/>
    <w:rsid w:val="003F6C10"/>
    <w:rsid w:val="003F7225"/>
    <w:rsid w:val="003F7A6B"/>
    <w:rsid w:val="004012D6"/>
    <w:rsid w:val="00401A3E"/>
    <w:rsid w:val="00401E07"/>
    <w:rsid w:val="00402414"/>
    <w:rsid w:val="00402663"/>
    <w:rsid w:val="00402FFD"/>
    <w:rsid w:val="00403A87"/>
    <w:rsid w:val="00405680"/>
    <w:rsid w:val="00405BB9"/>
    <w:rsid w:val="00405D06"/>
    <w:rsid w:val="004066B2"/>
    <w:rsid w:val="00410763"/>
    <w:rsid w:val="00410AF3"/>
    <w:rsid w:val="00411108"/>
    <w:rsid w:val="004119E1"/>
    <w:rsid w:val="00412353"/>
    <w:rsid w:val="00412C38"/>
    <w:rsid w:val="00413A90"/>
    <w:rsid w:val="00413BF7"/>
    <w:rsid w:val="0041489C"/>
    <w:rsid w:val="004156D1"/>
    <w:rsid w:val="00415FA3"/>
    <w:rsid w:val="00416751"/>
    <w:rsid w:val="00416A23"/>
    <w:rsid w:val="00416FB4"/>
    <w:rsid w:val="0041712B"/>
    <w:rsid w:val="0042394F"/>
    <w:rsid w:val="00424C80"/>
    <w:rsid w:val="00424EB4"/>
    <w:rsid w:val="004269AD"/>
    <w:rsid w:val="00426D33"/>
    <w:rsid w:val="0043014C"/>
    <w:rsid w:val="00430ABE"/>
    <w:rsid w:val="00430F06"/>
    <w:rsid w:val="00431E26"/>
    <w:rsid w:val="0043228E"/>
    <w:rsid w:val="00432559"/>
    <w:rsid w:val="004345B5"/>
    <w:rsid w:val="0043670A"/>
    <w:rsid w:val="00440B8C"/>
    <w:rsid w:val="00440CF2"/>
    <w:rsid w:val="004421A2"/>
    <w:rsid w:val="00443BD9"/>
    <w:rsid w:val="00443BDA"/>
    <w:rsid w:val="00444B33"/>
    <w:rsid w:val="004450E9"/>
    <w:rsid w:val="004453C0"/>
    <w:rsid w:val="00445CDB"/>
    <w:rsid w:val="00446930"/>
    <w:rsid w:val="0044713A"/>
    <w:rsid w:val="004518DD"/>
    <w:rsid w:val="00451BF9"/>
    <w:rsid w:val="0045268B"/>
    <w:rsid w:val="00453A99"/>
    <w:rsid w:val="004547DB"/>
    <w:rsid w:val="00454A9B"/>
    <w:rsid w:val="00456689"/>
    <w:rsid w:val="00457775"/>
    <w:rsid w:val="00460B8B"/>
    <w:rsid w:val="00461645"/>
    <w:rsid w:val="004616FB"/>
    <w:rsid w:val="00462A90"/>
    <w:rsid w:val="0046331A"/>
    <w:rsid w:val="00463577"/>
    <w:rsid w:val="0046555C"/>
    <w:rsid w:val="00465756"/>
    <w:rsid w:val="00465D8A"/>
    <w:rsid w:val="00466417"/>
    <w:rsid w:val="0046644F"/>
    <w:rsid w:val="004669B7"/>
    <w:rsid w:val="00470C65"/>
    <w:rsid w:val="0047127C"/>
    <w:rsid w:val="0047381B"/>
    <w:rsid w:val="00473E68"/>
    <w:rsid w:val="00474A85"/>
    <w:rsid w:val="00475797"/>
    <w:rsid w:val="00477FC3"/>
    <w:rsid w:val="0048194F"/>
    <w:rsid w:val="00481E19"/>
    <w:rsid w:val="00483164"/>
    <w:rsid w:val="004831B3"/>
    <w:rsid w:val="00483DEB"/>
    <w:rsid w:val="0048450B"/>
    <w:rsid w:val="00484B7E"/>
    <w:rsid w:val="00485A05"/>
    <w:rsid w:val="004875AF"/>
    <w:rsid w:val="00487699"/>
    <w:rsid w:val="00487812"/>
    <w:rsid w:val="00487EDB"/>
    <w:rsid w:val="00490968"/>
    <w:rsid w:val="004922F0"/>
    <w:rsid w:val="00493A47"/>
    <w:rsid w:val="00494A60"/>
    <w:rsid w:val="00494D47"/>
    <w:rsid w:val="0049537E"/>
    <w:rsid w:val="00495449"/>
    <w:rsid w:val="00495C1A"/>
    <w:rsid w:val="004965F6"/>
    <w:rsid w:val="00496AAE"/>
    <w:rsid w:val="004A11F9"/>
    <w:rsid w:val="004A353F"/>
    <w:rsid w:val="004A4931"/>
    <w:rsid w:val="004A5E46"/>
    <w:rsid w:val="004A631C"/>
    <w:rsid w:val="004A75DE"/>
    <w:rsid w:val="004B0A21"/>
    <w:rsid w:val="004B11CE"/>
    <w:rsid w:val="004B1449"/>
    <w:rsid w:val="004B21CB"/>
    <w:rsid w:val="004B27E6"/>
    <w:rsid w:val="004B2D29"/>
    <w:rsid w:val="004B2F2A"/>
    <w:rsid w:val="004B40D0"/>
    <w:rsid w:val="004B43E1"/>
    <w:rsid w:val="004B54CA"/>
    <w:rsid w:val="004B55A6"/>
    <w:rsid w:val="004C0881"/>
    <w:rsid w:val="004C18A5"/>
    <w:rsid w:val="004C1ED9"/>
    <w:rsid w:val="004C2431"/>
    <w:rsid w:val="004C350E"/>
    <w:rsid w:val="004C3695"/>
    <w:rsid w:val="004C5758"/>
    <w:rsid w:val="004C72D4"/>
    <w:rsid w:val="004C7598"/>
    <w:rsid w:val="004C7CA9"/>
    <w:rsid w:val="004C7CBB"/>
    <w:rsid w:val="004D1652"/>
    <w:rsid w:val="004D3EFE"/>
    <w:rsid w:val="004D45B8"/>
    <w:rsid w:val="004D4ADC"/>
    <w:rsid w:val="004D5F84"/>
    <w:rsid w:val="004E173A"/>
    <w:rsid w:val="004E2055"/>
    <w:rsid w:val="004E2501"/>
    <w:rsid w:val="004E3025"/>
    <w:rsid w:val="004E44B6"/>
    <w:rsid w:val="004E4ACD"/>
    <w:rsid w:val="004E54EC"/>
    <w:rsid w:val="004E5CBF"/>
    <w:rsid w:val="004E7C2E"/>
    <w:rsid w:val="004E7CB5"/>
    <w:rsid w:val="004F0701"/>
    <w:rsid w:val="004F08F9"/>
    <w:rsid w:val="004F1233"/>
    <w:rsid w:val="004F12DF"/>
    <w:rsid w:val="004F3632"/>
    <w:rsid w:val="004F715B"/>
    <w:rsid w:val="004F7854"/>
    <w:rsid w:val="00503633"/>
    <w:rsid w:val="00503682"/>
    <w:rsid w:val="0050377F"/>
    <w:rsid w:val="005057C0"/>
    <w:rsid w:val="00506BA2"/>
    <w:rsid w:val="00510346"/>
    <w:rsid w:val="00510563"/>
    <w:rsid w:val="00510AB9"/>
    <w:rsid w:val="00510F22"/>
    <w:rsid w:val="00511A31"/>
    <w:rsid w:val="00512D9E"/>
    <w:rsid w:val="00512DBF"/>
    <w:rsid w:val="0051363B"/>
    <w:rsid w:val="00513E05"/>
    <w:rsid w:val="00517BCF"/>
    <w:rsid w:val="005209D0"/>
    <w:rsid w:val="00520F3D"/>
    <w:rsid w:val="00521210"/>
    <w:rsid w:val="0052144B"/>
    <w:rsid w:val="00521A03"/>
    <w:rsid w:val="00521EE0"/>
    <w:rsid w:val="0052222D"/>
    <w:rsid w:val="00523D03"/>
    <w:rsid w:val="005243E7"/>
    <w:rsid w:val="00524CE6"/>
    <w:rsid w:val="00525425"/>
    <w:rsid w:val="005254BC"/>
    <w:rsid w:val="005268FC"/>
    <w:rsid w:val="00526D00"/>
    <w:rsid w:val="00526EEE"/>
    <w:rsid w:val="005300ED"/>
    <w:rsid w:val="00531CF7"/>
    <w:rsid w:val="00532D1F"/>
    <w:rsid w:val="0053380D"/>
    <w:rsid w:val="005339A4"/>
    <w:rsid w:val="00533D58"/>
    <w:rsid w:val="0053403E"/>
    <w:rsid w:val="005348E8"/>
    <w:rsid w:val="00536180"/>
    <w:rsid w:val="00536498"/>
    <w:rsid w:val="00536521"/>
    <w:rsid w:val="00537336"/>
    <w:rsid w:val="00537640"/>
    <w:rsid w:val="0054058C"/>
    <w:rsid w:val="00541B86"/>
    <w:rsid w:val="00541FAA"/>
    <w:rsid w:val="0054250E"/>
    <w:rsid w:val="0054332A"/>
    <w:rsid w:val="005444D2"/>
    <w:rsid w:val="0054562C"/>
    <w:rsid w:val="00545917"/>
    <w:rsid w:val="00546C52"/>
    <w:rsid w:val="005472FA"/>
    <w:rsid w:val="0054786C"/>
    <w:rsid w:val="00550461"/>
    <w:rsid w:val="00551FE6"/>
    <w:rsid w:val="005527D4"/>
    <w:rsid w:val="00552AC8"/>
    <w:rsid w:val="005539D8"/>
    <w:rsid w:val="00554B9D"/>
    <w:rsid w:val="00555183"/>
    <w:rsid w:val="00555617"/>
    <w:rsid w:val="00556E13"/>
    <w:rsid w:val="00556FB8"/>
    <w:rsid w:val="00557FD1"/>
    <w:rsid w:val="00560481"/>
    <w:rsid w:val="00561DE1"/>
    <w:rsid w:val="00561E24"/>
    <w:rsid w:val="0056208E"/>
    <w:rsid w:val="005639A9"/>
    <w:rsid w:val="0056537F"/>
    <w:rsid w:val="00565A35"/>
    <w:rsid w:val="00566C0F"/>
    <w:rsid w:val="00566CCF"/>
    <w:rsid w:val="00567746"/>
    <w:rsid w:val="005703A3"/>
    <w:rsid w:val="0057084B"/>
    <w:rsid w:val="005723BC"/>
    <w:rsid w:val="00572453"/>
    <w:rsid w:val="00573293"/>
    <w:rsid w:val="0057329F"/>
    <w:rsid w:val="005743F5"/>
    <w:rsid w:val="00574C4A"/>
    <w:rsid w:val="0057529D"/>
    <w:rsid w:val="00582E9B"/>
    <w:rsid w:val="005839AF"/>
    <w:rsid w:val="00583B76"/>
    <w:rsid w:val="0058443C"/>
    <w:rsid w:val="00584446"/>
    <w:rsid w:val="00586115"/>
    <w:rsid w:val="00586C09"/>
    <w:rsid w:val="005870D9"/>
    <w:rsid w:val="00587205"/>
    <w:rsid w:val="0058730E"/>
    <w:rsid w:val="00591223"/>
    <w:rsid w:val="0059122E"/>
    <w:rsid w:val="00591F90"/>
    <w:rsid w:val="00592213"/>
    <w:rsid w:val="00592E64"/>
    <w:rsid w:val="00592E71"/>
    <w:rsid w:val="005939E5"/>
    <w:rsid w:val="0059491F"/>
    <w:rsid w:val="005A0933"/>
    <w:rsid w:val="005A1374"/>
    <w:rsid w:val="005A1D12"/>
    <w:rsid w:val="005A226D"/>
    <w:rsid w:val="005A241F"/>
    <w:rsid w:val="005A2CD2"/>
    <w:rsid w:val="005A5F99"/>
    <w:rsid w:val="005A67B5"/>
    <w:rsid w:val="005A7264"/>
    <w:rsid w:val="005A76E0"/>
    <w:rsid w:val="005A7FBB"/>
    <w:rsid w:val="005B21FA"/>
    <w:rsid w:val="005B2959"/>
    <w:rsid w:val="005B3B59"/>
    <w:rsid w:val="005B43CC"/>
    <w:rsid w:val="005B44A8"/>
    <w:rsid w:val="005B46FE"/>
    <w:rsid w:val="005B55F7"/>
    <w:rsid w:val="005B60FC"/>
    <w:rsid w:val="005C0816"/>
    <w:rsid w:val="005C2D53"/>
    <w:rsid w:val="005C2EF6"/>
    <w:rsid w:val="005C35C3"/>
    <w:rsid w:val="005C3A8E"/>
    <w:rsid w:val="005C3AA9"/>
    <w:rsid w:val="005C57F4"/>
    <w:rsid w:val="005C68A4"/>
    <w:rsid w:val="005D172A"/>
    <w:rsid w:val="005D19DB"/>
    <w:rsid w:val="005D3983"/>
    <w:rsid w:val="005D3A66"/>
    <w:rsid w:val="005D4656"/>
    <w:rsid w:val="005D79AE"/>
    <w:rsid w:val="005E0A16"/>
    <w:rsid w:val="005E0B8B"/>
    <w:rsid w:val="005E0E51"/>
    <w:rsid w:val="005E1389"/>
    <w:rsid w:val="005E1852"/>
    <w:rsid w:val="005E2710"/>
    <w:rsid w:val="005E2EF3"/>
    <w:rsid w:val="005E3B0F"/>
    <w:rsid w:val="005E4159"/>
    <w:rsid w:val="005E422E"/>
    <w:rsid w:val="005E42FC"/>
    <w:rsid w:val="005E44AD"/>
    <w:rsid w:val="005E5793"/>
    <w:rsid w:val="005E5931"/>
    <w:rsid w:val="005E61BD"/>
    <w:rsid w:val="005E6707"/>
    <w:rsid w:val="005F1548"/>
    <w:rsid w:val="005F2788"/>
    <w:rsid w:val="005F305F"/>
    <w:rsid w:val="005F3230"/>
    <w:rsid w:val="005F49CA"/>
    <w:rsid w:val="005F5034"/>
    <w:rsid w:val="005F5479"/>
    <w:rsid w:val="005F72CA"/>
    <w:rsid w:val="00600572"/>
    <w:rsid w:val="00600707"/>
    <w:rsid w:val="00602EB6"/>
    <w:rsid w:val="00603D19"/>
    <w:rsid w:val="00603EE7"/>
    <w:rsid w:val="006043AC"/>
    <w:rsid w:val="00606CF0"/>
    <w:rsid w:val="00611034"/>
    <w:rsid w:val="006110FD"/>
    <w:rsid w:val="0061132B"/>
    <w:rsid w:val="00611D45"/>
    <w:rsid w:val="0061200F"/>
    <w:rsid w:val="006135B5"/>
    <w:rsid w:val="00614DE2"/>
    <w:rsid w:val="0061549D"/>
    <w:rsid w:val="00615D15"/>
    <w:rsid w:val="00616D2C"/>
    <w:rsid w:val="00621FC5"/>
    <w:rsid w:val="006224F0"/>
    <w:rsid w:val="00624B99"/>
    <w:rsid w:val="00626A1B"/>
    <w:rsid w:val="00626D25"/>
    <w:rsid w:val="00627336"/>
    <w:rsid w:val="00630C75"/>
    <w:rsid w:val="0063121F"/>
    <w:rsid w:val="00632A94"/>
    <w:rsid w:val="0063447D"/>
    <w:rsid w:val="006350B6"/>
    <w:rsid w:val="00636521"/>
    <w:rsid w:val="00637B02"/>
    <w:rsid w:val="00637BA6"/>
    <w:rsid w:val="00637EC0"/>
    <w:rsid w:val="00642713"/>
    <w:rsid w:val="0064289D"/>
    <w:rsid w:val="00642A9A"/>
    <w:rsid w:val="00644958"/>
    <w:rsid w:val="00644CAB"/>
    <w:rsid w:val="0064584B"/>
    <w:rsid w:val="0064690C"/>
    <w:rsid w:val="006475D6"/>
    <w:rsid w:val="00647AEE"/>
    <w:rsid w:val="0065057E"/>
    <w:rsid w:val="0065164C"/>
    <w:rsid w:val="00651F95"/>
    <w:rsid w:val="00652500"/>
    <w:rsid w:val="00653736"/>
    <w:rsid w:val="0065542A"/>
    <w:rsid w:val="00656997"/>
    <w:rsid w:val="0065777A"/>
    <w:rsid w:val="00660CD6"/>
    <w:rsid w:val="0066266E"/>
    <w:rsid w:val="00663C4C"/>
    <w:rsid w:val="0066528B"/>
    <w:rsid w:val="0066750D"/>
    <w:rsid w:val="00667B67"/>
    <w:rsid w:val="006700F0"/>
    <w:rsid w:val="00670C1D"/>
    <w:rsid w:val="006710B0"/>
    <w:rsid w:val="00672523"/>
    <w:rsid w:val="006734CA"/>
    <w:rsid w:val="006742EE"/>
    <w:rsid w:val="006774FF"/>
    <w:rsid w:val="00677F34"/>
    <w:rsid w:val="00681A28"/>
    <w:rsid w:val="00682AF1"/>
    <w:rsid w:val="00683A84"/>
    <w:rsid w:val="006852BF"/>
    <w:rsid w:val="0068544C"/>
    <w:rsid w:val="006869AE"/>
    <w:rsid w:val="006904E2"/>
    <w:rsid w:val="00690A2B"/>
    <w:rsid w:val="00692E28"/>
    <w:rsid w:val="00693CF9"/>
    <w:rsid w:val="00695487"/>
    <w:rsid w:val="006968C5"/>
    <w:rsid w:val="006974D8"/>
    <w:rsid w:val="00697B75"/>
    <w:rsid w:val="006A0291"/>
    <w:rsid w:val="006A051C"/>
    <w:rsid w:val="006A0F7F"/>
    <w:rsid w:val="006A106D"/>
    <w:rsid w:val="006A1F6F"/>
    <w:rsid w:val="006A2B84"/>
    <w:rsid w:val="006A365C"/>
    <w:rsid w:val="006A3906"/>
    <w:rsid w:val="006A4604"/>
    <w:rsid w:val="006A4AE9"/>
    <w:rsid w:val="006A4CE7"/>
    <w:rsid w:val="006A5BBA"/>
    <w:rsid w:val="006A5BF3"/>
    <w:rsid w:val="006A6216"/>
    <w:rsid w:val="006A7371"/>
    <w:rsid w:val="006A7F86"/>
    <w:rsid w:val="006B0FD7"/>
    <w:rsid w:val="006B19AB"/>
    <w:rsid w:val="006B21A8"/>
    <w:rsid w:val="006B23B6"/>
    <w:rsid w:val="006B33FC"/>
    <w:rsid w:val="006B35E8"/>
    <w:rsid w:val="006B36A1"/>
    <w:rsid w:val="006B3A50"/>
    <w:rsid w:val="006B3AF6"/>
    <w:rsid w:val="006B5154"/>
    <w:rsid w:val="006B7897"/>
    <w:rsid w:val="006C09AC"/>
    <w:rsid w:val="006C10A3"/>
    <w:rsid w:val="006C18D1"/>
    <w:rsid w:val="006C1A8F"/>
    <w:rsid w:val="006C208F"/>
    <w:rsid w:val="006C37B1"/>
    <w:rsid w:val="006C3CCA"/>
    <w:rsid w:val="006C3FAF"/>
    <w:rsid w:val="006C43DF"/>
    <w:rsid w:val="006C6143"/>
    <w:rsid w:val="006C6AEB"/>
    <w:rsid w:val="006C7473"/>
    <w:rsid w:val="006C7573"/>
    <w:rsid w:val="006C7AE9"/>
    <w:rsid w:val="006C7FC3"/>
    <w:rsid w:val="006D0B22"/>
    <w:rsid w:val="006D10E6"/>
    <w:rsid w:val="006D130D"/>
    <w:rsid w:val="006D19DA"/>
    <w:rsid w:val="006D3530"/>
    <w:rsid w:val="006D3ADA"/>
    <w:rsid w:val="006D3DAD"/>
    <w:rsid w:val="006D3E8E"/>
    <w:rsid w:val="006D4032"/>
    <w:rsid w:val="006D659C"/>
    <w:rsid w:val="006D69B3"/>
    <w:rsid w:val="006D7417"/>
    <w:rsid w:val="006D7B5E"/>
    <w:rsid w:val="006E14B6"/>
    <w:rsid w:val="006E1CE6"/>
    <w:rsid w:val="006E2357"/>
    <w:rsid w:val="006E5C6D"/>
    <w:rsid w:val="006E79F0"/>
    <w:rsid w:val="006F0743"/>
    <w:rsid w:val="006F12BE"/>
    <w:rsid w:val="006F245A"/>
    <w:rsid w:val="006F3562"/>
    <w:rsid w:val="006F562B"/>
    <w:rsid w:val="006F699B"/>
    <w:rsid w:val="006F757D"/>
    <w:rsid w:val="006F7861"/>
    <w:rsid w:val="00701879"/>
    <w:rsid w:val="007025B1"/>
    <w:rsid w:val="00706530"/>
    <w:rsid w:val="00706AE9"/>
    <w:rsid w:val="00707636"/>
    <w:rsid w:val="00707BE7"/>
    <w:rsid w:val="00707C99"/>
    <w:rsid w:val="00710B14"/>
    <w:rsid w:val="007110F4"/>
    <w:rsid w:val="0071248F"/>
    <w:rsid w:val="00713122"/>
    <w:rsid w:val="0071499F"/>
    <w:rsid w:val="007160C5"/>
    <w:rsid w:val="007170A8"/>
    <w:rsid w:val="00721273"/>
    <w:rsid w:val="00721846"/>
    <w:rsid w:val="00723D97"/>
    <w:rsid w:val="007258AB"/>
    <w:rsid w:val="00726B58"/>
    <w:rsid w:val="00727066"/>
    <w:rsid w:val="00730CA6"/>
    <w:rsid w:val="00731DE8"/>
    <w:rsid w:val="00732D92"/>
    <w:rsid w:val="007337ED"/>
    <w:rsid w:val="0073501D"/>
    <w:rsid w:val="00735042"/>
    <w:rsid w:val="007366F0"/>
    <w:rsid w:val="00737509"/>
    <w:rsid w:val="00737998"/>
    <w:rsid w:val="00737B1A"/>
    <w:rsid w:val="00740748"/>
    <w:rsid w:val="00740C67"/>
    <w:rsid w:val="00741014"/>
    <w:rsid w:val="00741032"/>
    <w:rsid w:val="007411D8"/>
    <w:rsid w:val="00741960"/>
    <w:rsid w:val="00742D1D"/>
    <w:rsid w:val="00742D25"/>
    <w:rsid w:val="00745BF5"/>
    <w:rsid w:val="00745CCB"/>
    <w:rsid w:val="00745FF0"/>
    <w:rsid w:val="007467FA"/>
    <w:rsid w:val="00747314"/>
    <w:rsid w:val="0075365E"/>
    <w:rsid w:val="00753F1C"/>
    <w:rsid w:val="00754047"/>
    <w:rsid w:val="00761044"/>
    <w:rsid w:val="00762492"/>
    <w:rsid w:val="00762D12"/>
    <w:rsid w:val="00763CF6"/>
    <w:rsid w:val="00764178"/>
    <w:rsid w:val="007649DE"/>
    <w:rsid w:val="00765238"/>
    <w:rsid w:val="0076774D"/>
    <w:rsid w:val="00770BBD"/>
    <w:rsid w:val="007716FA"/>
    <w:rsid w:val="00771B00"/>
    <w:rsid w:val="0077324F"/>
    <w:rsid w:val="0077332F"/>
    <w:rsid w:val="0077538C"/>
    <w:rsid w:val="0077686E"/>
    <w:rsid w:val="00776F39"/>
    <w:rsid w:val="00777124"/>
    <w:rsid w:val="007772CA"/>
    <w:rsid w:val="007804F9"/>
    <w:rsid w:val="00780879"/>
    <w:rsid w:val="00780CAA"/>
    <w:rsid w:val="00780F25"/>
    <w:rsid w:val="0078133B"/>
    <w:rsid w:val="00781BDA"/>
    <w:rsid w:val="00782089"/>
    <w:rsid w:val="0078276A"/>
    <w:rsid w:val="0078329F"/>
    <w:rsid w:val="00784C67"/>
    <w:rsid w:val="00785261"/>
    <w:rsid w:val="00785B92"/>
    <w:rsid w:val="0078604F"/>
    <w:rsid w:val="0078665B"/>
    <w:rsid w:val="0078741E"/>
    <w:rsid w:val="007874E2"/>
    <w:rsid w:val="007906A5"/>
    <w:rsid w:val="00792BB7"/>
    <w:rsid w:val="007936D7"/>
    <w:rsid w:val="00793777"/>
    <w:rsid w:val="007967F6"/>
    <w:rsid w:val="00796999"/>
    <w:rsid w:val="007A26A9"/>
    <w:rsid w:val="007A2DC7"/>
    <w:rsid w:val="007A2E4B"/>
    <w:rsid w:val="007A546B"/>
    <w:rsid w:val="007A66E6"/>
    <w:rsid w:val="007A6881"/>
    <w:rsid w:val="007A7536"/>
    <w:rsid w:val="007B0256"/>
    <w:rsid w:val="007B220C"/>
    <w:rsid w:val="007B2342"/>
    <w:rsid w:val="007B2DEF"/>
    <w:rsid w:val="007B3E70"/>
    <w:rsid w:val="007B51A1"/>
    <w:rsid w:val="007B6CD7"/>
    <w:rsid w:val="007B7083"/>
    <w:rsid w:val="007B7415"/>
    <w:rsid w:val="007C067E"/>
    <w:rsid w:val="007C348A"/>
    <w:rsid w:val="007C3D60"/>
    <w:rsid w:val="007C4955"/>
    <w:rsid w:val="007C4F6E"/>
    <w:rsid w:val="007D0954"/>
    <w:rsid w:val="007D5EEE"/>
    <w:rsid w:val="007D7191"/>
    <w:rsid w:val="007D768A"/>
    <w:rsid w:val="007E0663"/>
    <w:rsid w:val="007E296B"/>
    <w:rsid w:val="007E330F"/>
    <w:rsid w:val="007E3D47"/>
    <w:rsid w:val="007E4184"/>
    <w:rsid w:val="007E5F80"/>
    <w:rsid w:val="007E5F93"/>
    <w:rsid w:val="007E648E"/>
    <w:rsid w:val="007E7690"/>
    <w:rsid w:val="007F02E5"/>
    <w:rsid w:val="007F25F2"/>
    <w:rsid w:val="007F2AB4"/>
    <w:rsid w:val="007F302F"/>
    <w:rsid w:val="007F4023"/>
    <w:rsid w:val="007F5DA0"/>
    <w:rsid w:val="007F6B43"/>
    <w:rsid w:val="007F735B"/>
    <w:rsid w:val="007F7703"/>
    <w:rsid w:val="007F7B46"/>
    <w:rsid w:val="00802A45"/>
    <w:rsid w:val="00804219"/>
    <w:rsid w:val="008044FF"/>
    <w:rsid w:val="00807A8F"/>
    <w:rsid w:val="00810700"/>
    <w:rsid w:val="00812EE3"/>
    <w:rsid w:val="00814877"/>
    <w:rsid w:val="00815251"/>
    <w:rsid w:val="0081621F"/>
    <w:rsid w:val="00817207"/>
    <w:rsid w:val="00817826"/>
    <w:rsid w:val="008178A4"/>
    <w:rsid w:val="00823DDC"/>
    <w:rsid w:val="00824EEA"/>
    <w:rsid w:val="00825D1A"/>
    <w:rsid w:val="00826B4E"/>
    <w:rsid w:val="008272CE"/>
    <w:rsid w:val="0083177B"/>
    <w:rsid w:val="008317E8"/>
    <w:rsid w:val="00832F57"/>
    <w:rsid w:val="008331AC"/>
    <w:rsid w:val="0083384E"/>
    <w:rsid w:val="00833FEA"/>
    <w:rsid w:val="00834008"/>
    <w:rsid w:val="0083493C"/>
    <w:rsid w:val="008353BA"/>
    <w:rsid w:val="008365ED"/>
    <w:rsid w:val="00836DFE"/>
    <w:rsid w:val="00840222"/>
    <w:rsid w:val="00840234"/>
    <w:rsid w:val="00840DD3"/>
    <w:rsid w:val="00841CA5"/>
    <w:rsid w:val="00842858"/>
    <w:rsid w:val="00845C06"/>
    <w:rsid w:val="00847306"/>
    <w:rsid w:val="008507E5"/>
    <w:rsid w:val="00850993"/>
    <w:rsid w:val="00851EBF"/>
    <w:rsid w:val="008537DC"/>
    <w:rsid w:val="00854806"/>
    <w:rsid w:val="00854A4D"/>
    <w:rsid w:val="00855707"/>
    <w:rsid w:val="00856975"/>
    <w:rsid w:val="00860129"/>
    <w:rsid w:val="00862733"/>
    <w:rsid w:val="008667DA"/>
    <w:rsid w:val="008673B2"/>
    <w:rsid w:val="00867DCF"/>
    <w:rsid w:val="00867FAF"/>
    <w:rsid w:val="00870184"/>
    <w:rsid w:val="00870605"/>
    <w:rsid w:val="00871343"/>
    <w:rsid w:val="00871C16"/>
    <w:rsid w:val="008731ED"/>
    <w:rsid w:val="008740F0"/>
    <w:rsid w:val="008744C1"/>
    <w:rsid w:val="00874835"/>
    <w:rsid w:val="00880C7B"/>
    <w:rsid w:val="00880ECA"/>
    <w:rsid w:val="0088163A"/>
    <w:rsid w:val="008835A3"/>
    <w:rsid w:val="008836B8"/>
    <w:rsid w:val="00883C3A"/>
    <w:rsid w:val="008840D0"/>
    <w:rsid w:val="00884A69"/>
    <w:rsid w:val="00884DAB"/>
    <w:rsid w:val="008870D7"/>
    <w:rsid w:val="0088735C"/>
    <w:rsid w:val="0088776A"/>
    <w:rsid w:val="00890C31"/>
    <w:rsid w:val="0089149D"/>
    <w:rsid w:val="008916D2"/>
    <w:rsid w:val="00892CCD"/>
    <w:rsid w:val="00893035"/>
    <w:rsid w:val="008938E5"/>
    <w:rsid w:val="00893A91"/>
    <w:rsid w:val="00894DC1"/>
    <w:rsid w:val="008965BF"/>
    <w:rsid w:val="00896E1F"/>
    <w:rsid w:val="00897B0D"/>
    <w:rsid w:val="00897C4F"/>
    <w:rsid w:val="008A1F9F"/>
    <w:rsid w:val="008A3C35"/>
    <w:rsid w:val="008A469D"/>
    <w:rsid w:val="008A58C9"/>
    <w:rsid w:val="008A7456"/>
    <w:rsid w:val="008B172D"/>
    <w:rsid w:val="008B19E1"/>
    <w:rsid w:val="008B1D06"/>
    <w:rsid w:val="008B3D41"/>
    <w:rsid w:val="008B3E49"/>
    <w:rsid w:val="008B5069"/>
    <w:rsid w:val="008B5DF5"/>
    <w:rsid w:val="008C134A"/>
    <w:rsid w:val="008C1748"/>
    <w:rsid w:val="008C1B47"/>
    <w:rsid w:val="008C2D8C"/>
    <w:rsid w:val="008C49DA"/>
    <w:rsid w:val="008C4B7E"/>
    <w:rsid w:val="008C4DD4"/>
    <w:rsid w:val="008D11B9"/>
    <w:rsid w:val="008D2864"/>
    <w:rsid w:val="008D2AC5"/>
    <w:rsid w:val="008D3CD4"/>
    <w:rsid w:val="008D6908"/>
    <w:rsid w:val="008D73BF"/>
    <w:rsid w:val="008D765D"/>
    <w:rsid w:val="008E091D"/>
    <w:rsid w:val="008E12B1"/>
    <w:rsid w:val="008E3AB3"/>
    <w:rsid w:val="008E403F"/>
    <w:rsid w:val="008E56F6"/>
    <w:rsid w:val="008E602A"/>
    <w:rsid w:val="008E67F1"/>
    <w:rsid w:val="008E753D"/>
    <w:rsid w:val="008E7C50"/>
    <w:rsid w:val="008F09D7"/>
    <w:rsid w:val="008F1C3D"/>
    <w:rsid w:val="008F210C"/>
    <w:rsid w:val="008F451D"/>
    <w:rsid w:val="008F480C"/>
    <w:rsid w:val="008F481E"/>
    <w:rsid w:val="008F4975"/>
    <w:rsid w:val="008F4D43"/>
    <w:rsid w:val="008F508C"/>
    <w:rsid w:val="008F56C6"/>
    <w:rsid w:val="008F7100"/>
    <w:rsid w:val="00900812"/>
    <w:rsid w:val="00900BAC"/>
    <w:rsid w:val="00901882"/>
    <w:rsid w:val="00903056"/>
    <w:rsid w:val="0090332F"/>
    <w:rsid w:val="00904668"/>
    <w:rsid w:val="00905E85"/>
    <w:rsid w:val="0090623E"/>
    <w:rsid w:val="0090701C"/>
    <w:rsid w:val="00907A17"/>
    <w:rsid w:val="009102DF"/>
    <w:rsid w:val="00910DC5"/>
    <w:rsid w:val="00910FC1"/>
    <w:rsid w:val="009143E8"/>
    <w:rsid w:val="0091695D"/>
    <w:rsid w:val="0091788D"/>
    <w:rsid w:val="009204E6"/>
    <w:rsid w:val="00920A7F"/>
    <w:rsid w:val="00922089"/>
    <w:rsid w:val="009225F0"/>
    <w:rsid w:val="00923C59"/>
    <w:rsid w:val="00924C6F"/>
    <w:rsid w:val="009263F0"/>
    <w:rsid w:val="009300F9"/>
    <w:rsid w:val="009305AC"/>
    <w:rsid w:val="00930F43"/>
    <w:rsid w:val="00932859"/>
    <w:rsid w:val="0093462C"/>
    <w:rsid w:val="009355D3"/>
    <w:rsid w:val="0093678D"/>
    <w:rsid w:val="0093684D"/>
    <w:rsid w:val="0093774F"/>
    <w:rsid w:val="00937C48"/>
    <w:rsid w:val="00941437"/>
    <w:rsid w:val="009428AF"/>
    <w:rsid w:val="009430A3"/>
    <w:rsid w:val="0094443C"/>
    <w:rsid w:val="009473D2"/>
    <w:rsid w:val="0095021C"/>
    <w:rsid w:val="00950549"/>
    <w:rsid w:val="009511D7"/>
    <w:rsid w:val="00951AAF"/>
    <w:rsid w:val="009535C9"/>
    <w:rsid w:val="00953795"/>
    <w:rsid w:val="00954545"/>
    <w:rsid w:val="00954804"/>
    <w:rsid w:val="009549F5"/>
    <w:rsid w:val="00954E87"/>
    <w:rsid w:val="00956CC5"/>
    <w:rsid w:val="009570BD"/>
    <w:rsid w:val="0095758E"/>
    <w:rsid w:val="00961445"/>
    <w:rsid w:val="00962547"/>
    <w:rsid w:val="00963390"/>
    <w:rsid w:val="009648A2"/>
    <w:rsid w:val="00965787"/>
    <w:rsid w:val="00965A62"/>
    <w:rsid w:val="009665F3"/>
    <w:rsid w:val="00966DF1"/>
    <w:rsid w:val="00967540"/>
    <w:rsid w:val="00967F4E"/>
    <w:rsid w:val="00972957"/>
    <w:rsid w:val="00974189"/>
    <w:rsid w:val="00974FAE"/>
    <w:rsid w:val="00975264"/>
    <w:rsid w:val="00975C58"/>
    <w:rsid w:val="00976E17"/>
    <w:rsid w:val="009810A7"/>
    <w:rsid w:val="00981142"/>
    <w:rsid w:val="0098153D"/>
    <w:rsid w:val="009820C8"/>
    <w:rsid w:val="00982DC9"/>
    <w:rsid w:val="00983536"/>
    <w:rsid w:val="00987580"/>
    <w:rsid w:val="00990D06"/>
    <w:rsid w:val="009912ED"/>
    <w:rsid w:val="009916E5"/>
    <w:rsid w:val="0099172E"/>
    <w:rsid w:val="009917F8"/>
    <w:rsid w:val="00994115"/>
    <w:rsid w:val="009942F9"/>
    <w:rsid w:val="00994583"/>
    <w:rsid w:val="009952CB"/>
    <w:rsid w:val="009963F8"/>
    <w:rsid w:val="00996B20"/>
    <w:rsid w:val="00996DA2"/>
    <w:rsid w:val="009974F6"/>
    <w:rsid w:val="00997AF6"/>
    <w:rsid w:val="009A08C7"/>
    <w:rsid w:val="009A329E"/>
    <w:rsid w:val="009A41B6"/>
    <w:rsid w:val="009A4264"/>
    <w:rsid w:val="009A4327"/>
    <w:rsid w:val="009A59F3"/>
    <w:rsid w:val="009A6971"/>
    <w:rsid w:val="009A72ED"/>
    <w:rsid w:val="009A7697"/>
    <w:rsid w:val="009B0545"/>
    <w:rsid w:val="009B0C61"/>
    <w:rsid w:val="009B1B58"/>
    <w:rsid w:val="009B348C"/>
    <w:rsid w:val="009B3BA9"/>
    <w:rsid w:val="009B46F9"/>
    <w:rsid w:val="009B52EB"/>
    <w:rsid w:val="009B52F7"/>
    <w:rsid w:val="009B73B1"/>
    <w:rsid w:val="009B7828"/>
    <w:rsid w:val="009C056C"/>
    <w:rsid w:val="009C1E58"/>
    <w:rsid w:val="009C32BF"/>
    <w:rsid w:val="009C5075"/>
    <w:rsid w:val="009C517F"/>
    <w:rsid w:val="009C6452"/>
    <w:rsid w:val="009C6639"/>
    <w:rsid w:val="009C6F68"/>
    <w:rsid w:val="009C7431"/>
    <w:rsid w:val="009D349A"/>
    <w:rsid w:val="009D3782"/>
    <w:rsid w:val="009D79EA"/>
    <w:rsid w:val="009E047E"/>
    <w:rsid w:val="009E0586"/>
    <w:rsid w:val="009E3775"/>
    <w:rsid w:val="009E5020"/>
    <w:rsid w:val="009E56F7"/>
    <w:rsid w:val="009E6F5F"/>
    <w:rsid w:val="009E6FAE"/>
    <w:rsid w:val="009E79E2"/>
    <w:rsid w:val="009F0E26"/>
    <w:rsid w:val="009F1690"/>
    <w:rsid w:val="009F2071"/>
    <w:rsid w:val="009F26CA"/>
    <w:rsid w:val="009F3120"/>
    <w:rsid w:val="009F38AF"/>
    <w:rsid w:val="009F447D"/>
    <w:rsid w:val="009F54DC"/>
    <w:rsid w:val="009F5755"/>
    <w:rsid w:val="009F6F61"/>
    <w:rsid w:val="009F71E7"/>
    <w:rsid w:val="009F7393"/>
    <w:rsid w:val="00A00BB7"/>
    <w:rsid w:val="00A020A0"/>
    <w:rsid w:val="00A02B23"/>
    <w:rsid w:val="00A03AE4"/>
    <w:rsid w:val="00A05910"/>
    <w:rsid w:val="00A05F64"/>
    <w:rsid w:val="00A064A0"/>
    <w:rsid w:val="00A071FA"/>
    <w:rsid w:val="00A079BE"/>
    <w:rsid w:val="00A10524"/>
    <w:rsid w:val="00A12503"/>
    <w:rsid w:val="00A129D6"/>
    <w:rsid w:val="00A138BA"/>
    <w:rsid w:val="00A13B6D"/>
    <w:rsid w:val="00A15C97"/>
    <w:rsid w:val="00A16114"/>
    <w:rsid w:val="00A17B4F"/>
    <w:rsid w:val="00A17F2B"/>
    <w:rsid w:val="00A221B9"/>
    <w:rsid w:val="00A24814"/>
    <w:rsid w:val="00A261C7"/>
    <w:rsid w:val="00A2674E"/>
    <w:rsid w:val="00A2689F"/>
    <w:rsid w:val="00A26A5D"/>
    <w:rsid w:val="00A3063E"/>
    <w:rsid w:val="00A31BEE"/>
    <w:rsid w:val="00A31CA3"/>
    <w:rsid w:val="00A35969"/>
    <w:rsid w:val="00A3607F"/>
    <w:rsid w:val="00A360DC"/>
    <w:rsid w:val="00A377AE"/>
    <w:rsid w:val="00A37B3A"/>
    <w:rsid w:val="00A41DDA"/>
    <w:rsid w:val="00A43B88"/>
    <w:rsid w:val="00A43D24"/>
    <w:rsid w:val="00A45B5E"/>
    <w:rsid w:val="00A45C36"/>
    <w:rsid w:val="00A45EC1"/>
    <w:rsid w:val="00A50109"/>
    <w:rsid w:val="00A51FEA"/>
    <w:rsid w:val="00A52C85"/>
    <w:rsid w:val="00A52E2B"/>
    <w:rsid w:val="00A530EC"/>
    <w:rsid w:val="00A54835"/>
    <w:rsid w:val="00A54EE3"/>
    <w:rsid w:val="00A551B9"/>
    <w:rsid w:val="00A605E0"/>
    <w:rsid w:val="00A62006"/>
    <w:rsid w:val="00A636A2"/>
    <w:rsid w:val="00A644D8"/>
    <w:rsid w:val="00A64C19"/>
    <w:rsid w:val="00A65005"/>
    <w:rsid w:val="00A650EF"/>
    <w:rsid w:val="00A65DD8"/>
    <w:rsid w:val="00A65F16"/>
    <w:rsid w:val="00A66481"/>
    <w:rsid w:val="00A66D19"/>
    <w:rsid w:val="00A70088"/>
    <w:rsid w:val="00A7037A"/>
    <w:rsid w:val="00A71171"/>
    <w:rsid w:val="00A729CA"/>
    <w:rsid w:val="00A74C89"/>
    <w:rsid w:val="00A74D6A"/>
    <w:rsid w:val="00A762B4"/>
    <w:rsid w:val="00A813F1"/>
    <w:rsid w:val="00A820CC"/>
    <w:rsid w:val="00A83C73"/>
    <w:rsid w:val="00A85BB4"/>
    <w:rsid w:val="00A85C9C"/>
    <w:rsid w:val="00A87061"/>
    <w:rsid w:val="00A91E08"/>
    <w:rsid w:val="00A92A66"/>
    <w:rsid w:val="00A93296"/>
    <w:rsid w:val="00A9405A"/>
    <w:rsid w:val="00A94722"/>
    <w:rsid w:val="00A9491B"/>
    <w:rsid w:val="00A95042"/>
    <w:rsid w:val="00AA03C2"/>
    <w:rsid w:val="00AA087F"/>
    <w:rsid w:val="00AA13D2"/>
    <w:rsid w:val="00AA1DAE"/>
    <w:rsid w:val="00AA2090"/>
    <w:rsid w:val="00AA2C9E"/>
    <w:rsid w:val="00AA3808"/>
    <w:rsid w:val="00AA3B0A"/>
    <w:rsid w:val="00AA4700"/>
    <w:rsid w:val="00AA49F5"/>
    <w:rsid w:val="00AA6EB1"/>
    <w:rsid w:val="00AA769D"/>
    <w:rsid w:val="00AB0805"/>
    <w:rsid w:val="00AB1A8D"/>
    <w:rsid w:val="00AB224E"/>
    <w:rsid w:val="00AB2E35"/>
    <w:rsid w:val="00AB2F2C"/>
    <w:rsid w:val="00AB38B2"/>
    <w:rsid w:val="00AB38F5"/>
    <w:rsid w:val="00AB3A31"/>
    <w:rsid w:val="00AB47AF"/>
    <w:rsid w:val="00AB5108"/>
    <w:rsid w:val="00AB739F"/>
    <w:rsid w:val="00AB79D3"/>
    <w:rsid w:val="00AB7E90"/>
    <w:rsid w:val="00AC09C1"/>
    <w:rsid w:val="00AC0BF1"/>
    <w:rsid w:val="00AC11AC"/>
    <w:rsid w:val="00AC11C3"/>
    <w:rsid w:val="00AC1F3C"/>
    <w:rsid w:val="00AC216C"/>
    <w:rsid w:val="00AC27B0"/>
    <w:rsid w:val="00AC4094"/>
    <w:rsid w:val="00AC4442"/>
    <w:rsid w:val="00AC56F8"/>
    <w:rsid w:val="00AC7C82"/>
    <w:rsid w:val="00AD0928"/>
    <w:rsid w:val="00AD0DA3"/>
    <w:rsid w:val="00AD1D2C"/>
    <w:rsid w:val="00AD410B"/>
    <w:rsid w:val="00AD418F"/>
    <w:rsid w:val="00AE03B7"/>
    <w:rsid w:val="00AE0F48"/>
    <w:rsid w:val="00AE22DF"/>
    <w:rsid w:val="00AE3298"/>
    <w:rsid w:val="00AE42DE"/>
    <w:rsid w:val="00AE6F94"/>
    <w:rsid w:val="00AE7522"/>
    <w:rsid w:val="00AE7D9A"/>
    <w:rsid w:val="00AF0618"/>
    <w:rsid w:val="00AF1373"/>
    <w:rsid w:val="00AF428C"/>
    <w:rsid w:val="00AF486A"/>
    <w:rsid w:val="00AF6C1D"/>
    <w:rsid w:val="00B00544"/>
    <w:rsid w:val="00B00BA4"/>
    <w:rsid w:val="00B00EF6"/>
    <w:rsid w:val="00B020EB"/>
    <w:rsid w:val="00B02B0C"/>
    <w:rsid w:val="00B02B23"/>
    <w:rsid w:val="00B0471D"/>
    <w:rsid w:val="00B04E08"/>
    <w:rsid w:val="00B04ED8"/>
    <w:rsid w:val="00B05079"/>
    <w:rsid w:val="00B0681B"/>
    <w:rsid w:val="00B069EB"/>
    <w:rsid w:val="00B0730D"/>
    <w:rsid w:val="00B104EC"/>
    <w:rsid w:val="00B1090F"/>
    <w:rsid w:val="00B11519"/>
    <w:rsid w:val="00B117FA"/>
    <w:rsid w:val="00B11E26"/>
    <w:rsid w:val="00B131BC"/>
    <w:rsid w:val="00B136FC"/>
    <w:rsid w:val="00B13A52"/>
    <w:rsid w:val="00B179F6"/>
    <w:rsid w:val="00B2035F"/>
    <w:rsid w:val="00B205D8"/>
    <w:rsid w:val="00B20A5E"/>
    <w:rsid w:val="00B20E6F"/>
    <w:rsid w:val="00B219CB"/>
    <w:rsid w:val="00B21EB1"/>
    <w:rsid w:val="00B2237F"/>
    <w:rsid w:val="00B24922"/>
    <w:rsid w:val="00B24D54"/>
    <w:rsid w:val="00B24D5D"/>
    <w:rsid w:val="00B25FBC"/>
    <w:rsid w:val="00B3015E"/>
    <w:rsid w:val="00B301BA"/>
    <w:rsid w:val="00B305A7"/>
    <w:rsid w:val="00B30E23"/>
    <w:rsid w:val="00B326CC"/>
    <w:rsid w:val="00B32CCC"/>
    <w:rsid w:val="00B34B74"/>
    <w:rsid w:val="00B35798"/>
    <w:rsid w:val="00B35CAA"/>
    <w:rsid w:val="00B35D57"/>
    <w:rsid w:val="00B4002B"/>
    <w:rsid w:val="00B41FC5"/>
    <w:rsid w:val="00B42120"/>
    <w:rsid w:val="00B43486"/>
    <w:rsid w:val="00B43627"/>
    <w:rsid w:val="00B4471D"/>
    <w:rsid w:val="00B454A5"/>
    <w:rsid w:val="00B45F74"/>
    <w:rsid w:val="00B462BA"/>
    <w:rsid w:val="00B4650A"/>
    <w:rsid w:val="00B472CE"/>
    <w:rsid w:val="00B50E67"/>
    <w:rsid w:val="00B51DC3"/>
    <w:rsid w:val="00B52201"/>
    <w:rsid w:val="00B52204"/>
    <w:rsid w:val="00B52EA9"/>
    <w:rsid w:val="00B532B1"/>
    <w:rsid w:val="00B5470C"/>
    <w:rsid w:val="00B54BFD"/>
    <w:rsid w:val="00B56033"/>
    <w:rsid w:val="00B572C3"/>
    <w:rsid w:val="00B60245"/>
    <w:rsid w:val="00B608D1"/>
    <w:rsid w:val="00B62ABF"/>
    <w:rsid w:val="00B63398"/>
    <w:rsid w:val="00B63C16"/>
    <w:rsid w:val="00B649E5"/>
    <w:rsid w:val="00B65336"/>
    <w:rsid w:val="00B65772"/>
    <w:rsid w:val="00B65FB0"/>
    <w:rsid w:val="00B66E6D"/>
    <w:rsid w:val="00B67DB6"/>
    <w:rsid w:val="00B70B1E"/>
    <w:rsid w:val="00B71003"/>
    <w:rsid w:val="00B738B3"/>
    <w:rsid w:val="00B74BD3"/>
    <w:rsid w:val="00B74C5A"/>
    <w:rsid w:val="00B75360"/>
    <w:rsid w:val="00B75967"/>
    <w:rsid w:val="00B764EB"/>
    <w:rsid w:val="00B77656"/>
    <w:rsid w:val="00B81320"/>
    <w:rsid w:val="00B83B67"/>
    <w:rsid w:val="00B8492A"/>
    <w:rsid w:val="00B849A6"/>
    <w:rsid w:val="00B84AA3"/>
    <w:rsid w:val="00B873F0"/>
    <w:rsid w:val="00B87CB4"/>
    <w:rsid w:val="00B87DDC"/>
    <w:rsid w:val="00B90C7B"/>
    <w:rsid w:val="00B91B8B"/>
    <w:rsid w:val="00B91E3E"/>
    <w:rsid w:val="00B92319"/>
    <w:rsid w:val="00B93881"/>
    <w:rsid w:val="00B93ABA"/>
    <w:rsid w:val="00B94FEB"/>
    <w:rsid w:val="00B952AF"/>
    <w:rsid w:val="00B967F9"/>
    <w:rsid w:val="00B968DC"/>
    <w:rsid w:val="00B96E18"/>
    <w:rsid w:val="00B97139"/>
    <w:rsid w:val="00B973F6"/>
    <w:rsid w:val="00BA2DB9"/>
    <w:rsid w:val="00BA447A"/>
    <w:rsid w:val="00BA5036"/>
    <w:rsid w:val="00BA5B78"/>
    <w:rsid w:val="00BB0C00"/>
    <w:rsid w:val="00BB188D"/>
    <w:rsid w:val="00BB1B79"/>
    <w:rsid w:val="00BB3776"/>
    <w:rsid w:val="00BB3D68"/>
    <w:rsid w:val="00BB4F5A"/>
    <w:rsid w:val="00BB4FDF"/>
    <w:rsid w:val="00BB5EC6"/>
    <w:rsid w:val="00BB616B"/>
    <w:rsid w:val="00BB65BD"/>
    <w:rsid w:val="00BB665B"/>
    <w:rsid w:val="00BB666C"/>
    <w:rsid w:val="00BB787A"/>
    <w:rsid w:val="00BC0C82"/>
    <w:rsid w:val="00BC1470"/>
    <w:rsid w:val="00BC32BE"/>
    <w:rsid w:val="00BC3614"/>
    <w:rsid w:val="00BC4F17"/>
    <w:rsid w:val="00BC5295"/>
    <w:rsid w:val="00BC64A1"/>
    <w:rsid w:val="00BC7EF2"/>
    <w:rsid w:val="00BC7F48"/>
    <w:rsid w:val="00BD0149"/>
    <w:rsid w:val="00BD0462"/>
    <w:rsid w:val="00BD1013"/>
    <w:rsid w:val="00BD16AE"/>
    <w:rsid w:val="00BD2E2E"/>
    <w:rsid w:val="00BD32A0"/>
    <w:rsid w:val="00BD3F3C"/>
    <w:rsid w:val="00BD435F"/>
    <w:rsid w:val="00BD57CD"/>
    <w:rsid w:val="00BD7671"/>
    <w:rsid w:val="00BE0D51"/>
    <w:rsid w:val="00BE3946"/>
    <w:rsid w:val="00BE496E"/>
    <w:rsid w:val="00BE6D62"/>
    <w:rsid w:val="00BE7148"/>
    <w:rsid w:val="00BE7198"/>
    <w:rsid w:val="00BE72DF"/>
    <w:rsid w:val="00BE792F"/>
    <w:rsid w:val="00BF140E"/>
    <w:rsid w:val="00BF147C"/>
    <w:rsid w:val="00BF1E50"/>
    <w:rsid w:val="00BF2090"/>
    <w:rsid w:val="00BF2E0F"/>
    <w:rsid w:val="00BF6AD8"/>
    <w:rsid w:val="00BF7F2C"/>
    <w:rsid w:val="00C00859"/>
    <w:rsid w:val="00C00DE0"/>
    <w:rsid w:val="00C022D6"/>
    <w:rsid w:val="00C023AA"/>
    <w:rsid w:val="00C0694D"/>
    <w:rsid w:val="00C1069B"/>
    <w:rsid w:val="00C1344C"/>
    <w:rsid w:val="00C15E6A"/>
    <w:rsid w:val="00C16025"/>
    <w:rsid w:val="00C16699"/>
    <w:rsid w:val="00C16915"/>
    <w:rsid w:val="00C17C1F"/>
    <w:rsid w:val="00C17C60"/>
    <w:rsid w:val="00C20919"/>
    <w:rsid w:val="00C20A2F"/>
    <w:rsid w:val="00C20B43"/>
    <w:rsid w:val="00C21399"/>
    <w:rsid w:val="00C225D2"/>
    <w:rsid w:val="00C23144"/>
    <w:rsid w:val="00C23508"/>
    <w:rsid w:val="00C23F38"/>
    <w:rsid w:val="00C24F19"/>
    <w:rsid w:val="00C251AC"/>
    <w:rsid w:val="00C255DA"/>
    <w:rsid w:val="00C258CF"/>
    <w:rsid w:val="00C25A6C"/>
    <w:rsid w:val="00C25EAA"/>
    <w:rsid w:val="00C27077"/>
    <w:rsid w:val="00C303F3"/>
    <w:rsid w:val="00C32240"/>
    <w:rsid w:val="00C337F1"/>
    <w:rsid w:val="00C33921"/>
    <w:rsid w:val="00C350AC"/>
    <w:rsid w:val="00C355FD"/>
    <w:rsid w:val="00C35C1B"/>
    <w:rsid w:val="00C36063"/>
    <w:rsid w:val="00C41980"/>
    <w:rsid w:val="00C41E85"/>
    <w:rsid w:val="00C438C0"/>
    <w:rsid w:val="00C44D5F"/>
    <w:rsid w:val="00C45D9B"/>
    <w:rsid w:val="00C47030"/>
    <w:rsid w:val="00C47C8F"/>
    <w:rsid w:val="00C47EEB"/>
    <w:rsid w:val="00C47F1D"/>
    <w:rsid w:val="00C50CFB"/>
    <w:rsid w:val="00C50D2F"/>
    <w:rsid w:val="00C5104F"/>
    <w:rsid w:val="00C51B4C"/>
    <w:rsid w:val="00C51ECF"/>
    <w:rsid w:val="00C53C53"/>
    <w:rsid w:val="00C557D9"/>
    <w:rsid w:val="00C61C70"/>
    <w:rsid w:val="00C6304A"/>
    <w:rsid w:val="00C6308B"/>
    <w:rsid w:val="00C63291"/>
    <w:rsid w:val="00C6349D"/>
    <w:rsid w:val="00C634A0"/>
    <w:rsid w:val="00C6392E"/>
    <w:rsid w:val="00C65B98"/>
    <w:rsid w:val="00C6648B"/>
    <w:rsid w:val="00C664DA"/>
    <w:rsid w:val="00C71FD1"/>
    <w:rsid w:val="00C73242"/>
    <w:rsid w:val="00C732FF"/>
    <w:rsid w:val="00C73584"/>
    <w:rsid w:val="00C7624F"/>
    <w:rsid w:val="00C763C8"/>
    <w:rsid w:val="00C77DD3"/>
    <w:rsid w:val="00C8091B"/>
    <w:rsid w:val="00C80B50"/>
    <w:rsid w:val="00C81D2D"/>
    <w:rsid w:val="00C832F9"/>
    <w:rsid w:val="00C83FD7"/>
    <w:rsid w:val="00C84DD7"/>
    <w:rsid w:val="00C85174"/>
    <w:rsid w:val="00C901EB"/>
    <w:rsid w:val="00C91AFD"/>
    <w:rsid w:val="00C91D52"/>
    <w:rsid w:val="00C929C1"/>
    <w:rsid w:val="00C933B7"/>
    <w:rsid w:val="00C94702"/>
    <w:rsid w:val="00C962F7"/>
    <w:rsid w:val="00C9660F"/>
    <w:rsid w:val="00C97CE6"/>
    <w:rsid w:val="00CA1347"/>
    <w:rsid w:val="00CA1666"/>
    <w:rsid w:val="00CA209A"/>
    <w:rsid w:val="00CA559A"/>
    <w:rsid w:val="00CA5EB8"/>
    <w:rsid w:val="00CB16E7"/>
    <w:rsid w:val="00CB2A42"/>
    <w:rsid w:val="00CB2D47"/>
    <w:rsid w:val="00CB38C1"/>
    <w:rsid w:val="00CB3E8F"/>
    <w:rsid w:val="00CB46C6"/>
    <w:rsid w:val="00CB57C9"/>
    <w:rsid w:val="00CB5863"/>
    <w:rsid w:val="00CB5F71"/>
    <w:rsid w:val="00CB73B3"/>
    <w:rsid w:val="00CC0D17"/>
    <w:rsid w:val="00CC40A3"/>
    <w:rsid w:val="00CC4BF9"/>
    <w:rsid w:val="00CC4EA2"/>
    <w:rsid w:val="00CC5551"/>
    <w:rsid w:val="00CC64C8"/>
    <w:rsid w:val="00CC6F25"/>
    <w:rsid w:val="00CC76E4"/>
    <w:rsid w:val="00CD023C"/>
    <w:rsid w:val="00CD02AF"/>
    <w:rsid w:val="00CD0652"/>
    <w:rsid w:val="00CD16F0"/>
    <w:rsid w:val="00CD21EA"/>
    <w:rsid w:val="00CD22C2"/>
    <w:rsid w:val="00CD56D1"/>
    <w:rsid w:val="00CD65A3"/>
    <w:rsid w:val="00CD6758"/>
    <w:rsid w:val="00CD76B3"/>
    <w:rsid w:val="00CD7E6B"/>
    <w:rsid w:val="00CE14A8"/>
    <w:rsid w:val="00CE186C"/>
    <w:rsid w:val="00CE212F"/>
    <w:rsid w:val="00CE3418"/>
    <w:rsid w:val="00CE4179"/>
    <w:rsid w:val="00CE5965"/>
    <w:rsid w:val="00CE68D0"/>
    <w:rsid w:val="00CE697A"/>
    <w:rsid w:val="00CF042C"/>
    <w:rsid w:val="00CF1C31"/>
    <w:rsid w:val="00CF679A"/>
    <w:rsid w:val="00D00A4B"/>
    <w:rsid w:val="00D0346B"/>
    <w:rsid w:val="00D05536"/>
    <w:rsid w:val="00D0571A"/>
    <w:rsid w:val="00D061F9"/>
    <w:rsid w:val="00D1291B"/>
    <w:rsid w:val="00D1486D"/>
    <w:rsid w:val="00D1722E"/>
    <w:rsid w:val="00D174CE"/>
    <w:rsid w:val="00D21B77"/>
    <w:rsid w:val="00D22025"/>
    <w:rsid w:val="00D24460"/>
    <w:rsid w:val="00D2570A"/>
    <w:rsid w:val="00D25E95"/>
    <w:rsid w:val="00D27C76"/>
    <w:rsid w:val="00D27D75"/>
    <w:rsid w:val="00D30777"/>
    <w:rsid w:val="00D324B0"/>
    <w:rsid w:val="00D335EC"/>
    <w:rsid w:val="00D34238"/>
    <w:rsid w:val="00D34B2E"/>
    <w:rsid w:val="00D35545"/>
    <w:rsid w:val="00D35802"/>
    <w:rsid w:val="00D416C5"/>
    <w:rsid w:val="00D42377"/>
    <w:rsid w:val="00D42421"/>
    <w:rsid w:val="00D437CF"/>
    <w:rsid w:val="00D43B45"/>
    <w:rsid w:val="00D4416F"/>
    <w:rsid w:val="00D453CB"/>
    <w:rsid w:val="00D463F0"/>
    <w:rsid w:val="00D4704B"/>
    <w:rsid w:val="00D47AFA"/>
    <w:rsid w:val="00D47AFD"/>
    <w:rsid w:val="00D47C44"/>
    <w:rsid w:val="00D524F1"/>
    <w:rsid w:val="00D52947"/>
    <w:rsid w:val="00D52D88"/>
    <w:rsid w:val="00D52F24"/>
    <w:rsid w:val="00D5485C"/>
    <w:rsid w:val="00D54A80"/>
    <w:rsid w:val="00D55C0E"/>
    <w:rsid w:val="00D64357"/>
    <w:rsid w:val="00D6444E"/>
    <w:rsid w:val="00D6559A"/>
    <w:rsid w:val="00D66834"/>
    <w:rsid w:val="00D67431"/>
    <w:rsid w:val="00D67BF7"/>
    <w:rsid w:val="00D704F2"/>
    <w:rsid w:val="00D70CB1"/>
    <w:rsid w:val="00D711F8"/>
    <w:rsid w:val="00D742CF"/>
    <w:rsid w:val="00D7495D"/>
    <w:rsid w:val="00D750F6"/>
    <w:rsid w:val="00D767AB"/>
    <w:rsid w:val="00D7740D"/>
    <w:rsid w:val="00D777A9"/>
    <w:rsid w:val="00D779B9"/>
    <w:rsid w:val="00D816F0"/>
    <w:rsid w:val="00D82556"/>
    <w:rsid w:val="00D82635"/>
    <w:rsid w:val="00D84A3C"/>
    <w:rsid w:val="00D85B42"/>
    <w:rsid w:val="00D85C54"/>
    <w:rsid w:val="00D879F5"/>
    <w:rsid w:val="00D87CEB"/>
    <w:rsid w:val="00D90013"/>
    <w:rsid w:val="00D916A6"/>
    <w:rsid w:val="00D918A7"/>
    <w:rsid w:val="00D928E2"/>
    <w:rsid w:val="00D92A84"/>
    <w:rsid w:val="00D934E4"/>
    <w:rsid w:val="00D9390D"/>
    <w:rsid w:val="00D944EB"/>
    <w:rsid w:val="00D94795"/>
    <w:rsid w:val="00D96119"/>
    <w:rsid w:val="00D97A89"/>
    <w:rsid w:val="00DA00DE"/>
    <w:rsid w:val="00DA1B6B"/>
    <w:rsid w:val="00DA21A2"/>
    <w:rsid w:val="00DA2381"/>
    <w:rsid w:val="00DA243A"/>
    <w:rsid w:val="00DA3D99"/>
    <w:rsid w:val="00DA519A"/>
    <w:rsid w:val="00DA57FB"/>
    <w:rsid w:val="00DA7054"/>
    <w:rsid w:val="00DB0E5D"/>
    <w:rsid w:val="00DB16CB"/>
    <w:rsid w:val="00DB1B31"/>
    <w:rsid w:val="00DB27E9"/>
    <w:rsid w:val="00DB455B"/>
    <w:rsid w:val="00DB4C4D"/>
    <w:rsid w:val="00DB5B43"/>
    <w:rsid w:val="00DB65E3"/>
    <w:rsid w:val="00DB70DB"/>
    <w:rsid w:val="00DB7593"/>
    <w:rsid w:val="00DB75F6"/>
    <w:rsid w:val="00DC01AC"/>
    <w:rsid w:val="00DC07C7"/>
    <w:rsid w:val="00DC11F1"/>
    <w:rsid w:val="00DC2114"/>
    <w:rsid w:val="00DC290F"/>
    <w:rsid w:val="00DC3060"/>
    <w:rsid w:val="00DC3CD1"/>
    <w:rsid w:val="00DC4653"/>
    <w:rsid w:val="00DC55C7"/>
    <w:rsid w:val="00DC6185"/>
    <w:rsid w:val="00DC692C"/>
    <w:rsid w:val="00DC727E"/>
    <w:rsid w:val="00DD07D0"/>
    <w:rsid w:val="00DD0DF1"/>
    <w:rsid w:val="00DD26E0"/>
    <w:rsid w:val="00DD303B"/>
    <w:rsid w:val="00DD3D20"/>
    <w:rsid w:val="00DD459B"/>
    <w:rsid w:val="00DD4D46"/>
    <w:rsid w:val="00DE302D"/>
    <w:rsid w:val="00DE353D"/>
    <w:rsid w:val="00DE450C"/>
    <w:rsid w:val="00DE4EB2"/>
    <w:rsid w:val="00DE548B"/>
    <w:rsid w:val="00DE62A5"/>
    <w:rsid w:val="00DE6661"/>
    <w:rsid w:val="00DF02FB"/>
    <w:rsid w:val="00DF063F"/>
    <w:rsid w:val="00DF078A"/>
    <w:rsid w:val="00DF2102"/>
    <w:rsid w:val="00DF2CF1"/>
    <w:rsid w:val="00DF2FA6"/>
    <w:rsid w:val="00DF2FC0"/>
    <w:rsid w:val="00DF4276"/>
    <w:rsid w:val="00DF4574"/>
    <w:rsid w:val="00DF4B10"/>
    <w:rsid w:val="00DF701F"/>
    <w:rsid w:val="00E013B1"/>
    <w:rsid w:val="00E01C7C"/>
    <w:rsid w:val="00E01FA2"/>
    <w:rsid w:val="00E0213A"/>
    <w:rsid w:val="00E021FF"/>
    <w:rsid w:val="00E03F70"/>
    <w:rsid w:val="00E047DE"/>
    <w:rsid w:val="00E049C4"/>
    <w:rsid w:val="00E04BB6"/>
    <w:rsid w:val="00E062A4"/>
    <w:rsid w:val="00E0693E"/>
    <w:rsid w:val="00E12DF7"/>
    <w:rsid w:val="00E13C10"/>
    <w:rsid w:val="00E177A9"/>
    <w:rsid w:val="00E207D0"/>
    <w:rsid w:val="00E20D3A"/>
    <w:rsid w:val="00E215FD"/>
    <w:rsid w:val="00E21843"/>
    <w:rsid w:val="00E21E5F"/>
    <w:rsid w:val="00E223D5"/>
    <w:rsid w:val="00E22E3C"/>
    <w:rsid w:val="00E26247"/>
    <w:rsid w:val="00E2628D"/>
    <w:rsid w:val="00E266D8"/>
    <w:rsid w:val="00E273E4"/>
    <w:rsid w:val="00E278BA"/>
    <w:rsid w:val="00E27908"/>
    <w:rsid w:val="00E2798C"/>
    <w:rsid w:val="00E27AB0"/>
    <w:rsid w:val="00E311B2"/>
    <w:rsid w:val="00E32E71"/>
    <w:rsid w:val="00E34020"/>
    <w:rsid w:val="00E36E00"/>
    <w:rsid w:val="00E37709"/>
    <w:rsid w:val="00E378F3"/>
    <w:rsid w:val="00E37E72"/>
    <w:rsid w:val="00E421D9"/>
    <w:rsid w:val="00E4243E"/>
    <w:rsid w:val="00E435E8"/>
    <w:rsid w:val="00E43CD5"/>
    <w:rsid w:val="00E43F20"/>
    <w:rsid w:val="00E44A4D"/>
    <w:rsid w:val="00E45520"/>
    <w:rsid w:val="00E46497"/>
    <w:rsid w:val="00E474B5"/>
    <w:rsid w:val="00E51628"/>
    <w:rsid w:val="00E53CF5"/>
    <w:rsid w:val="00E5492B"/>
    <w:rsid w:val="00E55F1A"/>
    <w:rsid w:val="00E60A7A"/>
    <w:rsid w:val="00E60CE7"/>
    <w:rsid w:val="00E613F7"/>
    <w:rsid w:val="00E61A0E"/>
    <w:rsid w:val="00E62FF6"/>
    <w:rsid w:val="00E634B7"/>
    <w:rsid w:val="00E63F5A"/>
    <w:rsid w:val="00E6433F"/>
    <w:rsid w:val="00E646E7"/>
    <w:rsid w:val="00E6607C"/>
    <w:rsid w:val="00E67E4D"/>
    <w:rsid w:val="00E70C92"/>
    <w:rsid w:val="00E71EA7"/>
    <w:rsid w:val="00E7201C"/>
    <w:rsid w:val="00E74110"/>
    <w:rsid w:val="00E74D6A"/>
    <w:rsid w:val="00E75527"/>
    <w:rsid w:val="00E76619"/>
    <w:rsid w:val="00E77BFF"/>
    <w:rsid w:val="00E8063C"/>
    <w:rsid w:val="00E817A9"/>
    <w:rsid w:val="00E8360D"/>
    <w:rsid w:val="00E852F5"/>
    <w:rsid w:val="00E8572E"/>
    <w:rsid w:val="00E8693C"/>
    <w:rsid w:val="00E870CD"/>
    <w:rsid w:val="00E872F2"/>
    <w:rsid w:val="00E87408"/>
    <w:rsid w:val="00E8742E"/>
    <w:rsid w:val="00E879A9"/>
    <w:rsid w:val="00E9065E"/>
    <w:rsid w:val="00E90A0E"/>
    <w:rsid w:val="00E9162C"/>
    <w:rsid w:val="00E91E96"/>
    <w:rsid w:val="00E927BF"/>
    <w:rsid w:val="00E92BAE"/>
    <w:rsid w:val="00E938AF"/>
    <w:rsid w:val="00E93A3D"/>
    <w:rsid w:val="00E93B44"/>
    <w:rsid w:val="00E94308"/>
    <w:rsid w:val="00E95131"/>
    <w:rsid w:val="00E963BB"/>
    <w:rsid w:val="00E96D19"/>
    <w:rsid w:val="00EA0AA3"/>
    <w:rsid w:val="00EA1C85"/>
    <w:rsid w:val="00EA1EDD"/>
    <w:rsid w:val="00EA51B9"/>
    <w:rsid w:val="00EA7E75"/>
    <w:rsid w:val="00EB0FCE"/>
    <w:rsid w:val="00EB1BD9"/>
    <w:rsid w:val="00EB1F80"/>
    <w:rsid w:val="00EB2C91"/>
    <w:rsid w:val="00EB54A1"/>
    <w:rsid w:val="00EB55C7"/>
    <w:rsid w:val="00EB55DC"/>
    <w:rsid w:val="00EB62EA"/>
    <w:rsid w:val="00EB67D0"/>
    <w:rsid w:val="00EB7225"/>
    <w:rsid w:val="00EC0873"/>
    <w:rsid w:val="00EC1386"/>
    <w:rsid w:val="00EC1388"/>
    <w:rsid w:val="00EC23E4"/>
    <w:rsid w:val="00EC322D"/>
    <w:rsid w:val="00EC36C0"/>
    <w:rsid w:val="00EC3C97"/>
    <w:rsid w:val="00EC3F71"/>
    <w:rsid w:val="00EC5665"/>
    <w:rsid w:val="00EC586A"/>
    <w:rsid w:val="00EC6F2F"/>
    <w:rsid w:val="00EC72CD"/>
    <w:rsid w:val="00EC79D2"/>
    <w:rsid w:val="00ED110C"/>
    <w:rsid w:val="00ED30A5"/>
    <w:rsid w:val="00ED3A47"/>
    <w:rsid w:val="00ED3CA4"/>
    <w:rsid w:val="00ED48CC"/>
    <w:rsid w:val="00ED5909"/>
    <w:rsid w:val="00ED5BBA"/>
    <w:rsid w:val="00ED60FC"/>
    <w:rsid w:val="00ED6747"/>
    <w:rsid w:val="00ED6CB6"/>
    <w:rsid w:val="00ED6DF8"/>
    <w:rsid w:val="00ED72D0"/>
    <w:rsid w:val="00ED7C12"/>
    <w:rsid w:val="00EE03DB"/>
    <w:rsid w:val="00EE03E2"/>
    <w:rsid w:val="00EE2567"/>
    <w:rsid w:val="00EE2590"/>
    <w:rsid w:val="00EE307D"/>
    <w:rsid w:val="00EE3224"/>
    <w:rsid w:val="00EE3C60"/>
    <w:rsid w:val="00EE43E0"/>
    <w:rsid w:val="00EE6453"/>
    <w:rsid w:val="00EF0C4C"/>
    <w:rsid w:val="00EF0DA3"/>
    <w:rsid w:val="00EF17C4"/>
    <w:rsid w:val="00EF1B1B"/>
    <w:rsid w:val="00EF4564"/>
    <w:rsid w:val="00EF4E01"/>
    <w:rsid w:val="00EF6A36"/>
    <w:rsid w:val="00EF7E5C"/>
    <w:rsid w:val="00F00814"/>
    <w:rsid w:val="00F02FE6"/>
    <w:rsid w:val="00F037B6"/>
    <w:rsid w:val="00F05B83"/>
    <w:rsid w:val="00F07B2A"/>
    <w:rsid w:val="00F10465"/>
    <w:rsid w:val="00F10590"/>
    <w:rsid w:val="00F109BB"/>
    <w:rsid w:val="00F11AF1"/>
    <w:rsid w:val="00F11CFB"/>
    <w:rsid w:val="00F120E1"/>
    <w:rsid w:val="00F12A85"/>
    <w:rsid w:val="00F1311A"/>
    <w:rsid w:val="00F14926"/>
    <w:rsid w:val="00F1598D"/>
    <w:rsid w:val="00F1785B"/>
    <w:rsid w:val="00F22B26"/>
    <w:rsid w:val="00F2469E"/>
    <w:rsid w:val="00F25627"/>
    <w:rsid w:val="00F2654E"/>
    <w:rsid w:val="00F26DDF"/>
    <w:rsid w:val="00F277E8"/>
    <w:rsid w:val="00F30AFE"/>
    <w:rsid w:val="00F317A1"/>
    <w:rsid w:val="00F31D17"/>
    <w:rsid w:val="00F31DC7"/>
    <w:rsid w:val="00F33BB2"/>
    <w:rsid w:val="00F35954"/>
    <w:rsid w:val="00F41AED"/>
    <w:rsid w:val="00F42917"/>
    <w:rsid w:val="00F435E0"/>
    <w:rsid w:val="00F44019"/>
    <w:rsid w:val="00F46A09"/>
    <w:rsid w:val="00F4777F"/>
    <w:rsid w:val="00F47A0F"/>
    <w:rsid w:val="00F47E4F"/>
    <w:rsid w:val="00F50584"/>
    <w:rsid w:val="00F51DD3"/>
    <w:rsid w:val="00F531B8"/>
    <w:rsid w:val="00F5392D"/>
    <w:rsid w:val="00F53F28"/>
    <w:rsid w:val="00F5449E"/>
    <w:rsid w:val="00F564E2"/>
    <w:rsid w:val="00F60D85"/>
    <w:rsid w:val="00F61A51"/>
    <w:rsid w:val="00F7033B"/>
    <w:rsid w:val="00F70EFD"/>
    <w:rsid w:val="00F7252E"/>
    <w:rsid w:val="00F72EFC"/>
    <w:rsid w:val="00F75C1C"/>
    <w:rsid w:val="00F76B38"/>
    <w:rsid w:val="00F771EA"/>
    <w:rsid w:val="00F778AD"/>
    <w:rsid w:val="00F77CAB"/>
    <w:rsid w:val="00F77EFA"/>
    <w:rsid w:val="00F80D97"/>
    <w:rsid w:val="00F83168"/>
    <w:rsid w:val="00F83F9D"/>
    <w:rsid w:val="00F84D50"/>
    <w:rsid w:val="00F85287"/>
    <w:rsid w:val="00F85964"/>
    <w:rsid w:val="00F860B1"/>
    <w:rsid w:val="00F872EA"/>
    <w:rsid w:val="00F8732D"/>
    <w:rsid w:val="00F876E4"/>
    <w:rsid w:val="00F87A05"/>
    <w:rsid w:val="00F90959"/>
    <w:rsid w:val="00F90B57"/>
    <w:rsid w:val="00F90F3F"/>
    <w:rsid w:val="00F92B48"/>
    <w:rsid w:val="00F935A3"/>
    <w:rsid w:val="00F93F2B"/>
    <w:rsid w:val="00F9471C"/>
    <w:rsid w:val="00F95733"/>
    <w:rsid w:val="00F95B1C"/>
    <w:rsid w:val="00F96746"/>
    <w:rsid w:val="00F9674D"/>
    <w:rsid w:val="00F97B90"/>
    <w:rsid w:val="00FA0638"/>
    <w:rsid w:val="00FA0EA8"/>
    <w:rsid w:val="00FA12BA"/>
    <w:rsid w:val="00FA163C"/>
    <w:rsid w:val="00FA2A64"/>
    <w:rsid w:val="00FA31C8"/>
    <w:rsid w:val="00FA3FC9"/>
    <w:rsid w:val="00FA69F0"/>
    <w:rsid w:val="00FB0EA8"/>
    <w:rsid w:val="00FB1410"/>
    <w:rsid w:val="00FB1F3B"/>
    <w:rsid w:val="00FB35A3"/>
    <w:rsid w:val="00FB5602"/>
    <w:rsid w:val="00FC0E14"/>
    <w:rsid w:val="00FC159C"/>
    <w:rsid w:val="00FC1622"/>
    <w:rsid w:val="00FC25DB"/>
    <w:rsid w:val="00FC2F80"/>
    <w:rsid w:val="00FC35C3"/>
    <w:rsid w:val="00FC35EA"/>
    <w:rsid w:val="00FC37AC"/>
    <w:rsid w:val="00FC3B23"/>
    <w:rsid w:val="00FC716B"/>
    <w:rsid w:val="00FC77E0"/>
    <w:rsid w:val="00FD014E"/>
    <w:rsid w:val="00FD07B0"/>
    <w:rsid w:val="00FD18F8"/>
    <w:rsid w:val="00FD1F38"/>
    <w:rsid w:val="00FD2BAC"/>
    <w:rsid w:val="00FD4571"/>
    <w:rsid w:val="00FD4598"/>
    <w:rsid w:val="00FD6258"/>
    <w:rsid w:val="00FD6F15"/>
    <w:rsid w:val="00FD770E"/>
    <w:rsid w:val="00FD7EB5"/>
    <w:rsid w:val="00FE08C4"/>
    <w:rsid w:val="00FE0A26"/>
    <w:rsid w:val="00FE476C"/>
    <w:rsid w:val="00FE4EF0"/>
    <w:rsid w:val="00FE5E75"/>
    <w:rsid w:val="00FE6F75"/>
    <w:rsid w:val="00FF1377"/>
    <w:rsid w:val="00FF26D8"/>
    <w:rsid w:val="00FF2809"/>
    <w:rsid w:val="00FF3BD9"/>
    <w:rsid w:val="00FF3E4F"/>
    <w:rsid w:val="00FF401D"/>
    <w:rsid w:val="00FF429C"/>
    <w:rsid w:val="00FF4B89"/>
    <w:rsid w:val="00FF52D5"/>
    <w:rsid w:val="00FF5E0B"/>
    <w:rsid w:val="00FF61B2"/>
    <w:rsid w:val="00FF73C7"/>
    <w:rsid w:val="0415BAFB"/>
    <w:rsid w:val="04F95BDC"/>
    <w:rsid w:val="06BC32D4"/>
    <w:rsid w:val="0A7CC6F8"/>
    <w:rsid w:val="0A9B6255"/>
    <w:rsid w:val="0AD8F89E"/>
    <w:rsid w:val="0AFE089A"/>
    <w:rsid w:val="0CCF5001"/>
    <w:rsid w:val="0DCA3618"/>
    <w:rsid w:val="0FA89F88"/>
    <w:rsid w:val="0FF9B1E2"/>
    <w:rsid w:val="107BBDCD"/>
    <w:rsid w:val="134DACC7"/>
    <w:rsid w:val="13DEFB4B"/>
    <w:rsid w:val="1517234E"/>
    <w:rsid w:val="15499F4A"/>
    <w:rsid w:val="162D1554"/>
    <w:rsid w:val="16C2E134"/>
    <w:rsid w:val="16F20C7C"/>
    <w:rsid w:val="177EA022"/>
    <w:rsid w:val="1801E096"/>
    <w:rsid w:val="180D3D4B"/>
    <w:rsid w:val="18374575"/>
    <w:rsid w:val="186ACD00"/>
    <w:rsid w:val="18EF7C6B"/>
    <w:rsid w:val="1968A949"/>
    <w:rsid w:val="19A5FF8B"/>
    <w:rsid w:val="1EBCF849"/>
    <w:rsid w:val="1FA13B3A"/>
    <w:rsid w:val="2508AF37"/>
    <w:rsid w:val="26615B65"/>
    <w:rsid w:val="2A048179"/>
    <w:rsid w:val="2B5068D7"/>
    <w:rsid w:val="2B82905D"/>
    <w:rsid w:val="2F833D63"/>
    <w:rsid w:val="33A47DEB"/>
    <w:rsid w:val="354FCF30"/>
    <w:rsid w:val="36D7F0C8"/>
    <w:rsid w:val="37370B38"/>
    <w:rsid w:val="37E489EA"/>
    <w:rsid w:val="380B6E7F"/>
    <w:rsid w:val="38ACC8EA"/>
    <w:rsid w:val="3B12BBB6"/>
    <w:rsid w:val="3C275232"/>
    <w:rsid w:val="3DECF8E7"/>
    <w:rsid w:val="3EC74002"/>
    <w:rsid w:val="4016E50B"/>
    <w:rsid w:val="4079BE3A"/>
    <w:rsid w:val="41AAF01F"/>
    <w:rsid w:val="4308ECCE"/>
    <w:rsid w:val="45113825"/>
    <w:rsid w:val="4827DE07"/>
    <w:rsid w:val="4B988442"/>
    <w:rsid w:val="4E4D5A63"/>
    <w:rsid w:val="4EC7A006"/>
    <w:rsid w:val="4FED18A2"/>
    <w:rsid w:val="506D3A67"/>
    <w:rsid w:val="51084971"/>
    <w:rsid w:val="5126CAAD"/>
    <w:rsid w:val="53C21A5E"/>
    <w:rsid w:val="5588A16E"/>
    <w:rsid w:val="57BDB372"/>
    <w:rsid w:val="58AA41FC"/>
    <w:rsid w:val="5AF6D69F"/>
    <w:rsid w:val="5DEE1E91"/>
    <w:rsid w:val="608E3F32"/>
    <w:rsid w:val="60E2628F"/>
    <w:rsid w:val="62D75E12"/>
    <w:rsid w:val="63871B9D"/>
    <w:rsid w:val="64DC1895"/>
    <w:rsid w:val="65E8399C"/>
    <w:rsid w:val="678A3B9A"/>
    <w:rsid w:val="6849DDCE"/>
    <w:rsid w:val="6A63B373"/>
    <w:rsid w:val="6ADA089A"/>
    <w:rsid w:val="6B7D7FE3"/>
    <w:rsid w:val="6D014363"/>
    <w:rsid w:val="6D38FB8A"/>
    <w:rsid w:val="6E466C2B"/>
    <w:rsid w:val="6F798AD4"/>
    <w:rsid w:val="70B951E1"/>
    <w:rsid w:val="7436BD78"/>
    <w:rsid w:val="749ED7B8"/>
    <w:rsid w:val="74D66F1C"/>
    <w:rsid w:val="74F05A33"/>
    <w:rsid w:val="7655E2BC"/>
    <w:rsid w:val="765B0F5E"/>
    <w:rsid w:val="772F7D3D"/>
    <w:rsid w:val="78059673"/>
    <w:rsid w:val="7C709347"/>
    <w:rsid w:val="7D37307F"/>
  </w:rsids>
  <m:mathPr>
    <m:mathFont m:val="Cambria Math"/>
    <m:brkBin m:val="before"/>
    <m:brkBinSub m:val="--"/>
    <m:smallFrac m:val="0"/>
    <m:dispDef/>
    <m:lMargin m:val="0"/>
    <m:rMargin m:val="0"/>
    <m:defJc m:val="centerGroup"/>
    <m:wrapIndent m:val="1440"/>
    <m:intLim m:val="subSup"/>
    <m:naryLim m:val="undOvr"/>
  </m:mathPr>
  <w:themeFontLang w:val="en-AU"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0CA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B5C"/>
    <w:rPr>
      <w:rFonts w:ascii="Arial" w:hAnsi="Arial"/>
    </w:rPr>
  </w:style>
  <w:style w:type="paragraph" w:styleId="Heading1">
    <w:name w:val="heading 1"/>
    <w:basedOn w:val="Normal"/>
    <w:next w:val="Normal"/>
    <w:link w:val="Heading1Char"/>
    <w:uiPriority w:val="9"/>
    <w:qFormat/>
    <w:rsid w:val="00996B20"/>
    <w:pPr>
      <w:spacing w:before="240" w:after="240"/>
      <w:contextualSpacing/>
      <w:outlineLvl w:val="0"/>
    </w:pPr>
    <w:rPr>
      <w:rFonts w:eastAsiaTheme="majorEastAsia" w:cstheme="majorBidi"/>
      <w:b/>
      <w:bCs/>
      <w:sz w:val="56"/>
      <w:szCs w:val="28"/>
    </w:rPr>
  </w:style>
  <w:style w:type="paragraph" w:styleId="Heading2">
    <w:name w:val="heading 2"/>
    <w:basedOn w:val="Normal"/>
    <w:next w:val="Normal"/>
    <w:link w:val="Heading2Char"/>
    <w:uiPriority w:val="9"/>
    <w:unhideWhenUsed/>
    <w:qFormat/>
    <w:rsid w:val="00426D33"/>
    <w:pPr>
      <w:spacing w:before="240" w:after="24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426D33"/>
    <w:pPr>
      <w:spacing w:before="240" w:after="12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0C6B5C"/>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0C6B5C"/>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0C6B5C"/>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0C6B5C"/>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0C6B5C"/>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0C6B5C"/>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B20"/>
    <w:rPr>
      <w:rFonts w:ascii="Arial" w:eastAsiaTheme="majorEastAsia" w:hAnsi="Arial" w:cstheme="majorBidi"/>
      <w:b/>
      <w:bCs/>
      <w:sz w:val="56"/>
      <w:szCs w:val="28"/>
    </w:rPr>
  </w:style>
  <w:style w:type="character" w:customStyle="1" w:styleId="Heading2Char">
    <w:name w:val="Heading 2 Char"/>
    <w:basedOn w:val="DefaultParagraphFont"/>
    <w:link w:val="Heading2"/>
    <w:uiPriority w:val="9"/>
    <w:rsid w:val="00426D33"/>
    <w:rPr>
      <w:rFonts w:ascii="Arial" w:eastAsiaTheme="majorEastAsia" w:hAnsi="Arial" w:cstheme="majorBidi"/>
      <w:b/>
      <w:bCs/>
      <w:sz w:val="32"/>
      <w:szCs w:val="26"/>
    </w:rPr>
  </w:style>
  <w:style w:type="paragraph" w:styleId="NoSpacing">
    <w:name w:val="No Spacing"/>
    <w:basedOn w:val="Normal"/>
    <w:link w:val="NoSpacingChar"/>
    <w:uiPriority w:val="1"/>
    <w:qFormat/>
    <w:rsid w:val="000C6B5C"/>
    <w:pPr>
      <w:spacing w:after="0" w:line="240" w:lineRule="auto"/>
    </w:pPr>
  </w:style>
  <w:style w:type="character" w:customStyle="1" w:styleId="Heading3Char">
    <w:name w:val="Heading 3 Char"/>
    <w:basedOn w:val="DefaultParagraphFont"/>
    <w:link w:val="Heading3"/>
    <w:uiPriority w:val="9"/>
    <w:rsid w:val="00426D33"/>
    <w:rPr>
      <w:rFonts w:ascii="Arial" w:eastAsiaTheme="majorEastAsia" w:hAnsi="Arial" w:cstheme="majorBidi"/>
      <w:b/>
      <w:bCs/>
    </w:rPr>
  </w:style>
  <w:style w:type="character" w:customStyle="1" w:styleId="Heading4Char">
    <w:name w:val="Heading 4 Char"/>
    <w:basedOn w:val="DefaultParagraphFont"/>
    <w:link w:val="Heading4"/>
    <w:uiPriority w:val="9"/>
    <w:rsid w:val="000C6B5C"/>
    <w:rPr>
      <w:rFonts w:ascii="Arial" w:eastAsiaTheme="majorEastAsia" w:hAnsi="Arial" w:cstheme="majorBidi"/>
      <w:b/>
      <w:bCs/>
      <w:i/>
      <w:iCs/>
    </w:rPr>
  </w:style>
  <w:style w:type="character" w:customStyle="1" w:styleId="Heading5Char">
    <w:name w:val="Heading 5 Char"/>
    <w:basedOn w:val="DefaultParagraphFont"/>
    <w:link w:val="Heading5"/>
    <w:uiPriority w:val="9"/>
    <w:rsid w:val="000C6B5C"/>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0C6B5C"/>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0C6B5C"/>
    <w:rPr>
      <w:rFonts w:ascii="Arial" w:eastAsiaTheme="majorEastAsia" w:hAnsi="Arial" w:cstheme="majorBidi"/>
      <w:i/>
      <w:iCs/>
    </w:rPr>
  </w:style>
  <w:style w:type="character" w:customStyle="1" w:styleId="Heading8Char">
    <w:name w:val="Heading 8 Char"/>
    <w:basedOn w:val="DefaultParagraphFont"/>
    <w:link w:val="Heading8"/>
    <w:uiPriority w:val="9"/>
    <w:rsid w:val="000C6B5C"/>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0C6B5C"/>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996B20"/>
    <w:pPr>
      <w:spacing w:before="240" w:after="240" w:line="240" w:lineRule="auto"/>
      <w:jc w:val="center"/>
    </w:pPr>
    <w:rPr>
      <w:rFonts w:eastAsiaTheme="majorEastAsia" w:cstheme="majorBidi"/>
      <w:b/>
      <w:spacing w:val="5"/>
      <w:sz w:val="72"/>
      <w:szCs w:val="52"/>
    </w:rPr>
  </w:style>
  <w:style w:type="character" w:customStyle="1" w:styleId="TitleChar">
    <w:name w:val="Title Char"/>
    <w:basedOn w:val="DefaultParagraphFont"/>
    <w:link w:val="Title"/>
    <w:uiPriority w:val="10"/>
    <w:rsid w:val="00996B20"/>
    <w:rPr>
      <w:rFonts w:ascii="Arial" w:eastAsiaTheme="majorEastAsia" w:hAnsi="Arial" w:cstheme="majorBidi"/>
      <w:b/>
      <w:spacing w:val="5"/>
      <w:sz w:val="72"/>
      <w:szCs w:val="52"/>
    </w:rPr>
  </w:style>
  <w:style w:type="paragraph" w:styleId="Subtitle">
    <w:name w:val="Subtitle"/>
    <w:basedOn w:val="Normal"/>
    <w:next w:val="Normal"/>
    <w:link w:val="SubtitleChar"/>
    <w:uiPriority w:val="11"/>
    <w:qFormat/>
    <w:rsid w:val="000C6B5C"/>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0C6B5C"/>
    <w:rPr>
      <w:rFonts w:ascii="Arial" w:eastAsiaTheme="majorEastAsia" w:hAnsi="Arial" w:cstheme="majorBidi"/>
      <w:i/>
      <w:iCs/>
      <w:spacing w:val="13"/>
      <w:sz w:val="24"/>
      <w:szCs w:val="24"/>
    </w:rPr>
  </w:style>
  <w:style w:type="character" w:styleId="SubtleEmphasis">
    <w:name w:val="Subtle Emphasis"/>
    <w:uiPriority w:val="19"/>
    <w:qFormat/>
    <w:rsid w:val="000C6B5C"/>
    <w:rPr>
      <w:i/>
      <w:iCs/>
    </w:rPr>
  </w:style>
  <w:style w:type="character" w:styleId="Strong">
    <w:name w:val="Strong"/>
    <w:uiPriority w:val="22"/>
    <w:qFormat/>
    <w:rsid w:val="000C6B5C"/>
    <w:rPr>
      <w:b/>
      <w:bCs/>
    </w:rPr>
  </w:style>
  <w:style w:type="paragraph" w:styleId="ListParagraph">
    <w:name w:val="List Paragraph"/>
    <w:aliases w:val="List Square,List Paragraph1,List Paragraph11,List Paragraph2,Bulit List -  Paragraph,Main numbered paragraph,Numbered List Paragraph,Recommendation,Bullets,List Paragraph (numbered (a)),Table Heading,Dot pt,F5 List Paragraph,No Spacing1,L"/>
    <w:basedOn w:val="Normal"/>
    <w:link w:val="ListParagraphChar"/>
    <w:uiPriority w:val="34"/>
    <w:qFormat/>
    <w:rsid w:val="000C6B5C"/>
    <w:pPr>
      <w:ind w:left="720"/>
      <w:contextualSpacing/>
    </w:pPr>
  </w:style>
  <w:style w:type="character" w:styleId="Emphasis">
    <w:name w:val="Emphasis"/>
    <w:uiPriority w:val="20"/>
    <w:qFormat/>
    <w:rsid w:val="000C6B5C"/>
    <w:rPr>
      <w:b/>
      <w:bCs/>
      <w:i/>
      <w:iCs/>
      <w:spacing w:val="10"/>
      <w:bdr w:val="none" w:sz="0" w:space="0" w:color="auto"/>
      <w:shd w:val="clear" w:color="auto" w:fill="auto"/>
    </w:rPr>
  </w:style>
  <w:style w:type="character" w:styleId="IntenseEmphasis">
    <w:name w:val="Intense Emphasis"/>
    <w:uiPriority w:val="21"/>
    <w:qFormat/>
    <w:rsid w:val="000C6B5C"/>
    <w:rPr>
      <w:b/>
      <w:bCs/>
    </w:rPr>
  </w:style>
  <w:style w:type="paragraph" w:styleId="Quote">
    <w:name w:val="Quote"/>
    <w:basedOn w:val="Normal"/>
    <w:next w:val="Normal"/>
    <w:link w:val="QuoteChar"/>
    <w:uiPriority w:val="29"/>
    <w:qFormat/>
    <w:rsid w:val="000C6B5C"/>
    <w:pPr>
      <w:spacing w:before="200" w:after="0"/>
      <w:ind w:left="360" w:right="360"/>
    </w:pPr>
    <w:rPr>
      <w:i/>
      <w:iCs/>
    </w:rPr>
  </w:style>
  <w:style w:type="character" w:customStyle="1" w:styleId="QuoteChar">
    <w:name w:val="Quote Char"/>
    <w:basedOn w:val="DefaultParagraphFont"/>
    <w:link w:val="Quote"/>
    <w:uiPriority w:val="29"/>
    <w:rsid w:val="000C6B5C"/>
    <w:rPr>
      <w:rFonts w:ascii="Arial" w:hAnsi="Arial"/>
      <w:i/>
      <w:iCs/>
    </w:rPr>
  </w:style>
  <w:style w:type="paragraph" w:styleId="IntenseQuote">
    <w:name w:val="Intense Quote"/>
    <w:basedOn w:val="Normal"/>
    <w:next w:val="Normal"/>
    <w:link w:val="IntenseQuoteChar"/>
    <w:uiPriority w:val="30"/>
    <w:qFormat/>
    <w:rsid w:val="000C6B5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C6B5C"/>
    <w:rPr>
      <w:rFonts w:ascii="Arial" w:hAnsi="Arial"/>
      <w:b/>
      <w:bCs/>
      <w:i/>
      <w:iCs/>
    </w:rPr>
  </w:style>
  <w:style w:type="character" w:styleId="SubtleReference">
    <w:name w:val="Subtle Reference"/>
    <w:uiPriority w:val="31"/>
    <w:qFormat/>
    <w:rsid w:val="000C6B5C"/>
    <w:rPr>
      <w:smallCaps/>
    </w:rPr>
  </w:style>
  <w:style w:type="character" w:styleId="IntenseReference">
    <w:name w:val="Intense Reference"/>
    <w:uiPriority w:val="32"/>
    <w:qFormat/>
    <w:rsid w:val="000C6B5C"/>
    <w:rPr>
      <w:smallCaps/>
      <w:spacing w:val="5"/>
      <w:u w:val="single"/>
    </w:rPr>
  </w:style>
  <w:style w:type="character" w:styleId="BookTitle">
    <w:name w:val="Book Title"/>
    <w:uiPriority w:val="33"/>
    <w:qFormat/>
    <w:rsid w:val="000C6B5C"/>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0C6B5C"/>
    <w:pPr>
      <w:outlineLvl w:val="9"/>
    </w:pPr>
    <w:rPr>
      <w:lang w:bidi="en-US"/>
    </w:rPr>
  </w:style>
  <w:style w:type="character" w:customStyle="1" w:styleId="NoSpacingChar">
    <w:name w:val="No Spacing Char"/>
    <w:basedOn w:val="DefaultParagraphFont"/>
    <w:link w:val="NoSpacing"/>
    <w:uiPriority w:val="1"/>
    <w:rsid w:val="000C6B5C"/>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styleId="BodyText">
    <w:name w:val="Body Text"/>
    <w:basedOn w:val="Normal"/>
    <w:link w:val="BodyTextChar"/>
    <w:uiPriority w:val="1"/>
    <w:qFormat/>
    <w:rsid w:val="00FF3BD9"/>
    <w:pPr>
      <w:widowControl w:val="0"/>
      <w:autoSpaceDE w:val="0"/>
      <w:autoSpaceDN w:val="0"/>
      <w:spacing w:after="0" w:line="240" w:lineRule="auto"/>
    </w:pPr>
    <w:rPr>
      <w:rFonts w:ascii="Nunito-ExtraLight" w:eastAsia="Nunito-ExtraLight" w:hAnsi="Nunito-ExtraLight" w:cs="Nunito-ExtraLight"/>
      <w:sz w:val="21"/>
      <w:szCs w:val="21"/>
      <w:lang w:val="en-US"/>
    </w:rPr>
  </w:style>
  <w:style w:type="character" w:customStyle="1" w:styleId="BodyTextChar">
    <w:name w:val="Body Text Char"/>
    <w:basedOn w:val="DefaultParagraphFont"/>
    <w:link w:val="BodyText"/>
    <w:uiPriority w:val="1"/>
    <w:rsid w:val="00FF3BD9"/>
    <w:rPr>
      <w:rFonts w:ascii="Nunito-ExtraLight" w:eastAsia="Nunito-ExtraLight" w:hAnsi="Nunito-ExtraLight" w:cs="Nunito-ExtraLight"/>
      <w:sz w:val="21"/>
      <w:szCs w:val="21"/>
      <w:lang w:val="en-US"/>
    </w:rPr>
  </w:style>
  <w:style w:type="paragraph" w:customStyle="1" w:styleId="TableParagraph">
    <w:name w:val="Table Paragraph"/>
    <w:basedOn w:val="Normal"/>
    <w:uiPriority w:val="1"/>
    <w:qFormat/>
    <w:rsid w:val="00FF3BD9"/>
    <w:pPr>
      <w:widowControl w:val="0"/>
      <w:autoSpaceDE w:val="0"/>
      <w:autoSpaceDN w:val="0"/>
      <w:spacing w:before="165" w:after="0" w:line="240" w:lineRule="auto"/>
    </w:pPr>
    <w:rPr>
      <w:rFonts w:ascii="Nunito-ExtraLight" w:eastAsia="Nunito-ExtraLight" w:hAnsi="Nunito-ExtraLight" w:cs="Nunito-ExtraLight"/>
      <w:lang w:val="en-US"/>
    </w:rPr>
  </w:style>
  <w:style w:type="character" w:customStyle="1" w:styleId="ListParagraphChar">
    <w:name w:val="List Paragraph Char"/>
    <w:aliases w:val="List Square Char,List Paragraph1 Char,List Paragraph11 Char,List Paragraph2 Char,Bulit List -  Paragraph Char,Main numbered paragraph Char,Numbered List Paragraph Char,Recommendation Char,Bullets Char,Table Heading Char,Dot pt Char"/>
    <w:basedOn w:val="DefaultParagraphFont"/>
    <w:link w:val="ListParagraph"/>
    <w:uiPriority w:val="34"/>
    <w:qFormat/>
    <w:locked/>
    <w:rsid w:val="00FF3BD9"/>
    <w:rPr>
      <w:rFonts w:ascii="Arial" w:hAnsi="Arial"/>
    </w:rPr>
  </w:style>
  <w:style w:type="character" w:styleId="CommentReference">
    <w:name w:val="annotation reference"/>
    <w:basedOn w:val="DefaultParagraphFont"/>
    <w:uiPriority w:val="99"/>
    <w:unhideWhenUsed/>
    <w:rsid w:val="00FF3BD9"/>
    <w:rPr>
      <w:sz w:val="16"/>
      <w:szCs w:val="16"/>
    </w:rPr>
  </w:style>
  <w:style w:type="paragraph" w:styleId="CommentText">
    <w:name w:val="annotation text"/>
    <w:basedOn w:val="Normal"/>
    <w:link w:val="CommentTextChar"/>
    <w:uiPriority w:val="99"/>
    <w:unhideWhenUsed/>
    <w:rsid w:val="00FF3BD9"/>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FF3BD9"/>
    <w:rPr>
      <w:sz w:val="20"/>
      <w:szCs w:val="20"/>
    </w:rPr>
  </w:style>
  <w:style w:type="paragraph" w:styleId="BalloonText">
    <w:name w:val="Balloon Text"/>
    <w:basedOn w:val="Normal"/>
    <w:link w:val="BalloonTextChar"/>
    <w:uiPriority w:val="99"/>
    <w:semiHidden/>
    <w:unhideWhenUsed/>
    <w:rsid w:val="00FF3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BD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F3BD9"/>
    <w:pPr>
      <w:spacing w:after="200"/>
    </w:pPr>
    <w:rPr>
      <w:rFonts w:ascii="Arial" w:hAnsi="Arial"/>
      <w:b/>
      <w:bCs/>
    </w:rPr>
  </w:style>
  <w:style w:type="character" w:customStyle="1" w:styleId="CommentSubjectChar">
    <w:name w:val="Comment Subject Char"/>
    <w:basedOn w:val="CommentTextChar"/>
    <w:link w:val="CommentSubject"/>
    <w:uiPriority w:val="99"/>
    <w:semiHidden/>
    <w:rsid w:val="00FF3BD9"/>
    <w:rPr>
      <w:rFonts w:ascii="Arial" w:hAnsi="Arial"/>
      <w:b/>
      <w:bCs/>
      <w:sz w:val="20"/>
      <w:szCs w:val="20"/>
    </w:rPr>
  </w:style>
  <w:style w:type="table" w:styleId="TableGrid">
    <w:name w:val="Table Grid"/>
    <w:basedOn w:val="TableNormal"/>
    <w:uiPriority w:val="59"/>
    <w:rsid w:val="00FF3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F3BD9"/>
    <w:rPr>
      <w:color w:val="465792"/>
      <w:u w:val="thick"/>
    </w:rPr>
  </w:style>
  <w:style w:type="paragraph" w:customStyle="1" w:styleId="Bodycopy">
    <w:name w:val="Body copy"/>
    <w:basedOn w:val="Normal"/>
    <w:uiPriority w:val="99"/>
    <w:rsid w:val="00FF3BD9"/>
    <w:pPr>
      <w:suppressAutoHyphens/>
      <w:autoSpaceDE w:val="0"/>
      <w:autoSpaceDN w:val="0"/>
      <w:adjustRightInd w:val="0"/>
      <w:spacing w:after="170" w:line="280" w:lineRule="atLeast"/>
      <w:textAlignment w:val="center"/>
    </w:pPr>
    <w:rPr>
      <w:rFonts w:cs="Arial"/>
      <w:color w:val="000000"/>
      <w:lang w:val="en-US"/>
    </w:rPr>
  </w:style>
  <w:style w:type="paragraph" w:customStyle="1" w:styleId="Bodytabs">
    <w:name w:val="Body tabs"/>
    <w:basedOn w:val="Bodycopy"/>
    <w:uiPriority w:val="99"/>
    <w:rsid w:val="00FF3BD9"/>
    <w:pPr>
      <w:ind w:left="283" w:hanging="283"/>
    </w:pPr>
  </w:style>
  <w:style w:type="paragraph" w:customStyle="1" w:styleId="ActionsTableHeadingActionsandActivities">
    <w:name w:val="Actions Table Heading (Actions and Activities)"/>
    <w:basedOn w:val="Normal"/>
    <w:uiPriority w:val="99"/>
    <w:rsid w:val="00FF3BD9"/>
    <w:pPr>
      <w:suppressAutoHyphens/>
      <w:autoSpaceDE w:val="0"/>
      <w:autoSpaceDN w:val="0"/>
      <w:adjustRightInd w:val="0"/>
      <w:spacing w:after="170" w:line="380" w:lineRule="atLeast"/>
      <w:textAlignment w:val="center"/>
    </w:pPr>
    <w:rPr>
      <w:rFonts w:cs="Arial"/>
      <w:color w:val="000000"/>
      <w:sz w:val="34"/>
      <w:szCs w:val="34"/>
      <w:lang w:val="en-US"/>
    </w:rPr>
  </w:style>
  <w:style w:type="paragraph" w:customStyle="1" w:styleId="TheoryH2TheoryofChange">
    <w:name w:val="Theory H2 (Theory of Change)"/>
    <w:basedOn w:val="Normal"/>
    <w:uiPriority w:val="99"/>
    <w:rsid w:val="00FF3BD9"/>
    <w:pPr>
      <w:suppressAutoHyphens/>
      <w:autoSpaceDE w:val="0"/>
      <w:autoSpaceDN w:val="0"/>
      <w:adjustRightInd w:val="0"/>
      <w:spacing w:before="113" w:after="340" w:line="400" w:lineRule="atLeast"/>
      <w:textAlignment w:val="center"/>
    </w:pPr>
    <w:rPr>
      <w:rFonts w:cs="Arial"/>
      <w:b/>
      <w:bCs/>
      <w:color w:val="D600A8"/>
      <w:spacing w:val="3"/>
      <w:sz w:val="32"/>
      <w:szCs w:val="32"/>
      <w:lang w:val="en-US"/>
    </w:rPr>
  </w:style>
  <w:style w:type="paragraph" w:customStyle="1" w:styleId="BasicParagraph">
    <w:name w:val="[Basic Paragraph]"/>
    <w:basedOn w:val="Normal"/>
    <w:uiPriority w:val="99"/>
    <w:rsid w:val="00FF3BD9"/>
    <w:pPr>
      <w:suppressAutoHyphens/>
      <w:autoSpaceDE w:val="0"/>
      <w:autoSpaceDN w:val="0"/>
      <w:adjustRightInd w:val="0"/>
      <w:spacing w:after="170" w:line="288" w:lineRule="auto"/>
      <w:textAlignment w:val="center"/>
    </w:pPr>
    <w:rPr>
      <w:rFonts w:ascii="Minion Pro" w:hAnsi="Minion Pro" w:cs="Minion Pro"/>
      <w:color w:val="000000"/>
      <w:lang w:val="en-US"/>
    </w:rPr>
  </w:style>
  <w:style w:type="character" w:styleId="PageNumber">
    <w:name w:val="page number"/>
    <w:basedOn w:val="DefaultParagraphFont"/>
    <w:uiPriority w:val="99"/>
    <w:semiHidden/>
    <w:unhideWhenUsed/>
    <w:rsid w:val="00FF3BD9"/>
  </w:style>
  <w:style w:type="paragraph" w:customStyle="1" w:styleId="Bullet">
    <w:name w:val="Bullet"/>
    <w:basedOn w:val="Normal"/>
    <w:uiPriority w:val="99"/>
    <w:rsid w:val="00FF3BD9"/>
    <w:pPr>
      <w:numPr>
        <w:numId w:val="3"/>
      </w:numPr>
      <w:spacing w:after="240" w:line="240" w:lineRule="auto"/>
    </w:pPr>
    <w:rPr>
      <w:rFonts w:ascii="Times New Roman" w:hAnsi="Times New Roman" w:cs="Times New Roman"/>
      <w:sz w:val="24"/>
      <w:szCs w:val="24"/>
    </w:rPr>
  </w:style>
  <w:style w:type="paragraph" w:customStyle="1" w:styleId="Dash">
    <w:name w:val="Dash"/>
    <w:basedOn w:val="Normal"/>
    <w:uiPriority w:val="99"/>
    <w:rsid w:val="00FF3BD9"/>
    <w:pPr>
      <w:numPr>
        <w:ilvl w:val="1"/>
        <w:numId w:val="3"/>
      </w:numPr>
      <w:spacing w:after="240" w:line="240" w:lineRule="auto"/>
    </w:pPr>
    <w:rPr>
      <w:rFonts w:ascii="Times New Roman" w:hAnsi="Times New Roman" w:cs="Times New Roman"/>
      <w:sz w:val="24"/>
      <w:szCs w:val="24"/>
    </w:rPr>
  </w:style>
  <w:style w:type="paragraph" w:customStyle="1" w:styleId="DoubleDot">
    <w:name w:val="Double Dot"/>
    <w:basedOn w:val="Normal"/>
    <w:uiPriority w:val="99"/>
    <w:rsid w:val="00FF3BD9"/>
    <w:pPr>
      <w:numPr>
        <w:ilvl w:val="2"/>
        <w:numId w:val="3"/>
      </w:numPr>
      <w:spacing w:after="240" w:line="240" w:lineRule="auto"/>
    </w:pPr>
    <w:rPr>
      <w:rFonts w:ascii="Times New Roman" w:hAnsi="Times New Roman" w:cs="Times New Roman"/>
      <w:sz w:val="24"/>
      <w:szCs w:val="24"/>
    </w:rPr>
  </w:style>
  <w:style w:type="paragraph" w:styleId="NormalWeb">
    <w:name w:val="Normal (Web)"/>
    <w:basedOn w:val="Normal"/>
    <w:uiPriority w:val="99"/>
    <w:unhideWhenUsed/>
    <w:rsid w:val="00FF3BD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2">
    <w:name w:val="toc 2"/>
    <w:basedOn w:val="Normal"/>
    <w:next w:val="Normal"/>
    <w:autoRedefine/>
    <w:uiPriority w:val="39"/>
    <w:unhideWhenUsed/>
    <w:rsid w:val="00521210"/>
    <w:pPr>
      <w:tabs>
        <w:tab w:val="right" w:leader="dot" w:pos="9016"/>
      </w:tabs>
      <w:spacing w:after="100"/>
      <w:ind w:left="220"/>
    </w:pPr>
  </w:style>
  <w:style w:type="paragraph" w:styleId="TOC1">
    <w:name w:val="toc 1"/>
    <w:basedOn w:val="Normal"/>
    <w:next w:val="Normal"/>
    <w:autoRedefine/>
    <w:uiPriority w:val="39"/>
    <w:unhideWhenUsed/>
    <w:rsid w:val="00FF3BD9"/>
    <w:pPr>
      <w:spacing w:after="100"/>
    </w:pPr>
  </w:style>
  <w:style w:type="paragraph" w:styleId="TOC3">
    <w:name w:val="toc 3"/>
    <w:basedOn w:val="Normal"/>
    <w:next w:val="Normal"/>
    <w:autoRedefine/>
    <w:uiPriority w:val="39"/>
    <w:unhideWhenUsed/>
    <w:rsid w:val="00FF3BD9"/>
    <w:pPr>
      <w:spacing w:after="100"/>
      <w:ind w:left="440"/>
    </w:pPr>
  </w:style>
  <w:style w:type="table" w:styleId="ListTable6Colorful-Accent1">
    <w:name w:val="List Table 6 Colorful Accent 1"/>
    <w:basedOn w:val="TableNormal"/>
    <w:uiPriority w:val="51"/>
    <w:rsid w:val="00FF3BD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F3BD9"/>
    <w:pPr>
      <w:spacing w:after="0" w:line="240" w:lineRule="auto"/>
    </w:pPr>
    <w:rPr>
      <w:rFonts w:ascii="Arial" w:hAnsi="Arial"/>
    </w:rPr>
  </w:style>
  <w:style w:type="table" w:styleId="GridTable4-Accent6">
    <w:name w:val="Grid Table 4 Accent 6"/>
    <w:basedOn w:val="TableNormal"/>
    <w:uiPriority w:val="49"/>
    <w:rsid w:val="00FF3BD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5">
    <w:name w:val="List Table 4 Accent 5"/>
    <w:basedOn w:val="TableNormal"/>
    <w:uiPriority w:val="49"/>
    <w:rsid w:val="00FF3BD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i-provider">
    <w:name w:val="ui-provider"/>
    <w:basedOn w:val="DefaultParagraphFont"/>
    <w:rsid w:val="00FF3BD9"/>
  </w:style>
  <w:style w:type="table" w:styleId="GridTable4-Accent2">
    <w:name w:val="Grid Table 4 Accent 2"/>
    <w:basedOn w:val="TableNormal"/>
    <w:uiPriority w:val="49"/>
    <w:rsid w:val="00FF3BD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F3BD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
    <w:name w:val="Grid Table 4"/>
    <w:basedOn w:val="TableNormal"/>
    <w:uiPriority w:val="49"/>
    <w:rsid w:val="00FF3B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4">
    <w:name w:val="Grid Table 4 Accent 4"/>
    <w:basedOn w:val="TableNormal"/>
    <w:uiPriority w:val="49"/>
    <w:rsid w:val="00FF3BD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1">
    <w:name w:val="Grid Table 4 Accent 1"/>
    <w:basedOn w:val="TableNormal"/>
    <w:uiPriority w:val="49"/>
    <w:rsid w:val="00FF3BD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
    <w:uiPriority w:val="99"/>
    <w:semiHidden/>
    <w:unhideWhenUsed/>
    <w:rsid w:val="00FF3B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3BD9"/>
    <w:rPr>
      <w:rFonts w:ascii="Arial" w:hAnsi="Arial"/>
      <w:sz w:val="20"/>
      <w:szCs w:val="20"/>
    </w:rPr>
  </w:style>
  <w:style w:type="character" w:styleId="FootnoteReference">
    <w:name w:val="footnote reference"/>
    <w:basedOn w:val="DefaultParagraphFont"/>
    <w:uiPriority w:val="99"/>
    <w:semiHidden/>
    <w:unhideWhenUsed/>
    <w:rsid w:val="00FF3BD9"/>
    <w:rPr>
      <w:vertAlign w:val="superscript"/>
    </w:rPr>
  </w:style>
  <w:style w:type="character" w:customStyle="1" w:styleId="normaltextrun">
    <w:name w:val="normaltextrun"/>
    <w:basedOn w:val="DefaultParagraphFont"/>
    <w:rsid w:val="00FF3BD9"/>
  </w:style>
  <w:style w:type="character" w:customStyle="1" w:styleId="eop">
    <w:name w:val="eop"/>
    <w:basedOn w:val="DefaultParagraphFont"/>
    <w:rsid w:val="00FF3BD9"/>
  </w:style>
  <w:style w:type="character" w:customStyle="1" w:styleId="cf01">
    <w:name w:val="cf01"/>
    <w:basedOn w:val="DefaultParagraphFont"/>
    <w:rsid w:val="00FF3BD9"/>
    <w:rPr>
      <w:rFonts w:ascii="Segoe UI" w:hAnsi="Segoe UI" w:cs="Segoe UI" w:hint="default"/>
      <w:sz w:val="18"/>
      <w:szCs w:val="18"/>
    </w:rPr>
  </w:style>
  <w:style w:type="character" w:customStyle="1" w:styleId="spellingerror">
    <w:name w:val="spellingerror"/>
    <w:basedOn w:val="DefaultParagraphFont"/>
    <w:rsid w:val="00FF3BD9"/>
  </w:style>
  <w:style w:type="paragraph" w:customStyle="1" w:styleId="Default">
    <w:name w:val="Default"/>
    <w:rsid w:val="00FF3BD9"/>
    <w:pPr>
      <w:autoSpaceDE w:val="0"/>
      <w:autoSpaceDN w:val="0"/>
      <w:adjustRightInd w:val="0"/>
      <w:spacing w:after="0" w:line="240" w:lineRule="auto"/>
    </w:pPr>
    <w:rPr>
      <w:rFonts w:ascii="MetaPro-Light" w:hAnsi="MetaPro-Light" w:cs="MetaPro-Light"/>
      <w:color w:val="000000"/>
      <w:sz w:val="24"/>
      <w:szCs w:val="24"/>
    </w:rPr>
  </w:style>
  <w:style w:type="paragraph" w:customStyle="1" w:styleId="Coremessagetext">
    <w:name w:val="Core message text"/>
    <w:basedOn w:val="BodyText"/>
    <w:uiPriority w:val="7"/>
    <w:rsid w:val="00FF3BD9"/>
    <w:pPr>
      <w:widowControl/>
      <w:autoSpaceDE/>
      <w:autoSpaceDN/>
      <w:spacing w:before="80" w:after="80" w:line="260" w:lineRule="atLeast"/>
    </w:pPr>
    <w:rPr>
      <w:rFonts w:ascii="Arial" w:eastAsia="Times New Roman" w:hAnsi="Arial" w:cs="Times New Roman"/>
      <w:sz w:val="22"/>
      <w:szCs w:val="22"/>
      <w:lang w:val="en-AU"/>
    </w:rPr>
  </w:style>
  <w:style w:type="paragraph" w:customStyle="1" w:styleId="TalkingPoint">
    <w:name w:val="TalkingPoint"/>
    <w:basedOn w:val="Normal"/>
    <w:link w:val="TalkingPointChar"/>
    <w:rsid w:val="00FF3BD9"/>
    <w:pPr>
      <w:numPr>
        <w:numId w:val="9"/>
      </w:numPr>
      <w:spacing w:after="0" w:line="240" w:lineRule="auto"/>
    </w:pPr>
    <w:rPr>
      <w:rFonts w:ascii="Calibri" w:hAnsi="Calibri" w:cs="Calibri"/>
      <w:color w:val="000000" w:themeColor="text1"/>
      <w:sz w:val="32"/>
      <w:szCs w:val="32"/>
    </w:rPr>
  </w:style>
  <w:style w:type="character" w:customStyle="1" w:styleId="TalkingPointChar">
    <w:name w:val="TalkingPoint Char"/>
    <w:basedOn w:val="DefaultParagraphFont"/>
    <w:link w:val="TalkingPoint"/>
    <w:rsid w:val="00FF3BD9"/>
    <w:rPr>
      <w:rFonts w:ascii="Calibri" w:hAnsi="Calibri" w:cs="Calibri"/>
      <w:color w:val="000000" w:themeColor="text1"/>
      <w:sz w:val="32"/>
      <w:szCs w:val="32"/>
    </w:rPr>
  </w:style>
  <w:style w:type="paragraph" w:styleId="EndnoteText">
    <w:name w:val="endnote text"/>
    <w:basedOn w:val="Normal"/>
    <w:link w:val="EndnoteTextChar"/>
    <w:uiPriority w:val="99"/>
    <w:unhideWhenUsed/>
    <w:rsid w:val="00FF3BD9"/>
    <w:pPr>
      <w:spacing w:after="0" w:line="240" w:lineRule="auto"/>
    </w:pPr>
    <w:rPr>
      <w:sz w:val="20"/>
      <w:szCs w:val="20"/>
    </w:rPr>
  </w:style>
  <w:style w:type="character" w:customStyle="1" w:styleId="EndnoteTextChar">
    <w:name w:val="Endnote Text Char"/>
    <w:basedOn w:val="DefaultParagraphFont"/>
    <w:link w:val="EndnoteText"/>
    <w:uiPriority w:val="99"/>
    <w:rsid w:val="00FF3BD9"/>
    <w:rPr>
      <w:rFonts w:ascii="Arial" w:hAnsi="Arial"/>
      <w:sz w:val="20"/>
      <w:szCs w:val="20"/>
    </w:rPr>
  </w:style>
  <w:style w:type="character" w:styleId="EndnoteReference">
    <w:name w:val="endnote reference"/>
    <w:basedOn w:val="DefaultParagraphFont"/>
    <w:uiPriority w:val="99"/>
    <w:semiHidden/>
    <w:unhideWhenUsed/>
    <w:rsid w:val="00FF3BD9"/>
    <w:rPr>
      <w:vertAlign w:val="superscript"/>
    </w:rPr>
  </w:style>
  <w:style w:type="character" w:styleId="FollowedHyperlink">
    <w:name w:val="FollowedHyperlink"/>
    <w:basedOn w:val="DefaultParagraphFont"/>
    <w:uiPriority w:val="99"/>
    <w:semiHidden/>
    <w:unhideWhenUsed/>
    <w:rsid w:val="00FF3BD9"/>
    <w:rPr>
      <w:color w:val="800080" w:themeColor="followedHyperlink"/>
      <w:u w:val="single"/>
    </w:rPr>
  </w:style>
  <w:style w:type="table" w:styleId="TableGridLight">
    <w:name w:val="Grid Table Light"/>
    <w:basedOn w:val="TableNormal"/>
    <w:uiPriority w:val="40"/>
    <w:rsid w:val="00FF3B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f1">
    <w:name w:val="pf1"/>
    <w:basedOn w:val="Normal"/>
    <w:rsid w:val="00526D0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21">
    <w:name w:val="cf21"/>
    <w:basedOn w:val="DefaultParagraphFont"/>
    <w:rsid w:val="00526D00"/>
    <w:rPr>
      <w:rFonts w:ascii="Segoe UI" w:hAnsi="Segoe UI" w:cs="Segoe UI" w:hint="default"/>
      <w:sz w:val="18"/>
      <w:szCs w:val="18"/>
    </w:rPr>
  </w:style>
  <w:style w:type="character" w:customStyle="1" w:styleId="cf31">
    <w:name w:val="cf31"/>
    <w:basedOn w:val="DefaultParagraphFont"/>
    <w:rsid w:val="00526D00"/>
    <w:rPr>
      <w:rFonts w:ascii="Segoe UI" w:hAnsi="Segoe UI" w:cs="Segoe UI" w:hint="default"/>
      <w:color w:val="201F1E"/>
      <w:sz w:val="18"/>
      <w:szCs w:val="18"/>
    </w:rPr>
  </w:style>
  <w:style w:type="paragraph" w:customStyle="1" w:styleId="Bulletedlist">
    <w:name w:val="Bulleted list"/>
    <w:basedOn w:val="ListParagraph"/>
    <w:link w:val="BulletedlistChar"/>
    <w:qFormat/>
    <w:rsid w:val="00A43B88"/>
    <w:pPr>
      <w:numPr>
        <w:numId w:val="13"/>
      </w:numPr>
      <w:spacing w:line="192" w:lineRule="auto"/>
      <w:ind w:left="340" w:hanging="340"/>
    </w:pPr>
    <w:rPr>
      <w:rFonts w:ascii="Roboto" w:eastAsiaTheme="majorEastAsia" w:hAnsi="Roboto" w:cs="Times New Roman"/>
      <w:color w:val="002554"/>
      <w:sz w:val="24"/>
      <w:szCs w:val="20"/>
    </w:rPr>
  </w:style>
  <w:style w:type="character" w:customStyle="1" w:styleId="BulletedlistChar">
    <w:name w:val="Bulleted list Char"/>
    <w:basedOn w:val="ListParagraphChar"/>
    <w:link w:val="Bulletedlist"/>
    <w:rsid w:val="00C23144"/>
    <w:rPr>
      <w:rFonts w:ascii="Roboto" w:eastAsiaTheme="majorEastAsia" w:hAnsi="Roboto" w:cs="Times New Roman"/>
      <w:color w:val="002554"/>
      <w:sz w:val="24"/>
      <w:szCs w:val="20"/>
    </w:rPr>
  </w:style>
  <w:style w:type="character" w:customStyle="1" w:styleId="UnresolvedMention1">
    <w:name w:val="Unresolved Mention1"/>
    <w:basedOn w:val="DefaultParagraphFont"/>
    <w:uiPriority w:val="99"/>
    <w:semiHidden/>
    <w:unhideWhenUsed/>
    <w:rsid w:val="00832F57"/>
    <w:rPr>
      <w:color w:val="605E5C"/>
      <w:shd w:val="clear" w:color="auto" w:fill="E1DFDD"/>
    </w:rPr>
  </w:style>
  <w:style w:type="character" w:customStyle="1" w:styleId="UnresolvedMention2">
    <w:name w:val="Unresolved Mention2"/>
    <w:basedOn w:val="DefaultParagraphFont"/>
    <w:uiPriority w:val="99"/>
    <w:semiHidden/>
    <w:unhideWhenUsed/>
    <w:rsid w:val="00996B20"/>
    <w:rPr>
      <w:color w:val="605E5C"/>
      <w:shd w:val="clear" w:color="auto" w:fill="E1DFDD"/>
    </w:rPr>
  </w:style>
  <w:style w:type="paragraph" w:customStyle="1" w:styleId="nonTOCH1">
    <w:name w:val="non_TOCH1"/>
    <w:basedOn w:val="Heading1"/>
    <w:link w:val="nonTOCH1Char"/>
    <w:qFormat/>
    <w:rsid w:val="00DC3CD1"/>
  </w:style>
  <w:style w:type="character" w:customStyle="1" w:styleId="nonTOCH1Char">
    <w:name w:val="non_TOCH1 Char"/>
    <w:basedOn w:val="Heading1Char"/>
    <w:link w:val="nonTOCH1"/>
    <w:rsid w:val="00DC3CD1"/>
    <w:rPr>
      <w:rFonts w:ascii="Arial" w:eastAsiaTheme="majorEastAsia" w:hAnsi="Arial" w:cstheme="majorBidi"/>
      <w:b/>
      <w:bCs/>
      <w:sz w:val="5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9100">
      <w:bodyDiv w:val="1"/>
      <w:marLeft w:val="0"/>
      <w:marRight w:val="0"/>
      <w:marTop w:val="0"/>
      <w:marBottom w:val="0"/>
      <w:divBdr>
        <w:top w:val="none" w:sz="0" w:space="0" w:color="auto"/>
        <w:left w:val="none" w:sz="0" w:space="0" w:color="auto"/>
        <w:bottom w:val="none" w:sz="0" w:space="0" w:color="auto"/>
        <w:right w:val="none" w:sz="0" w:space="0" w:color="auto"/>
      </w:divBdr>
    </w:div>
    <w:div w:id="369300385">
      <w:bodyDiv w:val="1"/>
      <w:marLeft w:val="0"/>
      <w:marRight w:val="0"/>
      <w:marTop w:val="0"/>
      <w:marBottom w:val="0"/>
      <w:divBdr>
        <w:top w:val="none" w:sz="0" w:space="0" w:color="auto"/>
        <w:left w:val="none" w:sz="0" w:space="0" w:color="auto"/>
        <w:bottom w:val="none" w:sz="0" w:space="0" w:color="auto"/>
        <w:right w:val="none" w:sz="0" w:space="0" w:color="auto"/>
      </w:divBdr>
    </w:div>
    <w:div w:id="433674945">
      <w:bodyDiv w:val="1"/>
      <w:marLeft w:val="0"/>
      <w:marRight w:val="0"/>
      <w:marTop w:val="0"/>
      <w:marBottom w:val="0"/>
      <w:divBdr>
        <w:top w:val="none" w:sz="0" w:space="0" w:color="auto"/>
        <w:left w:val="none" w:sz="0" w:space="0" w:color="auto"/>
        <w:bottom w:val="none" w:sz="0" w:space="0" w:color="auto"/>
        <w:right w:val="none" w:sz="0" w:space="0" w:color="auto"/>
      </w:divBdr>
    </w:div>
    <w:div w:id="594821772">
      <w:bodyDiv w:val="1"/>
      <w:marLeft w:val="0"/>
      <w:marRight w:val="0"/>
      <w:marTop w:val="0"/>
      <w:marBottom w:val="0"/>
      <w:divBdr>
        <w:top w:val="none" w:sz="0" w:space="0" w:color="auto"/>
        <w:left w:val="none" w:sz="0" w:space="0" w:color="auto"/>
        <w:bottom w:val="none" w:sz="0" w:space="0" w:color="auto"/>
        <w:right w:val="none" w:sz="0" w:space="0" w:color="auto"/>
      </w:divBdr>
    </w:div>
    <w:div w:id="780223921">
      <w:bodyDiv w:val="1"/>
      <w:marLeft w:val="0"/>
      <w:marRight w:val="0"/>
      <w:marTop w:val="0"/>
      <w:marBottom w:val="0"/>
      <w:divBdr>
        <w:top w:val="none" w:sz="0" w:space="0" w:color="auto"/>
        <w:left w:val="none" w:sz="0" w:space="0" w:color="auto"/>
        <w:bottom w:val="none" w:sz="0" w:space="0" w:color="auto"/>
        <w:right w:val="none" w:sz="0" w:space="0" w:color="auto"/>
      </w:divBdr>
    </w:div>
    <w:div w:id="1006909179">
      <w:bodyDiv w:val="1"/>
      <w:marLeft w:val="0"/>
      <w:marRight w:val="0"/>
      <w:marTop w:val="0"/>
      <w:marBottom w:val="0"/>
      <w:divBdr>
        <w:top w:val="none" w:sz="0" w:space="0" w:color="auto"/>
        <w:left w:val="none" w:sz="0" w:space="0" w:color="auto"/>
        <w:bottom w:val="none" w:sz="0" w:space="0" w:color="auto"/>
        <w:right w:val="none" w:sz="0" w:space="0" w:color="auto"/>
      </w:divBdr>
    </w:div>
    <w:div w:id="1070925047">
      <w:bodyDiv w:val="1"/>
      <w:marLeft w:val="0"/>
      <w:marRight w:val="0"/>
      <w:marTop w:val="0"/>
      <w:marBottom w:val="0"/>
      <w:divBdr>
        <w:top w:val="none" w:sz="0" w:space="0" w:color="auto"/>
        <w:left w:val="none" w:sz="0" w:space="0" w:color="auto"/>
        <w:bottom w:val="none" w:sz="0" w:space="0" w:color="auto"/>
        <w:right w:val="none" w:sz="0" w:space="0" w:color="auto"/>
      </w:divBdr>
    </w:div>
    <w:div w:id="1079517788">
      <w:bodyDiv w:val="1"/>
      <w:marLeft w:val="0"/>
      <w:marRight w:val="0"/>
      <w:marTop w:val="0"/>
      <w:marBottom w:val="0"/>
      <w:divBdr>
        <w:top w:val="none" w:sz="0" w:space="0" w:color="auto"/>
        <w:left w:val="none" w:sz="0" w:space="0" w:color="auto"/>
        <w:bottom w:val="none" w:sz="0" w:space="0" w:color="auto"/>
        <w:right w:val="none" w:sz="0" w:space="0" w:color="auto"/>
      </w:divBdr>
    </w:div>
    <w:div w:id="1087649730">
      <w:bodyDiv w:val="1"/>
      <w:marLeft w:val="0"/>
      <w:marRight w:val="0"/>
      <w:marTop w:val="0"/>
      <w:marBottom w:val="0"/>
      <w:divBdr>
        <w:top w:val="none" w:sz="0" w:space="0" w:color="auto"/>
        <w:left w:val="none" w:sz="0" w:space="0" w:color="auto"/>
        <w:bottom w:val="none" w:sz="0" w:space="0" w:color="auto"/>
        <w:right w:val="none" w:sz="0" w:space="0" w:color="auto"/>
      </w:divBdr>
    </w:div>
    <w:div w:id="1172063876">
      <w:bodyDiv w:val="1"/>
      <w:marLeft w:val="0"/>
      <w:marRight w:val="0"/>
      <w:marTop w:val="0"/>
      <w:marBottom w:val="0"/>
      <w:divBdr>
        <w:top w:val="none" w:sz="0" w:space="0" w:color="auto"/>
        <w:left w:val="none" w:sz="0" w:space="0" w:color="auto"/>
        <w:bottom w:val="none" w:sz="0" w:space="0" w:color="auto"/>
        <w:right w:val="none" w:sz="0" w:space="0" w:color="auto"/>
      </w:divBdr>
    </w:div>
    <w:div w:id="1227496436">
      <w:bodyDiv w:val="1"/>
      <w:marLeft w:val="0"/>
      <w:marRight w:val="0"/>
      <w:marTop w:val="0"/>
      <w:marBottom w:val="0"/>
      <w:divBdr>
        <w:top w:val="none" w:sz="0" w:space="0" w:color="auto"/>
        <w:left w:val="none" w:sz="0" w:space="0" w:color="auto"/>
        <w:bottom w:val="none" w:sz="0" w:space="0" w:color="auto"/>
        <w:right w:val="none" w:sz="0" w:space="0" w:color="auto"/>
      </w:divBdr>
    </w:div>
    <w:div w:id="1266185128">
      <w:bodyDiv w:val="1"/>
      <w:marLeft w:val="0"/>
      <w:marRight w:val="0"/>
      <w:marTop w:val="0"/>
      <w:marBottom w:val="0"/>
      <w:divBdr>
        <w:top w:val="none" w:sz="0" w:space="0" w:color="auto"/>
        <w:left w:val="none" w:sz="0" w:space="0" w:color="auto"/>
        <w:bottom w:val="none" w:sz="0" w:space="0" w:color="auto"/>
        <w:right w:val="none" w:sz="0" w:space="0" w:color="auto"/>
      </w:divBdr>
    </w:div>
    <w:div w:id="1456026729">
      <w:bodyDiv w:val="1"/>
      <w:marLeft w:val="0"/>
      <w:marRight w:val="0"/>
      <w:marTop w:val="0"/>
      <w:marBottom w:val="0"/>
      <w:divBdr>
        <w:top w:val="none" w:sz="0" w:space="0" w:color="auto"/>
        <w:left w:val="none" w:sz="0" w:space="0" w:color="auto"/>
        <w:bottom w:val="none" w:sz="0" w:space="0" w:color="auto"/>
        <w:right w:val="none" w:sz="0" w:space="0" w:color="auto"/>
      </w:divBdr>
    </w:div>
    <w:div w:id="1474129723">
      <w:bodyDiv w:val="1"/>
      <w:marLeft w:val="0"/>
      <w:marRight w:val="0"/>
      <w:marTop w:val="0"/>
      <w:marBottom w:val="0"/>
      <w:divBdr>
        <w:top w:val="none" w:sz="0" w:space="0" w:color="auto"/>
        <w:left w:val="none" w:sz="0" w:space="0" w:color="auto"/>
        <w:bottom w:val="none" w:sz="0" w:space="0" w:color="auto"/>
        <w:right w:val="none" w:sz="0" w:space="0" w:color="auto"/>
      </w:divBdr>
    </w:div>
    <w:div w:id="1541749177">
      <w:bodyDiv w:val="1"/>
      <w:marLeft w:val="0"/>
      <w:marRight w:val="0"/>
      <w:marTop w:val="0"/>
      <w:marBottom w:val="0"/>
      <w:divBdr>
        <w:top w:val="none" w:sz="0" w:space="0" w:color="auto"/>
        <w:left w:val="none" w:sz="0" w:space="0" w:color="auto"/>
        <w:bottom w:val="none" w:sz="0" w:space="0" w:color="auto"/>
        <w:right w:val="none" w:sz="0" w:space="0" w:color="auto"/>
      </w:divBdr>
    </w:div>
    <w:div w:id="1620182229">
      <w:bodyDiv w:val="1"/>
      <w:marLeft w:val="0"/>
      <w:marRight w:val="0"/>
      <w:marTop w:val="0"/>
      <w:marBottom w:val="0"/>
      <w:divBdr>
        <w:top w:val="none" w:sz="0" w:space="0" w:color="auto"/>
        <w:left w:val="none" w:sz="0" w:space="0" w:color="auto"/>
        <w:bottom w:val="none" w:sz="0" w:space="0" w:color="auto"/>
        <w:right w:val="none" w:sz="0" w:space="0" w:color="auto"/>
      </w:divBdr>
    </w:div>
    <w:div w:id="1631860693">
      <w:bodyDiv w:val="1"/>
      <w:marLeft w:val="0"/>
      <w:marRight w:val="0"/>
      <w:marTop w:val="0"/>
      <w:marBottom w:val="0"/>
      <w:divBdr>
        <w:top w:val="none" w:sz="0" w:space="0" w:color="auto"/>
        <w:left w:val="none" w:sz="0" w:space="0" w:color="auto"/>
        <w:bottom w:val="none" w:sz="0" w:space="0" w:color="auto"/>
        <w:right w:val="none" w:sz="0" w:space="0" w:color="auto"/>
      </w:divBdr>
    </w:div>
    <w:div w:id="1687560374">
      <w:bodyDiv w:val="1"/>
      <w:marLeft w:val="0"/>
      <w:marRight w:val="0"/>
      <w:marTop w:val="0"/>
      <w:marBottom w:val="0"/>
      <w:divBdr>
        <w:top w:val="none" w:sz="0" w:space="0" w:color="auto"/>
        <w:left w:val="none" w:sz="0" w:space="0" w:color="auto"/>
        <w:bottom w:val="none" w:sz="0" w:space="0" w:color="auto"/>
        <w:right w:val="none" w:sz="0" w:space="0" w:color="auto"/>
      </w:divBdr>
    </w:div>
    <w:div w:id="1737391938">
      <w:bodyDiv w:val="1"/>
      <w:marLeft w:val="0"/>
      <w:marRight w:val="0"/>
      <w:marTop w:val="0"/>
      <w:marBottom w:val="0"/>
      <w:divBdr>
        <w:top w:val="none" w:sz="0" w:space="0" w:color="auto"/>
        <w:left w:val="none" w:sz="0" w:space="0" w:color="auto"/>
        <w:bottom w:val="none" w:sz="0" w:space="0" w:color="auto"/>
        <w:right w:val="none" w:sz="0" w:space="0" w:color="auto"/>
      </w:divBdr>
    </w:div>
    <w:div w:id="1744257764">
      <w:bodyDiv w:val="1"/>
      <w:marLeft w:val="0"/>
      <w:marRight w:val="0"/>
      <w:marTop w:val="0"/>
      <w:marBottom w:val="0"/>
      <w:divBdr>
        <w:top w:val="none" w:sz="0" w:space="0" w:color="auto"/>
        <w:left w:val="none" w:sz="0" w:space="0" w:color="auto"/>
        <w:bottom w:val="none" w:sz="0" w:space="0" w:color="auto"/>
        <w:right w:val="none" w:sz="0" w:space="0" w:color="auto"/>
      </w:divBdr>
    </w:div>
    <w:div w:id="1837570835">
      <w:bodyDiv w:val="1"/>
      <w:marLeft w:val="0"/>
      <w:marRight w:val="0"/>
      <w:marTop w:val="0"/>
      <w:marBottom w:val="0"/>
      <w:divBdr>
        <w:top w:val="none" w:sz="0" w:space="0" w:color="auto"/>
        <w:left w:val="none" w:sz="0" w:space="0" w:color="auto"/>
        <w:bottom w:val="none" w:sz="0" w:space="0" w:color="auto"/>
        <w:right w:val="none" w:sz="0" w:space="0" w:color="auto"/>
      </w:divBdr>
    </w:div>
    <w:div w:id="1875148483">
      <w:bodyDiv w:val="1"/>
      <w:marLeft w:val="0"/>
      <w:marRight w:val="0"/>
      <w:marTop w:val="0"/>
      <w:marBottom w:val="0"/>
      <w:divBdr>
        <w:top w:val="none" w:sz="0" w:space="0" w:color="auto"/>
        <w:left w:val="none" w:sz="0" w:space="0" w:color="auto"/>
        <w:bottom w:val="none" w:sz="0" w:space="0" w:color="auto"/>
        <w:right w:val="none" w:sz="0" w:space="0" w:color="auto"/>
      </w:divBdr>
    </w:div>
    <w:div w:id="1985156090">
      <w:bodyDiv w:val="1"/>
      <w:marLeft w:val="0"/>
      <w:marRight w:val="0"/>
      <w:marTop w:val="0"/>
      <w:marBottom w:val="0"/>
      <w:divBdr>
        <w:top w:val="none" w:sz="0" w:space="0" w:color="auto"/>
        <w:left w:val="none" w:sz="0" w:space="0" w:color="auto"/>
        <w:bottom w:val="none" w:sz="0" w:space="0" w:color="auto"/>
        <w:right w:val="none" w:sz="0" w:space="0" w:color="auto"/>
      </w:divBdr>
    </w:div>
    <w:div w:id="2128502532">
      <w:bodyDiv w:val="1"/>
      <w:marLeft w:val="0"/>
      <w:marRight w:val="0"/>
      <w:marTop w:val="0"/>
      <w:marBottom w:val="0"/>
      <w:divBdr>
        <w:top w:val="none" w:sz="0" w:space="0" w:color="auto"/>
        <w:left w:val="none" w:sz="0" w:space="0" w:color="auto"/>
        <w:bottom w:val="none" w:sz="0" w:space="0" w:color="auto"/>
        <w:right w:val="none" w:sz="0" w:space="0" w:color="auto"/>
      </w:divBdr>
    </w:div>
    <w:div w:id="214284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legalcode" TargetMode="External"/><Relationship Id="rId18" Type="http://schemas.openxmlformats.org/officeDocument/2006/relationships/hyperlink" Target="http://www.fullstop.org.au" TargetMode="External"/><Relationship Id="rId26" Type="http://schemas.openxmlformats.org/officeDocument/2006/relationships/hyperlink" Target="http://www.wellmob.org.au/" TargetMode="External"/><Relationship Id="rId39" Type="http://schemas.openxmlformats.org/officeDocument/2006/relationships/hyperlink" Target="https://plan4womenssafety.dss.gov.au/national-plan-victim-survivor-advocates-consultation-report/" TargetMode="External"/><Relationship Id="rId3" Type="http://schemas.openxmlformats.org/officeDocument/2006/relationships/customXml" Target="../customXml/item3.xml"/><Relationship Id="rId21" Type="http://schemas.openxmlformats.org/officeDocument/2006/relationships/hyperlink" Target="http://www.suicidecallbackservices.org.au" TargetMode="External"/><Relationship Id="rId34" Type="http://schemas.openxmlformats.org/officeDocument/2006/relationships/hyperlink" Target="http://www.tisnational.gov.au/" TargetMode="External"/><Relationship Id="rId42"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yperlink" Target="http://www.1800respect.org.au/sunny" TargetMode="External"/><Relationship Id="rId25" Type="http://schemas.openxmlformats.org/officeDocument/2006/relationships/hyperlink" Target="http://www.fullstop.org.au" TargetMode="External"/><Relationship Id="rId33" Type="http://schemas.openxmlformats.org/officeDocument/2006/relationships/hyperlink" Target="http://www.sayitoutloud.org.au/" TargetMode="External"/><Relationship Id="rId38" Type="http://schemas.openxmlformats.org/officeDocument/2006/relationships/hyperlink" Target="https://www.esafety.gov.au/report" TargetMode="External"/><Relationship Id="rId2" Type="http://schemas.openxmlformats.org/officeDocument/2006/relationships/customXml" Target="../customXml/item2.xml"/><Relationship Id="rId16" Type="http://schemas.openxmlformats.org/officeDocument/2006/relationships/hyperlink" Target="http://www.13yarn.org.au" TargetMode="External"/><Relationship Id="rId20" Type="http://schemas.openxmlformats.org/officeDocument/2006/relationships/hyperlink" Target="http://www.suicidecallbackservice.org.au" TargetMode="External"/><Relationship Id="rId29" Type="http://schemas.openxmlformats.org/officeDocument/2006/relationships/hyperlink" Target="http://www.openarms.gov.au" TargetMode="External"/><Relationship Id="rId41"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ounsellor@kidshelpline.com.au" TargetMode="External"/><Relationship Id="rId32" Type="http://schemas.openxmlformats.org/officeDocument/2006/relationships/hyperlink" Target="http://www.mybluesky.org.au/" TargetMode="External"/><Relationship Id="rId37" Type="http://schemas.openxmlformats.org/officeDocument/2006/relationships/hyperlink" Target="https://www.esafety.gov.au/report" TargetMode="External"/><Relationship Id="rId40" Type="http://schemas.openxmlformats.org/officeDocument/2006/relationships/hyperlink" Target="https://media-cdn.ourwatch.org.au/wp-content/uploads/sites/2/2019/09/09000510/OW3989_NAT_REPORTING-GUIDELINES_WEB_FA.pdf" TargetMode="External"/><Relationship Id="rId5" Type="http://schemas.openxmlformats.org/officeDocument/2006/relationships/customXml" Target="../customXml/item5.xml"/><Relationship Id="rId15" Type="http://schemas.openxmlformats.org/officeDocument/2006/relationships/hyperlink" Target="http://www.1800respect.org.au/" TargetMode="External"/><Relationship Id="rId23" Type="http://schemas.openxmlformats.org/officeDocument/2006/relationships/hyperlink" Target="http://www.kidshelpline.com.au" TargetMode="External"/><Relationship Id="rId28" Type="http://schemas.openxmlformats.org/officeDocument/2006/relationships/hyperlink" Target="http://www.MensLine.org.au" TargetMode="External"/><Relationship Id="rId36" Type="http://schemas.openxmlformats.org/officeDocument/2006/relationships/hyperlink" Target="http://www.accesshub.gov.au/about-the-nrs" TargetMode="External"/><Relationship Id="rId10" Type="http://schemas.openxmlformats.org/officeDocument/2006/relationships/footnotes" Target="footnotes.xml"/><Relationship Id="rId19" Type="http://schemas.openxmlformats.org/officeDocument/2006/relationships/hyperlink" Target="http://www.LifeLine.org.au" TargetMode="External"/><Relationship Id="rId31" Type="http://schemas.openxmlformats.org/officeDocument/2006/relationships/hyperlink" Target="mailto:help@mybluesky.org.au"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communication@dss.gov.au" TargetMode="External"/><Relationship Id="rId22" Type="http://schemas.openxmlformats.org/officeDocument/2006/relationships/hyperlink" Target="http://www.Beyond.Blue.org.au" TargetMode="External"/><Relationship Id="rId27" Type="http://schemas.openxmlformats.org/officeDocument/2006/relationships/hyperlink" Target="http://www.ntv.org.au/" TargetMode="External"/><Relationship Id="rId30" Type="http://schemas.openxmlformats.org/officeDocument/2006/relationships/hyperlink" Target="http://www.au.reachout.com" TargetMode="External"/><Relationship Id="rId35" Type="http://schemas.openxmlformats.org/officeDocument/2006/relationships/hyperlink" Target="mailto:ais@nt.gov.au" TargetMode="External"/><Relationship Id="rId43" Type="http://schemas.openxmlformats.org/officeDocument/2006/relationships/fontTable" Target="fontTable.xml"/></Relationships>
</file>

<file path=word/_rels/endnotes.xml.rels><?xml version="1.0" encoding="UTF-8" standalone="yes"?>
<Relationships xmlns="http://schemas.openxmlformats.org/package/2006/relationships"><Relationship Id="rId13" Type="http://schemas.openxmlformats.org/officeDocument/2006/relationships/hyperlink" Target="https://wwda.org.au/wp-content/uploads/2020/11/1800RESPECT_Report_FINAL_PRINT.pdf" TargetMode="External"/><Relationship Id="rId18" Type="http://schemas.openxmlformats.org/officeDocument/2006/relationships/hyperlink" Target="https://www.esafety.gov.au/research/technology-facilitated-abuse-women-intellectual-or-cognitive-disability" TargetMode="External"/><Relationship Id="rId26" Type="http://schemas.openxmlformats.org/officeDocument/2006/relationships/hyperlink" Target="https://www.anrows.org.au/publication/a-deep-wound-under-my-heart-constructions-of-complex-trauma-and-implications-for-womens-wellbeing-and-safety-from-violence/" TargetMode="External"/><Relationship Id="rId39" Type="http://schemas.openxmlformats.org/officeDocument/2006/relationships/hyperlink" Target="https://www.equityeconomics.com.au/affordable-housing" TargetMode="External"/><Relationship Id="rId21" Type="http://schemas.openxmlformats.org/officeDocument/2006/relationships/hyperlink" Target="https://www.pc.gov.au/inquiries/completed/mental-health/submissions" TargetMode="External"/><Relationship Id="rId34" Type="http://schemas.openxmlformats.org/officeDocument/2006/relationships/hyperlink" Target="https://www.childsafety.gov.au/system/files/2022-09/national-strategy-2021-30-english.pdf" TargetMode="External"/><Relationship Id="rId42" Type="http://schemas.openxmlformats.org/officeDocument/2006/relationships/hyperlink" Target="https://www.transhub.org.au/trans-mob" TargetMode="External"/><Relationship Id="rId47" Type="http://schemas.openxmlformats.org/officeDocument/2006/relationships/hyperlink" Target="https://www.ohchr.org/en/documents/general-comments-and-recommendations/general-recommendation-no-35-2017-gender-based" TargetMode="External"/><Relationship Id="rId50" Type="http://schemas.openxmlformats.org/officeDocument/2006/relationships/hyperlink" Target="https://www.esafety.gov.au/key-topics/image-based-abuse" TargetMode="External"/><Relationship Id="rId55" Type="http://schemas.openxmlformats.org/officeDocument/2006/relationships/hyperlink" Target="https://www.health.vic.gov.au/populations/understanding-lgbtiq-health" TargetMode="External"/><Relationship Id="rId63" Type="http://schemas.openxmlformats.org/officeDocument/2006/relationships/hyperlink" Target="https://humanrights.gov.au/set-standard-2021" TargetMode="External"/><Relationship Id="rId68" Type="http://schemas.openxmlformats.org/officeDocument/2006/relationships/hyperlink" Target="https://media-cdn.ourwatch.org.au/wp-content/uploads/sites/2/2021/11/18101910/Change-the-story-exec-summary-AA.pdf" TargetMode="External"/><Relationship Id="rId7" Type="http://schemas.openxmlformats.org/officeDocument/2006/relationships/hyperlink" Target="https://www.dss.gov.au/sites/default/files/documents/11_2022/national_plan_to_end_violence_against_women_and_children_2022-2032.pdf" TargetMode="External"/><Relationship Id="rId2" Type="http://schemas.openxmlformats.org/officeDocument/2006/relationships/hyperlink" Target="https://regonsite.eventsair.com/national-summit-on-womens-safety/" TargetMode="External"/><Relationship Id="rId16" Type="http://schemas.openxmlformats.org/officeDocument/2006/relationships/hyperlink" Target="https://wwda.org.au/wp-content/uploads/2013/12/STV_Outcomes_Paper.pdf" TargetMode="External"/><Relationship Id="rId29" Type="http://schemas.openxmlformats.org/officeDocument/2006/relationships/hyperlink" Target="https://www.aihw.gov.au/reports/domestic-violence/family-domestic-and-sexual-violence" TargetMode="External"/><Relationship Id="rId1" Type="http://schemas.openxmlformats.org/officeDocument/2006/relationships/hyperlink" Target="https://www.aph.gov.au/familyviolence" TargetMode="External"/><Relationship Id="rId6" Type="http://schemas.openxmlformats.org/officeDocument/2006/relationships/hyperlink" Target="https://www.localgovernment.vic.gov.au/grants/free-from-violence-local-government-program" TargetMode="External"/><Relationship Id="rId11" Type="http://schemas.openxmlformats.org/officeDocument/2006/relationships/hyperlink" Target="https://www.closingthegap.gov.au/national-agreement" TargetMode="External"/><Relationship Id="rId24" Type="http://schemas.openxmlformats.org/officeDocument/2006/relationships/hyperlink" Target="https://media-cdn.ourwatch.org.au/wp-content/uploads/sites/2/2021/11/18101910/Change-the-story-exec-summary-AA.pdf" TargetMode="External"/><Relationship Id="rId32" Type="http://schemas.openxmlformats.org/officeDocument/2006/relationships/hyperlink" Target="https://www.dss.gov.au/sites/default/files/documents/12_2021/dess5016-national-framework-protecting-childrenaccessible.pdf" TargetMode="External"/><Relationship Id="rId37" Type="http://schemas.openxmlformats.org/officeDocument/2006/relationships/hyperlink" Target="https://tfhc.nt.gov.au/domestic,-family-and-sexual-violence-reduction/domestic-and-family-violence-reduction-strategy" TargetMode="External"/><Relationship Id="rId40" Type="http://schemas.openxmlformats.org/officeDocument/2006/relationships/hyperlink" Target="https://wwda.org.au/2019/04/federalelection2019/" TargetMode="External"/><Relationship Id="rId45" Type="http://schemas.openxmlformats.org/officeDocument/2006/relationships/hyperlink" Target="https://gender.jhpiego.org/analysistoolkit/gender-concepts-and-definitions/" TargetMode="External"/><Relationship Id="rId53" Type="http://schemas.openxmlformats.org/officeDocument/2006/relationships/hyperlink" Target="https://humanrights.gov.au/our-work/aboriginal-and-torres-strait-islander-social-justice/publications/social-justice-report" TargetMode="External"/><Relationship Id="rId58" Type="http://schemas.openxmlformats.org/officeDocument/2006/relationships/hyperlink" Target="https://tertiaryeducation.ourwatch.org.au/" TargetMode="External"/><Relationship Id="rId66" Type="http://schemas.openxmlformats.org/officeDocument/2006/relationships/hyperlink" Target="https://journals.sagepub.com/doi/full/10.1177/1748895817728380" TargetMode="External"/><Relationship Id="rId5" Type="http://schemas.openxmlformats.org/officeDocument/2006/relationships/hyperlink" Target="https://tertiaryeducation.ourwatch.org.au/resource/guidelines-for-reporting-violence-against-women/" TargetMode="External"/><Relationship Id="rId15" Type="http://schemas.openxmlformats.org/officeDocument/2006/relationships/hyperlink" Target="https://wwda.org.au/wp-content/uploads/2020/06/The-Status-of-Women-and-Girls-with-Disability-Asutralia.pdf" TargetMode="External"/><Relationship Id="rId23" Type="http://schemas.openxmlformats.org/officeDocument/2006/relationships/hyperlink" Target="https://engage.dss.gov.au/national-summit-on-womens-safety/" TargetMode="External"/><Relationship Id="rId28" Type="http://schemas.openxmlformats.org/officeDocument/2006/relationships/hyperlink" Target="https://www.anrows.org.au/publication/improving-family-violence-legal-and-support-services-for-aboriginal-and-torres-strait-islander-peoples-key-findings-and-future-directions/" TargetMode="External"/><Relationship Id="rId36" Type="http://schemas.openxmlformats.org/officeDocument/2006/relationships/hyperlink" Target="https://regonsite.eventsair.com/national-summit-on-womens-safety/" TargetMode="External"/><Relationship Id="rId49" Type="http://schemas.openxmlformats.org/officeDocument/2006/relationships/hyperlink" Target="https://www.latrobe.edu.au/arcshs/publications/writing-themselves-in-publications" TargetMode="External"/><Relationship Id="rId57" Type="http://schemas.openxmlformats.org/officeDocument/2006/relationships/hyperlink" Target="https://www.health.vic.gov.au/populations/understanding-lgbtiq-health" TargetMode="External"/><Relationship Id="rId61" Type="http://schemas.openxmlformats.org/officeDocument/2006/relationships/hyperlink" Target="https://humanrights.gov.au/our-work/disability-rights/publications/future-without-violence-2018" TargetMode="External"/><Relationship Id="rId10" Type="http://schemas.openxmlformats.org/officeDocument/2006/relationships/hyperlink" Target="https://media-cdn.ourwatch.org.au/wp-content/uploads/sites/2/2021/11/18101910/Change-the-story-exec-summary-AA.pdf" TargetMode="External"/><Relationship Id="rId19" Type="http://schemas.openxmlformats.org/officeDocument/2006/relationships/hyperlink" Target="https://www.aph.gov.au/familyviolence" TargetMode="External"/><Relationship Id="rId31" Type="http://schemas.openxmlformats.org/officeDocument/2006/relationships/hyperlink" Target="https://www.anrows.org.au/publication/adolescent-family-violence-in-australia-a-national-study-of-prevalence-history-of-childhood-victimisation-and-impacts/" TargetMode="External"/><Relationship Id="rId44" Type="http://schemas.openxmlformats.org/officeDocument/2006/relationships/hyperlink" Target="https://www.anrows.org.au/publication/chuck-her-on-a-lie-detector-investigating-australians-mistrust-in-womens-reports-of-sexual-assault/" TargetMode="External"/><Relationship Id="rId52" Type="http://schemas.openxmlformats.org/officeDocument/2006/relationships/hyperlink" Target="https://ihra.org.au/18106/what-is-intersex/" TargetMode="External"/><Relationship Id="rId60" Type="http://schemas.openxmlformats.org/officeDocument/2006/relationships/hyperlink" Target="https://www.aihw.gov.au/reports/mental-health-services/mental-health-services-in-australia" TargetMode="External"/><Relationship Id="rId65" Type="http://schemas.openxmlformats.org/officeDocument/2006/relationships/hyperlink" Target="https://www.transhub.org.au/trans-mob" TargetMode="External"/><Relationship Id="rId4" Type="http://schemas.openxmlformats.org/officeDocument/2006/relationships/hyperlink" Target="https://action.ourwatch.org.au/what-is-prevention/preventing-violence-against-aboriginal-and-torres-strait-islander-women/" TargetMode="External"/><Relationship Id="rId9" Type="http://schemas.openxmlformats.org/officeDocument/2006/relationships/hyperlink" Target="https://sport.ourwatch.org.au/" TargetMode="External"/><Relationship Id="rId14" Type="http://schemas.openxmlformats.org/officeDocument/2006/relationships/hyperlink" Target="https://www.aph.gov.au/Parliamentary_Business/Committees/Senate/Community_Affairs/Violence_abuse_neglect" TargetMode="External"/><Relationship Id="rId22" Type="http://schemas.openxmlformats.org/officeDocument/2006/relationships/hyperlink" Target="https://www.health.gov.au/resources/publications/national-womens-health-strategy-2020-2030" TargetMode="External"/><Relationship Id="rId27" Type="http://schemas.openxmlformats.org/officeDocument/2006/relationships/hyperlink" Target="https://www.anrows.org.au/publication/existing-knowledge-practice-and-responses-to-violence-against-women-in-australian-indigenous-communities-state-of-knowledge-paper/" TargetMode="External"/><Relationship Id="rId30" Type="http://schemas.openxmlformats.org/officeDocument/2006/relationships/hyperlink" Target="https://link.springer.com/article/10.1007/s10964-008-9347-y" TargetMode="External"/><Relationship Id="rId35" Type="http://schemas.openxmlformats.org/officeDocument/2006/relationships/hyperlink" Target="https://journals.sagepub.com/doi/10.1177/1748895817728380" TargetMode="External"/><Relationship Id="rId43" Type="http://schemas.openxmlformats.org/officeDocument/2006/relationships/hyperlink" Target="https://www.transhub.org.au/language" TargetMode="External"/><Relationship Id="rId48" Type="http://schemas.openxmlformats.org/officeDocument/2006/relationships/hyperlink" Target="https://www.ohchr.org/en/women/gender-stereotyping" TargetMode="External"/><Relationship Id="rId56" Type="http://schemas.openxmlformats.org/officeDocument/2006/relationships/hyperlink" Target="https://www.closingthegap.gov.au/national-agreement" TargetMode="External"/><Relationship Id="rId64" Type="http://schemas.openxmlformats.org/officeDocument/2006/relationships/hyperlink" Target="https://media-cdn.ourwatch.org.au/wp-content/uploads/sites/2/2021/11/18101910/Change-the-story-exec-summary-AA.pdf" TargetMode="External"/><Relationship Id="rId69" Type="http://schemas.openxmlformats.org/officeDocument/2006/relationships/hyperlink" Target="https://humanrights.gov.au/set-standard-2021" TargetMode="External"/><Relationship Id="rId8" Type="http://schemas.openxmlformats.org/officeDocument/2006/relationships/hyperlink" Target="https://childsafe.humanrights.gov.au/sites/default/files/2019-02/National_Principles_for_Child_Safe_Organisations2019.pdf" TargetMode="External"/><Relationship Id="rId51" Type="http://schemas.openxmlformats.org/officeDocument/2006/relationships/hyperlink" Target="https://healingfoundation.org.au/intergenerational-trauma/" TargetMode="External"/><Relationship Id="rId3" Type="http://schemas.openxmlformats.org/officeDocument/2006/relationships/hyperlink" Target="https://plan4womenssafety.dss.gov.au/national-plan-victim-survivor-advocates-consultation-report/" TargetMode="External"/><Relationship Id="rId12" Type="http://schemas.openxmlformats.org/officeDocument/2006/relationships/hyperlink" Target="https://disability.royalcommission.gov.au/system/files/2022-03/Issues%20paper%20-%20Violence%20and%20abuse%20of%20people%20with%20disability%20at%20home.pdf" TargetMode="External"/><Relationship Id="rId17" Type="http://schemas.openxmlformats.org/officeDocument/2006/relationships/hyperlink" Target="https://wwda.org.au/wp-content/uploads/2013/12/STV_Outcomes_Paper.pdf" TargetMode="External"/><Relationship Id="rId25" Type="http://schemas.openxmlformats.org/officeDocument/2006/relationships/hyperlink" Target="https://www.abs.gov.au/statistics/people/crime-and-justice/personal-safety-australia/latest-release" TargetMode="External"/><Relationship Id="rId33" Type="http://schemas.openxmlformats.org/officeDocument/2006/relationships/hyperlink" Target="https://www.dss.gov.au/families-and-children-programs-services/early-years-strategy" TargetMode="External"/><Relationship Id="rId38" Type="http://schemas.openxmlformats.org/officeDocument/2006/relationships/hyperlink" Target="https://aifs.gov.au/sites/default/files/publication-documents/cfca-36-children-exposure-fdv_0.pdf" TargetMode="External"/><Relationship Id="rId46" Type="http://schemas.openxmlformats.org/officeDocument/2006/relationships/hyperlink" Target="https://www.latrobe.edu.au/arcshs/publications/writing-themselves-in-publications" TargetMode="External"/><Relationship Id="rId59" Type="http://schemas.openxmlformats.org/officeDocument/2006/relationships/hyperlink" Target="https://media-cdn.ourwatch.org.au/wp-content/uploads/sites/2/2021/03/29130251/RRE-Policy-Brief-accessible-250221.pdf" TargetMode="External"/><Relationship Id="rId67" Type="http://schemas.openxmlformats.org/officeDocument/2006/relationships/hyperlink" Target="https://dfvbenchbook.aija.org.au/contents" TargetMode="External"/><Relationship Id="rId20" Type="http://schemas.openxmlformats.org/officeDocument/2006/relationships/hyperlink" Target="https://www.pc.gov.au/inquiries/completed/mental-health/report/mental-health.pdf" TargetMode="External"/><Relationship Id="rId41" Type="http://schemas.openxmlformats.org/officeDocument/2006/relationships/hyperlink" Target="https://gadnetwork.org/gadn-resources/2015/1/13/a-theory-of-change-for-tackling-violence-against-women-and-girls" TargetMode="External"/><Relationship Id="rId54" Type="http://schemas.openxmlformats.org/officeDocument/2006/relationships/hyperlink" Target="https://www.latrobe.edu.au/arcshs/publications/writing-themselves-in-publications" TargetMode="External"/><Relationship Id="rId62" Type="http://schemas.openxmlformats.org/officeDocument/2006/relationships/hyperlink" Target="https://awhn.org.au/position-papers/" TargetMode="External"/><Relationship Id="rId70" Type="http://schemas.openxmlformats.org/officeDocument/2006/relationships/hyperlink" Target="https://www.vic.gov.au/free-violence-victorias-strategy-prevent-family-vio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F55D68FA163545A86E1FC516022594" ma:contentTypeVersion="1" ma:contentTypeDescription="Create a new document." ma:contentTypeScope="" ma:versionID="d2146189407e32ba20c6bb435cbc2417">
  <xsd:schema xmlns:xsd="http://www.w3.org/2001/XMLSchema" xmlns:xs="http://www.w3.org/2001/XMLSchema" xmlns:p="http://schemas.microsoft.com/office/2006/metadata/properties" xmlns:ns2="da13057a-72c5-49de-bee4-ff261e81e83e" xmlns:ns3="56bce869-6ac7-4c11-8b82-b52c5dadaa09" targetNamespace="http://schemas.microsoft.com/office/2006/metadata/properties" ma:root="true" ma:fieldsID="9cbe9b87478d84e981ab09b7c4ff45f5" ns2:_="" ns3:_="">
    <xsd:import namespace="da13057a-72c5-49de-bee4-ff261e81e83e"/>
    <xsd:import namespace="56bce869-6ac7-4c11-8b82-b52c5dadaa0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3057a-72c5-49de-bee4-ff261e81e8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bce869-6ac7-4c11-8b82-b52c5dadaa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46EF2-125F-4DA9-95D0-EC67F32BF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3057a-72c5-49de-bee4-ff261e81e83e"/>
    <ds:schemaRef ds:uri="56bce869-6ac7-4c11-8b82-b52c5dada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4E4A0B-A925-4251-98F5-CC56409A06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74C2F7-72D2-4350-AB5A-F59346D5A544}">
  <ds:schemaRefs>
    <ds:schemaRef ds:uri="http://schemas.microsoft.com/sharepoint/v3/contenttype/forms"/>
  </ds:schemaRefs>
</ds:datastoreItem>
</file>

<file path=customXml/itemProps4.xml><?xml version="1.0" encoding="utf-8"?>
<ds:datastoreItem xmlns:ds="http://schemas.openxmlformats.org/officeDocument/2006/customXml" ds:itemID="{0224D444-06A1-41A7-968D-BB1BA13DE727}">
  <ds:schemaRefs>
    <ds:schemaRef ds:uri="http://schemas.microsoft.com/sharepoint/events"/>
  </ds:schemaRefs>
</ds:datastoreItem>
</file>

<file path=customXml/itemProps5.xml><?xml version="1.0" encoding="utf-8"?>
<ds:datastoreItem xmlns:ds="http://schemas.openxmlformats.org/officeDocument/2006/customXml" ds:itemID="{46CF4C08-388C-4EBB-B076-D77D98701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18433</Words>
  <Characters>110783</Characters>
  <Application>Microsoft Office Word</Application>
  <DocSecurity>0</DocSecurity>
  <Lines>2215</Lines>
  <Paragraphs>916</Paragraphs>
  <ScaleCrop>false</ScaleCrop>
  <HeadingPairs>
    <vt:vector size="2" baseType="variant">
      <vt:variant>
        <vt:lpstr>Title</vt:lpstr>
      </vt:variant>
      <vt:variant>
        <vt:i4>1</vt:i4>
      </vt:variant>
    </vt:vector>
  </HeadingPairs>
  <TitlesOfParts>
    <vt:vector size="1" baseType="lpstr">
      <vt:lpstr>First Action Plan 2023–2027</vt:lpstr>
    </vt:vector>
  </TitlesOfParts>
  <LinksUpToDate>false</LinksUpToDate>
  <CharactersWithSpaces>128300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Action Plan 2023–2027</dc:title>
  <dc:subject/>
  <dc:creator/>
  <cp:keywords>[SEC=OFFICIAL]</cp:keywords>
  <dc:description/>
  <cp:lastModifiedBy/>
  <cp:revision>1</cp:revision>
  <dcterms:created xsi:type="dcterms:W3CDTF">2023-12-07T04:15:00Z</dcterms:created>
  <dcterms:modified xsi:type="dcterms:W3CDTF">2023-12-07T04:15:00Z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82939CB2C1DD4244B353011A5D52F70D</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 (x86)\Common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_Hash_Version">
    <vt:lpwstr>2018.0</vt:lpwstr>
  </property>
  <property fmtid="{D5CDD505-2E9C-101B-9397-08002B2CF9AE}" pid="18" name="PM_OriginatorDomainName_SHA256">
    <vt:lpwstr>E83A2A66C4061446A7E3732E8D44762184B6B377D962B96C83DC624302585857</vt:lpwstr>
  </property>
  <property fmtid="{D5CDD505-2E9C-101B-9397-08002B2CF9AE}" pid="19" name="PM_MinimumSecurityClassification">
    <vt:lpwstr/>
  </property>
  <property fmtid="{D5CDD505-2E9C-101B-9397-08002B2CF9AE}" pid="20" name="ContentTypeId">
    <vt:lpwstr>0x01010004F55D68FA163545A86E1FC516022594</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PM_OriginationTimeStamp">
    <vt:lpwstr>2023-12-07T04:15:06Z</vt:lpwstr>
  </property>
  <property fmtid="{D5CDD505-2E9C-101B-9397-08002B2CF9AE}" pid="24" name="PM_Hash_Salt_Prev">
    <vt:lpwstr>32E766A3ADAC1C806F0CF9C7630AD661</vt:lpwstr>
  </property>
  <property fmtid="{D5CDD505-2E9C-101B-9397-08002B2CF9AE}" pid="25" name="PM_Hash_Salt">
    <vt:lpwstr>AEC9C88DC29149105DCF92B75E9AE4DC</vt:lpwstr>
  </property>
  <property fmtid="{D5CDD505-2E9C-101B-9397-08002B2CF9AE}" pid="26" name="PM_Hash_SHA1">
    <vt:lpwstr>FE6DA411C4181BB8BC34774BA7BBBFE50A82CE72</vt:lpwstr>
  </property>
  <property fmtid="{D5CDD505-2E9C-101B-9397-08002B2CF9AE}" pid="27" name="PM_Originator_Hash_SHA1">
    <vt:lpwstr>B1622EBDD07ACCBB869061777858F2A5699CCEC7</vt:lpwstr>
  </property>
  <property fmtid="{D5CDD505-2E9C-101B-9397-08002B2CF9AE}" pid="28" name="PM_OriginatorUserAccountName_SHA256">
    <vt:lpwstr>CE3F18D72363E177F407721D99695A2D5FF98F3C0BDB8ADD4115AF190EA46714</vt:lpwstr>
  </property>
  <property fmtid="{D5CDD505-2E9C-101B-9397-08002B2CF9AE}" pid="29" name="GrammarlyDocumentId">
    <vt:lpwstr>2a0b8c2d8a2e9ab88ed8bc7a645bd0c23b830cdc7a87ce2e3ef97345bc76e0ac</vt:lpwstr>
  </property>
</Properties>
</file>