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6E6ECFF" w14:textId="7979FC97" w:rsidR="00C96FF3" w:rsidRPr="00377857" w:rsidRDefault="00687049" w:rsidP="007129BA">
      <w:pPr>
        <w:pStyle w:val="ReportTitle"/>
        <w:rPr>
          <w:color w:val="auto"/>
          <w:sz w:val="48"/>
          <w:szCs w:val="48"/>
        </w:rPr>
      </w:pPr>
      <w:r w:rsidRPr="00377857">
        <w:rPr>
          <w:color w:val="auto"/>
          <w:sz w:val="48"/>
          <w:szCs w:val="48"/>
        </w:rPr>
        <w:t xml:space="preserve">National Consumer Protection </w:t>
      </w:r>
      <w:r w:rsidR="00014A0D" w:rsidRPr="00377857">
        <w:rPr>
          <w:color w:val="auto"/>
          <w:sz w:val="48"/>
          <w:szCs w:val="48"/>
        </w:rPr>
        <w:t>Framework</w:t>
      </w:r>
      <w:r w:rsidRPr="00377857">
        <w:rPr>
          <w:color w:val="auto"/>
          <w:sz w:val="48"/>
          <w:szCs w:val="48"/>
        </w:rPr>
        <w:t xml:space="preserve"> for Online Wagering: Baseline </w:t>
      </w:r>
      <w:r w:rsidR="00267939" w:rsidRPr="00377857">
        <w:rPr>
          <w:color w:val="auto"/>
          <w:sz w:val="48"/>
          <w:szCs w:val="48"/>
        </w:rPr>
        <w:t>s</w:t>
      </w:r>
      <w:r w:rsidRPr="00377857">
        <w:rPr>
          <w:color w:val="auto"/>
          <w:sz w:val="48"/>
          <w:szCs w:val="48"/>
        </w:rPr>
        <w:t>tudy</w:t>
      </w:r>
    </w:p>
    <w:p w14:paraId="441ECE0D" w14:textId="53C4DC5B" w:rsidR="00D718FB" w:rsidRPr="00377857" w:rsidRDefault="00BF6B9A" w:rsidP="003E0927">
      <w:pPr>
        <w:pStyle w:val="ReportSubtitle"/>
        <w:rPr>
          <w:color w:val="auto"/>
        </w:rPr>
      </w:pPr>
      <w:r w:rsidRPr="00377857">
        <w:rPr>
          <w:color w:val="auto"/>
        </w:rPr>
        <w:t xml:space="preserve">Final </w:t>
      </w:r>
      <w:r w:rsidR="00FA5AFA" w:rsidRPr="00377857">
        <w:rPr>
          <w:color w:val="auto"/>
        </w:rPr>
        <w:t>r</w:t>
      </w:r>
      <w:r w:rsidR="00687049" w:rsidRPr="00377857">
        <w:rPr>
          <w:color w:val="auto"/>
        </w:rPr>
        <w:t>eport</w:t>
      </w:r>
    </w:p>
    <w:p w14:paraId="0ACEB821" w14:textId="04360F22" w:rsidR="00CE278F" w:rsidRPr="00377857" w:rsidRDefault="00BF6B9A" w:rsidP="003E0927">
      <w:pPr>
        <w:pStyle w:val="ReportSubtitle"/>
        <w:rPr>
          <w:color w:val="auto"/>
          <w:sz w:val="32"/>
          <w:szCs w:val="32"/>
        </w:rPr>
      </w:pPr>
      <w:r w:rsidRPr="00377857">
        <w:rPr>
          <w:color w:val="auto"/>
          <w:sz w:val="32"/>
          <w:szCs w:val="32"/>
        </w:rPr>
        <w:t xml:space="preserve">June </w:t>
      </w:r>
      <w:r w:rsidR="00CE278F" w:rsidRPr="00377857">
        <w:rPr>
          <w:color w:val="auto"/>
          <w:sz w:val="32"/>
          <w:szCs w:val="32"/>
        </w:rPr>
        <w:t>2019</w:t>
      </w:r>
    </w:p>
    <w:p w14:paraId="20035995" w14:textId="77777777" w:rsidR="007B2CEE" w:rsidRPr="00377857" w:rsidRDefault="007B2CEE" w:rsidP="003E0927">
      <w:pPr>
        <w:pStyle w:val="ReportSubtitle"/>
        <w:rPr>
          <w:color w:val="auto"/>
          <w:sz w:val="32"/>
          <w:szCs w:val="32"/>
        </w:rPr>
      </w:pPr>
    </w:p>
    <w:p w14:paraId="4E4297D2" w14:textId="546EB2A9" w:rsidR="007B2CEE" w:rsidRPr="00377857" w:rsidRDefault="007B2CEE" w:rsidP="00687049">
      <w:pPr>
        <w:pStyle w:val="Reportauthors"/>
        <w:rPr>
          <w:color w:val="auto"/>
          <w:szCs w:val="28"/>
        </w:rPr>
      </w:pPr>
      <w:r w:rsidRPr="00377857">
        <w:rPr>
          <w:color w:val="auto"/>
          <w:szCs w:val="28"/>
        </w:rPr>
        <w:t xml:space="preserve">Prepared by Rebecca Jenkinson, Tayyab Khokhar, Rukhsana Tajin, Uma Jatkar and Julie Deblaquiere </w:t>
      </w:r>
    </w:p>
    <w:p w14:paraId="6CD39346" w14:textId="757FE442" w:rsidR="00C82A2E" w:rsidRPr="00377857" w:rsidRDefault="00687049" w:rsidP="007B2CEE">
      <w:pPr>
        <w:pStyle w:val="Reportauthors"/>
        <w:rPr>
          <w:color w:val="auto"/>
          <w:sz w:val="24"/>
          <w:szCs w:val="24"/>
        </w:rPr>
      </w:pPr>
      <w:r w:rsidRPr="00377857">
        <w:rPr>
          <w:color w:val="auto"/>
          <w:sz w:val="24"/>
          <w:szCs w:val="24"/>
        </w:rPr>
        <w:t>Australian Gambling Research Centre,</w:t>
      </w:r>
      <w:r w:rsidR="007B2CEE" w:rsidRPr="00377857">
        <w:rPr>
          <w:color w:val="auto"/>
          <w:sz w:val="24"/>
          <w:szCs w:val="24"/>
        </w:rPr>
        <w:t xml:space="preserve"> </w:t>
      </w:r>
      <w:r w:rsidR="00C82A2E" w:rsidRPr="00377857">
        <w:rPr>
          <w:color w:val="auto"/>
          <w:sz w:val="24"/>
          <w:szCs w:val="24"/>
        </w:rPr>
        <w:t>Australian Institute of Family Studies</w:t>
      </w:r>
    </w:p>
    <w:p w14:paraId="40571E64" w14:textId="7A23E91E" w:rsidR="00B66604" w:rsidRPr="00664E64" w:rsidRDefault="00CA7574" w:rsidP="00DC4EDC">
      <w:pPr>
        <w:pStyle w:val="PlaceholderImage"/>
        <w:spacing w:line="240" w:lineRule="auto"/>
      </w:pPr>
      <w:r w:rsidRPr="00664E64">
        <w:rPr>
          <w:noProof/>
          <w:lang w:eastAsia="en-AU" w:bidi="ar-SA"/>
        </w:rPr>
        <w:drawing>
          <wp:inline distT="0" distB="0" distL="0" distR="0" wp14:anchorId="44E29F85" wp14:editId="40567BF3">
            <wp:extent cx="3143462" cy="3143462"/>
            <wp:effectExtent l="0" t="0" r="0" b="0"/>
            <wp:docPr id="6" name="Picture 6" descr="this is an image of the Australian Institute of Family Studies' logo" title="Image - logo">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hcwang:Documents:My Documents:Current jobs:AIFS:Templates:Style Guide:AIFS Brand_Interim Style Guide:Graphic elements:Graphic-elements-Secondary-Graphic-Large.eps"/>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143689" cy="3143689"/>
                    </a:xfrm>
                    <a:prstGeom prst="rect">
                      <a:avLst/>
                    </a:prstGeom>
                    <a:noFill/>
                    <a:ln>
                      <a:noFill/>
                    </a:ln>
                  </pic:spPr>
                </pic:pic>
              </a:graphicData>
            </a:graphic>
          </wp:inline>
        </w:drawing>
      </w:r>
    </w:p>
    <w:p w14:paraId="6935BECA" w14:textId="77777777" w:rsidR="0006109E" w:rsidRPr="00664E64" w:rsidRDefault="0006109E" w:rsidP="00B05718">
      <w:pPr>
        <w:pStyle w:val="CoverDetails"/>
      </w:pPr>
    </w:p>
    <w:p w14:paraId="4DE52AC4" w14:textId="77777777" w:rsidR="003A2FE4" w:rsidRPr="00664E64" w:rsidRDefault="003A2FE4" w:rsidP="00BF156A">
      <w:pPr>
        <w:pStyle w:val="BodyText"/>
        <w:sectPr w:rsidR="003A2FE4" w:rsidRPr="00664E64" w:rsidSect="004B331F">
          <w:headerReference w:type="default" r:id="rId9"/>
          <w:footerReference w:type="default" r:id="rId10"/>
          <w:headerReference w:type="first" r:id="rId11"/>
          <w:pgSz w:w="11901" w:h="16840"/>
          <w:pgMar w:top="1418" w:right="1701" w:bottom="1418" w:left="1701" w:header="1701" w:footer="680" w:gutter="0"/>
          <w:cols w:space="708"/>
          <w:noEndnote/>
          <w:titlePg/>
        </w:sectPr>
      </w:pPr>
    </w:p>
    <w:p w14:paraId="6BA683CE" w14:textId="0F054C69" w:rsidR="003A2FE4" w:rsidRPr="00377857" w:rsidRDefault="003A2FE4" w:rsidP="003A2FE4">
      <w:pPr>
        <w:pStyle w:val="Heading1"/>
        <w:rPr>
          <w:color w:val="auto"/>
        </w:rPr>
      </w:pPr>
      <w:bookmarkStart w:id="0" w:name="_Toc12022532"/>
      <w:r w:rsidRPr="00377857">
        <w:rPr>
          <w:color w:val="auto"/>
        </w:rPr>
        <w:lastRenderedPageBreak/>
        <w:t>Acknowledg</w:t>
      </w:r>
      <w:r w:rsidR="00FA5AFA" w:rsidRPr="00377857">
        <w:rPr>
          <w:color w:val="auto"/>
        </w:rPr>
        <w:t>e</w:t>
      </w:r>
      <w:r w:rsidRPr="00377857">
        <w:rPr>
          <w:color w:val="auto"/>
        </w:rPr>
        <w:t>ments</w:t>
      </w:r>
      <w:bookmarkEnd w:id="0"/>
    </w:p>
    <w:p w14:paraId="2EC5ACCB" w14:textId="3388B7E8" w:rsidR="00CA7574" w:rsidRPr="00664E64" w:rsidRDefault="006B486B" w:rsidP="00357A3C">
      <w:pPr>
        <w:pStyle w:val="BodyText"/>
        <w:sectPr w:rsidR="00CA7574" w:rsidRPr="00664E64" w:rsidSect="004B331F">
          <w:pgSz w:w="11901" w:h="16840"/>
          <w:pgMar w:top="1418" w:right="1701" w:bottom="1418" w:left="1701" w:header="1701" w:footer="680" w:gutter="0"/>
          <w:cols w:space="708"/>
          <w:noEndnote/>
          <w:titlePg/>
        </w:sectPr>
      </w:pPr>
      <w:r w:rsidRPr="00664E64">
        <w:t xml:space="preserve">The National Consumer Protection </w:t>
      </w:r>
      <w:r w:rsidR="00014A0D" w:rsidRPr="00664E64">
        <w:t>Framework</w:t>
      </w:r>
      <w:r w:rsidRPr="00664E64">
        <w:t xml:space="preserve"> for Online Wagering</w:t>
      </w:r>
      <w:r w:rsidR="00FA5AFA" w:rsidRPr="00664E64">
        <w:t>:</w:t>
      </w:r>
      <w:r w:rsidRPr="00664E64">
        <w:t xml:space="preserve"> Baseline </w:t>
      </w:r>
      <w:r w:rsidR="00267939" w:rsidRPr="00664E64">
        <w:t>s</w:t>
      </w:r>
      <w:r w:rsidRPr="00664E64">
        <w:t>tudy was funded by the Commonwealth Department of Social Services (</w:t>
      </w:r>
      <w:r w:rsidR="00CE278F" w:rsidRPr="00664E64">
        <w:t>the Department</w:t>
      </w:r>
      <w:r w:rsidRPr="00664E64">
        <w:t xml:space="preserve">). Special thanks go to </w:t>
      </w:r>
      <w:r w:rsidR="00CE278F" w:rsidRPr="00664E64">
        <w:t>the Department</w:t>
      </w:r>
      <w:r w:rsidRPr="00664E64">
        <w:t xml:space="preserve"> for their support and guidance throughout the research process, to the team at Roy Morgan Research for their assistance and support with the consumer survey</w:t>
      </w:r>
      <w:r w:rsidR="003B4E97" w:rsidRPr="00664E64">
        <w:t>, and to our current and former AGRC colleagues who have contributed to this project, namely Andrew Armstrong and Cassandra de Lacy-Vawdon</w:t>
      </w:r>
      <w:r w:rsidRPr="00664E64">
        <w:t>.</w:t>
      </w:r>
      <w:r w:rsidR="004615BB" w:rsidRPr="00664E64">
        <w:t xml:space="preserve"> </w:t>
      </w:r>
      <w:r w:rsidRPr="00664E64">
        <w:t>We are indebted to the research participants and key stakeholders for their support, generosity of time and valuable contributions to this research.</w:t>
      </w:r>
    </w:p>
    <w:p w14:paraId="7082C27B" w14:textId="66AC4D31" w:rsidR="008128E5" w:rsidRPr="00BE3CD8" w:rsidRDefault="008128E5" w:rsidP="00180989">
      <w:pPr>
        <w:pStyle w:val="ContentsHeading"/>
        <w:rPr>
          <w:color w:val="auto"/>
        </w:rPr>
      </w:pPr>
      <w:r w:rsidRPr="00BE3CD8">
        <w:rPr>
          <w:color w:val="auto"/>
        </w:rPr>
        <w:lastRenderedPageBreak/>
        <w:t>Contents</w:t>
      </w:r>
    </w:p>
    <w:p w14:paraId="4441ED42" w14:textId="14E40E04" w:rsidR="000728D3" w:rsidRPr="00664E64" w:rsidRDefault="002F774A" w:rsidP="00415C73">
      <w:pPr>
        <w:pStyle w:val="TOC1"/>
        <w:rPr>
          <w:rFonts w:asciiTheme="minorHAnsi" w:hAnsiTheme="minorHAnsi" w:cstheme="minorBidi"/>
          <w:noProof/>
          <w:color w:val="auto"/>
          <w:sz w:val="24"/>
          <w:szCs w:val="24"/>
        </w:rPr>
      </w:pPr>
      <w:r w:rsidRPr="00664E64">
        <w:rPr>
          <w:noProof/>
        </w:rPr>
        <w:fldChar w:fldCharType="begin"/>
      </w:r>
      <w:r w:rsidRPr="00664E64">
        <w:rPr>
          <w:noProof/>
        </w:rPr>
        <w:instrText xml:space="preserve"> TOC \o "1-2" </w:instrText>
      </w:r>
      <w:r w:rsidRPr="00664E64">
        <w:rPr>
          <w:noProof/>
        </w:rPr>
        <w:fldChar w:fldCharType="separate"/>
      </w:r>
      <w:r w:rsidR="000728D3" w:rsidRPr="00664E64">
        <w:rPr>
          <w:noProof/>
        </w:rPr>
        <w:t>Acknowledgements</w:t>
      </w:r>
      <w:r w:rsidR="000728D3" w:rsidRPr="00664E64">
        <w:rPr>
          <w:noProof/>
        </w:rPr>
        <w:tab/>
      </w:r>
      <w:r w:rsidR="000728D3" w:rsidRPr="00664E64">
        <w:rPr>
          <w:noProof/>
        </w:rPr>
        <w:fldChar w:fldCharType="begin"/>
      </w:r>
      <w:r w:rsidR="000728D3" w:rsidRPr="00664E64">
        <w:rPr>
          <w:noProof/>
        </w:rPr>
        <w:instrText xml:space="preserve"> PAGEREF _Toc12022532 \h </w:instrText>
      </w:r>
      <w:r w:rsidR="000728D3" w:rsidRPr="00664E64">
        <w:rPr>
          <w:noProof/>
        </w:rPr>
      </w:r>
      <w:r w:rsidR="000728D3" w:rsidRPr="00664E64">
        <w:rPr>
          <w:noProof/>
        </w:rPr>
        <w:fldChar w:fldCharType="separate"/>
      </w:r>
      <w:r w:rsidR="00354BBD">
        <w:rPr>
          <w:noProof/>
        </w:rPr>
        <w:t>2</w:t>
      </w:r>
      <w:r w:rsidR="000728D3" w:rsidRPr="00664E64">
        <w:rPr>
          <w:noProof/>
        </w:rPr>
        <w:fldChar w:fldCharType="end"/>
      </w:r>
    </w:p>
    <w:p w14:paraId="3037DA0A" w14:textId="2377EAAE" w:rsidR="000728D3" w:rsidRPr="00664E64" w:rsidRDefault="000728D3" w:rsidP="00415C73">
      <w:pPr>
        <w:pStyle w:val="TOC1"/>
        <w:rPr>
          <w:rFonts w:asciiTheme="minorHAnsi" w:hAnsiTheme="minorHAnsi" w:cstheme="minorBidi"/>
          <w:noProof/>
          <w:color w:val="auto"/>
          <w:sz w:val="24"/>
          <w:szCs w:val="24"/>
        </w:rPr>
      </w:pPr>
      <w:r w:rsidRPr="00664E64">
        <w:rPr>
          <w:noProof/>
        </w:rPr>
        <w:t>List of tables and figures</w:t>
      </w:r>
      <w:r w:rsidRPr="00664E64">
        <w:rPr>
          <w:noProof/>
        </w:rPr>
        <w:tab/>
      </w:r>
      <w:r w:rsidRPr="00664E64">
        <w:rPr>
          <w:noProof/>
        </w:rPr>
        <w:fldChar w:fldCharType="begin"/>
      </w:r>
      <w:r w:rsidRPr="00664E64">
        <w:rPr>
          <w:noProof/>
        </w:rPr>
        <w:instrText xml:space="preserve"> PAGEREF _Toc12022533 \h </w:instrText>
      </w:r>
      <w:r w:rsidRPr="00664E64">
        <w:rPr>
          <w:noProof/>
        </w:rPr>
      </w:r>
      <w:r w:rsidRPr="00664E64">
        <w:rPr>
          <w:noProof/>
        </w:rPr>
        <w:fldChar w:fldCharType="separate"/>
      </w:r>
      <w:r w:rsidR="00354BBD">
        <w:rPr>
          <w:noProof/>
        </w:rPr>
        <w:t>5</w:t>
      </w:r>
      <w:r w:rsidRPr="00664E64">
        <w:rPr>
          <w:noProof/>
        </w:rPr>
        <w:fldChar w:fldCharType="end"/>
      </w:r>
    </w:p>
    <w:p w14:paraId="69B47C09" w14:textId="35AE5E61" w:rsidR="000728D3" w:rsidRPr="00664E64" w:rsidRDefault="000728D3" w:rsidP="00415C73">
      <w:pPr>
        <w:pStyle w:val="TOC1"/>
        <w:rPr>
          <w:rFonts w:asciiTheme="minorHAnsi" w:hAnsiTheme="minorHAnsi" w:cstheme="minorBidi"/>
          <w:noProof/>
          <w:color w:val="auto"/>
          <w:sz w:val="24"/>
          <w:szCs w:val="24"/>
        </w:rPr>
      </w:pPr>
      <w:r w:rsidRPr="00664E64">
        <w:rPr>
          <w:noProof/>
        </w:rPr>
        <w:t>Executive summary</w:t>
      </w:r>
      <w:r w:rsidRPr="00664E64">
        <w:rPr>
          <w:noProof/>
        </w:rPr>
        <w:tab/>
      </w:r>
      <w:r w:rsidRPr="00664E64">
        <w:rPr>
          <w:noProof/>
        </w:rPr>
        <w:fldChar w:fldCharType="begin"/>
      </w:r>
      <w:r w:rsidRPr="00664E64">
        <w:rPr>
          <w:noProof/>
        </w:rPr>
        <w:instrText xml:space="preserve"> PAGEREF _Toc12022534 \h </w:instrText>
      </w:r>
      <w:r w:rsidRPr="00664E64">
        <w:rPr>
          <w:noProof/>
        </w:rPr>
      </w:r>
      <w:r w:rsidRPr="00664E64">
        <w:rPr>
          <w:noProof/>
        </w:rPr>
        <w:fldChar w:fldCharType="separate"/>
      </w:r>
      <w:r w:rsidR="00354BBD">
        <w:rPr>
          <w:noProof/>
        </w:rPr>
        <w:t>6</w:t>
      </w:r>
      <w:r w:rsidRPr="00664E64">
        <w:rPr>
          <w:noProof/>
        </w:rPr>
        <w:fldChar w:fldCharType="end"/>
      </w:r>
    </w:p>
    <w:p w14:paraId="4C074D45" w14:textId="06CC23E9" w:rsidR="000728D3" w:rsidRPr="00664E64" w:rsidRDefault="000728D3" w:rsidP="00415C73">
      <w:pPr>
        <w:pStyle w:val="TOC1"/>
        <w:rPr>
          <w:noProof/>
        </w:rPr>
      </w:pPr>
      <w:r w:rsidRPr="00664E64">
        <w:rPr>
          <w:noProof/>
        </w:rPr>
        <w:t>1.</w:t>
      </w:r>
      <w:r w:rsidRPr="00664E64">
        <w:rPr>
          <w:noProof/>
        </w:rPr>
        <w:tab/>
        <w:t>Background</w:t>
      </w:r>
      <w:r w:rsidRPr="00664E64">
        <w:rPr>
          <w:noProof/>
        </w:rPr>
        <w:tab/>
      </w:r>
      <w:r w:rsidRPr="00664E64">
        <w:rPr>
          <w:noProof/>
        </w:rPr>
        <w:fldChar w:fldCharType="begin"/>
      </w:r>
      <w:r w:rsidRPr="00664E64">
        <w:rPr>
          <w:noProof/>
        </w:rPr>
        <w:instrText xml:space="preserve"> PAGEREF _Toc12022535 \h </w:instrText>
      </w:r>
      <w:r w:rsidRPr="00664E64">
        <w:rPr>
          <w:noProof/>
        </w:rPr>
      </w:r>
      <w:r w:rsidRPr="00664E64">
        <w:rPr>
          <w:noProof/>
        </w:rPr>
        <w:fldChar w:fldCharType="separate"/>
      </w:r>
      <w:r w:rsidR="00354BBD">
        <w:rPr>
          <w:noProof/>
        </w:rPr>
        <w:t>10</w:t>
      </w:r>
      <w:r w:rsidRPr="00664E64">
        <w:rPr>
          <w:noProof/>
        </w:rPr>
        <w:fldChar w:fldCharType="end"/>
      </w:r>
    </w:p>
    <w:p w14:paraId="4F2C2E67" w14:textId="339A72D6" w:rsidR="000728D3" w:rsidRPr="00664E64" w:rsidRDefault="000728D3" w:rsidP="00415C73">
      <w:pPr>
        <w:pStyle w:val="TOC1"/>
        <w:rPr>
          <w:rFonts w:asciiTheme="minorHAnsi" w:hAnsiTheme="minorHAnsi" w:cstheme="minorBidi"/>
          <w:iCs/>
          <w:noProof/>
          <w:color w:val="auto"/>
          <w:sz w:val="24"/>
          <w:szCs w:val="24"/>
        </w:rPr>
      </w:pPr>
      <w:r w:rsidRPr="00664E64">
        <w:rPr>
          <w:noProof/>
        </w:rPr>
        <w:t>Evaluation of the National Framework</w:t>
      </w:r>
      <w:r w:rsidRPr="00664E64">
        <w:rPr>
          <w:noProof/>
        </w:rPr>
        <w:tab/>
      </w:r>
      <w:r w:rsidRPr="00664E64">
        <w:rPr>
          <w:noProof/>
        </w:rPr>
        <w:fldChar w:fldCharType="begin"/>
      </w:r>
      <w:r w:rsidRPr="00664E64">
        <w:rPr>
          <w:noProof/>
        </w:rPr>
        <w:instrText xml:space="preserve"> PAGEREF _Toc12022536 \h </w:instrText>
      </w:r>
      <w:r w:rsidRPr="00664E64">
        <w:rPr>
          <w:noProof/>
        </w:rPr>
      </w:r>
      <w:r w:rsidRPr="00664E64">
        <w:rPr>
          <w:noProof/>
        </w:rPr>
        <w:fldChar w:fldCharType="separate"/>
      </w:r>
      <w:r w:rsidR="00354BBD">
        <w:rPr>
          <w:noProof/>
        </w:rPr>
        <w:t>11</w:t>
      </w:r>
      <w:r w:rsidRPr="00664E64">
        <w:rPr>
          <w:noProof/>
        </w:rPr>
        <w:fldChar w:fldCharType="end"/>
      </w:r>
    </w:p>
    <w:p w14:paraId="6CFCF331" w14:textId="39ECF308" w:rsidR="000728D3" w:rsidRPr="00664E64" w:rsidRDefault="000728D3" w:rsidP="00415C73">
      <w:pPr>
        <w:pStyle w:val="TOC1"/>
        <w:rPr>
          <w:rFonts w:asciiTheme="minorHAnsi" w:hAnsiTheme="minorHAnsi" w:cstheme="minorBidi"/>
          <w:noProof/>
          <w:color w:val="auto"/>
          <w:sz w:val="24"/>
          <w:szCs w:val="24"/>
        </w:rPr>
      </w:pPr>
      <w:r w:rsidRPr="00664E64">
        <w:rPr>
          <w:noProof/>
        </w:rPr>
        <w:t>2.</w:t>
      </w:r>
      <w:r w:rsidRPr="00664E64">
        <w:rPr>
          <w:rFonts w:asciiTheme="minorHAnsi" w:hAnsiTheme="minorHAnsi" w:cstheme="minorBidi"/>
          <w:noProof/>
          <w:color w:val="auto"/>
          <w:sz w:val="24"/>
          <w:szCs w:val="24"/>
        </w:rPr>
        <w:tab/>
      </w:r>
      <w:r w:rsidRPr="00664E64">
        <w:rPr>
          <w:noProof/>
        </w:rPr>
        <w:t>Approach</w:t>
      </w:r>
      <w:r w:rsidRPr="00664E64">
        <w:rPr>
          <w:noProof/>
        </w:rPr>
        <w:tab/>
      </w:r>
      <w:r w:rsidRPr="00664E64">
        <w:rPr>
          <w:noProof/>
        </w:rPr>
        <w:fldChar w:fldCharType="begin"/>
      </w:r>
      <w:r w:rsidRPr="00664E64">
        <w:rPr>
          <w:noProof/>
        </w:rPr>
        <w:instrText xml:space="preserve"> PAGEREF _Toc12022537 \h </w:instrText>
      </w:r>
      <w:r w:rsidRPr="00664E64">
        <w:rPr>
          <w:noProof/>
        </w:rPr>
      </w:r>
      <w:r w:rsidRPr="00664E64">
        <w:rPr>
          <w:noProof/>
        </w:rPr>
        <w:fldChar w:fldCharType="separate"/>
      </w:r>
      <w:r w:rsidR="00354BBD">
        <w:rPr>
          <w:noProof/>
        </w:rPr>
        <w:t>13</w:t>
      </w:r>
      <w:r w:rsidRPr="00664E64">
        <w:rPr>
          <w:noProof/>
        </w:rPr>
        <w:fldChar w:fldCharType="end"/>
      </w:r>
    </w:p>
    <w:p w14:paraId="3F0A8D78" w14:textId="3AEB2A2A" w:rsidR="000728D3" w:rsidRPr="00664E64" w:rsidRDefault="000728D3" w:rsidP="00415C73">
      <w:pPr>
        <w:pStyle w:val="TOC1"/>
        <w:rPr>
          <w:rFonts w:asciiTheme="minorHAnsi" w:hAnsiTheme="minorHAnsi" w:cstheme="minorBidi"/>
          <w:iCs/>
          <w:noProof/>
          <w:color w:val="auto"/>
          <w:sz w:val="24"/>
          <w:szCs w:val="24"/>
        </w:rPr>
      </w:pPr>
      <w:r w:rsidRPr="00664E64">
        <w:rPr>
          <w:noProof/>
        </w:rPr>
        <w:t>Desktop review</w:t>
      </w:r>
      <w:r w:rsidRPr="00664E64">
        <w:rPr>
          <w:noProof/>
        </w:rPr>
        <w:tab/>
      </w:r>
      <w:r w:rsidRPr="00664E64">
        <w:rPr>
          <w:noProof/>
        </w:rPr>
        <w:fldChar w:fldCharType="begin"/>
      </w:r>
      <w:r w:rsidRPr="00664E64">
        <w:rPr>
          <w:noProof/>
        </w:rPr>
        <w:instrText xml:space="preserve"> PAGEREF _Toc12022538 \h </w:instrText>
      </w:r>
      <w:r w:rsidRPr="00664E64">
        <w:rPr>
          <w:noProof/>
        </w:rPr>
      </w:r>
      <w:r w:rsidRPr="00664E64">
        <w:rPr>
          <w:noProof/>
        </w:rPr>
        <w:fldChar w:fldCharType="separate"/>
      </w:r>
      <w:r w:rsidR="00354BBD">
        <w:rPr>
          <w:noProof/>
        </w:rPr>
        <w:t>13</w:t>
      </w:r>
      <w:r w:rsidRPr="00664E64">
        <w:rPr>
          <w:noProof/>
        </w:rPr>
        <w:fldChar w:fldCharType="end"/>
      </w:r>
    </w:p>
    <w:p w14:paraId="12E21960" w14:textId="7F5139F1" w:rsidR="000728D3" w:rsidRPr="00664E64" w:rsidRDefault="000728D3" w:rsidP="00415C73">
      <w:pPr>
        <w:pStyle w:val="TOC1"/>
        <w:rPr>
          <w:rFonts w:asciiTheme="minorHAnsi" w:hAnsiTheme="minorHAnsi" w:cstheme="minorBidi"/>
          <w:iCs/>
          <w:noProof/>
          <w:color w:val="auto"/>
          <w:sz w:val="24"/>
          <w:szCs w:val="24"/>
        </w:rPr>
      </w:pPr>
      <w:r w:rsidRPr="00664E64">
        <w:rPr>
          <w:noProof/>
        </w:rPr>
        <w:t>Key stakeholder interviews</w:t>
      </w:r>
      <w:r w:rsidRPr="00664E64">
        <w:rPr>
          <w:noProof/>
        </w:rPr>
        <w:tab/>
      </w:r>
      <w:r w:rsidRPr="00664E64">
        <w:rPr>
          <w:noProof/>
        </w:rPr>
        <w:fldChar w:fldCharType="begin"/>
      </w:r>
      <w:r w:rsidRPr="00664E64">
        <w:rPr>
          <w:noProof/>
        </w:rPr>
        <w:instrText xml:space="preserve"> PAGEREF _Toc12022539 \h </w:instrText>
      </w:r>
      <w:r w:rsidRPr="00664E64">
        <w:rPr>
          <w:noProof/>
        </w:rPr>
      </w:r>
      <w:r w:rsidRPr="00664E64">
        <w:rPr>
          <w:noProof/>
        </w:rPr>
        <w:fldChar w:fldCharType="separate"/>
      </w:r>
      <w:r w:rsidR="00354BBD">
        <w:rPr>
          <w:noProof/>
        </w:rPr>
        <w:t>14</w:t>
      </w:r>
      <w:r w:rsidRPr="00664E64">
        <w:rPr>
          <w:noProof/>
        </w:rPr>
        <w:fldChar w:fldCharType="end"/>
      </w:r>
    </w:p>
    <w:p w14:paraId="06F4371E" w14:textId="38332A01" w:rsidR="000728D3" w:rsidRPr="00664E64" w:rsidRDefault="000728D3" w:rsidP="00415C73">
      <w:pPr>
        <w:pStyle w:val="TOC1"/>
        <w:rPr>
          <w:rFonts w:asciiTheme="minorHAnsi" w:hAnsiTheme="minorHAnsi" w:cstheme="minorBidi"/>
          <w:iCs/>
          <w:noProof/>
          <w:color w:val="auto"/>
          <w:sz w:val="24"/>
          <w:szCs w:val="24"/>
        </w:rPr>
      </w:pPr>
      <w:r w:rsidRPr="00664E64">
        <w:rPr>
          <w:noProof/>
        </w:rPr>
        <w:t>Consumer survey</w:t>
      </w:r>
      <w:r w:rsidRPr="00664E64">
        <w:rPr>
          <w:noProof/>
        </w:rPr>
        <w:tab/>
      </w:r>
      <w:r w:rsidRPr="00664E64">
        <w:rPr>
          <w:noProof/>
        </w:rPr>
        <w:fldChar w:fldCharType="begin"/>
      </w:r>
      <w:r w:rsidRPr="00664E64">
        <w:rPr>
          <w:noProof/>
        </w:rPr>
        <w:instrText xml:space="preserve"> PAGEREF _Toc12022540 \h </w:instrText>
      </w:r>
      <w:r w:rsidRPr="00664E64">
        <w:rPr>
          <w:noProof/>
        </w:rPr>
      </w:r>
      <w:r w:rsidRPr="00664E64">
        <w:rPr>
          <w:noProof/>
        </w:rPr>
        <w:fldChar w:fldCharType="separate"/>
      </w:r>
      <w:r w:rsidR="00354BBD">
        <w:rPr>
          <w:noProof/>
        </w:rPr>
        <w:t>16</w:t>
      </w:r>
      <w:r w:rsidRPr="00664E64">
        <w:rPr>
          <w:noProof/>
        </w:rPr>
        <w:fldChar w:fldCharType="end"/>
      </w:r>
    </w:p>
    <w:p w14:paraId="61F33910" w14:textId="1646D5BC" w:rsidR="000728D3" w:rsidRPr="00664E64" w:rsidRDefault="000728D3" w:rsidP="00415C73">
      <w:pPr>
        <w:pStyle w:val="TOC1"/>
        <w:rPr>
          <w:rFonts w:asciiTheme="minorHAnsi" w:hAnsiTheme="minorHAnsi" w:cstheme="minorBidi"/>
          <w:iCs/>
          <w:noProof/>
          <w:color w:val="auto"/>
          <w:sz w:val="24"/>
          <w:szCs w:val="24"/>
        </w:rPr>
      </w:pPr>
      <w:r w:rsidRPr="00664E64">
        <w:rPr>
          <w:noProof/>
        </w:rPr>
        <w:t>Ethical considerations</w:t>
      </w:r>
      <w:r w:rsidRPr="00664E64">
        <w:rPr>
          <w:noProof/>
        </w:rPr>
        <w:tab/>
      </w:r>
      <w:r w:rsidRPr="00664E64">
        <w:rPr>
          <w:noProof/>
        </w:rPr>
        <w:fldChar w:fldCharType="begin"/>
      </w:r>
      <w:r w:rsidRPr="00664E64">
        <w:rPr>
          <w:noProof/>
        </w:rPr>
        <w:instrText xml:space="preserve"> PAGEREF _Toc12022541 \h </w:instrText>
      </w:r>
      <w:r w:rsidRPr="00664E64">
        <w:rPr>
          <w:noProof/>
        </w:rPr>
      </w:r>
      <w:r w:rsidRPr="00664E64">
        <w:rPr>
          <w:noProof/>
        </w:rPr>
        <w:fldChar w:fldCharType="separate"/>
      </w:r>
      <w:r w:rsidR="00354BBD">
        <w:rPr>
          <w:noProof/>
        </w:rPr>
        <w:t>19</w:t>
      </w:r>
      <w:r w:rsidRPr="00664E64">
        <w:rPr>
          <w:noProof/>
        </w:rPr>
        <w:fldChar w:fldCharType="end"/>
      </w:r>
    </w:p>
    <w:p w14:paraId="4AE0F95F" w14:textId="3D46A5C0" w:rsidR="000728D3" w:rsidRPr="00664E64" w:rsidRDefault="000728D3" w:rsidP="00415C73">
      <w:pPr>
        <w:pStyle w:val="TOC1"/>
        <w:rPr>
          <w:rFonts w:asciiTheme="minorHAnsi" w:hAnsiTheme="minorHAnsi" w:cstheme="minorBidi"/>
          <w:noProof/>
          <w:color w:val="auto"/>
          <w:sz w:val="24"/>
          <w:szCs w:val="24"/>
        </w:rPr>
      </w:pPr>
      <w:r w:rsidRPr="00664E64">
        <w:rPr>
          <w:noProof/>
        </w:rPr>
        <w:t>3.</w:t>
      </w:r>
      <w:r w:rsidRPr="00664E64">
        <w:rPr>
          <w:rFonts w:asciiTheme="minorHAnsi" w:hAnsiTheme="minorHAnsi" w:cstheme="minorBidi"/>
          <w:noProof/>
          <w:color w:val="auto"/>
          <w:sz w:val="24"/>
          <w:szCs w:val="24"/>
        </w:rPr>
        <w:tab/>
      </w:r>
      <w:r w:rsidRPr="00664E64">
        <w:rPr>
          <w:noProof/>
        </w:rPr>
        <w:t>Desktop review: key findings</w:t>
      </w:r>
      <w:r w:rsidRPr="00664E64">
        <w:rPr>
          <w:noProof/>
        </w:rPr>
        <w:tab/>
      </w:r>
      <w:r w:rsidRPr="00664E64">
        <w:rPr>
          <w:noProof/>
        </w:rPr>
        <w:fldChar w:fldCharType="begin"/>
      </w:r>
      <w:r w:rsidRPr="00664E64">
        <w:rPr>
          <w:noProof/>
        </w:rPr>
        <w:instrText xml:space="preserve"> PAGEREF _Toc12022542 \h </w:instrText>
      </w:r>
      <w:r w:rsidRPr="00664E64">
        <w:rPr>
          <w:noProof/>
        </w:rPr>
      </w:r>
      <w:r w:rsidRPr="00664E64">
        <w:rPr>
          <w:noProof/>
        </w:rPr>
        <w:fldChar w:fldCharType="separate"/>
      </w:r>
      <w:r w:rsidR="00354BBD">
        <w:rPr>
          <w:noProof/>
        </w:rPr>
        <w:t>20</w:t>
      </w:r>
      <w:r w:rsidRPr="00664E64">
        <w:rPr>
          <w:noProof/>
        </w:rPr>
        <w:fldChar w:fldCharType="end"/>
      </w:r>
    </w:p>
    <w:p w14:paraId="33CB9431" w14:textId="04BD72B2" w:rsidR="000728D3" w:rsidRPr="00664E64" w:rsidRDefault="000728D3" w:rsidP="00415C73">
      <w:pPr>
        <w:pStyle w:val="TOC1"/>
        <w:rPr>
          <w:rFonts w:asciiTheme="minorHAnsi" w:hAnsiTheme="minorHAnsi" w:cstheme="minorBidi"/>
          <w:iCs/>
          <w:noProof/>
          <w:color w:val="auto"/>
          <w:sz w:val="24"/>
          <w:szCs w:val="24"/>
        </w:rPr>
      </w:pPr>
      <w:r w:rsidRPr="00664E64">
        <w:rPr>
          <w:noProof/>
        </w:rPr>
        <w:t>Provider websites</w:t>
      </w:r>
      <w:r w:rsidRPr="00664E64">
        <w:rPr>
          <w:noProof/>
        </w:rPr>
        <w:tab/>
      </w:r>
      <w:r w:rsidRPr="00664E64">
        <w:rPr>
          <w:noProof/>
        </w:rPr>
        <w:fldChar w:fldCharType="begin"/>
      </w:r>
      <w:r w:rsidRPr="00664E64">
        <w:rPr>
          <w:noProof/>
        </w:rPr>
        <w:instrText xml:space="preserve"> PAGEREF _Toc12022543 \h </w:instrText>
      </w:r>
      <w:r w:rsidRPr="00664E64">
        <w:rPr>
          <w:noProof/>
        </w:rPr>
      </w:r>
      <w:r w:rsidRPr="00664E64">
        <w:rPr>
          <w:noProof/>
        </w:rPr>
        <w:fldChar w:fldCharType="separate"/>
      </w:r>
      <w:r w:rsidR="00354BBD">
        <w:rPr>
          <w:noProof/>
        </w:rPr>
        <w:t>20</w:t>
      </w:r>
      <w:r w:rsidRPr="00664E64">
        <w:rPr>
          <w:noProof/>
        </w:rPr>
        <w:fldChar w:fldCharType="end"/>
      </w:r>
    </w:p>
    <w:p w14:paraId="2400FE1C" w14:textId="76ECDD33" w:rsidR="000728D3" w:rsidRPr="00664E64" w:rsidRDefault="000728D3" w:rsidP="00415C73">
      <w:pPr>
        <w:pStyle w:val="TOC1"/>
        <w:rPr>
          <w:rFonts w:asciiTheme="minorHAnsi" w:hAnsiTheme="minorHAnsi" w:cstheme="minorBidi"/>
          <w:iCs/>
          <w:noProof/>
          <w:color w:val="auto"/>
          <w:sz w:val="24"/>
          <w:szCs w:val="24"/>
        </w:rPr>
      </w:pPr>
      <w:r w:rsidRPr="00664E64">
        <w:rPr>
          <w:noProof/>
        </w:rPr>
        <w:t>Regulator websites</w:t>
      </w:r>
      <w:r w:rsidRPr="00664E64">
        <w:rPr>
          <w:noProof/>
        </w:rPr>
        <w:tab/>
      </w:r>
      <w:r w:rsidRPr="00664E64">
        <w:rPr>
          <w:noProof/>
        </w:rPr>
        <w:fldChar w:fldCharType="begin"/>
      </w:r>
      <w:r w:rsidRPr="00664E64">
        <w:rPr>
          <w:noProof/>
        </w:rPr>
        <w:instrText xml:space="preserve"> PAGEREF _Toc12022544 \h </w:instrText>
      </w:r>
      <w:r w:rsidRPr="00664E64">
        <w:rPr>
          <w:noProof/>
        </w:rPr>
      </w:r>
      <w:r w:rsidRPr="00664E64">
        <w:rPr>
          <w:noProof/>
        </w:rPr>
        <w:fldChar w:fldCharType="separate"/>
      </w:r>
      <w:r w:rsidR="00354BBD">
        <w:rPr>
          <w:noProof/>
        </w:rPr>
        <w:t>22</w:t>
      </w:r>
      <w:r w:rsidRPr="00664E64">
        <w:rPr>
          <w:noProof/>
        </w:rPr>
        <w:fldChar w:fldCharType="end"/>
      </w:r>
    </w:p>
    <w:p w14:paraId="552137A3" w14:textId="24C3E971" w:rsidR="000728D3" w:rsidRPr="00664E64" w:rsidRDefault="000728D3" w:rsidP="00415C73">
      <w:pPr>
        <w:pStyle w:val="TOC1"/>
        <w:rPr>
          <w:rFonts w:asciiTheme="minorHAnsi" w:hAnsiTheme="minorHAnsi" w:cstheme="minorBidi"/>
          <w:noProof/>
          <w:color w:val="auto"/>
          <w:sz w:val="24"/>
          <w:szCs w:val="24"/>
        </w:rPr>
      </w:pPr>
      <w:r w:rsidRPr="00664E64">
        <w:rPr>
          <w:noProof/>
        </w:rPr>
        <w:t>4.</w:t>
      </w:r>
      <w:r w:rsidRPr="00664E64">
        <w:rPr>
          <w:rFonts w:asciiTheme="minorHAnsi" w:hAnsiTheme="minorHAnsi" w:cstheme="minorBidi"/>
          <w:noProof/>
          <w:color w:val="auto"/>
          <w:sz w:val="24"/>
          <w:szCs w:val="24"/>
        </w:rPr>
        <w:tab/>
      </w:r>
      <w:r w:rsidRPr="00664E64">
        <w:rPr>
          <w:noProof/>
        </w:rPr>
        <w:t>Stakeholder interviews: key findings</w:t>
      </w:r>
      <w:r w:rsidRPr="00664E64">
        <w:rPr>
          <w:noProof/>
        </w:rPr>
        <w:tab/>
      </w:r>
      <w:r w:rsidRPr="00664E64">
        <w:rPr>
          <w:noProof/>
        </w:rPr>
        <w:fldChar w:fldCharType="begin"/>
      </w:r>
      <w:r w:rsidRPr="00664E64">
        <w:rPr>
          <w:noProof/>
        </w:rPr>
        <w:instrText xml:space="preserve"> PAGEREF _Toc12022546 \h </w:instrText>
      </w:r>
      <w:r w:rsidRPr="00664E64">
        <w:rPr>
          <w:noProof/>
        </w:rPr>
      </w:r>
      <w:r w:rsidRPr="00664E64">
        <w:rPr>
          <w:noProof/>
        </w:rPr>
        <w:fldChar w:fldCharType="separate"/>
      </w:r>
      <w:r w:rsidR="00354BBD">
        <w:rPr>
          <w:noProof/>
        </w:rPr>
        <w:t>24</w:t>
      </w:r>
      <w:r w:rsidRPr="00664E64">
        <w:rPr>
          <w:noProof/>
        </w:rPr>
        <w:fldChar w:fldCharType="end"/>
      </w:r>
    </w:p>
    <w:p w14:paraId="76603C48" w14:textId="33ADCD5F" w:rsidR="000728D3" w:rsidRPr="00664E64" w:rsidRDefault="000728D3" w:rsidP="00415C73">
      <w:pPr>
        <w:pStyle w:val="TOC1"/>
        <w:rPr>
          <w:rFonts w:asciiTheme="minorHAnsi" w:hAnsiTheme="minorHAnsi" w:cstheme="minorBidi"/>
          <w:iCs/>
          <w:noProof/>
          <w:color w:val="auto"/>
          <w:sz w:val="24"/>
          <w:szCs w:val="24"/>
        </w:rPr>
      </w:pPr>
      <w:r w:rsidRPr="00664E64">
        <w:rPr>
          <w:noProof/>
        </w:rPr>
        <w:t>Commonwealth, State and Territory Gambling Regulatory Bodies</w:t>
      </w:r>
      <w:r w:rsidRPr="00664E64">
        <w:rPr>
          <w:noProof/>
        </w:rPr>
        <w:tab/>
      </w:r>
      <w:r w:rsidRPr="00664E64">
        <w:rPr>
          <w:noProof/>
        </w:rPr>
        <w:fldChar w:fldCharType="begin"/>
      </w:r>
      <w:r w:rsidRPr="00664E64">
        <w:rPr>
          <w:noProof/>
        </w:rPr>
        <w:instrText xml:space="preserve"> PAGEREF _Toc12022547 \h </w:instrText>
      </w:r>
      <w:r w:rsidRPr="00664E64">
        <w:rPr>
          <w:noProof/>
        </w:rPr>
      </w:r>
      <w:r w:rsidRPr="00664E64">
        <w:rPr>
          <w:noProof/>
        </w:rPr>
        <w:fldChar w:fldCharType="separate"/>
      </w:r>
      <w:r w:rsidR="00354BBD">
        <w:rPr>
          <w:noProof/>
        </w:rPr>
        <w:t>24</w:t>
      </w:r>
      <w:r w:rsidRPr="00664E64">
        <w:rPr>
          <w:noProof/>
        </w:rPr>
        <w:fldChar w:fldCharType="end"/>
      </w:r>
    </w:p>
    <w:p w14:paraId="64F58EB7" w14:textId="4C892975" w:rsidR="000728D3" w:rsidRPr="00664E64" w:rsidRDefault="000728D3" w:rsidP="00415C73">
      <w:pPr>
        <w:pStyle w:val="TOC1"/>
        <w:rPr>
          <w:rFonts w:asciiTheme="minorHAnsi" w:hAnsiTheme="minorHAnsi" w:cstheme="minorBidi"/>
          <w:iCs/>
          <w:noProof/>
          <w:color w:val="auto"/>
          <w:sz w:val="24"/>
          <w:szCs w:val="24"/>
        </w:rPr>
      </w:pPr>
      <w:r w:rsidRPr="00664E64">
        <w:rPr>
          <w:noProof/>
        </w:rPr>
        <w:t>Online wagering providers</w:t>
      </w:r>
      <w:r w:rsidRPr="00664E64">
        <w:rPr>
          <w:noProof/>
        </w:rPr>
        <w:tab/>
      </w:r>
      <w:r w:rsidRPr="00664E64">
        <w:rPr>
          <w:noProof/>
        </w:rPr>
        <w:fldChar w:fldCharType="begin"/>
      </w:r>
      <w:r w:rsidRPr="00664E64">
        <w:rPr>
          <w:noProof/>
        </w:rPr>
        <w:instrText xml:space="preserve"> PAGEREF _Toc12022548 \h </w:instrText>
      </w:r>
      <w:r w:rsidRPr="00664E64">
        <w:rPr>
          <w:noProof/>
        </w:rPr>
      </w:r>
      <w:r w:rsidRPr="00664E64">
        <w:rPr>
          <w:noProof/>
        </w:rPr>
        <w:fldChar w:fldCharType="separate"/>
      </w:r>
      <w:r w:rsidR="00354BBD">
        <w:rPr>
          <w:noProof/>
        </w:rPr>
        <w:t>34</w:t>
      </w:r>
      <w:r w:rsidRPr="00664E64">
        <w:rPr>
          <w:noProof/>
        </w:rPr>
        <w:fldChar w:fldCharType="end"/>
      </w:r>
    </w:p>
    <w:p w14:paraId="3B70E65C" w14:textId="6B4F397F" w:rsidR="000728D3" w:rsidRPr="00664E64" w:rsidRDefault="000728D3" w:rsidP="00415C73">
      <w:pPr>
        <w:pStyle w:val="TOC1"/>
        <w:rPr>
          <w:rFonts w:asciiTheme="minorHAnsi" w:hAnsiTheme="minorHAnsi" w:cstheme="minorBidi"/>
          <w:noProof/>
          <w:color w:val="auto"/>
          <w:sz w:val="24"/>
          <w:szCs w:val="24"/>
        </w:rPr>
      </w:pPr>
      <w:r w:rsidRPr="00664E64">
        <w:rPr>
          <w:noProof/>
        </w:rPr>
        <w:t>5.</w:t>
      </w:r>
      <w:r w:rsidRPr="00664E64">
        <w:rPr>
          <w:rFonts w:asciiTheme="minorHAnsi" w:hAnsiTheme="minorHAnsi" w:cstheme="minorBidi"/>
          <w:noProof/>
          <w:color w:val="auto"/>
          <w:sz w:val="24"/>
          <w:szCs w:val="24"/>
        </w:rPr>
        <w:tab/>
      </w:r>
      <w:r w:rsidRPr="00664E64">
        <w:rPr>
          <w:noProof/>
        </w:rPr>
        <w:t>Consumer survey: key findings</w:t>
      </w:r>
      <w:r w:rsidRPr="00664E64">
        <w:rPr>
          <w:noProof/>
        </w:rPr>
        <w:tab/>
      </w:r>
      <w:r w:rsidRPr="00664E64">
        <w:rPr>
          <w:noProof/>
        </w:rPr>
        <w:fldChar w:fldCharType="begin"/>
      </w:r>
      <w:r w:rsidRPr="00664E64">
        <w:rPr>
          <w:noProof/>
        </w:rPr>
        <w:instrText xml:space="preserve"> PAGEREF _Toc12022549 \h </w:instrText>
      </w:r>
      <w:r w:rsidRPr="00664E64">
        <w:rPr>
          <w:noProof/>
        </w:rPr>
      </w:r>
      <w:r w:rsidRPr="00664E64">
        <w:rPr>
          <w:noProof/>
        </w:rPr>
        <w:fldChar w:fldCharType="separate"/>
      </w:r>
      <w:r w:rsidR="00354BBD">
        <w:rPr>
          <w:noProof/>
        </w:rPr>
        <w:t>46</w:t>
      </w:r>
      <w:r w:rsidRPr="00664E64">
        <w:rPr>
          <w:noProof/>
        </w:rPr>
        <w:fldChar w:fldCharType="end"/>
      </w:r>
    </w:p>
    <w:p w14:paraId="75423621" w14:textId="7CB9BE66" w:rsidR="000728D3" w:rsidRPr="00664E64" w:rsidRDefault="000728D3" w:rsidP="00415C73">
      <w:pPr>
        <w:pStyle w:val="TOC1"/>
        <w:rPr>
          <w:rFonts w:asciiTheme="minorHAnsi" w:hAnsiTheme="minorHAnsi" w:cstheme="minorBidi"/>
          <w:iCs/>
          <w:noProof/>
          <w:color w:val="auto"/>
          <w:sz w:val="24"/>
          <w:szCs w:val="24"/>
        </w:rPr>
      </w:pPr>
      <w:r w:rsidRPr="00664E64">
        <w:rPr>
          <w:noProof/>
        </w:rPr>
        <w:t>Participant characteristics</w:t>
      </w:r>
      <w:r w:rsidRPr="00664E64">
        <w:rPr>
          <w:noProof/>
        </w:rPr>
        <w:tab/>
      </w:r>
      <w:r w:rsidRPr="00664E64">
        <w:rPr>
          <w:noProof/>
        </w:rPr>
        <w:fldChar w:fldCharType="begin"/>
      </w:r>
      <w:r w:rsidRPr="00664E64">
        <w:rPr>
          <w:noProof/>
        </w:rPr>
        <w:instrText xml:space="preserve"> PAGEREF _Toc12022550 \h </w:instrText>
      </w:r>
      <w:r w:rsidRPr="00664E64">
        <w:rPr>
          <w:noProof/>
        </w:rPr>
      </w:r>
      <w:r w:rsidRPr="00664E64">
        <w:rPr>
          <w:noProof/>
        </w:rPr>
        <w:fldChar w:fldCharType="separate"/>
      </w:r>
      <w:r w:rsidR="00354BBD">
        <w:rPr>
          <w:noProof/>
        </w:rPr>
        <w:t>46</w:t>
      </w:r>
      <w:r w:rsidRPr="00664E64">
        <w:rPr>
          <w:noProof/>
        </w:rPr>
        <w:fldChar w:fldCharType="end"/>
      </w:r>
    </w:p>
    <w:p w14:paraId="0823809C" w14:textId="799FB984" w:rsidR="000728D3" w:rsidRPr="00664E64" w:rsidRDefault="000728D3" w:rsidP="00415C73">
      <w:pPr>
        <w:pStyle w:val="TOC1"/>
        <w:rPr>
          <w:rFonts w:asciiTheme="minorHAnsi" w:hAnsiTheme="minorHAnsi" w:cstheme="minorBidi"/>
          <w:iCs/>
          <w:noProof/>
          <w:color w:val="auto"/>
          <w:sz w:val="24"/>
          <w:szCs w:val="24"/>
        </w:rPr>
      </w:pPr>
      <w:r w:rsidRPr="00664E64">
        <w:rPr>
          <w:noProof/>
        </w:rPr>
        <w:t>Gambling participation</w:t>
      </w:r>
      <w:r w:rsidRPr="00664E64">
        <w:rPr>
          <w:noProof/>
        </w:rPr>
        <w:tab/>
      </w:r>
      <w:r w:rsidRPr="00664E64">
        <w:rPr>
          <w:noProof/>
        </w:rPr>
        <w:fldChar w:fldCharType="begin"/>
      </w:r>
      <w:r w:rsidRPr="00664E64">
        <w:rPr>
          <w:noProof/>
        </w:rPr>
        <w:instrText xml:space="preserve"> PAGEREF _Toc12022551 \h </w:instrText>
      </w:r>
      <w:r w:rsidRPr="00664E64">
        <w:rPr>
          <w:noProof/>
        </w:rPr>
      </w:r>
      <w:r w:rsidRPr="00664E64">
        <w:rPr>
          <w:noProof/>
        </w:rPr>
        <w:fldChar w:fldCharType="separate"/>
      </w:r>
      <w:r w:rsidR="00354BBD">
        <w:rPr>
          <w:noProof/>
        </w:rPr>
        <w:t>49</w:t>
      </w:r>
      <w:r w:rsidRPr="00664E64">
        <w:rPr>
          <w:noProof/>
        </w:rPr>
        <w:fldChar w:fldCharType="end"/>
      </w:r>
    </w:p>
    <w:p w14:paraId="55099472" w14:textId="4155DF8F" w:rsidR="000728D3" w:rsidRPr="00664E64" w:rsidRDefault="000728D3" w:rsidP="00415C73">
      <w:pPr>
        <w:pStyle w:val="TOC1"/>
        <w:rPr>
          <w:rFonts w:asciiTheme="minorHAnsi" w:hAnsiTheme="minorHAnsi" w:cstheme="minorBidi"/>
          <w:iCs/>
          <w:noProof/>
          <w:color w:val="auto"/>
          <w:sz w:val="24"/>
          <w:szCs w:val="24"/>
        </w:rPr>
      </w:pPr>
      <w:r w:rsidRPr="00664E64">
        <w:rPr>
          <w:noProof/>
        </w:rPr>
        <w:t>Online wagering participation</w:t>
      </w:r>
      <w:r w:rsidRPr="00664E64">
        <w:rPr>
          <w:noProof/>
        </w:rPr>
        <w:tab/>
      </w:r>
      <w:r w:rsidRPr="00664E64">
        <w:rPr>
          <w:noProof/>
        </w:rPr>
        <w:fldChar w:fldCharType="begin"/>
      </w:r>
      <w:r w:rsidRPr="00664E64">
        <w:rPr>
          <w:noProof/>
        </w:rPr>
        <w:instrText xml:space="preserve"> PAGEREF _Toc12022552 \h </w:instrText>
      </w:r>
      <w:r w:rsidRPr="00664E64">
        <w:rPr>
          <w:noProof/>
        </w:rPr>
      </w:r>
      <w:r w:rsidRPr="00664E64">
        <w:rPr>
          <w:noProof/>
        </w:rPr>
        <w:fldChar w:fldCharType="separate"/>
      </w:r>
      <w:r w:rsidR="00354BBD">
        <w:rPr>
          <w:noProof/>
        </w:rPr>
        <w:t>56</w:t>
      </w:r>
      <w:r w:rsidRPr="00664E64">
        <w:rPr>
          <w:noProof/>
        </w:rPr>
        <w:fldChar w:fldCharType="end"/>
      </w:r>
    </w:p>
    <w:p w14:paraId="6B90C6F5" w14:textId="2009FB20" w:rsidR="000728D3" w:rsidRPr="00664E64" w:rsidRDefault="000728D3" w:rsidP="00415C73">
      <w:pPr>
        <w:pStyle w:val="TOC1"/>
        <w:rPr>
          <w:rFonts w:asciiTheme="minorHAnsi" w:hAnsiTheme="minorHAnsi" w:cstheme="minorBidi"/>
          <w:iCs/>
          <w:noProof/>
          <w:color w:val="auto"/>
          <w:sz w:val="24"/>
          <w:szCs w:val="24"/>
        </w:rPr>
      </w:pPr>
      <w:r w:rsidRPr="00664E64">
        <w:rPr>
          <w:noProof/>
        </w:rPr>
        <w:t>Other gambling participation</w:t>
      </w:r>
      <w:r w:rsidRPr="00664E64">
        <w:rPr>
          <w:noProof/>
        </w:rPr>
        <w:tab/>
      </w:r>
      <w:r w:rsidRPr="00664E64">
        <w:rPr>
          <w:noProof/>
        </w:rPr>
        <w:fldChar w:fldCharType="begin"/>
      </w:r>
      <w:r w:rsidRPr="00664E64">
        <w:rPr>
          <w:noProof/>
        </w:rPr>
        <w:instrText xml:space="preserve"> PAGEREF _Toc12022553 \h </w:instrText>
      </w:r>
      <w:r w:rsidRPr="00664E64">
        <w:rPr>
          <w:noProof/>
        </w:rPr>
      </w:r>
      <w:r w:rsidRPr="00664E64">
        <w:rPr>
          <w:noProof/>
        </w:rPr>
        <w:fldChar w:fldCharType="separate"/>
      </w:r>
      <w:r w:rsidR="00354BBD">
        <w:rPr>
          <w:noProof/>
        </w:rPr>
        <w:t>60</w:t>
      </w:r>
      <w:r w:rsidRPr="00664E64">
        <w:rPr>
          <w:noProof/>
        </w:rPr>
        <w:fldChar w:fldCharType="end"/>
      </w:r>
    </w:p>
    <w:p w14:paraId="2C2D9446" w14:textId="587B7E4D" w:rsidR="000728D3" w:rsidRPr="00664E64" w:rsidRDefault="000728D3" w:rsidP="00415C73">
      <w:pPr>
        <w:pStyle w:val="TOC1"/>
        <w:rPr>
          <w:rFonts w:asciiTheme="minorHAnsi" w:hAnsiTheme="minorHAnsi" w:cstheme="minorBidi"/>
          <w:iCs/>
          <w:noProof/>
          <w:color w:val="auto"/>
          <w:sz w:val="24"/>
          <w:szCs w:val="24"/>
        </w:rPr>
      </w:pPr>
      <w:r w:rsidRPr="00664E64">
        <w:rPr>
          <w:noProof/>
        </w:rPr>
        <w:t>Wagering motivations and control measures</w:t>
      </w:r>
      <w:r w:rsidRPr="00664E64">
        <w:rPr>
          <w:noProof/>
        </w:rPr>
        <w:tab/>
      </w:r>
      <w:r w:rsidRPr="00664E64">
        <w:rPr>
          <w:noProof/>
        </w:rPr>
        <w:fldChar w:fldCharType="begin"/>
      </w:r>
      <w:r w:rsidRPr="00664E64">
        <w:rPr>
          <w:noProof/>
        </w:rPr>
        <w:instrText xml:space="preserve"> PAGEREF _Toc12022554 \h </w:instrText>
      </w:r>
      <w:r w:rsidRPr="00664E64">
        <w:rPr>
          <w:noProof/>
        </w:rPr>
      </w:r>
      <w:r w:rsidRPr="00664E64">
        <w:rPr>
          <w:noProof/>
        </w:rPr>
        <w:fldChar w:fldCharType="separate"/>
      </w:r>
      <w:r w:rsidR="00354BBD">
        <w:rPr>
          <w:noProof/>
        </w:rPr>
        <w:t>61</w:t>
      </w:r>
      <w:r w:rsidRPr="00664E64">
        <w:rPr>
          <w:noProof/>
        </w:rPr>
        <w:fldChar w:fldCharType="end"/>
      </w:r>
    </w:p>
    <w:p w14:paraId="6B9E113A" w14:textId="394B5B83" w:rsidR="000728D3" w:rsidRPr="00664E64" w:rsidRDefault="000728D3" w:rsidP="00415C73">
      <w:pPr>
        <w:pStyle w:val="TOC1"/>
        <w:rPr>
          <w:rFonts w:asciiTheme="minorHAnsi" w:hAnsiTheme="minorHAnsi" w:cstheme="minorBidi"/>
          <w:iCs/>
          <w:noProof/>
          <w:color w:val="auto"/>
          <w:sz w:val="24"/>
          <w:szCs w:val="24"/>
        </w:rPr>
      </w:pPr>
      <w:r w:rsidRPr="00664E64">
        <w:rPr>
          <w:noProof/>
        </w:rPr>
        <w:t>Gambling-related harm</w:t>
      </w:r>
      <w:r w:rsidRPr="00664E64">
        <w:rPr>
          <w:noProof/>
        </w:rPr>
        <w:tab/>
      </w:r>
      <w:r w:rsidRPr="00664E64">
        <w:rPr>
          <w:noProof/>
        </w:rPr>
        <w:fldChar w:fldCharType="begin"/>
      </w:r>
      <w:r w:rsidRPr="00664E64">
        <w:rPr>
          <w:noProof/>
        </w:rPr>
        <w:instrText xml:space="preserve"> PAGEREF _Toc12022555 \h </w:instrText>
      </w:r>
      <w:r w:rsidRPr="00664E64">
        <w:rPr>
          <w:noProof/>
        </w:rPr>
      </w:r>
      <w:r w:rsidRPr="00664E64">
        <w:rPr>
          <w:noProof/>
        </w:rPr>
        <w:fldChar w:fldCharType="separate"/>
      </w:r>
      <w:r w:rsidR="00354BBD">
        <w:rPr>
          <w:noProof/>
        </w:rPr>
        <w:t>64</w:t>
      </w:r>
      <w:r w:rsidRPr="00664E64">
        <w:rPr>
          <w:noProof/>
        </w:rPr>
        <w:fldChar w:fldCharType="end"/>
      </w:r>
    </w:p>
    <w:p w14:paraId="2A07C912" w14:textId="4815D735" w:rsidR="000728D3" w:rsidRPr="00664E64" w:rsidRDefault="000728D3" w:rsidP="00415C73">
      <w:pPr>
        <w:pStyle w:val="TOC1"/>
        <w:rPr>
          <w:rFonts w:asciiTheme="minorHAnsi" w:hAnsiTheme="minorHAnsi" w:cstheme="minorBidi"/>
          <w:iCs/>
          <w:noProof/>
          <w:color w:val="auto"/>
          <w:sz w:val="24"/>
          <w:szCs w:val="24"/>
        </w:rPr>
      </w:pPr>
      <w:r w:rsidRPr="00664E64">
        <w:rPr>
          <w:noProof/>
        </w:rPr>
        <w:t>Personal wellbeing</w:t>
      </w:r>
      <w:r w:rsidRPr="00664E64">
        <w:rPr>
          <w:noProof/>
        </w:rPr>
        <w:tab/>
      </w:r>
      <w:r w:rsidRPr="00664E64">
        <w:rPr>
          <w:noProof/>
        </w:rPr>
        <w:fldChar w:fldCharType="begin"/>
      </w:r>
      <w:r w:rsidRPr="00664E64">
        <w:rPr>
          <w:noProof/>
        </w:rPr>
        <w:instrText xml:space="preserve"> PAGEREF _Toc12022556 \h </w:instrText>
      </w:r>
      <w:r w:rsidRPr="00664E64">
        <w:rPr>
          <w:noProof/>
        </w:rPr>
      </w:r>
      <w:r w:rsidRPr="00664E64">
        <w:rPr>
          <w:noProof/>
        </w:rPr>
        <w:fldChar w:fldCharType="separate"/>
      </w:r>
      <w:r w:rsidR="00354BBD">
        <w:rPr>
          <w:noProof/>
        </w:rPr>
        <w:t>68</w:t>
      </w:r>
      <w:r w:rsidRPr="00664E64">
        <w:rPr>
          <w:noProof/>
        </w:rPr>
        <w:fldChar w:fldCharType="end"/>
      </w:r>
    </w:p>
    <w:p w14:paraId="07B979B4" w14:textId="28D201B4" w:rsidR="000728D3" w:rsidRPr="00664E64" w:rsidRDefault="000728D3" w:rsidP="00415C73">
      <w:pPr>
        <w:pStyle w:val="TOC1"/>
        <w:rPr>
          <w:rFonts w:asciiTheme="minorHAnsi" w:hAnsiTheme="minorHAnsi" w:cstheme="minorBidi"/>
          <w:iCs/>
          <w:noProof/>
          <w:color w:val="auto"/>
          <w:sz w:val="24"/>
          <w:szCs w:val="24"/>
        </w:rPr>
      </w:pPr>
      <w:r w:rsidRPr="00664E64">
        <w:rPr>
          <w:noProof/>
        </w:rPr>
        <w:t>Consumer protection measures</w:t>
      </w:r>
      <w:r w:rsidRPr="00664E64">
        <w:rPr>
          <w:noProof/>
        </w:rPr>
        <w:tab/>
      </w:r>
      <w:r w:rsidRPr="00664E64">
        <w:rPr>
          <w:noProof/>
        </w:rPr>
        <w:fldChar w:fldCharType="begin"/>
      </w:r>
      <w:r w:rsidRPr="00664E64">
        <w:rPr>
          <w:noProof/>
        </w:rPr>
        <w:instrText xml:space="preserve"> PAGEREF _Toc12022557 \h </w:instrText>
      </w:r>
      <w:r w:rsidRPr="00664E64">
        <w:rPr>
          <w:noProof/>
        </w:rPr>
      </w:r>
      <w:r w:rsidRPr="00664E64">
        <w:rPr>
          <w:noProof/>
        </w:rPr>
        <w:fldChar w:fldCharType="separate"/>
      </w:r>
      <w:r w:rsidR="00354BBD">
        <w:rPr>
          <w:noProof/>
        </w:rPr>
        <w:t>69</w:t>
      </w:r>
      <w:r w:rsidRPr="00664E64">
        <w:rPr>
          <w:noProof/>
        </w:rPr>
        <w:fldChar w:fldCharType="end"/>
      </w:r>
    </w:p>
    <w:p w14:paraId="717EB0C6" w14:textId="36E6EB78" w:rsidR="000728D3" w:rsidRPr="00664E64" w:rsidRDefault="000728D3" w:rsidP="00415C73">
      <w:pPr>
        <w:pStyle w:val="TOC1"/>
        <w:rPr>
          <w:rFonts w:asciiTheme="minorHAnsi" w:hAnsiTheme="minorHAnsi" w:cstheme="minorBidi"/>
          <w:noProof/>
          <w:color w:val="auto"/>
          <w:sz w:val="24"/>
          <w:szCs w:val="24"/>
        </w:rPr>
      </w:pPr>
      <w:r w:rsidRPr="00664E64">
        <w:rPr>
          <w:noProof/>
        </w:rPr>
        <w:t>6.</w:t>
      </w:r>
      <w:r w:rsidRPr="00664E64">
        <w:rPr>
          <w:rFonts w:asciiTheme="minorHAnsi" w:hAnsiTheme="minorHAnsi" w:cstheme="minorBidi"/>
          <w:noProof/>
          <w:color w:val="auto"/>
          <w:sz w:val="24"/>
          <w:szCs w:val="24"/>
        </w:rPr>
        <w:tab/>
      </w:r>
      <w:r w:rsidRPr="00664E64">
        <w:rPr>
          <w:noProof/>
        </w:rPr>
        <w:t>Summary and future directions</w:t>
      </w:r>
      <w:r w:rsidRPr="00664E64">
        <w:rPr>
          <w:noProof/>
        </w:rPr>
        <w:tab/>
      </w:r>
      <w:r w:rsidRPr="00664E64">
        <w:rPr>
          <w:noProof/>
        </w:rPr>
        <w:fldChar w:fldCharType="begin"/>
      </w:r>
      <w:r w:rsidRPr="00664E64">
        <w:rPr>
          <w:noProof/>
        </w:rPr>
        <w:instrText xml:space="preserve"> PAGEREF _Toc12022558 \h </w:instrText>
      </w:r>
      <w:r w:rsidRPr="00664E64">
        <w:rPr>
          <w:noProof/>
        </w:rPr>
      </w:r>
      <w:r w:rsidRPr="00664E64">
        <w:rPr>
          <w:noProof/>
        </w:rPr>
        <w:fldChar w:fldCharType="separate"/>
      </w:r>
      <w:r w:rsidR="00354BBD">
        <w:rPr>
          <w:noProof/>
        </w:rPr>
        <w:t>80</w:t>
      </w:r>
      <w:r w:rsidRPr="00664E64">
        <w:rPr>
          <w:noProof/>
        </w:rPr>
        <w:fldChar w:fldCharType="end"/>
      </w:r>
    </w:p>
    <w:p w14:paraId="24509996" w14:textId="7620C7F5" w:rsidR="000728D3" w:rsidRPr="00664E64" w:rsidRDefault="000728D3" w:rsidP="00415C73">
      <w:pPr>
        <w:pStyle w:val="TOC1"/>
        <w:rPr>
          <w:rFonts w:asciiTheme="minorHAnsi" w:hAnsiTheme="minorHAnsi" w:cstheme="minorBidi"/>
          <w:iCs/>
          <w:noProof/>
          <w:color w:val="auto"/>
          <w:sz w:val="24"/>
          <w:szCs w:val="24"/>
        </w:rPr>
      </w:pPr>
      <w:r w:rsidRPr="00664E64">
        <w:rPr>
          <w:noProof/>
        </w:rPr>
        <w:t>Overview</w:t>
      </w:r>
      <w:r w:rsidRPr="00664E64">
        <w:rPr>
          <w:noProof/>
        </w:rPr>
        <w:tab/>
      </w:r>
      <w:r w:rsidRPr="00664E64">
        <w:rPr>
          <w:noProof/>
        </w:rPr>
        <w:fldChar w:fldCharType="begin"/>
      </w:r>
      <w:r w:rsidRPr="00664E64">
        <w:rPr>
          <w:noProof/>
        </w:rPr>
        <w:instrText xml:space="preserve"> PAGEREF _Toc12022559 \h </w:instrText>
      </w:r>
      <w:r w:rsidRPr="00664E64">
        <w:rPr>
          <w:noProof/>
        </w:rPr>
      </w:r>
      <w:r w:rsidRPr="00664E64">
        <w:rPr>
          <w:noProof/>
        </w:rPr>
        <w:fldChar w:fldCharType="separate"/>
      </w:r>
      <w:r w:rsidR="00354BBD">
        <w:rPr>
          <w:noProof/>
        </w:rPr>
        <w:t>80</w:t>
      </w:r>
      <w:r w:rsidRPr="00664E64">
        <w:rPr>
          <w:noProof/>
        </w:rPr>
        <w:fldChar w:fldCharType="end"/>
      </w:r>
    </w:p>
    <w:p w14:paraId="4320DA7F" w14:textId="470CD2FC" w:rsidR="000728D3" w:rsidRPr="00664E64" w:rsidRDefault="000728D3" w:rsidP="00415C73">
      <w:pPr>
        <w:pStyle w:val="TOC1"/>
        <w:rPr>
          <w:rFonts w:asciiTheme="minorHAnsi" w:hAnsiTheme="minorHAnsi" w:cstheme="minorBidi"/>
          <w:iCs/>
          <w:noProof/>
          <w:color w:val="auto"/>
          <w:sz w:val="24"/>
          <w:szCs w:val="24"/>
        </w:rPr>
      </w:pPr>
      <w:r w:rsidRPr="00664E64">
        <w:rPr>
          <w:noProof/>
        </w:rPr>
        <w:t>Key findings</w:t>
      </w:r>
      <w:r w:rsidRPr="00664E64">
        <w:rPr>
          <w:noProof/>
        </w:rPr>
        <w:tab/>
      </w:r>
      <w:r w:rsidRPr="00664E64">
        <w:rPr>
          <w:noProof/>
        </w:rPr>
        <w:fldChar w:fldCharType="begin"/>
      </w:r>
      <w:r w:rsidRPr="00664E64">
        <w:rPr>
          <w:noProof/>
        </w:rPr>
        <w:instrText xml:space="preserve"> PAGEREF _Toc12022560 \h </w:instrText>
      </w:r>
      <w:r w:rsidRPr="00664E64">
        <w:rPr>
          <w:noProof/>
        </w:rPr>
      </w:r>
      <w:r w:rsidRPr="00664E64">
        <w:rPr>
          <w:noProof/>
        </w:rPr>
        <w:fldChar w:fldCharType="separate"/>
      </w:r>
      <w:r w:rsidR="00354BBD">
        <w:rPr>
          <w:noProof/>
        </w:rPr>
        <w:t>80</w:t>
      </w:r>
      <w:r w:rsidRPr="00664E64">
        <w:rPr>
          <w:noProof/>
        </w:rPr>
        <w:fldChar w:fldCharType="end"/>
      </w:r>
    </w:p>
    <w:p w14:paraId="5E6B0D28" w14:textId="7062D60E" w:rsidR="000728D3" w:rsidRPr="00664E64" w:rsidRDefault="000728D3" w:rsidP="00415C73">
      <w:pPr>
        <w:pStyle w:val="TOC1"/>
        <w:rPr>
          <w:rFonts w:asciiTheme="minorHAnsi" w:hAnsiTheme="minorHAnsi" w:cstheme="minorBidi"/>
          <w:iCs/>
          <w:noProof/>
          <w:color w:val="auto"/>
          <w:sz w:val="24"/>
          <w:szCs w:val="24"/>
        </w:rPr>
      </w:pPr>
      <w:r w:rsidRPr="00664E64">
        <w:rPr>
          <w:noProof/>
        </w:rPr>
        <w:t>Study limitations</w:t>
      </w:r>
      <w:r w:rsidRPr="00664E64">
        <w:rPr>
          <w:noProof/>
        </w:rPr>
        <w:tab/>
      </w:r>
      <w:r w:rsidRPr="00664E64">
        <w:rPr>
          <w:noProof/>
        </w:rPr>
        <w:fldChar w:fldCharType="begin"/>
      </w:r>
      <w:r w:rsidRPr="00664E64">
        <w:rPr>
          <w:noProof/>
        </w:rPr>
        <w:instrText xml:space="preserve"> PAGEREF _Toc12022561 \h </w:instrText>
      </w:r>
      <w:r w:rsidRPr="00664E64">
        <w:rPr>
          <w:noProof/>
        </w:rPr>
      </w:r>
      <w:r w:rsidRPr="00664E64">
        <w:rPr>
          <w:noProof/>
        </w:rPr>
        <w:fldChar w:fldCharType="separate"/>
      </w:r>
      <w:r w:rsidR="00354BBD">
        <w:rPr>
          <w:noProof/>
        </w:rPr>
        <w:t>83</w:t>
      </w:r>
      <w:r w:rsidRPr="00664E64">
        <w:rPr>
          <w:noProof/>
        </w:rPr>
        <w:fldChar w:fldCharType="end"/>
      </w:r>
    </w:p>
    <w:p w14:paraId="4BE49B43" w14:textId="088F5580" w:rsidR="000728D3" w:rsidRPr="00664E64" w:rsidRDefault="000728D3" w:rsidP="00415C73">
      <w:pPr>
        <w:pStyle w:val="TOC1"/>
        <w:rPr>
          <w:rFonts w:asciiTheme="minorHAnsi" w:hAnsiTheme="minorHAnsi" w:cstheme="minorBidi"/>
          <w:iCs/>
          <w:noProof/>
          <w:color w:val="auto"/>
          <w:sz w:val="24"/>
          <w:szCs w:val="24"/>
        </w:rPr>
      </w:pPr>
      <w:r w:rsidRPr="00664E64">
        <w:rPr>
          <w:noProof/>
        </w:rPr>
        <w:t>Recommendations for government</w:t>
      </w:r>
      <w:r w:rsidRPr="00664E64">
        <w:rPr>
          <w:noProof/>
        </w:rPr>
        <w:tab/>
      </w:r>
      <w:r w:rsidRPr="00664E64">
        <w:rPr>
          <w:noProof/>
        </w:rPr>
        <w:fldChar w:fldCharType="begin"/>
      </w:r>
      <w:r w:rsidRPr="00664E64">
        <w:rPr>
          <w:noProof/>
        </w:rPr>
        <w:instrText xml:space="preserve"> PAGEREF _Toc12022562 \h </w:instrText>
      </w:r>
      <w:r w:rsidRPr="00664E64">
        <w:rPr>
          <w:noProof/>
        </w:rPr>
      </w:r>
      <w:r w:rsidRPr="00664E64">
        <w:rPr>
          <w:noProof/>
        </w:rPr>
        <w:fldChar w:fldCharType="separate"/>
      </w:r>
      <w:r w:rsidR="00354BBD">
        <w:rPr>
          <w:noProof/>
        </w:rPr>
        <w:t>84</w:t>
      </w:r>
      <w:r w:rsidRPr="00664E64">
        <w:rPr>
          <w:noProof/>
        </w:rPr>
        <w:fldChar w:fldCharType="end"/>
      </w:r>
    </w:p>
    <w:p w14:paraId="1C252A1D" w14:textId="24CB75C4" w:rsidR="000728D3" w:rsidRPr="00664E64" w:rsidRDefault="000728D3" w:rsidP="00415C73">
      <w:pPr>
        <w:pStyle w:val="TOC1"/>
        <w:rPr>
          <w:rFonts w:asciiTheme="minorHAnsi" w:hAnsiTheme="minorHAnsi" w:cstheme="minorBidi"/>
          <w:noProof/>
          <w:color w:val="auto"/>
          <w:sz w:val="24"/>
          <w:szCs w:val="24"/>
        </w:rPr>
      </w:pPr>
      <w:r w:rsidRPr="00664E64">
        <w:rPr>
          <w:rFonts w:eastAsiaTheme="minorHAnsi"/>
          <w:noProof/>
        </w:rPr>
        <w:lastRenderedPageBreak/>
        <w:t>References</w:t>
      </w:r>
      <w:r w:rsidRPr="00664E64">
        <w:rPr>
          <w:noProof/>
        </w:rPr>
        <w:tab/>
      </w:r>
      <w:r w:rsidRPr="00664E64">
        <w:rPr>
          <w:noProof/>
        </w:rPr>
        <w:fldChar w:fldCharType="begin"/>
      </w:r>
      <w:r w:rsidRPr="00664E64">
        <w:rPr>
          <w:noProof/>
        </w:rPr>
        <w:instrText xml:space="preserve"> PAGEREF _Toc12022563 \h </w:instrText>
      </w:r>
      <w:r w:rsidRPr="00664E64">
        <w:rPr>
          <w:noProof/>
        </w:rPr>
      </w:r>
      <w:r w:rsidRPr="00664E64">
        <w:rPr>
          <w:noProof/>
        </w:rPr>
        <w:fldChar w:fldCharType="separate"/>
      </w:r>
      <w:r w:rsidR="00354BBD">
        <w:rPr>
          <w:noProof/>
        </w:rPr>
        <w:t>86</w:t>
      </w:r>
      <w:r w:rsidRPr="00664E64">
        <w:rPr>
          <w:noProof/>
        </w:rPr>
        <w:fldChar w:fldCharType="end"/>
      </w:r>
    </w:p>
    <w:p w14:paraId="58CD6D08" w14:textId="1C358C25" w:rsidR="000728D3" w:rsidRPr="00664E64" w:rsidRDefault="000728D3" w:rsidP="00415C73">
      <w:pPr>
        <w:pStyle w:val="TOC1"/>
        <w:rPr>
          <w:rFonts w:asciiTheme="minorHAnsi" w:hAnsiTheme="minorHAnsi" w:cstheme="minorBidi"/>
          <w:noProof/>
          <w:color w:val="auto"/>
          <w:sz w:val="24"/>
          <w:szCs w:val="24"/>
        </w:rPr>
      </w:pPr>
      <w:r w:rsidRPr="00664E64">
        <w:rPr>
          <w:noProof/>
        </w:rPr>
        <w:t>Appendix 1: Literature review</w:t>
      </w:r>
      <w:r w:rsidRPr="00664E64">
        <w:rPr>
          <w:noProof/>
        </w:rPr>
        <w:tab/>
      </w:r>
      <w:r w:rsidRPr="00664E64">
        <w:rPr>
          <w:noProof/>
        </w:rPr>
        <w:fldChar w:fldCharType="begin"/>
      </w:r>
      <w:r w:rsidRPr="00664E64">
        <w:rPr>
          <w:noProof/>
        </w:rPr>
        <w:instrText xml:space="preserve"> PAGEREF _Toc12022564 \h </w:instrText>
      </w:r>
      <w:r w:rsidRPr="00664E64">
        <w:rPr>
          <w:noProof/>
        </w:rPr>
      </w:r>
      <w:r w:rsidRPr="00664E64">
        <w:rPr>
          <w:noProof/>
        </w:rPr>
        <w:fldChar w:fldCharType="separate"/>
      </w:r>
      <w:r w:rsidR="00354BBD">
        <w:rPr>
          <w:noProof/>
        </w:rPr>
        <w:t>87</w:t>
      </w:r>
      <w:r w:rsidRPr="00664E64">
        <w:rPr>
          <w:noProof/>
        </w:rPr>
        <w:fldChar w:fldCharType="end"/>
      </w:r>
    </w:p>
    <w:p w14:paraId="5BDCA538" w14:textId="49966D98" w:rsidR="000728D3" w:rsidRPr="00664E64" w:rsidRDefault="000728D3" w:rsidP="00415C73">
      <w:pPr>
        <w:pStyle w:val="TOC1"/>
        <w:rPr>
          <w:rFonts w:asciiTheme="minorHAnsi" w:hAnsiTheme="minorHAnsi" w:cstheme="minorBidi"/>
          <w:iCs/>
          <w:noProof/>
          <w:color w:val="auto"/>
          <w:sz w:val="24"/>
          <w:szCs w:val="24"/>
        </w:rPr>
      </w:pPr>
      <w:r w:rsidRPr="00664E64">
        <w:rPr>
          <w:noProof/>
        </w:rPr>
        <w:t>Wagering activity in Australia</w:t>
      </w:r>
      <w:r w:rsidRPr="00664E64">
        <w:rPr>
          <w:noProof/>
        </w:rPr>
        <w:tab/>
      </w:r>
      <w:r w:rsidRPr="00664E64">
        <w:rPr>
          <w:noProof/>
        </w:rPr>
        <w:fldChar w:fldCharType="begin"/>
      </w:r>
      <w:r w:rsidRPr="00664E64">
        <w:rPr>
          <w:noProof/>
        </w:rPr>
        <w:instrText xml:space="preserve"> PAGEREF _Toc12022565 \h </w:instrText>
      </w:r>
      <w:r w:rsidRPr="00664E64">
        <w:rPr>
          <w:noProof/>
        </w:rPr>
      </w:r>
      <w:r w:rsidRPr="00664E64">
        <w:rPr>
          <w:noProof/>
        </w:rPr>
        <w:fldChar w:fldCharType="separate"/>
      </w:r>
      <w:r w:rsidR="00354BBD">
        <w:rPr>
          <w:noProof/>
        </w:rPr>
        <w:t>87</w:t>
      </w:r>
      <w:r w:rsidRPr="00664E64">
        <w:rPr>
          <w:noProof/>
        </w:rPr>
        <w:fldChar w:fldCharType="end"/>
      </w:r>
    </w:p>
    <w:p w14:paraId="3ABB42F7" w14:textId="686CEF47" w:rsidR="000728D3" w:rsidRPr="00664E64" w:rsidRDefault="000728D3" w:rsidP="00415C73">
      <w:pPr>
        <w:pStyle w:val="TOC1"/>
        <w:rPr>
          <w:rFonts w:asciiTheme="minorHAnsi" w:hAnsiTheme="minorHAnsi" w:cstheme="minorBidi"/>
          <w:iCs/>
          <w:noProof/>
          <w:color w:val="auto"/>
          <w:sz w:val="24"/>
          <w:szCs w:val="24"/>
        </w:rPr>
      </w:pPr>
      <w:r w:rsidRPr="00664E64">
        <w:rPr>
          <w:noProof/>
        </w:rPr>
        <w:t>Legislative responsibility for the National Framework</w:t>
      </w:r>
      <w:r w:rsidRPr="00664E64">
        <w:rPr>
          <w:noProof/>
        </w:rPr>
        <w:tab/>
      </w:r>
      <w:r w:rsidRPr="00664E64">
        <w:rPr>
          <w:noProof/>
        </w:rPr>
        <w:fldChar w:fldCharType="begin"/>
      </w:r>
      <w:r w:rsidRPr="00664E64">
        <w:rPr>
          <w:noProof/>
        </w:rPr>
        <w:instrText xml:space="preserve"> PAGEREF _Toc12022566 \h </w:instrText>
      </w:r>
      <w:r w:rsidRPr="00664E64">
        <w:rPr>
          <w:noProof/>
        </w:rPr>
      </w:r>
      <w:r w:rsidRPr="00664E64">
        <w:rPr>
          <w:noProof/>
        </w:rPr>
        <w:fldChar w:fldCharType="separate"/>
      </w:r>
      <w:r w:rsidR="00354BBD">
        <w:rPr>
          <w:noProof/>
        </w:rPr>
        <w:t>92</w:t>
      </w:r>
      <w:r w:rsidRPr="00664E64">
        <w:rPr>
          <w:noProof/>
        </w:rPr>
        <w:fldChar w:fldCharType="end"/>
      </w:r>
    </w:p>
    <w:p w14:paraId="3D04CD9B" w14:textId="2AB4A2D6" w:rsidR="000728D3" w:rsidRPr="00664E64" w:rsidRDefault="000728D3" w:rsidP="00415C73">
      <w:pPr>
        <w:pStyle w:val="TOC1"/>
        <w:rPr>
          <w:rFonts w:asciiTheme="minorHAnsi" w:hAnsiTheme="minorHAnsi" w:cstheme="minorBidi"/>
          <w:iCs/>
          <w:noProof/>
          <w:color w:val="auto"/>
          <w:sz w:val="24"/>
          <w:szCs w:val="24"/>
        </w:rPr>
      </w:pPr>
      <w:r w:rsidRPr="00664E64">
        <w:rPr>
          <w:noProof/>
        </w:rPr>
        <w:t>Literature review references</w:t>
      </w:r>
      <w:r w:rsidRPr="00664E64">
        <w:rPr>
          <w:noProof/>
        </w:rPr>
        <w:tab/>
      </w:r>
      <w:r w:rsidRPr="00664E64">
        <w:rPr>
          <w:noProof/>
        </w:rPr>
        <w:fldChar w:fldCharType="begin"/>
      </w:r>
      <w:r w:rsidRPr="00664E64">
        <w:rPr>
          <w:noProof/>
        </w:rPr>
        <w:instrText xml:space="preserve"> PAGEREF _Toc12022567 \h </w:instrText>
      </w:r>
      <w:r w:rsidRPr="00664E64">
        <w:rPr>
          <w:noProof/>
        </w:rPr>
      </w:r>
      <w:r w:rsidRPr="00664E64">
        <w:rPr>
          <w:noProof/>
        </w:rPr>
        <w:fldChar w:fldCharType="separate"/>
      </w:r>
      <w:r w:rsidR="00354BBD">
        <w:rPr>
          <w:noProof/>
        </w:rPr>
        <w:t>103</w:t>
      </w:r>
      <w:r w:rsidRPr="00664E64">
        <w:rPr>
          <w:noProof/>
        </w:rPr>
        <w:fldChar w:fldCharType="end"/>
      </w:r>
    </w:p>
    <w:p w14:paraId="7C507EE8" w14:textId="628527AF" w:rsidR="000728D3" w:rsidRPr="00664E64" w:rsidRDefault="000728D3" w:rsidP="00415C73">
      <w:pPr>
        <w:pStyle w:val="TOC1"/>
        <w:rPr>
          <w:rFonts w:asciiTheme="minorHAnsi" w:hAnsiTheme="minorHAnsi" w:cstheme="minorBidi"/>
          <w:noProof/>
          <w:color w:val="auto"/>
          <w:sz w:val="24"/>
          <w:szCs w:val="24"/>
        </w:rPr>
      </w:pPr>
      <w:r w:rsidRPr="00664E64">
        <w:rPr>
          <w:noProof/>
        </w:rPr>
        <w:t>Appendix 2: Program logic and theory of change</w:t>
      </w:r>
      <w:r w:rsidRPr="00664E64">
        <w:rPr>
          <w:noProof/>
        </w:rPr>
        <w:tab/>
      </w:r>
      <w:r w:rsidRPr="00664E64">
        <w:rPr>
          <w:noProof/>
        </w:rPr>
        <w:fldChar w:fldCharType="begin"/>
      </w:r>
      <w:r w:rsidRPr="00664E64">
        <w:rPr>
          <w:noProof/>
        </w:rPr>
        <w:instrText xml:space="preserve"> PAGEREF _Toc12022568 \h </w:instrText>
      </w:r>
      <w:r w:rsidRPr="00664E64">
        <w:rPr>
          <w:noProof/>
        </w:rPr>
      </w:r>
      <w:r w:rsidRPr="00664E64">
        <w:rPr>
          <w:noProof/>
        </w:rPr>
        <w:fldChar w:fldCharType="separate"/>
      </w:r>
      <w:r w:rsidR="00354BBD">
        <w:rPr>
          <w:noProof/>
        </w:rPr>
        <w:t>107</w:t>
      </w:r>
      <w:r w:rsidRPr="00664E64">
        <w:rPr>
          <w:noProof/>
        </w:rPr>
        <w:fldChar w:fldCharType="end"/>
      </w:r>
    </w:p>
    <w:p w14:paraId="3721950D" w14:textId="09E112DE" w:rsidR="000728D3" w:rsidRPr="00664E64" w:rsidRDefault="000728D3" w:rsidP="00415C73">
      <w:pPr>
        <w:pStyle w:val="TOC1"/>
        <w:rPr>
          <w:rFonts w:asciiTheme="minorHAnsi" w:hAnsiTheme="minorHAnsi" w:cstheme="minorBidi"/>
          <w:noProof/>
          <w:color w:val="auto"/>
          <w:sz w:val="24"/>
          <w:szCs w:val="24"/>
        </w:rPr>
      </w:pPr>
      <w:r w:rsidRPr="00664E64">
        <w:rPr>
          <w:noProof/>
        </w:rPr>
        <w:t>Appendix 3: Explanatory Statements: Key stakeholders</w:t>
      </w:r>
      <w:r w:rsidRPr="00664E64">
        <w:rPr>
          <w:noProof/>
        </w:rPr>
        <w:tab/>
      </w:r>
      <w:r w:rsidRPr="00664E64">
        <w:rPr>
          <w:noProof/>
        </w:rPr>
        <w:fldChar w:fldCharType="begin"/>
      </w:r>
      <w:r w:rsidRPr="00664E64">
        <w:rPr>
          <w:noProof/>
        </w:rPr>
        <w:instrText xml:space="preserve"> PAGEREF _Toc12022569 \h </w:instrText>
      </w:r>
      <w:r w:rsidRPr="00664E64">
        <w:rPr>
          <w:noProof/>
        </w:rPr>
      </w:r>
      <w:r w:rsidRPr="00664E64">
        <w:rPr>
          <w:noProof/>
        </w:rPr>
        <w:fldChar w:fldCharType="separate"/>
      </w:r>
      <w:r w:rsidR="00354BBD">
        <w:rPr>
          <w:noProof/>
        </w:rPr>
        <w:t>109</w:t>
      </w:r>
      <w:r w:rsidRPr="00664E64">
        <w:rPr>
          <w:noProof/>
        </w:rPr>
        <w:fldChar w:fldCharType="end"/>
      </w:r>
    </w:p>
    <w:p w14:paraId="1E5FD67C" w14:textId="297E8150" w:rsidR="000728D3" w:rsidRDefault="000728D3" w:rsidP="00415C73">
      <w:pPr>
        <w:pStyle w:val="TOC1"/>
        <w:rPr>
          <w:noProof/>
        </w:rPr>
      </w:pPr>
      <w:r w:rsidRPr="00664E64">
        <w:rPr>
          <w:noProof/>
        </w:rPr>
        <w:t>Appendix 4: Online consumer survey</w:t>
      </w:r>
      <w:r w:rsidRPr="00664E64">
        <w:rPr>
          <w:noProof/>
        </w:rPr>
        <w:tab/>
      </w:r>
      <w:r w:rsidRPr="00664E64">
        <w:rPr>
          <w:noProof/>
        </w:rPr>
        <w:fldChar w:fldCharType="begin"/>
      </w:r>
      <w:r w:rsidRPr="00664E64">
        <w:rPr>
          <w:noProof/>
        </w:rPr>
        <w:instrText xml:space="preserve"> PAGEREF _Toc12022570 \h </w:instrText>
      </w:r>
      <w:r w:rsidRPr="00664E64">
        <w:rPr>
          <w:noProof/>
        </w:rPr>
      </w:r>
      <w:r w:rsidRPr="00664E64">
        <w:rPr>
          <w:noProof/>
        </w:rPr>
        <w:fldChar w:fldCharType="separate"/>
      </w:r>
      <w:r w:rsidR="00354BBD">
        <w:rPr>
          <w:noProof/>
        </w:rPr>
        <w:t>113</w:t>
      </w:r>
      <w:r w:rsidRPr="00664E64">
        <w:rPr>
          <w:noProof/>
        </w:rPr>
        <w:fldChar w:fldCharType="end"/>
      </w:r>
    </w:p>
    <w:p w14:paraId="2B0FF8A7" w14:textId="77777777" w:rsidR="006D6E51" w:rsidRPr="006D6E51" w:rsidRDefault="006D6E51" w:rsidP="006D6E51"/>
    <w:p w14:paraId="28CB411A" w14:textId="23C72844" w:rsidR="00683DC2" w:rsidRPr="00BE3CD8" w:rsidRDefault="002F774A" w:rsidP="00415C73">
      <w:pPr>
        <w:pStyle w:val="Heading1"/>
        <w:rPr>
          <w:noProof/>
          <w:color w:val="auto"/>
        </w:rPr>
      </w:pPr>
      <w:r w:rsidRPr="00664E64">
        <w:rPr>
          <w:noProof/>
          <w:color w:val="62136D"/>
          <w:sz w:val="38"/>
          <w:szCs w:val="38"/>
        </w:rPr>
        <w:lastRenderedPageBreak/>
        <w:fldChar w:fldCharType="end"/>
      </w:r>
      <w:bookmarkStart w:id="1" w:name="_Toc12022533"/>
      <w:r w:rsidR="00287332" w:rsidRPr="00BE3CD8">
        <w:rPr>
          <w:noProof/>
          <w:color w:val="auto"/>
        </w:rPr>
        <w:t xml:space="preserve">List of </w:t>
      </w:r>
      <w:r w:rsidR="00A35876" w:rsidRPr="00BE3CD8">
        <w:rPr>
          <w:noProof/>
          <w:color w:val="auto"/>
        </w:rPr>
        <w:t>tables</w:t>
      </w:r>
      <w:r w:rsidR="000728D3" w:rsidRPr="00BE3CD8">
        <w:rPr>
          <w:noProof/>
          <w:color w:val="auto"/>
        </w:rPr>
        <w:t xml:space="preserve"> and figures</w:t>
      </w:r>
      <w:bookmarkEnd w:id="1"/>
    </w:p>
    <w:p w14:paraId="700E5B01" w14:textId="330AEF1B" w:rsidR="002B2446" w:rsidRPr="002B2446" w:rsidRDefault="000728D3">
      <w:pPr>
        <w:pStyle w:val="TableofFigures"/>
        <w:tabs>
          <w:tab w:val="right" w:leader="dot" w:pos="9350"/>
        </w:tabs>
        <w:rPr>
          <w:rFonts w:asciiTheme="minorHAnsi" w:eastAsiaTheme="minorEastAsia" w:hAnsiTheme="minorHAnsi" w:cstheme="minorBidi"/>
          <w:noProof/>
          <w:sz w:val="19"/>
          <w:szCs w:val="19"/>
          <w:lang w:val="en-AU" w:eastAsia="en-US" w:bidi="ar-SA"/>
        </w:rPr>
      </w:pPr>
      <w:r w:rsidRPr="002B2446">
        <w:rPr>
          <w:sz w:val="19"/>
          <w:szCs w:val="19"/>
          <w:lang w:val="en-AU" w:bidi="ar-SA"/>
        </w:rPr>
        <w:fldChar w:fldCharType="begin"/>
      </w:r>
      <w:r w:rsidRPr="002B2446">
        <w:rPr>
          <w:sz w:val="19"/>
          <w:szCs w:val="19"/>
          <w:lang w:val="en-AU" w:bidi="ar-SA"/>
        </w:rPr>
        <w:instrText xml:space="preserve"> TOC \h \z \t "Figure Caption" \c </w:instrText>
      </w:r>
      <w:r w:rsidRPr="002B2446">
        <w:rPr>
          <w:sz w:val="19"/>
          <w:szCs w:val="19"/>
          <w:lang w:val="en-AU" w:bidi="ar-SA"/>
        </w:rPr>
        <w:fldChar w:fldCharType="separate"/>
      </w:r>
      <w:hyperlink w:anchor="_Toc12549560" w:history="1">
        <w:r w:rsidR="002B2446" w:rsidRPr="002B2446">
          <w:rPr>
            <w:rStyle w:val="Hyperlink"/>
            <w:noProof/>
            <w:sz w:val="19"/>
            <w:szCs w:val="19"/>
            <w:lang w:val="en-AU"/>
          </w:rPr>
          <w:t>Table 3.1 Number of providers who implemented different protective measures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_Toc12549560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22</w:t>
        </w:r>
        <w:r w:rsidR="002B2446" w:rsidRPr="002B2446">
          <w:rPr>
            <w:noProof/>
            <w:webHidden/>
            <w:sz w:val="19"/>
            <w:szCs w:val="19"/>
          </w:rPr>
          <w:fldChar w:fldCharType="end"/>
        </w:r>
      </w:hyperlink>
    </w:p>
    <w:p w14:paraId="71C6187E" w14:textId="690A8D14"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1" w:history="1">
        <w:r w:rsidR="002B2446" w:rsidRPr="002B2446">
          <w:rPr>
            <w:rStyle w:val="Hyperlink"/>
            <w:noProof/>
            <w:sz w:val="19"/>
            <w:szCs w:val="19"/>
            <w:lang w:val="en-AU"/>
          </w:rPr>
          <w:t>Table 5.1: Sociodemographic profile of the baseline survey participants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_Toc12549561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46</w:t>
        </w:r>
        <w:r w:rsidR="002B2446" w:rsidRPr="002B2446">
          <w:rPr>
            <w:noProof/>
            <w:webHidden/>
            <w:sz w:val="19"/>
            <w:szCs w:val="19"/>
          </w:rPr>
          <w:fldChar w:fldCharType="end"/>
        </w:r>
      </w:hyperlink>
    </w:p>
    <w:p w14:paraId="57A67F9A" w14:textId="43AC01F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2" w:history="1">
        <w:r w:rsidR="002B2446" w:rsidRPr="002B2446">
          <w:rPr>
            <w:rStyle w:val="Hyperlink"/>
            <w:noProof/>
            <w:sz w:val="19"/>
            <w:szCs w:val="19"/>
            <w:lang w:val="en-AU"/>
          </w:rPr>
          <w:t>Table 5.2: Jurisdictions and areas in Australia where participants live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_Toc12549562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48</w:t>
        </w:r>
        <w:r w:rsidR="002B2446" w:rsidRPr="002B2446">
          <w:rPr>
            <w:noProof/>
            <w:webHidden/>
            <w:sz w:val="19"/>
            <w:szCs w:val="19"/>
          </w:rPr>
          <w:fldChar w:fldCharType="end"/>
        </w:r>
      </w:hyperlink>
    </w:p>
    <w:p w14:paraId="297A0B17" w14:textId="512588EE"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3" w:history="1">
        <w:r w:rsidR="002B2446" w:rsidRPr="002B2446">
          <w:rPr>
            <w:rStyle w:val="Hyperlink"/>
            <w:noProof/>
            <w:sz w:val="19"/>
            <w:szCs w:val="19"/>
            <w:lang w:val="en-AU"/>
          </w:rPr>
          <w:t>Table 5.3: Number and percentage of people who reported placing bets on different activities during the past 12 months (either online or offline)</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_Toc12549563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49</w:t>
        </w:r>
        <w:r w:rsidR="002B2446" w:rsidRPr="002B2446">
          <w:rPr>
            <w:noProof/>
            <w:webHidden/>
            <w:sz w:val="19"/>
            <w:szCs w:val="19"/>
          </w:rPr>
          <w:fldChar w:fldCharType="end"/>
        </w:r>
      </w:hyperlink>
    </w:p>
    <w:p w14:paraId="4A084A85" w14:textId="134156DF"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4" w:history="1">
        <w:r w:rsidR="002B2446" w:rsidRPr="002B2446">
          <w:rPr>
            <w:rStyle w:val="Hyperlink"/>
            <w:noProof/>
            <w:sz w:val="19"/>
            <w:szCs w:val="19"/>
            <w:lang w:val="en-AU"/>
          </w:rPr>
          <w:t>Table 5.4: Key characteristics of participants who reported placing bets in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_Toc12549564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50</w:t>
        </w:r>
        <w:r w:rsidR="002B2446" w:rsidRPr="002B2446">
          <w:rPr>
            <w:noProof/>
            <w:webHidden/>
            <w:sz w:val="19"/>
            <w:szCs w:val="19"/>
          </w:rPr>
          <w:fldChar w:fldCharType="end"/>
        </w:r>
      </w:hyperlink>
    </w:p>
    <w:p w14:paraId="3B1FB000" w14:textId="5A18E252"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5" w:history="1">
        <w:r w:rsidR="002B2446" w:rsidRPr="002B2446">
          <w:rPr>
            <w:rStyle w:val="Hyperlink"/>
            <w:noProof/>
            <w:sz w:val="19"/>
            <w:szCs w:val="19"/>
            <w:lang w:val="en-AU"/>
          </w:rPr>
          <w:t>Table 5.5: Number and proportion of survey participants who spent money on a given number of gambling products in the past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_Toc12549565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51</w:t>
        </w:r>
        <w:r w:rsidR="002B2446" w:rsidRPr="002B2446">
          <w:rPr>
            <w:noProof/>
            <w:webHidden/>
            <w:sz w:val="19"/>
            <w:szCs w:val="19"/>
          </w:rPr>
          <w:fldChar w:fldCharType="end"/>
        </w:r>
      </w:hyperlink>
    </w:p>
    <w:p w14:paraId="49AFC81E" w14:textId="6954D5B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6" w:history="1">
        <w:r w:rsidR="002B2446" w:rsidRPr="002B2446">
          <w:rPr>
            <w:rStyle w:val="Hyperlink"/>
            <w:noProof/>
            <w:sz w:val="19"/>
            <w:szCs w:val="19"/>
            <w:lang w:val="en-AU"/>
          </w:rPr>
          <w:t>Table 5.6: Proportion of sole participation and mean number of activities, for each wagering type</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_Toc12549566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51</w:t>
        </w:r>
        <w:r w:rsidR="002B2446" w:rsidRPr="002B2446">
          <w:rPr>
            <w:noProof/>
            <w:webHidden/>
            <w:sz w:val="19"/>
            <w:szCs w:val="19"/>
          </w:rPr>
          <w:fldChar w:fldCharType="end"/>
        </w:r>
      </w:hyperlink>
    </w:p>
    <w:p w14:paraId="779CF1C0" w14:textId="46F76043"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7" w:history="1">
        <w:r w:rsidR="002B2446" w:rsidRPr="002B2446">
          <w:rPr>
            <w:rStyle w:val="Hyperlink"/>
            <w:noProof/>
            <w:sz w:val="19"/>
            <w:szCs w:val="19"/>
            <w:lang w:val="en-AU"/>
          </w:rPr>
          <w:t>Table 5.7: Other gambling activity participation rate by activity</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_Toc12549567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52</w:t>
        </w:r>
        <w:r w:rsidR="002B2446" w:rsidRPr="002B2446">
          <w:rPr>
            <w:noProof/>
            <w:webHidden/>
            <w:sz w:val="19"/>
            <w:szCs w:val="19"/>
          </w:rPr>
          <w:fldChar w:fldCharType="end"/>
        </w:r>
      </w:hyperlink>
    </w:p>
    <w:p w14:paraId="5AF33E32" w14:textId="5114F8DE"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8" w:history="1">
        <w:r w:rsidR="002B2446" w:rsidRPr="002B2446">
          <w:rPr>
            <w:rStyle w:val="Hyperlink"/>
            <w:noProof/>
            <w:sz w:val="19"/>
            <w:szCs w:val="19"/>
            <w:lang w:val="en-AU"/>
          </w:rPr>
          <w:t>Table 5.8: Frequency of participation for each activity during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_Toc12549568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53</w:t>
        </w:r>
        <w:r w:rsidR="002B2446" w:rsidRPr="002B2446">
          <w:rPr>
            <w:noProof/>
            <w:webHidden/>
            <w:sz w:val="19"/>
            <w:szCs w:val="19"/>
          </w:rPr>
          <w:fldChar w:fldCharType="end"/>
        </w:r>
      </w:hyperlink>
    </w:p>
    <w:p w14:paraId="40A5F049" w14:textId="7FFFE9C9"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69" w:history="1">
        <w:r w:rsidR="002B2446" w:rsidRPr="002B2446">
          <w:rPr>
            <w:rStyle w:val="Hyperlink"/>
            <w:noProof/>
            <w:sz w:val="19"/>
            <w:szCs w:val="19"/>
            <w:lang w:val="en-AU"/>
          </w:rPr>
          <w:t>Table 5.9: Methods used for each betting activity during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_Toc12549569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54</w:t>
        </w:r>
        <w:r w:rsidR="002B2446" w:rsidRPr="002B2446">
          <w:rPr>
            <w:noProof/>
            <w:webHidden/>
            <w:sz w:val="19"/>
            <w:szCs w:val="19"/>
          </w:rPr>
          <w:fldChar w:fldCharType="end"/>
        </w:r>
      </w:hyperlink>
    </w:p>
    <w:p w14:paraId="38FFFE7B" w14:textId="25CE1625"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0" w:history="1">
        <w:r w:rsidR="002B2446" w:rsidRPr="002B2446">
          <w:rPr>
            <w:rStyle w:val="Hyperlink"/>
            <w:noProof/>
            <w:sz w:val="19"/>
            <w:szCs w:val="19"/>
            <w:lang w:val="en-AU"/>
          </w:rPr>
          <w:t>Table 5.10: Location of participation for each activity during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_Toc12549570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55</w:t>
        </w:r>
        <w:r w:rsidR="002B2446" w:rsidRPr="002B2446">
          <w:rPr>
            <w:noProof/>
            <w:webHidden/>
            <w:sz w:val="19"/>
            <w:szCs w:val="19"/>
          </w:rPr>
          <w:fldChar w:fldCharType="end"/>
        </w:r>
      </w:hyperlink>
    </w:p>
    <w:p w14:paraId="4FD285FB" w14:textId="6A3939AE"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1" w:history="1">
        <w:r w:rsidR="002B2446" w:rsidRPr="002B2446">
          <w:rPr>
            <w:rStyle w:val="Hyperlink"/>
            <w:noProof/>
            <w:sz w:val="19"/>
            <w:szCs w:val="19"/>
            <w:lang w:val="en-AU"/>
          </w:rPr>
          <w:t>Table 5.11: Daily expenditure ($AUD) on betting activities in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_Toc12549571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56</w:t>
        </w:r>
        <w:r w:rsidR="002B2446" w:rsidRPr="002B2446">
          <w:rPr>
            <w:noProof/>
            <w:webHidden/>
            <w:sz w:val="19"/>
            <w:szCs w:val="19"/>
          </w:rPr>
          <w:fldChar w:fldCharType="end"/>
        </w:r>
      </w:hyperlink>
    </w:p>
    <w:p w14:paraId="5A6ACB18" w14:textId="7051B121"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2" w:history="1">
        <w:r w:rsidR="002B2446" w:rsidRPr="002B2446">
          <w:rPr>
            <w:rStyle w:val="Hyperlink"/>
            <w:noProof/>
            <w:sz w:val="19"/>
            <w:szCs w:val="19"/>
            <w:lang w:val="en-AU"/>
          </w:rPr>
          <w:t>Table 5.12: Average proportion of bets placed using different methods in the past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_Toc12549572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57</w:t>
        </w:r>
        <w:r w:rsidR="002B2446" w:rsidRPr="002B2446">
          <w:rPr>
            <w:noProof/>
            <w:webHidden/>
            <w:sz w:val="19"/>
            <w:szCs w:val="19"/>
          </w:rPr>
          <w:fldChar w:fldCharType="end"/>
        </w:r>
      </w:hyperlink>
    </w:p>
    <w:p w14:paraId="4DFE3A8C" w14:textId="25D534E6"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3" w:history="1">
        <w:r w:rsidR="002B2446" w:rsidRPr="002B2446">
          <w:rPr>
            <w:rStyle w:val="Hyperlink"/>
            <w:noProof/>
            <w:sz w:val="19"/>
            <w:szCs w:val="19"/>
            <w:lang w:val="en-AU"/>
          </w:rPr>
          <w:t>Table 5.13: Comparison of current expenditure on online betting with that 12 months ago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_Toc12549573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57</w:t>
        </w:r>
        <w:r w:rsidR="002B2446" w:rsidRPr="002B2446">
          <w:rPr>
            <w:noProof/>
            <w:webHidden/>
            <w:sz w:val="19"/>
            <w:szCs w:val="19"/>
          </w:rPr>
          <w:fldChar w:fldCharType="end"/>
        </w:r>
      </w:hyperlink>
    </w:p>
    <w:p w14:paraId="2D18FD1A" w14:textId="674D6A2F"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4" w:history="1">
        <w:r w:rsidR="002B2446" w:rsidRPr="002B2446">
          <w:rPr>
            <w:rStyle w:val="Hyperlink"/>
            <w:noProof/>
            <w:sz w:val="19"/>
            <w:szCs w:val="19"/>
            <w:lang w:val="en-AU"/>
          </w:rPr>
          <w:t>Table 5.14: Degree of impulse and associated average proportion of the bets placed online in the past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_Toc12549574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58</w:t>
        </w:r>
        <w:r w:rsidR="002B2446" w:rsidRPr="002B2446">
          <w:rPr>
            <w:noProof/>
            <w:webHidden/>
            <w:sz w:val="19"/>
            <w:szCs w:val="19"/>
          </w:rPr>
          <w:fldChar w:fldCharType="end"/>
        </w:r>
      </w:hyperlink>
    </w:p>
    <w:p w14:paraId="32B2AC08" w14:textId="3FEF9DCC"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5" w:history="1">
        <w:r w:rsidR="002B2446" w:rsidRPr="002B2446">
          <w:rPr>
            <w:rStyle w:val="Hyperlink"/>
            <w:noProof/>
            <w:sz w:val="19"/>
            <w:szCs w:val="19"/>
            <w:lang w:val="en-AU"/>
          </w:rPr>
          <w:t>Table 5.15: Age when first signed up for an online betting account (N = 4,079)</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_Toc12549575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58</w:t>
        </w:r>
        <w:r w:rsidR="002B2446" w:rsidRPr="002B2446">
          <w:rPr>
            <w:noProof/>
            <w:webHidden/>
            <w:sz w:val="19"/>
            <w:szCs w:val="19"/>
          </w:rPr>
          <w:fldChar w:fldCharType="end"/>
        </w:r>
      </w:hyperlink>
    </w:p>
    <w:p w14:paraId="0B7E83BB" w14:textId="2AA4CBC7"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6" w:history="1">
        <w:r w:rsidR="002B2446" w:rsidRPr="002B2446">
          <w:rPr>
            <w:rStyle w:val="Hyperlink"/>
            <w:noProof/>
            <w:sz w:val="19"/>
            <w:szCs w:val="19"/>
            <w:lang w:val="en-AU"/>
          </w:rPr>
          <w:t>Table 5.16: Ever specifically chose to use/open a betting account with any offshore wagering companies (N = 5,039)</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_Toc12549576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60</w:t>
        </w:r>
        <w:r w:rsidR="002B2446" w:rsidRPr="002B2446">
          <w:rPr>
            <w:noProof/>
            <w:webHidden/>
            <w:sz w:val="19"/>
            <w:szCs w:val="19"/>
          </w:rPr>
          <w:fldChar w:fldCharType="end"/>
        </w:r>
      </w:hyperlink>
    </w:p>
    <w:p w14:paraId="0F9041BA" w14:textId="64F03BF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7" w:history="1">
        <w:r w:rsidR="002B2446" w:rsidRPr="002B2446">
          <w:rPr>
            <w:rStyle w:val="Hyperlink"/>
            <w:noProof/>
            <w:sz w:val="19"/>
            <w:szCs w:val="19"/>
            <w:lang w:val="en-AU"/>
          </w:rPr>
          <w:t>Table 5.17: Gender and age breakdowns of those offered credit benefits in the past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_Toc12549577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60</w:t>
        </w:r>
        <w:r w:rsidR="002B2446" w:rsidRPr="002B2446">
          <w:rPr>
            <w:noProof/>
            <w:webHidden/>
            <w:sz w:val="19"/>
            <w:szCs w:val="19"/>
          </w:rPr>
          <w:fldChar w:fldCharType="end"/>
        </w:r>
      </w:hyperlink>
    </w:p>
    <w:p w14:paraId="2C36372A" w14:textId="17467361"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8" w:history="1">
        <w:r w:rsidR="002B2446" w:rsidRPr="002B2446">
          <w:rPr>
            <w:rStyle w:val="Hyperlink"/>
            <w:noProof/>
            <w:sz w:val="19"/>
            <w:szCs w:val="19"/>
            <w:lang w:val="en-AU"/>
          </w:rPr>
          <w:t>Table 5.18: Participation in other activities during the past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_Toc12549578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61</w:t>
        </w:r>
        <w:r w:rsidR="002B2446" w:rsidRPr="002B2446">
          <w:rPr>
            <w:noProof/>
            <w:webHidden/>
            <w:sz w:val="19"/>
            <w:szCs w:val="19"/>
          </w:rPr>
          <w:fldChar w:fldCharType="end"/>
        </w:r>
      </w:hyperlink>
    </w:p>
    <w:p w14:paraId="36EF21BF" w14:textId="140CE217"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79" w:history="1">
        <w:r w:rsidR="002B2446" w:rsidRPr="002B2446">
          <w:rPr>
            <w:rStyle w:val="Hyperlink"/>
            <w:noProof/>
            <w:sz w:val="19"/>
            <w:szCs w:val="19"/>
            <w:lang w:val="en-AU"/>
          </w:rPr>
          <w:t>Table 5.19: Motivation behind betting online in the last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_Toc12549579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62</w:t>
        </w:r>
        <w:r w:rsidR="002B2446" w:rsidRPr="002B2446">
          <w:rPr>
            <w:noProof/>
            <w:webHidden/>
            <w:sz w:val="19"/>
            <w:szCs w:val="19"/>
          </w:rPr>
          <w:fldChar w:fldCharType="end"/>
        </w:r>
      </w:hyperlink>
    </w:p>
    <w:p w14:paraId="0EEE6DE9" w14:textId="32F2F1E6"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0" w:history="1">
        <w:r w:rsidR="002B2446" w:rsidRPr="002B2446">
          <w:rPr>
            <w:rStyle w:val="Hyperlink"/>
            <w:noProof/>
            <w:sz w:val="19"/>
            <w:szCs w:val="19"/>
            <w:lang w:val="en-AU"/>
          </w:rPr>
          <w:t>Table 5. 20: Motivation categories for betting online in the last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_Toc12549580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63</w:t>
        </w:r>
        <w:r w:rsidR="002B2446" w:rsidRPr="002B2446">
          <w:rPr>
            <w:noProof/>
            <w:webHidden/>
            <w:sz w:val="19"/>
            <w:szCs w:val="19"/>
          </w:rPr>
          <w:fldChar w:fldCharType="end"/>
        </w:r>
      </w:hyperlink>
    </w:p>
    <w:p w14:paraId="6BFB4F18" w14:textId="2BEAA6C8"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1" w:history="1">
        <w:r w:rsidR="002B2446" w:rsidRPr="002B2446">
          <w:rPr>
            <w:rStyle w:val="Hyperlink"/>
            <w:noProof/>
            <w:sz w:val="19"/>
            <w:szCs w:val="19"/>
            <w:lang w:val="en-AU"/>
          </w:rPr>
          <w:t>Table 5. 21: Self-control measures to control involvement (money or time) in online betting during the last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_Toc12549581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64</w:t>
        </w:r>
        <w:r w:rsidR="002B2446" w:rsidRPr="002B2446">
          <w:rPr>
            <w:noProof/>
            <w:webHidden/>
            <w:sz w:val="19"/>
            <w:szCs w:val="19"/>
          </w:rPr>
          <w:fldChar w:fldCharType="end"/>
        </w:r>
      </w:hyperlink>
    </w:p>
    <w:p w14:paraId="2316488D" w14:textId="629F681B"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2" w:history="1">
        <w:r w:rsidR="002B2446" w:rsidRPr="002B2446">
          <w:rPr>
            <w:rStyle w:val="Hyperlink"/>
            <w:noProof/>
            <w:sz w:val="19"/>
            <w:szCs w:val="19"/>
            <w:lang w:val="en-AU"/>
          </w:rPr>
          <w:t>Table 5.22: Prevalence of at-risk gambling among survey participants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_Toc12549582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65</w:t>
        </w:r>
        <w:r w:rsidR="002B2446" w:rsidRPr="002B2446">
          <w:rPr>
            <w:noProof/>
            <w:webHidden/>
            <w:sz w:val="19"/>
            <w:szCs w:val="19"/>
          </w:rPr>
          <w:fldChar w:fldCharType="end"/>
        </w:r>
      </w:hyperlink>
    </w:p>
    <w:p w14:paraId="28EA1461" w14:textId="2BC6ED7E"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3" w:history="1">
        <w:r w:rsidR="002B2446" w:rsidRPr="002B2446">
          <w:rPr>
            <w:rStyle w:val="Hyperlink"/>
            <w:noProof/>
            <w:sz w:val="19"/>
            <w:szCs w:val="19"/>
            <w:lang w:val="en-AU"/>
          </w:rPr>
          <w:t>Table 5.23: Prevalence of at-risk gambling, among each sex (N = 5,068)</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_Toc12549583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65</w:t>
        </w:r>
        <w:r w:rsidR="002B2446" w:rsidRPr="002B2446">
          <w:rPr>
            <w:noProof/>
            <w:webHidden/>
            <w:sz w:val="19"/>
            <w:szCs w:val="19"/>
          </w:rPr>
          <w:fldChar w:fldCharType="end"/>
        </w:r>
      </w:hyperlink>
    </w:p>
    <w:p w14:paraId="371C87D5" w14:textId="37B0BE13"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4" w:history="1">
        <w:r w:rsidR="002B2446" w:rsidRPr="002B2446">
          <w:rPr>
            <w:rStyle w:val="Hyperlink"/>
            <w:noProof/>
            <w:sz w:val="19"/>
            <w:szCs w:val="19"/>
            <w:lang w:val="en-AU"/>
          </w:rPr>
          <w:t>Table 5.24: Prevalence of at-risk gambling, among each age group (N = 4,518)</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_Toc12549584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66</w:t>
        </w:r>
        <w:r w:rsidR="002B2446" w:rsidRPr="002B2446">
          <w:rPr>
            <w:noProof/>
            <w:webHidden/>
            <w:sz w:val="19"/>
            <w:szCs w:val="19"/>
          </w:rPr>
          <w:fldChar w:fldCharType="end"/>
        </w:r>
      </w:hyperlink>
    </w:p>
    <w:p w14:paraId="5C93D1DD" w14:textId="3A9F365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5" w:history="1">
        <w:r w:rsidR="002B2446" w:rsidRPr="002B2446">
          <w:rPr>
            <w:rStyle w:val="Hyperlink"/>
            <w:noProof/>
            <w:sz w:val="19"/>
            <w:szCs w:val="19"/>
            <w:lang w:val="en-AU"/>
          </w:rPr>
          <w:t>Table 5.25: Proportions of respondents in each risk category, by activity</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_Toc12549585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66</w:t>
        </w:r>
        <w:r w:rsidR="002B2446" w:rsidRPr="002B2446">
          <w:rPr>
            <w:noProof/>
            <w:webHidden/>
            <w:sz w:val="19"/>
            <w:szCs w:val="19"/>
          </w:rPr>
          <w:fldChar w:fldCharType="end"/>
        </w:r>
      </w:hyperlink>
    </w:p>
    <w:p w14:paraId="2DE7032C" w14:textId="3A27A87E"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6" w:history="1">
        <w:r w:rsidR="002B2446" w:rsidRPr="002B2446">
          <w:rPr>
            <w:rStyle w:val="Hyperlink"/>
            <w:noProof/>
            <w:sz w:val="19"/>
            <w:szCs w:val="19"/>
            <w:lang w:val="en-AU"/>
          </w:rPr>
          <w:t>Table 5.26: Proportions of respondents in each risk category, by activity</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_Toc12549586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67</w:t>
        </w:r>
        <w:r w:rsidR="002B2446" w:rsidRPr="002B2446">
          <w:rPr>
            <w:noProof/>
            <w:webHidden/>
            <w:sz w:val="19"/>
            <w:szCs w:val="19"/>
          </w:rPr>
          <w:fldChar w:fldCharType="end"/>
        </w:r>
      </w:hyperlink>
    </w:p>
    <w:p w14:paraId="12717A71" w14:textId="7136CB1F"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7" w:history="1">
        <w:r w:rsidR="002B2446" w:rsidRPr="002B2446">
          <w:rPr>
            <w:rStyle w:val="Hyperlink"/>
            <w:noProof/>
            <w:sz w:val="19"/>
            <w:szCs w:val="19"/>
            <w:lang w:val="en-AU"/>
          </w:rPr>
          <w:t>Table 5.27: Prevalence of gambling harm experienced as a result of betting online in the last 12 months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_Toc12549587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68</w:t>
        </w:r>
        <w:r w:rsidR="002B2446" w:rsidRPr="002B2446">
          <w:rPr>
            <w:noProof/>
            <w:webHidden/>
            <w:sz w:val="19"/>
            <w:szCs w:val="19"/>
          </w:rPr>
          <w:fldChar w:fldCharType="end"/>
        </w:r>
      </w:hyperlink>
    </w:p>
    <w:p w14:paraId="2672F128" w14:textId="5A8B4AC1"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8" w:history="1">
        <w:r w:rsidR="002B2446" w:rsidRPr="002B2446">
          <w:rPr>
            <w:rStyle w:val="Hyperlink"/>
            <w:noProof/>
            <w:sz w:val="19"/>
            <w:szCs w:val="19"/>
            <w:lang w:val="en-AU"/>
          </w:rPr>
          <w:t>Table 5.28: Responses to the question, ‘How satisfied are you with your life as a whole’ (N = 5,076)</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_Toc12549588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69</w:t>
        </w:r>
        <w:r w:rsidR="002B2446" w:rsidRPr="002B2446">
          <w:rPr>
            <w:noProof/>
            <w:webHidden/>
            <w:sz w:val="19"/>
            <w:szCs w:val="19"/>
          </w:rPr>
          <w:fldChar w:fldCharType="end"/>
        </w:r>
      </w:hyperlink>
    </w:p>
    <w:p w14:paraId="229A5689" w14:textId="51305B14"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89" w:history="1">
        <w:r w:rsidR="002B2446" w:rsidRPr="002B2446">
          <w:rPr>
            <w:rStyle w:val="Hyperlink"/>
            <w:noProof/>
            <w:sz w:val="19"/>
            <w:szCs w:val="19"/>
            <w:lang w:val="en-AU"/>
          </w:rPr>
          <w:t>Table 5.29: Proportion of participants having seen consumer protection features on betting apps and websites and/or used those features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_Toc12549589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70</w:t>
        </w:r>
        <w:r w:rsidR="002B2446" w:rsidRPr="002B2446">
          <w:rPr>
            <w:noProof/>
            <w:webHidden/>
            <w:sz w:val="19"/>
            <w:szCs w:val="19"/>
          </w:rPr>
          <w:fldChar w:fldCharType="end"/>
        </w:r>
      </w:hyperlink>
    </w:p>
    <w:p w14:paraId="15F698CB" w14:textId="20464FF5"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90" w:history="1">
        <w:r w:rsidR="002B2446" w:rsidRPr="002B2446">
          <w:rPr>
            <w:rStyle w:val="Hyperlink"/>
            <w:noProof/>
            <w:sz w:val="19"/>
            <w:szCs w:val="19"/>
            <w:lang w:val="en-AU"/>
          </w:rPr>
          <w:t>Table 5.30: Proportion of participants who used a feature, and whether found that feature useful or not in the last 12 months</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_Toc12549590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71</w:t>
        </w:r>
        <w:r w:rsidR="002B2446" w:rsidRPr="002B2446">
          <w:rPr>
            <w:noProof/>
            <w:webHidden/>
            <w:sz w:val="19"/>
            <w:szCs w:val="19"/>
          </w:rPr>
          <w:fldChar w:fldCharType="end"/>
        </w:r>
      </w:hyperlink>
    </w:p>
    <w:p w14:paraId="3050611D" w14:textId="064C7BB5"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91" w:history="1">
        <w:r w:rsidR="002B2446" w:rsidRPr="002B2446">
          <w:rPr>
            <w:rStyle w:val="Hyperlink"/>
            <w:noProof/>
            <w:sz w:val="19"/>
            <w:szCs w:val="19"/>
            <w:lang w:val="en-AU"/>
          </w:rPr>
          <w:t>Table A1.1: Wagering expenditure by activity, 2016–17</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_Toc12549591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87</w:t>
        </w:r>
        <w:r w:rsidR="002B2446" w:rsidRPr="002B2446">
          <w:rPr>
            <w:noProof/>
            <w:webHidden/>
            <w:sz w:val="19"/>
            <w:szCs w:val="19"/>
          </w:rPr>
          <w:fldChar w:fldCharType="end"/>
        </w:r>
      </w:hyperlink>
    </w:p>
    <w:p w14:paraId="16AA6650" w14:textId="101F7E95"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92" w:history="1">
        <w:r w:rsidR="002B2446" w:rsidRPr="002B2446">
          <w:rPr>
            <w:rStyle w:val="Hyperlink"/>
            <w:noProof/>
            <w:sz w:val="19"/>
            <w:szCs w:val="19"/>
            <w:lang w:val="en-AU"/>
          </w:rPr>
          <w:t>Table A1.2: Licensed interactive wagering providers by jurisdiction and type</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_Toc12549592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88</w:t>
        </w:r>
        <w:r w:rsidR="002B2446" w:rsidRPr="002B2446">
          <w:rPr>
            <w:noProof/>
            <w:webHidden/>
            <w:sz w:val="19"/>
            <w:szCs w:val="19"/>
          </w:rPr>
          <w:fldChar w:fldCharType="end"/>
        </w:r>
      </w:hyperlink>
    </w:p>
    <w:p w14:paraId="2223B733" w14:textId="15F7D5D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93" w:history="1">
        <w:r w:rsidR="002B2446" w:rsidRPr="002B2446">
          <w:rPr>
            <w:rStyle w:val="Hyperlink"/>
            <w:noProof/>
            <w:sz w:val="19"/>
            <w:szCs w:val="19"/>
            <w:lang w:val="en-AU"/>
          </w:rPr>
          <w:t>Table A1.3: Proportion and number of Australians who regularly bet on race and sports, by gambling harm risk group</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_Toc12549593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91</w:t>
        </w:r>
        <w:r w:rsidR="002B2446" w:rsidRPr="002B2446">
          <w:rPr>
            <w:noProof/>
            <w:webHidden/>
            <w:sz w:val="19"/>
            <w:szCs w:val="19"/>
          </w:rPr>
          <w:fldChar w:fldCharType="end"/>
        </w:r>
      </w:hyperlink>
    </w:p>
    <w:p w14:paraId="4F37D27A" w14:textId="5BD6FF5A" w:rsidR="002B2446" w:rsidRPr="002B2446" w:rsidRDefault="00014F4D">
      <w:pPr>
        <w:pStyle w:val="TableofFigures"/>
        <w:tabs>
          <w:tab w:val="right" w:leader="dot" w:pos="9350"/>
        </w:tabs>
        <w:rPr>
          <w:rFonts w:asciiTheme="minorHAnsi" w:eastAsiaTheme="minorEastAsia" w:hAnsiTheme="minorHAnsi" w:cstheme="minorBidi"/>
          <w:noProof/>
          <w:sz w:val="19"/>
          <w:szCs w:val="19"/>
          <w:lang w:val="en-AU" w:eastAsia="en-US" w:bidi="ar-SA"/>
        </w:rPr>
      </w:pPr>
      <w:hyperlink w:anchor="_Toc12549594" w:history="1">
        <w:r w:rsidR="002B2446" w:rsidRPr="002B2446">
          <w:rPr>
            <w:rStyle w:val="Hyperlink"/>
            <w:noProof/>
            <w:sz w:val="19"/>
            <w:szCs w:val="19"/>
            <w:lang w:val="en-AU"/>
          </w:rPr>
          <w:t>Figure A1.2: Proportion contributed by each domain to quality of life</w:t>
        </w:r>
        <w:r w:rsidR="002B2446" w:rsidRPr="002B2446">
          <w:rPr>
            <w:noProof/>
            <w:webHidden/>
            <w:sz w:val="19"/>
            <w:szCs w:val="19"/>
          </w:rPr>
          <w:tab/>
        </w:r>
        <w:r w:rsidR="002B2446" w:rsidRPr="002B2446">
          <w:rPr>
            <w:noProof/>
            <w:webHidden/>
            <w:sz w:val="19"/>
            <w:szCs w:val="19"/>
          </w:rPr>
          <w:fldChar w:fldCharType="begin"/>
        </w:r>
        <w:r w:rsidR="002B2446" w:rsidRPr="002B2446">
          <w:rPr>
            <w:noProof/>
            <w:webHidden/>
            <w:sz w:val="19"/>
            <w:szCs w:val="19"/>
          </w:rPr>
          <w:instrText xml:space="preserve"> PAGEREF _Toc12549594 \h </w:instrText>
        </w:r>
        <w:r w:rsidR="002B2446" w:rsidRPr="002B2446">
          <w:rPr>
            <w:noProof/>
            <w:webHidden/>
            <w:sz w:val="19"/>
            <w:szCs w:val="19"/>
          </w:rPr>
        </w:r>
        <w:r w:rsidR="002B2446" w:rsidRPr="002B2446">
          <w:rPr>
            <w:noProof/>
            <w:webHidden/>
            <w:sz w:val="19"/>
            <w:szCs w:val="19"/>
          </w:rPr>
          <w:fldChar w:fldCharType="separate"/>
        </w:r>
        <w:r w:rsidR="00354BBD">
          <w:rPr>
            <w:noProof/>
            <w:webHidden/>
            <w:sz w:val="19"/>
            <w:szCs w:val="19"/>
          </w:rPr>
          <w:t>92</w:t>
        </w:r>
        <w:r w:rsidR="002B2446" w:rsidRPr="002B2446">
          <w:rPr>
            <w:noProof/>
            <w:webHidden/>
            <w:sz w:val="19"/>
            <w:szCs w:val="19"/>
          </w:rPr>
          <w:fldChar w:fldCharType="end"/>
        </w:r>
      </w:hyperlink>
    </w:p>
    <w:p w14:paraId="5E908653" w14:textId="4C0828B4" w:rsidR="0067455F" w:rsidRPr="00BE3CD8" w:rsidRDefault="000728D3" w:rsidP="0067455F">
      <w:pPr>
        <w:pStyle w:val="Heading1"/>
        <w:rPr>
          <w:noProof/>
          <w:color w:val="auto"/>
        </w:rPr>
      </w:pPr>
      <w:r w:rsidRPr="002B2446">
        <w:rPr>
          <w:sz w:val="19"/>
          <w:szCs w:val="19"/>
        </w:rPr>
        <w:lastRenderedPageBreak/>
        <w:fldChar w:fldCharType="end"/>
      </w:r>
      <w:bookmarkStart w:id="2" w:name="_Toc12022534"/>
      <w:r w:rsidR="0067455F" w:rsidRPr="00BE3CD8">
        <w:rPr>
          <w:noProof/>
          <w:color w:val="auto"/>
        </w:rPr>
        <w:t>Executive summary</w:t>
      </w:r>
    </w:p>
    <w:bookmarkEnd w:id="2"/>
    <w:p w14:paraId="60A6C1CE" w14:textId="77777777" w:rsidR="00DE4180" w:rsidRPr="00BE3CD8" w:rsidRDefault="00DE4180" w:rsidP="00DE4180">
      <w:pPr>
        <w:pStyle w:val="Heading2"/>
        <w:rPr>
          <w:color w:val="auto"/>
        </w:rPr>
      </w:pPr>
      <w:r w:rsidRPr="00BE3CD8">
        <w:rPr>
          <w:color w:val="auto"/>
        </w:rPr>
        <w:t>Background and aims</w:t>
      </w:r>
    </w:p>
    <w:p w14:paraId="7865F238" w14:textId="38245D0A" w:rsidR="00DE4180" w:rsidRPr="00664E64" w:rsidRDefault="001E1ECD" w:rsidP="00DE4180">
      <w:pPr>
        <w:pStyle w:val="BodyText"/>
      </w:pPr>
      <w:r>
        <w:t>While less prevalent than other forms of gambling, o</w:t>
      </w:r>
      <w:r w:rsidR="00DE4180" w:rsidRPr="00664E64">
        <w:t>nline wagering is</w:t>
      </w:r>
      <w:r w:rsidR="00D24EBC">
        <w:t xml:space="preserve"> </w:t>
      </w:r>
      <w:r w:rsidR="00DE4180" w:rsidRPr="00664E64">
        <w:t>the</w:t>
      </w:r>
      <w:r w:rsidR="00D24EBC">
        <w:t xml:space="preserve"> </w:t>
      </w:r>
      <w:r w:rsidR="00DE4180" w:rsidRPr="00664E64">
        <w:t>fastest growing segment of the Australian gambling market. The proportion of people who placed a bet on sports, racing or other events via the internet is estimated to have almost doubled between 2012 and 2018 – from 16% to 34%. Compared to non-interactive gamblers, people who gamble online have been found to be more likely to be male, younger, have higher levels of education and income, participate in a larger range of gambling activities, and experience higher rates of gambling-related harm.</w:t>
      </w:r>
    </w:p>
    <w:p w14:paraId="7A0A4E3E" w14:textId="77777777" w:rsidR="00DE4180" w:rsidRPr="00664E64" w:rsidRDefault="00DE4180" w:rsidP="00DE4180">
      <w:pPr>
        <w:pStyle w:val="BodyText"/>
      </w:pPr>
      <w:r w:rsidRPr="00664E64">
        <w:t>As part of the response to recommendations from a 2015 Review of Illegal Offshore Wagering, a National Consumer Protection Framework for Online Wagering in Australia was developed with input and agreement from Commonwealth and state and territory governments. The intent is to bring Australian consumer protection measures up to date, to ensure they reflect best practice nationally, and to address the current regulatory fragmentation across jurisdictions. The National Framework consists of 10 consumer protection measures that provide tools for consumers and requirements for online wagering providers (licensed in Australia) to help mitigate harm related to online wagering activity.</w:t>
      </w:r>
    </w:p>
    <w:p w14:paraId="7868A31F" w14:textId="77777777" w:rsidR="00DE4180" w:rsidRPr="00664E64" w:rsidRDefault="00DE4180" w:rsidP="00DE4180">
      <w:pPr>
        <w:pStyle w:val="BodyText"/>
      </w:pPr>
      <w:r w:rsidRPr="00664E64">
        <w:t xml:space="preserve">The effectiveness of the National Framework is to be evaluated in four phases over approximately five years. AIFS was commissioned by the Department to develop and conduct the baseline study for the evaluation, prior to the Framework’s full roll-out and implementation. </w:t>
      </w:r>
    </w:p>
    <w:p w14:paraId="6146CD2D" w14:textId="77777777" w:rsidR="00DE4180" w:rsidRPr="00664E64" w:rsidRDefault="00DE4180" w:rsidP="00DE4180">
      <w:pPr>
        <w:pStyle w:val="BodyText"/>
      </w:pPr>
      <w:r w:rsidRPr="00664E64">
        <w:t xml:space="preserve">The baseline study aimed to address some of the gaps in the current evidence base and enhance understanding of: </w:t>
      </w:r>
    </w:p>
    <w:p w14:paraId="743A2D5B" w14:textId="77777777" w:rsidR="00DE4180" w:rsidRPr="00664E64" w:rsidRDefault="00DE4180" w:rsidP="00DE4180">
      <w:pPr>
        <w:pStyle w:val="ListBullet"/>
      </w:pPr>
      <w:r w:rsidRPr="00664E64">
        <w:t xml:space="preserve">levels of online wagering involvement, prevalence of risky gambling behaviour, and levels of harm experienced </w:t>
      </w:r>
    </w:p>
    <w:p w14:paraId="76EAFF7B" w14:textId="77777777" w:rsidR="00DE4180" w:rsidRPr="00664E64" w:rsidRDefault="00DE4180" w:rsidP="00DE4180">
      <w:pPr>
        <w:pStyle w:val="ListBullet"/>
      </w:pPr>
      <w:r w:rsidRPr="00664E64">
        <w:t xml:space="preserve">consumer motivations to participate in online wagering and the means by which consumers seek to manage and control their wagering activity </w:t>
      </w:r>
    </w:p>
    <w:p w14:paraId="3058029A" w14:textId="77777777" w:rsidR="00DE4180" w:rsidRPr="00664E64" w:rsidRDefault="00DE4180" w:rsidP="00DE4180">
      <w:pPr>
        <w:pStyle w:val="ListBullet"/>
      </w:pPr>
      <w:r w:rsidRPr="00664E64">
        <w:t>awareness, uptake and perceived usefulness of existing consumer protection features</w:t>
      </w:r>
    </w:p>
    <w:p w14:paraId="3B689D98" w14:textId="77777777" w:rsidR="00DE4180" w:rsidRPr="00664E64" w:rsidRDefault="00DE4180" w:rsidP="00DE4180">
      <w:pPr>
        <w:pStyle w:val="ListBullet"/>
      </w:pPr>
      <w:r w:rsidRPr="00664E64">
        <w:t xml:space="preserve">jurisdictional consistency in defining the responsible provision of online wagering </w:t>
      </w:r>
    </w:p>
    <w:p w14:paraId="3772AD48" w14:textId="77777777" w:rsidR="00DE4180" w:rsidRPr="00664E64" w:rsidRDefault="00DE4180" w:rsidP="00DE4180">
      <w:pPr>
        <w:pStyle w:val="ListBullet"/>
      </w:pPr>
      <w:r w:rsidRPr="00664E64">
        <w:t xml:space="preserve">readiness to implement and monitor compliance among service providers and regulators and any opportunities or challenges they foresee. </w:t>
      </w:r>
    </w:p>
    <w:p w14:paraId="456E6D8F" w14:textId="77777777" w:rsidR="00DE4180" w:rsidRPr="00BE3CD8" w:rsidRDefault="00DE4180" w:rsidP="00DE4180">
      <w:pPr>
        <w:pStyle w:val="Heading2"/>
        <w:rPr>
          <w:color w:val="auto"/>
        </w:rPr>
      </w:pPr>
      <w:r w:rsidRPr="00BE3CD8">
        <w:rPr>
          <w:color w:val="auto"/>
        </w:rPr>
        <w:t>Research approach</w:t>
      </w:r>
    </w:p>
    <w:p w14:paraId="386DEEF3" w14:textId="77777777" w:rsidR="00DE4180" w:rsidRPr="00664E64" w:rsidRDefault="00DE4180" w:rsidP="00DE4180">
      <w:pPr>
        <w:pStyle w:val="BodyText"/>
      </w:pPr>
      <w:r w:rsidRPr="00664E64">
        <w:t xml:space="preserve">The study employed a mixed methods approach comprising: </w:t>
      </w:r>
    </w:p>
    <w:p w14:paraId="6C74BE9C" w14:textId="77777777" w:rsidR="00DE4180" w:rsidRPr="00664E64" w:rsidRDefault="00DE4180" w:rsidP="00DE4180">
      <w:pPr>
        <w:pStyle w:val="ListBullet"/>
      </w:pPr>
      <w:r w:rsidRPr="00664E64">
        <w:t>a desktop review to profile the characteristics of a cross-section of online wagering service providers licensed in Australia, and the state and territory regulators who monitor wagering activities</w:t>
      </w:r>
    </w:p>
    <w:p w14:paraId="55C15ACF" w14:textId="77777777" w:rsidR="00DE4180" w:rsidRPr="00664E64" w:rsidRDefault="00DE4180" w:rsidP="00DE4180">
      <w:pPr>
        <w:pStyle w:val="ListBullet"/>
      </w:pPr>
      <w:r w:rsidRPr="00664E64">
        <w:t>semi-structured interviews with wagering service providers and regulators to discuss readiness to implement, monitor, report on and enforce compliance with the National Framework</w:t>
      </w:r>
    </w:p>
    <w:p w14:paraId="75C5A604" w14:textId="77777777" w:rsidR="00DE4180" w:rsidRPr="00664E64" w:rsidRDefault="00DE4180" w:rsidP="00DE4180">
      <w:pPr>
        <w:pStyle w:val="ListBullet"/>
      </w:pPr>
      <w:r w:rsidRPr="00664E64">
        <w:t>a survey of people who wager online to describe Australian consumer characteristics, levels of wagering involvement, motivations, self-management strategies, and awareness, uptake and perceived usefulness of existing consumer protection features.</w:t>
      </w:r>
    </w:p>
    <w:p w14:paraId="3A7EDA18" w14:textId="77777777" w:rsidR="00DE4180" w:rsidRPr="00664E64" w:rsidRDefault="00DE4180" w:rsidP="00DE4180">
      <w:pPr>
        <w:pStyle w:val="BodyText"/>
      </w:pPr>
      <w:r w:rsidRPr="00664E64">
        <w:t>Data collection for the baseline study was undertaken during March and April 2019.</w:t>
      </w:r>
    </w:p>
    <w:p w14:paraId="2F81A143" w14:textId="77777777" w:rsidR="00DE4180" w:rsidRPr="00BE3CD8" w:rsidRDefault="00DE4180" w:rsidP="00DE4180">
      <w:pPr>
        <w:pStyle w:val="Heading2"/>
        <w:rPr>
          <w:color w:val="auto"/>
        </w:rPr>
      </w:pPr>
      <w:r w:rsidRPr="00BE3CD8">
        <w:rPr>
          <w:color w:val="auto"/>
        </w:rPr>
        <w:lastRenderedPageBreak/>
        <w:t>Key findings</w:t>
      </w:r>
    </w:p>
    <w:p w14:paraId="1B145950" w14:textId="77777777" w:rsidR="00DE4180" w:rsidRPr="00BE3CD8" w:rsidRDefault="00DE4180" w:rsidP="00DE4180">
      <w:pPr>
        <w:spacing w:before="240" w:after="120"/>
        <w:rPr>
          <w:rFonts w:ascii="Arial" w:eastAsiaTheme="minorEastAsia" w:hAnsi="Arial" w:cs="Arial"/>
          <w:kern w:val="32"/>
          <w:sz w:val="32"/>
          <w:szCs w:val="32"/>
        </w:rPr>
      </w:pPr>
      <w:r w:rsidRPr="00BE3CD8">
        <w:rPr>
          <w:rFonts w:ascii="Arial" w:eastAsiaTheme="minorEastAsia" w:hAnsi="Arial" w:cs="Arial"/>
          <w:kern w:val="32"/>
          <w:sz w:val="32"/>
          <w:szCs w:val="32"/>
        </w:rPr>
        <w:t>Desktop review</w:t>
      </w:r>
    </w:p>
    <w:p w14:paraId="76B320F5" w14:textId="4884310C" w:rsidR="00DE4180" w:rsidRPr="00664E64" w:rsidRDefault="00DE4180" w:rsidP="00DE4180">
      <w:pPr>
        <w:pStyle w:val="BodyText"/>
        <w:rPr>
          <w:color w:val="000000" w:themeColor="text1"/>
        </w:rPr>
      </w:pPr>
      <w:r w:rsidRPr="00664E64">
        <w:rPr>
          <w:color w:val="000000" w:themeColor="text1"/>
        </w:rPr>
        <w:t>Most of the wagering providers who were reviewed were found to promote or offer one or more types of consumer protection measures via their website (at the time of review); either those already in effect as part of the National Framework, or other tools or features similar to those to be rolled out over the coming months. For example, measures such</w:t>
      </w:r>
      <w:r w:rsidR="00502BDF">
        <w:rPr>
          <w:color w:val="000000" w:themeColor="text1"/>
        </w:rPr>
        <w:t xml:space="preserve"> as</w:t>
      </w:r>
      <w:r w:rsidRPr="00664E64">
        <w:rPr>
          <w:color w:val="000000" w:themeColor="text1"/>
        </w:rPr>
        <w:t xml:space="preserve"> timed limits for deposits, spending, and withdrawals appeared to be commonly offered, and the feedback from the open text consumer survey responses suggested that customers found these limits helpful to counter impulsive or excessive betting. </w:t>
      </w:r>
    </w:p>
    <w:p w14:paraId="51046178" w14:textId="77777777" w:rsidR="00DE4180" w:rsidRPr="00664E64" w:rsidRDefault="00DE4180" w:rsidP="00DE4180">
      <w:pPr>
        <w:pStyle w:val="BodyText"/>
        <w:rPr>
          <w:color w:val="000000" w:themeColor="text1"/>
        </w:rPr>
      </w:pPr>
      <w:r w:rsidRPr="00664E64">
        <w:rPr>
          <w:color w:val="000000" w:themeColor="text1"/>
        </w:rPr>
        <w:t>The desktop review revealed that a wide variety of inducements were still being offered at the time of the review, with almost all providers continuing to promote incentives for opening a betting account. Future stages of the evaluation will be able to assess whether providers have implemented the Framework measure to restrict all specified inducements in applicable jurisdictions (scheduled for May 2019).</w:t>
      </w:r>
    </w:p>
    <w:p w14:paraId="301C2C36" w14:textId="77777777" w:rsidR="00DE4180" w:rsidRPr="00664E64" w:rsidRDefault="00DE4180" w:rsidP="00DE4180">
      <w:pPr>
        <w:pStyle w:val="BodyText"/>
        <w:rPr>
          <w:color w:val="000000" w:themeColor="text1"/>
        </w:rPr>
      </w:pPr>
      <w:r w:rsidRPr="00664E64">
        <w:rPr>
          <w:color w:val="000000" w:themeColor="text1"/>
        </w:rPr>
        <w:t>‘Responsible gambling’ messages and links to gambling support services were made available by most providers, but the types and amount of messaging varied between providers. A number of consumers who completed the online survey reported that ‘responsible gambling’ messaging could be improved to reduce gambling-related harms among people who wager online.</w:t>
      </w:r>
    </w:p>
    <w:p w14:paraId="43D8D182" w14:textId="77777777" w:rsidR="00DE4180" w:rsidRPr="00664E64" w:rsidRDefault="00DE4180" w:rsidP="00DE4180">
      <w:pPr>
        <w:pStyle w:val="BodyText"/>
        <w:rPr>
          <w:color w:val="000000" w:themeColor="text1"/>
        </w:rPr>
      </w:pPr>
      <w:r w:rsidRPr="00664E64">
        <w:rPr>
          <w:color w:val="000000" w:themeColor="text1"/>
        </w:rPr>
        <w:t>At the time of the review only a minority of state and territory regulator websites contained any information about the National Framework or links to further information, but all of the reviewed Commonwealth websites provided some detail, including the National Policy Statement or a link to it.</w:t>
      </w:r>
    </w:p>
    <w:p w14:paraId="6FEA4369" w14:textId="77777777" w:rsidR="00DE4180" w:rsidRPr="00BE3CD8" w:rsidRDefault="00DE4180" w:rsidP="00DE4180">
      <w:pPr>
        <w:spacing w:before="240" w:after="120"/>
        <w:rPr>
          <w:rFonts w:ascii="Arial" w:eastAsiaTheme="minorEastAsia" w:hAnsi="Arial" w:cs="Arial"/>
          <w:kern w:val="32"/>
          <w:sz w:val="32"/>
          <w:szCs w:val="32"/>
        </w:rPr>
      </w:pPr>
      <w:r w:rsidRPr="00BE3CD8">
        <w:rPr>
          <w:rFonts w:ascii="Arial" w:eastAsiaTheme="minorEastAsia" w:hAnsi="Arial" w:cs="Arial"/>
          <w:kern w:val="32"/>
          <w:sz w:val="32"/>
          <w:szCs w:val="32"/>
        </w:rPr>
        <w:t>Stakeholder interviews</w:t>
      </w:r>
    </w:p>
    <w:p w14:paraId="09291586" w14:textId="4BD4EC7D" w:rsidR="00DE4180" w:rsidRPr="00664E64" w:rsidRDefault="00DE4180" w:rsidP="00DE4180">
      <w:pPr>
        <w:pStyle w:val="BodyText"/>
        <w:rPr>
          <w:color w:val="000000" w:themeColor="text1"/>
        </w:rPr>
      </w:pPr>
      <w:r w:rsidRPr="00664E64">
        <w:rPr>
          <w:color w:val="000000" w:themeColor="text1"/>
        </w:rPr>
        <w:t>Regulators were generally very supportive of the Framework, describing it as a positive development in encouraging stronger consumer protection measures and promoting the regulation of online wagering in Australia. However, they also acknowledged there were still challenges in implementing measures consistently across jurisdictions, given different regulatory frameworks and issues of minimum standards.</w:t>
      </w:r>
    </w:p>
    <w:p w14:paraId="082B6B42" w14:textId="77777777" w:rsidR="00DE4180" w:rsidRPr="00664E64" w:rsidRDefault="00DE4180" w:rsidP="00DE4180">
      <w:pPr>
        <w:pStyle w:val="BodyText"/>
        <w:rPr>
          <w:color w:val="000000" w:themeColor="text1"/>
        </w:rPr>
      </w:pPr>
      <w:r w:rsidRPr="00664E64">
        <w:rPr>
          <w:color w:val="000000" w:themeColor="text1"/>
        </w:rPr>
        <w:t>Online wagering service providers were also broadly supportive of the overall Framework and the individual measures, and viewed its implementation as an opportunity to achieve greater consistency across the wagering industry in Australia. Providers reported developing internal systems and protocols to ensure efficient and effective implementation of the Framework, but described having had limited communication with some state and territory regulators (at the time of interview), which created uncertainties regarding implementation requirements. Current concerns for providers most often related to timelines and readiness, impacts on resources and business operations, and achieving national consistency. It is likely that a number of the concerns raised by regulators and wagering providers regarding implementation processes will be resolved by the next wave of the evaluation.</w:t>
      </w:r>
    </w:p>
    <w:p w14:paraId="04BE7196" w14:textId="77777777" w:rsidR="00DE4180" w:rsidRPr="00BE3CD8" w:rsidRDefault="00DE4180" w:rsidP="00DE4180">
      <w:pPr>
        <w:spacing w:before="240" w:after="120"/>
        <w:rPr>
          <w:rFonts w:ascii="Arial" w:eastAsiaTheme="minorEastAsia" w:hAnsi="Arial" w:cs="Arial"/>
          <w:kern w:val="32"/>
          <w:sz w:val="32"/>
          <w:szCs w:val="32"/>
        </w:rPr>
      </w:pPr>
      <w:r w:rsidRPr="00BE3CD8">
        <w:rPr>
          <w:rFonts w:ascii="Arial" w:eastAsiaTheme="minorEastAsia" w:hAnsi="Arial" w:cs="Arial"/>
          <w:kern w:val="32"/>
          <w:sz w:val="32"/>
          <w:szCs w:val="32"/>
        </w:rPr>
        <w:t>Consumer survey</w:t>
      </w:r>
    </w:p>
    <w:p w14:paraId="19183A39" w14:textId="77777777" w:rsidR="00DE4180" w:rsidRPr="00664E64" w:rsidRDefault="00DE4180" w:rsidP="00DE4180">
      <w:pPr>
        <w:pStyle w:val="BodyText"/>
        <w:rPr>
          <w:color w:val="000000" w:themeColor="text1"/>
        </w:rPr>
      </w:pPr>
      <w:r w:rsidRPr="00664E64">
        <w:rPr>
          <w:color w:val="000000" w:themeColor="text1"/>
        </w:rPr>
        <w:t xml:space="preserve">A self-selected sample of 5,076 adults who wagered online in Australia in the past 12 months completed the survey. Online wagering referred to electronically placing a bet via a mobile/smartphone, computer (e.g. PC or laptop), tablet (e.g. iPad), smart TV, internet telephone (e.g. VoIP), or by telephone call. Participants were mostly male, aged in their 40s, Australian-born, married or in another type of relationship, educated, </w:t>
      </w:r>
      <w:r w:rsidRPr="00664E64">
        <w:rPr>
          <w:color w:val="000000" w:themeColor="text1"/>
        </w:rPr>
        <w:lastRenderedPageBreak/>
        <w:t xml:space="preserve">employed, and securely accommodated. Just under two-thirds reported residing in one of the state capitals, with the remainder in the territories or regional areas of Australia. </w:t>
      </w:r>
    </w:p>
    <w:p w14:paraId="517E4F0F" w14:textId="3C1FDECA" w:rsidR="00DE4180" w:rsidRPr="00664E64" w:rsidRDefault="00DE4180" w:rsidP="00DE4180">
      <w:pPr>
        <w:pStyle w:val="BodyText"/>
        <w:rPr>
          <w:color w:val="000000" w:themeColor="text1"/>
        </w:rPr>
      </w:pPr>
      <w:r w:rsidRPr="00664E64">
        <w:rPr>
          <w:color w:val="000000" w:themeColor="text1"/>
        </w:rPr>
        <w:t>Horse racing (75%), sports (53%) and greyhound racing (32%) were the activities most commonly wagered on during the previous 12 months. The majority reported having placed bets online using mobiles/smartphone</w:t>
      </w:r>
      <w:r w:rsidR="00502BDF">
        <w:rPr>
          <w:color w:val="000000" w:themeColor="text1"/>
        </w:rPr>
        <w:t>s</w:t>
      </w:r>
      <w:r w:rsidRPr="00664E64">
        <w:rPr>
          <w:color w:val="000000" w:themeColor="text1"/>
        </w:rPr>
        <w:t xml:space="preserve"> or computers, and the accessibility of online wagering facilitated betting from multiple locations, including home, licenced venues, work, friend/family home, and sporting event/racetrack. Participants reported having an average o</w:t>
      </w:r>
      <w:r w:rsidR="004D6142">
        <w:rPr>
          <w:color w:val="000000" w:themeColor="text1"/>
        </w:rPr>
        <w:t>f</w:t>
      </w:r>
      <w:r w:rsidRPr="00664E64">
        <w:rPr>
          <w:color w:val="000000" w:themeColor="text1"/>
        </w:rPr>
        <w:t xml:space="preserve"> 2.3 wagering accounts, and </w:t>
      </w:r>
      <w:r w:rsidR="00502BDF">
        <w:rPr>
          <w:color w:val="000000" w:themeColor="text1"/>
        </w:rPr>
        <w:t xml:space="preserve">the </w:t>
      </w:r>
      <w:r w:rsidRPr="00664E64">
        <w:rPr>
          <w:color w:val="000000" w:themeColor="text1"/>
        </w:rPr>
        <w:t>average spend on each activity on a typical day of betting ranged from around $50-</w:t>
      </w:r>
      <w:r w:rsidR="00502BDF">
        <w:rPr>
          <w:color w:val="000000" w:themeColor="text1"/>
        </w:rPr>
        <w:t>$</w:t>
      </w:r>
      <w:r w:rsidRPr="00664E64">
        <w:rPr>
          <w:color w:val="000000" w:themeColor="text1"/>
        </w:rPr>
        <w:t xml:space="preserve">100. The participants’ main motivations to wager online were often linked to enjoyment, with the largest proportions reporting, ‘I enjoy a punt’, ‘betting on an event makes watching sports/races more interesting’ and ‘betting is a social activity’. </w:t>
      </w:r>
    </w:p>
    <w:p w14:paraId="75ABCEAF" w14:textId="055DF9CA" w:rsidR="00DE4180" w:rsidRPr="00664E64" w:rsidRDefault="00DE4180" w:rsidP="00DE4180">
      <w:pPr>
        <w:pStyle w:val="BodyText"/>
        <w:rPr>
          <w:color w:val="000000" w:themeColor="text1"/>
        </w:rPr>
      </w:pPr>
      <w:r w:rsidRPr="00664E64">
        <w:rPr>
          <w:color w:val="000000" w:themeColor="text1"/>
        </w:rPr>
        <w:t>Experience of gambling-related</w:t>
      </w:r>
      <w:r w:rsidR="00054FB4">
        <w:rPr>
          <w:color w:val="000000" w:themeColor="text1"/>
        </w:rPr>
        <w:t xml:space="preserve"> problems</w:t>
      </w:r>
      <w:r w:rsidRPr="00664E64">
        <w:rPr>
          <w:color w:val="000000" w:themeColor="text1"/>
        </w:rPr>
        <w:t xml:space="preserve"> was assessed via the Problem Gambling Severity Index; around half of all participants (52%) were classified as being at risk of or already experiencing gambling-related harm; with 25% classified as low risk, 19% moderate risk, and 8% problem gambling</w:t>
      </w:r>
      <w:r w:rsidR="00054FB4">
        <w:rPr>
          <w:color w:val="000000" w:themeColor="text1"/>
        </w:rPr>
        <w:t xml:space="preserve"> (a higher prevalence of gambling problems compared to previous research with</w:t>
      </w:r>
      <w:r w:rsidR="00054FB4" w:rsidRPr="00054FB4">
        <w:rPr>
          <w:color w:val="000000" w:themeColor="text1"/>
        </w:rPr>
        <w:t xml:space="preserve"> interactive gamblers</w:t>
      </w:r>
      <w:r w:rsidR="00054FB4">
        <w:rPr>
          <w:color w:val="000000" w:themeColor="text1"/>
        </w:rPr>
        <w:t>)</w:t>
      </w:r>
      <w:r w:rsidR="00054FB4" w:rsidRPr="00054FB4">
        <w:rPr>
          <w:color w:val="000000" w:themeColor="text1"/>
        </w:rPr>
        <w:t>.</w:t>
      </w:r>
      <w:r w:rsidR="00054FB4">
        <w:rPr>
          <w:color w:val="000000" w:themeColor="text1"/>
        </w:rPr>
        <w:t xml:space="preserve"> </w:t>
      </w:r>
      <w:r w:rsidRPr="00664E64">
        <w:rPr>
          <w:color w:val="000000" w:themeColor="text1"/>
        </w:rPr>
        <w:t xml:space="preserve">Other harms reported included a reduction of available spending money (24%), reduction of savings (22%), regrets that made them feel sorry about their gambling (18%), and having less spending for recreational purposes (15%). </w:t>
      </w:r>
    </w:p>
    <w:p w14:paraId="5B25006A" w14:textId="77777777" w:rsidR="00DE4180" w:rsidRPr="00664E64" w:rsidRDefault="00DE4180" w:rsidP="00DE4180">
      <w:pPr>
        <w:pStyle w:val="BodyText"/>
        <w:rPr>
          <w:color w:val="000000" w:themeColor="text1"/>
        </w:rPr>
      </w:pPr>
      <w:r w:rsidRPr="00664E64">
        <w:rPr>
          <w:color w:val="000000" w:themeColor="text1"/>
        </w:rPr>
        <w:t>While available consumer protection measures were generally perceived as being useful – particularly regular financial statements, clear information about terms and conditions, deposit limits and spend limits – open text responses revealed that many participants did not view themselves as experiencing gambling-related harm and felt that some of the features applied more to people ‘at risk’ or already experiencing gambling problems. It is possible that a lack of perceived risk of gambling-related harm among people who wager online could affect uptake of consumer protection features; this is something that could be examined in future stages of the evaluation.</w:t>
      </w:r>
    </w:p>
    <w:p w14:paraId="358DD1A1" w14:textId="77777777" w:rsidR="00DE4180" w:rsidRPr="00BE3CD8" w:rsidRDefault="00DE4180" w:rsidP="00DE4180">
      <w:pPr>
        <w:pStyle w:val="Heading2"/>
        <w:rPr>
          <w:color w:val="auto"/>
        </w:rPr>
      </w:pPr>
      <w:r w:rsidRPr="00BE3CD8">
        <w:rPr>
          <w:color w:val="auto"/>
        </w:rPr>
        <w:t>Recommendations</w:t>
      </w:r>
    </w:p>
    <w:p w14:paraId="1CAFCF47" w14:textId="3DFF9C11" w:rsidR="00DE4180" w:rsidRPr="00664E64" w:rsidRDefault="00DE4180" w:rsidP="00DE4180">
      <w:pPr>
        <w:pStyle w:val="BodyText"/>
      </w:pPr>
      <w:r w:rsidRPr="00664E64">
        <w:t>The intention of the National Framework is to</w:t>
      </w:r>
      <w:r w:rsidR="00D24EBC">
        <w:t xml:space="preserve"> reduce the harm of online wagering to consumers by</w:t>
      </w:r>
      <w:r w:rsidRPr="00664E64">
        <w:t xml:space="preserve"> bring</w:t>
      </w:r>
      <w:r w:rsidR="00D24EBC">
        <w:t>ing</w:t>
      </w:r>
      <w:r w:rsidRPr="00664E64">
        <w:t xml:space="preserve"> Australian consumer protection measures for online wagering up to date</w:t>
      </w:r>
      <w:r w:rsidR="00054FB4">
        <w:t xml:space="preserve">, </w:t>
      </w:r>
      <w:r w:rsidRPr="00664E64">
        <w:t>ensur</w:t>
      </w:r>
      <w:r w:rsidR="00D24EBC">
        <w:t>ing</w:t>
      </w:r>
      <w:r w:rsidRPr="00664E64">
        <w:t xml:space="preserve"> they reflect best practice nationally, and address</w:t>
      </w:r>
      <w:r w:rsidR="00D24EBC">
        <w:t>ing</w:t>
      </w:r>
      <w:r w:rsidRPr="00664E64">
        <w:t xml:space="preserve"> the current regulatory fragmentation across jurisdictions.</w:t>
      </w:r>
    </w:p>
    <w:p w14:paraId="1FAF9CB4" w14:textId="77777777" w:rsidR="00DE4180" w:rsidRPr="00BE3CD8" w:rsidRDefault="00DE4180" w:rsidP="00DE4180">
      <w:pPr>
        <w:spacing w:before="240" w:after="120"/>
        <w:rPr>
          <w:rFonts w:ascii="Arial" w:eastAsiaTheme="minorEastAsia" w:hAnsi="Arial" w:cs="Arial"/>
          <w:kern w:val="32"/>
          <w:sz w:val="32"/>
          <w:szCs w:val="32"/>
        </w:rPr>
      </w:pPr>
      <w:r w:rsidRPr="00BE3CD8">
        <w:rPr>
          <w:rFonts w:ascii="Arial" w:eastAsiaTheme="minorEastAsia" w:hAnsi="Arial" w:cs="Arial"/>
          <w:kern w:val="32"/>
          <w:sz w:val="32"/>
          <w:szCs w:val="32"/>
        </w:rPr>
        <w:t>Recommendations for government</w:t>
      </w:r>
    </w:p>
    <w:p w14:paraId="2F1B6AED" w14:textId="77777777" w:rsidR="00DE4180" w:rsidRPr="00664E64" w:rsidRDefault="00DE4180" w:rsidP="00DE4180">
      <w:pPr>
        <w:pStyle w:val="BodyText"/>
      </w:pPr>
      <w:r w:rsidRPr="00664E64">
        <w:t>We recommend the following points be considered as part of the ongoing development and roll-out of the National Framework:</w:t>
      </w:r>
    </w:p>
    <w:p w14:paraId="49E1CF27" w14:textId="72E7BA5C" w:rsidR="00DE4180" w:rsidRPr="00664E64" w:rsidRDefault="00DE4180" w:rsidP="0024538A">
      <w:pPr>
        <w:pStyle w:val="ListBullet"/>
        <w:spacing w:before="120"/>
      </w:pPr>
      <w:r w:rsidRPr="00664E64">
        <w:t xml:space="preserve">Continue </w:t>
      </w:r>
      <w:r w:rsidR="00502BDF">
        <w:t xml:space="preserve">to work </w:t>
      </w:r>
      <w:r w:rsidRPr="00664E64">
        <w:t>towards harmonisation of minimum online wagering regulations across jurisdictions, while retaining the ability of jurisdictions to impose higher standards.</w:t>
      </w:r>
    </w:p>
    <w:p w14:paraId="76D4E8D3" w14:textId="1F294085" w:rsidR="00DE4180" w:rsidRPr="00664E64" w:rsidRDefault="00DE4180" w:rsidP="0024538A">
      <w:pPr>
        <w:pStyle w:val="ListBullet"/>
        <w:spacing w:before="120"/>
      </w:pPr>
      <w:r w:rsidRPr="00664E64">
        <w:t xml:space="preserve">Ensure continuation of the </w:t>
      </w:r>
      <w:r w:rsidR="003235C8">
        <w:t>implementation</w:t>
      </w:r>
      <w:r w:rsidR="003235C8" w:rsidRPr="00664E64">
        <w:t xml:space="preserve"> </w:t>
      </w:r>
      <w:r w:rsidRPr="00664E64">
        <w:t xml:space="preserve">Governance Committee to facilitate ongoing dialogue between jurisdictions, </w:t>
      </w:r>
      <w:r w:rsidR="003235C8">
        <w:t xml:space="preserve">address and work to </w:t>
      </w:r>
      <w:r w:rsidRPr="00664E64">
        <w:t>reconcile cross-border issues, and provide regular reports and updates on breaches of regulatory conditions.</w:t>
      </w:r>
    </w:p>
    <w:p w14:paraId="60F4E8CD" w14:textId="4E317032" w:rsidR="00DE4180" w:rsidRPr="00FF4B80" w:rsidRDefault="00DE4180" w:rsidP="0024538A">
      <w:pPr>
        <w:pStyle w:val="ListBullet"/>
        <w:spacing w:before="120"/>
      </w:pPr>
      <w:r w:rsidRPr="00664E64">
        <w:t xml:space="preserve">Continue </w:t>
      </w:r>
      <w:r w:rsidR="00502BDF">
        <w:t xml:space="preserve">to work </w:t>
      </w:r>
      <w:r w:rsidRPr="00664E64">
        <w:t xml:space="preserve">towards greater transparency and improved communication between regulators and </w:t>
      </w:r>
      <w:r w:rsidR="00054FB4">
        <w:t xml:space="preserve">wagering </w:t>
      </w:r>
      <w:r w:rsidRPr="00664E64">
        <w:t xml:space="preserve">providers, particularly with regard to the roll-out of future measures and any amendments to </w:t>
      </w:r>
      <w:r w:rsidRPr="00FF4B80">
        <w:t xml:space="preserve">the Framework that may affect providers’ compliance requirements. </w:t>
      </w:r>
    </w:p>
    <w:p w14:paraId="2E93EDF2" w14:textId="539363BE" w:rsidR="00DE4180" w:rsidRPr="00FF4B80" w:rsidRDefault="00DE4180" w:rsidP="0024538A">
      <w:pPr>
        <w:pStyle w:val="ListBullet"/>
        <w:spacing w:before="120"/>
      </w:pPr>
      <w:r w:rsidRPr="00FF4B80">
        <w:lastRenderedPageBreak/>
        <w:t>Develop consistent evidence-based gambling messages from a harm reduction perspective</w:t>
      </w:r>
      <w:r w:rsidR="00A13E36" w:rsidRPr="00FF4B80">
        <w:t>,</w:t>
      </w:r>
      <w:r w:rsidR="00A13E36" w:rsidRPr="00FF4B80">
        <w:rPr>
          <w:rFonts w:ascii="Times New Roman" w:hAnsi="Times New Roman"/>
          <w:color w:val="auto"/>
          <w:sz w:val="24"/>
          <w:lang w:bidi="ar-SA"/>
        </w:rPr>
        <w:t xml:space="preserve"> </w:t>
      </w:r>
      <w:r w:rsidR="00A13E36" w:rsidRPr="00FF4B80">
        <w:t>with input from consumers</w:t>
      </w:r>
      <w:r w:rsidR="0052552F" w:rsidRPr="00FF4B80">
        <w:t>, particularly in relation to consumers who view themselves as being at low-risk of gambling</w:t>
      </w:r>
      <w:r w:rsidR="0024538A" w:rsidRPr="00FF4B80">
        <w:t>-</w:t>
      </w:r>
      <w:r w:rsidR="0052552F" w:rsidRPr="00FF4B80">
        <w:t>related harm.</w:t>
      </w:r>
    </w:p>
    <w:p w14:paraId="7C1C1ED9" w14:textId="79DE9381" w:rsidR="00DE4180" w:rsidRPr="00FF4B80" w:rsidRDefault="00DE4180" w:rsidP="0024538A">
      <w:pPr>
        <w:pStyle w:val="ListBullet"/>
        <w:spacing w:before="120"/>
      </w:pPr>
      <w:r w:rsidRPr="00FF4B80">
        <w:t>Prioritise the development and implementation of the national self-exclusion register.</w:t>
      </w:r>
    </w:p>
    <w:p w14:paraId="1BCEABFA" w14:textId="59B3CFB5" w:rsidR="00C3597E" w:rsidRPr="00FF4B80" w:rsidRDefault="00C3597E" w:rsidP="00321EBD">
      <w:pPr>
        <w:pStyle w:val="ListBullet"/>
        <w:spacing w:before="120"/>
      </w:pPr>
      <w:r w:rsidRPr="00FF4B80">
        <w:t xml:space="preserve">Ensure individual framework measures continue to be evidence-based to prevent and reduce harm for people who wager online, with </w:t>
      </w:r>
      <w:r w:rsidR="003C37C3" w:rsidRPr="00FF4B80">
        <w:t xml:space="preserve">appropriate </w:t>
      </w:r>
      <w:r w:rsidRPr="00FF4B80">
        <w:t>modification</w:t>
      </w:r>
      <w:r w:rsidR="0024538A" w:rsidRPr="00FF4B80">
        <w:t>s</w:t>
      </w:r>
      <w:r w:rsidRPr="00FF4B80">
        <w:t xml:space="preserve"> </w:t>
      </w:r>
      <w:r w:rsidR="003C37C3" w:rsidRPr="00FF4B80">
        <w:t>as the evidence base develops</w:t>
      </w:r>
      <w:r w:rsidR="0024538A" w:rsidRPr="00FF4B80">
        <w:t>.</w:t>
      </w:r>
    </w:p>
    <w:p w14:paraId="51A9145D" w14:textId="77777777" w:rsidR="00DE4180" w:rsidRPr="00BE3CD8" w:rsidRDefault="00DE4180" w:rsidP="00DE4180">
      <w:pPr>
        <w:spacing w:before="240" w:after="120"/>
        <w:rPr>
          <w:rFonts w:ascii="Arial" w:eastAsiaTheme="minorEastAsia" w:hAnsi="Arial" w:cs="Arial"/>
          <w:kern w:val="32"/>
          <w:sz w:val="32"/>
          <w:szCs w:val="32"/>
        </w:rPr>
      </w:pPr>
      <w:bookmarkStart w:id="3" w:name="_Toc11866391"/>
      <w:r w:rsidRPr="00BE3CD8">
        <w:rPr>
          <w:rFonts w:ascii="Arial" w:eastAsiaTheme="minorEastAsia" w:hAnsi="Arial" w:cs="Arial"/>
          <w:kern w:val="32"/>
          <w:sz w:val="32"/>
          <w:szCs w:val="32"/>
        </w:rPr>
        <w:t>Recommendations for future stages of the evaluation</w:t>
      </w:r>
      <w:bookmarkEnd w:id="3"/>
    </w:p>
    <w:p w14:paraId="5E7F048E" w14:textId="77777777" w:rsidR="00DE4180" w:rsidRPr="00664E64" w:rsidRDefault="00DE4180" w:rsidP="00DE4180">
      <w:pPr>
        <w:pStyle w:val="BodyText"/>
      </w:pPr>
      <w:r w:rsidRPr="00664E64">
        <w:t xml:space="preserve">In terms of the evaluation itself, we recommend the following approaches be considered to enhance data collection and improve understanding of the uptake, usefulness and effectiveness of the National Framework: </w:t>
      </w:r>
    </w:p>
    <w:p w14:paraId="49DEB472" w14:textId="77777777" w:rsidR="00DE4180" w:rsidRPr="00664E64" w:rsidRDefault="00DE4180" w:rsidP="0024538A">
      <w:pPr>
        <w:pStyle w:val="ListBullet"/>
        <w:tabs>
          <w:tab w:val="clear" w:pos="425"/>
        </w:tabs>
        <w:spacing w:before="120"/>
      </w:pPr>
      <w:r w:rsidRPr="00664E64">
        <w:t>Replicate the baseline study, with some modifications or additional areas of focus; for example:</w:t>
      </w:r>
    </w:p>
    <w:p w14:paraId="7FBD52BA" w14:textId="77777777" w:rsidR="00DE4180" w:rsidRPr="00664E64" w:rsidRDefault="00DE4180" w:rsidP="0024538A">
      <w:pPr>
        <w:pStyle w:val="ListBullet"/>
        <w:tabs>
          <w:tab w:val="clear" w:pos="425"/>
        </w:tabs>
        <w:spacing w:before="120"/>
        <w:ind w:left="850"/>
      </w:pPr>
      <w:r w:rsidRPr="00664E64">
        <w:t>D</w:t>
      </w:r>
      <w:r w:rsidRPr="00664E64">
        <w:rPr>
          <w:lang w:bidi="ar-SA"/>
        </w:rPr>
        <w:t xml:space="preserve">esktop review: consider extending the desktop review to include wagering provider apps (in addition to websites) </w:t>
      </w:r>
      <w:r w:rsidRPr="00664E64">
        <w:t xml:space="preserve">and investigate how features that are only accessible to account holders might be reviewed, while still ensuring ethical and other organisational compliance. </w:t>
      </w:r>
    </w:p>
    <w:p w14:paraId="1D1B9731" w14:textId="77777777" w:rsidR="00DE4180" w:rsidRPr="00664E64" w:rsidRDefault="00DE4180" w:rsidP="0024538A">
      <w:pPr>
        <w:pStyle w:val="ListBullet"/>
        <w:tabs>
          <w:tab w:val="clear" w:pos="425"/>
        </w:tabs>
        <w:spacing w:before="120"/>
        <w:ind w:left="850"/>
      </w:pPr>
      <w:r w:rsidRPr="00664E64">
        <w:rPr>
          <w:lang w:bidi="ar-SA"/>
        </w:rPr>
        <w:t xml:space="preserve">Stakeholder views: it may be useful for the researchers to attend the </w:t>
      </w:r>
      <w:r w:rsidRPr="00664E64">
        <w:t xml:space="preserve">Governance Committee or industry briefing </w:t>
      </w:r>
      <w:r w:rsidRPr="00664E64">
        <w:rPr>
          <w:rFonts w:cs="Arial"/>
          <w:color w:val="000000" w:themeColor="text1"/>
          <w:szCs w:val="20"/>
        </w:rPr>
        <w:t xml:space="preserve">meetings </w:t>
      </w:r>
      <w:r w:rsidRPr="00664E64">
        <w:rPr>
          <w:lang w:bidi="ar-SA"/>
        </w:rPr>
        <w:t>(in-confidence and where appropriate) to gain a more nuanced understanding of the opportunities and challenges for regulators and wagering providers.</w:t>
      </w:r>
    </w:p>
    <w:p w14:paraId="468402C0" w14:textId="4D7ECEC6" w:rsidR="00DE4180" w:rsidRPr="00664E64" w:rsidRDefault="00DE4180" w:rsidP="0024538A">
      <w:pPr>
        <w:pStyle w:val="ListBullet"/>
        <w:tabs>
          <w:tab w:val="clear" w:pos="425"/>
        </w:tabs>
        <w:spacing w:before="120"/>
        <w:ind w:left="850"/>
      </w:pPr>
      <w:r w:rsidRPr="00664E64">
        <w:rPr>
          <w:lang w:bidi="ar-SA"/>
        </w:rPr>
        <w:t>Consumer survey: consider investigating issues related to the Framework in more detail (where time allows); for example, instances where consumer protection features may not be being implemented as planned or where there may be unintended consequences.</w:t>
      </w:r>
    </w:p>
    <w:p w14:paraId="516A5252" w14:textId="77777777" w:rsidR="00DE4180" w:rsidRPr="00664E64" w:rsidRDefault="00DE4180" w:rsidP="0024538A">
      <w:pPr>
        <w:pStyle w:val="ListBullet"/>
        <w:tabs>
          <w:tab w:val="clear" w:pos="425"/>
        </w:tabs>
        <w:spacing w:before="120"/>
      </w:pPr>
      <w:r w:rsidRPr="00664E64">
        <w:t>Include a qualitative interview component with people who wager online:</w:t>
      </w:r>
    </w:p>
    <w:p w14:paraId="76E4F412" w14:textId="042F0230" w:rsidR="00DE4180" w:rsidRPr="00664E64" w:rsidRDefault="00DE4180" w:rsidP="0024538A">
      <w:pPr>
        <w:pStyle w:val="ListBullet"/>
        <w:tabs>
          <w:tab w:val="clear" w:pos="425"/>
        </w:tabs>
        <w:spacing w:before="120"/>
        <w:ind w:left="850"/>
      </w:pPr>
      <w:r w:rsidRPr="00664E64">
        <w:t>Conduct qualitative interviews with consumers to allow for further in-depth investigation of findings emerging from the online survey, including uptake and perceptions of the usefulness</w:t>
      </w:r>
      <w:r w:rsidR="00502BDF">
        <w:t xml:space="preserve"> of</w:t>
      </w:r>
      <w:r w:rsidRPr="00664E64">
        <w:t xml:space="preserve"> the Framework measures.</w:t>
      </w:r>
    </w:p>
    <w:p w14:paraId="48A26F3C" w14:textId="4A33707E" w:rsidR="0061562B" w:rsidRPr="00664E64" w:rsidRDefault="00DE4180" w:rsidP="0024538A">
      <w:pPr>
        <w:pStyle w:val="ListBullet"/>
        <w:spacing w:before="120"/>
      </w:pPr>
      <w:r w:rsidRPr="00664E64">
        <w:t>Investigate any relevant</w:t>
      </w:r>
      <w:r w:rsidR="00D64709">
        <w:t xml:space="preserve"> </w:t>
      </w:r>
      <w:r w:rsidRPr="00664E64">
        <w:t>secondary data sources; for example</w:t>
      </w:r>
      <w:r w:rsidR="00054FB4">
        <w:t xml:space="preserve"> (where available)</w:t>
      </w:r>
      <w:r w:rsidRPr="00664E64">
        <w:t>, the number of regulatory or licence breaches related to the Framework measures and trends in gambling-related harm data.</w:t>
      </w:r>
    </w:p>
    <w:p w14:paraId="73BFA94A" w14:textId="1ACE7AF7" w:rsidR="008128E5" w:rsidRPr="00664E64" w:rsidRDefault="0061562B" w:rsidP="0061562B">
      <w:pPr>
        <w:rPr>
          <w:bCs/>
          <w:noProof/>
          <w:szCs w:val="22"/>
        </w:rPr>
      </w:pPr>
      <w:r w:rsidRPr="00664E64">
        <w:rPr>
          <w:noProof/>
        </w:rPr>
        <w:br w:type="page"/>
      </w:r>
    </w:p>
    <w:p w14:paraId="488314FB" w14:textId="330ECA97" w:rsidR="002805D2" w:rsidRPr="00BE3CD8" w:rsidRDefault="00074BC2" w:rsidP="00BE3CD8">
      <w:pPr>
        <w:pStyle w:val="Heading1Outline"/>
      </w:pPr>
      <w:bookmarkStart w:id="4" w:name="_Toc12022535"/>
      <w:r w:rsidRPr="00BE3CD8">
        <w:lastRenderedPageBreak/>
        <w:t>Background</w:t>
      </w:r>
      <w:bookmarkEnd w:id="4"/>
    </w:p>
    <w:p w14:paraId="71A9E7BC" w14:textId="38BC0499" w:rsidR="001551F3" w:rsidRPr="00664E64" w:rsidRDefault="001551F3" w:rsidP="001551F3">
      <w:pPr>
        <w:pStyle w:val="BodyText"/>
        <w:rPr>
          <w:rFonts w:eastAsiaTheme="minorHAnsi"/>
        </w:rPr>
      </w:pPr>
      <w:r w:rsidRPr="00664E64">
        <w:rPr>
          <w:rFonts w:eastAsiaTheme="minorHAnsi"/>
        </w:rPr>
        <w:t>In 2015 a Review of Illegal Offshore Wagering (O’Farrell, 2015) was conducted on behalf of the Commonwealth Government to investigate the size and scope of illegal offshore wagering, to advise on ways to strengthen the regulatory environment, and to protect Australian consumers from illegal offshore service providers.</w:t>
      </w:r>
    </w:p>
    <w:p w14:paraId="1E2C0E49" w14:textId="268F21A1" w:rsidR="001551F3" w:rsidRPr="00664E64" w:rsidRDefault="001551F3" w:rsidP="001551F3">
      <w:pPr>
        <w:pStyle w:val="BodyText"/>
        <w:rPr>
          <w:rFonts w:eastAsiaTheme="minorHAnsi"/>
        </w:rPr>
      </w:pPr>
      <w:r w:rsidRPr="00664E64">
        <w:rPr>
          <w:rFonts w:eastAsiaTheme="minorHAnsi"/>
        </w:rPr>
        <w:t xml:space="preserve">As part of the response to recommendations from the review, a National Consumer Protection </w:t>
      </w:r>
      <w:r w:rsidR="00014A0D" w:rsidRPr="00664E64">
        <w:rPr>
          <w:rFonts w:eastAsiaTheme="minorHAnsi"/>
        </w:rPr>
        <w:t>Framework</w:t>
      </w:r>
      <w:r w:rsidRPr="00664E64">
        <w:rPr>
          <w:rFonts w:eastAsiaTheme="minorHAnsi"/>
        </w:rPr>
        <w:t xml:space="preserve"> for Online Wagering </w:t>
      </w:r>
      <w:r w:rsidR="00915D1F" w:rsidRPr="00664E64">
        <w:rPr>
          <w:rFonts w:eastAsiaTheme="minorHAnsi"/>
        </w:rPr>
        <w:t xml:space="preserve">in Australia </w:t>
      </w:r>
      <w:r w:rsidRPr="00664E64">
        <w:rPr>
          <w:rFonts w:eastAsiaTheme="minorHAnsi"/>
        </w:rPr>
        <w:t xml:space="preserve">(National </w:t>
      </w:r>
      <w:r w:rsidR="00014A0D" w:rsidRPr="00664E64">
        <w:rPr>
          <w:rFonts w:eastAsiaTheme="minorHAnsi"/>
        </w:rPr>
        <w:t>Framework</w:t>
      </w:r>
      <w:r w:rsidR="00915D1F" w:rsidRPr="00664E64">
        <w:rPr>
          <w:rFonts w:eastAsiaTheme="minorHAnsi"/>
        </w:rPr>
        <w:t xml:space="preserve"> or NCPF</w:t>
      </w:r>
      <w:r w:rsidRPr="00664E64">
        <w:rPr>
          <w:rFonts w:eastAsiaTheme="minorHAnsi"/>
        </w:rPr>
        <w:t>) was developed with input and agreement from Commonwealth and state and territory governments. The intent is to bring Australian consumer protection measures up to date, to ensure they reflect best practice nationally, and to address the current regulatory fragmentation across jurisdictions (Department of Social Services [DSS],</w:t>
      </w:r>
      <w:r w:rsidR="00FA5AFA" w:rsidRPr="00664E64">
        <w:rPr>
          <w:rFonts w:eastAsiaTheme="minorHAnsi"/>
        </w:rPr>
        <w:t xml:space="preserve"> 2017</w:t>
      </w:r>
      <w:r w:rsidRPr="00664E64">
        <w:rPr>
          <w:rFonts w:eastAsiaTheme="minorHAnsi"/>
        </w:rPr>
        <w:t xml:space="preserve">). </w:t>
      </w:r>
    </w:p>
    <w:p w14:paraId="1B2CCB15" w14:textId="506C21B8" w:rsidR="001551F3" w:rsidRPr="00664E64" w:rsidRDefault="001551F3" w:rsidP="001551F3">
      <w:pPr>
        <w:pStyle w:val="BodyText"/>
      </w:pPr>
      <w:r w:rsidRPr="00664E64">
        <w:rPr>
          <w:rFonts w:eastAsiaTheme="minorHAnsi"/>
        </w:rPr>
        <w:t xml:space="preserve">The National </w:t>
      </w:r>
      <w:r w:rsidR="00014A0D" w:rsidRPr="00664E64">
        <w:rPr>
          <w:rFonts w:eastAsiaTheme="minorHAnsi"/>
        </w:rPr>
        <w:t>Framework</w:t>
      </w:r>
      <w:r w:rsidRPr="00664E64">
        <w:rPr>
          <w:rFonts w:eastAsiaTheme="minorHAnsi"/>
        </w:rPr>
        <w:t xml:space="preserve"> reflects the rapid growth in the online wagering market (O’Farrell, 2015; Queensland Government Statistician’s Office</w:t>
      </w:r>
      <w:r w:rsidR="00385553" w:rsidRPr="00664E64">
        <w:rPr>
          <w:rFonts w:eastAsiaTheme="minorHAnsi"/>
        </w:rPr>
        <w:t xml:space="preserve"> [QGSO]</w:t>
      </w:r>
      <w:r w:rsidRPr="00664E64">
        <w:rPr>
          <w:rFonts w:eastAsiaTheme="minorHAnsi"/>
        </w:rPr>
        <w:t>, 201</w:t>
      </w:r>
      <w:r w:rsidR="0012045A" w:rsidRPr="00664E64">
        <w:rPr>
          <w:rFonts w:eastAsiaTheme="minorHAnsi"/>
        </w:rPr>
        <w:t>8</w:t>
      </w:r>
      <w:r w:rsidRPr="00664E64">
        <w:rPr>
          <w:rFonts w:eastAsiaTheme="minorHAnsi"/>
        </w:rPr>
        <w:t>) and the high rates of gambling-related harm among people who wager in Australia (Armstrong &amp; Carroll, 2017a</w:t>
      </w:r>
      <w:r w:rsidRPr="00664E64">
        <w:rPr>
          <w:rFonts w:eastAsiaTheme="minorHAnsi" w:cs="Arial"/>
        </w:rPr>
        <w:t>–</w:t>
      </w:r>
      <w:r w:rsidRPr="00664E64">
        <w:rPr>
          <w:rFonts w:eastAsiaTheme="minorHAnsi"/>
        </w:rPr>
        <w:t>c</w:t>
      </w:r>
      <w:r w:rsidR="00B875E2" w:rsidRPr="00664E64">
        <w:rPr>
          <w:rFonts w:eastAsiaTheme="minorHAnsi"/>
        </w:rPr>
        <w:t xml:space="preserve">). It </w:t>
      </w:r>
      <w:r w:rsidRPr="00664E64">
        <w:rPr>
          <w:rFonts w:eastAsiaTheme="minorHAnsi"/>
        </w:rPr>
        <w:t>recognises that consumer protections for online wagering have different requirements than those applicable to other gambling platforms (DSS, 2017).</w:t>
      </w:r>
    </w:p>
    <w:p w14:paraId="283B2829" w14:textId="409EAF9C" w:rsidR="001551F3" w:rsidRPr="00664E64" w:rsidRDefault="001551F3" w:rsidP="001551F3">
      <w:pPr>
        <w:pStyle w:val="BodyText"/>
        <w:rPr>
          <w:rFonts w:eastAsiaTheme="minorHAnsi"/>
        </w:rPr>
      </w:pPr>
      <w:r w:rsidRPr="00664E64">
        <w:rPr>
          <w:rFonts w:eastAsiaTheme="minorHAnsi"/>
        </w:rPr>
        <w:t xml:space="preserve">The National </w:t>
      </w:r>
      <w:r w:rsidR="00014A0D" w:rsidRPr="00664E64">
        <w:rPr>
          <w:rFonts w:eastAsiaTheme="minorHAnsi"/>
        </w:rPr>
        <w:t>Framework</w:t>
      </w:r>
      <w:r w:rsidRPr="00664E64">
        <w:rPr>
          <w:rFonts w:eastAsiaTheme="minorHAnsi"/>
        </w:rPr>
        <w:t xml:space="preserve"> consists of 10 consumer protection measures that provide tools for consumers and requirements for online wagering providers </w:t>
      </w:r>
      <w:r w:rsidR="00BD6608" w:rsidRPr="00664E64">
        <w:rPr>
          <w:rFonts w:eastAsiaTheme="minorHAnsi"/>
        </w:rPr>
        <w:t xml:space="preserve">(licensed in Australia) </w:t>
      </w:r>
      <w:r w:rsidR="008A368C" w:rsidRPr="00664E64">
        <w:rPr>
          <w:rFonts w:eastAsiaTheme="minorHAnsi"/>
        </w:rPr>
        <w:t>to help mitigate</w:t>
      </w:r>
      <w:r w:rsidRPr="00664E64">
        <w:rPr>
          <w:rFonts w:eastAsiaTheme="minorHAnsi"/>
        </w:rPr>
        <w:t xml:space="preserve"> harm related to online wagering activity.</w:t>
      </w:r>
      <w:r w:rsidR="000A5781" w:rsidRPr="00664E64">
        <w:rPr>
          <w:rFonts w:eastAsiaTheme="minorHAnsi"/>
        </w:rPr>
        <w:t xml:space="preserve"> </w:t>
      </w:r>
      <w:r w:rsidR="00D22333" w:rsidRPr="00664E64">
        <w:rPr>
          <w:rFonts w:eastAsiaTheme="minorHAnsi"/>
        </w:rPr>
        <w:t xml:space="preserve">The National Framework was officially launched by Commonwealth and state and territory governments on 30 November 2018, and will be rolled out progressively over the next 18 months. </w:t>
      </w:r>
      <w:r w:rsidRPr="00664E64">
        <w:rPr>
          <w:rFonts w:eastAsiaTheme="minorHAnsi"/>
        </w:rPr>
        <w:t>The 10 measures include:</w:t>
      </w:r>
    </w:p>
    <w:p w14:paraId="008083D1" w14:textId="05EEF19E" w:rsidR="001551F3" w:rsidRPr="00664E64" w:rsidRDefault="001551F3" w:rsidP="00AE462F">
      <w:pPr>
        <w:pStyle w:val="ListBullet"/>
      </w:pPr>
      <w:r w:rsidRPr="00664E64">
        <w:rPr>
          <w:b/>
        </w:rPr>
        <w:t>prohibiti</w:t>
      </w:r>
      <w:r w:rsidR="001B4317" w:rsidRPr="00664E64">
        <w:rPr>
          <w:b/>
        </w:rPr>
        <w:t>ng</w:t>
      </w:r>
      <w:r w:rsidRPr="00664E64">
        <w:rPr>
          <w:b/>
        </w:rPr>
        <w:t xml:space="preserve"> lines of credit</w:t>
      </w:r>
      <w:r w:rsidRPr="00664E64">
        <w:t xml:space="preserve"> </w:t>
      </w:r>
      <w:r w:rsidR="008A368C" w:rsidRPr="00664E64">
        <w:t xml:space="preserve">being offered or provided </w:t>
      </w:r>
      <w:r w:rsidRPr="00664E64">
        <w:t>by interactive wagering service providers, with the exception of certain on</w:t>
      </w:r>
      <w:r w:rsidR="00B875E2" w:rsidRPr="00664E64">
        <w:t>-</w:t>
      </w:r>
      <w:r w:rsidRPr="00664E64">
        <w:t>course bookmakers (in effect 17 February 2018)</w:t>
      </w:r>
    </w:p>
    <w:p w14:paraId="5D4D9103" w14:textId="20B3A8EE" w:rsidR="001551F3" w:rsidRPr="00664E64" w:rsidRDefault="001551F3" w:rsidP="00AE462F">
      <w:pPr>
        <w:pStyle w:val="ListBullet"/>
        <w:spacing w:before="40"/>
      </w:pPr>
      <w:r w:rsidRPr="00664E64">
        <w:rPr>
          <w:b/>
        </w:rPr>
        <w:t>discourag</w:t>
      </w:r>
      <w:r w:rsidR="001B4317" w:rsidRPr="00664E64">
        <w:rPr>
          <w:b/>
        </w:rPr>
        <w:t>ing</w:t>
      </w:r>
      <w:r w:rsidRPr="00664E64">
        <w:rPr>
          <w:b/>
        </w:rPr>
        <w:t xml:space="preserve"> </w:t>
      </w:r>
      <w:r w:rsidR="003B7BFC" w:rsidRPr="00664E64">
        <w:rPr>
          <w:b/>
        </w:rPr>
        <w:t xml:space="preserve">links between </w:t>
      </w:r>
      <w:r w:rsidR="008A368C" w:rsidRPr="00664E64">
        <w:rPr>
          <w:b/>
        </w:rPr>
        <w:t>interactive</w:t>
      </w:r>
      <w:r w:rsidR="003B7BFC" w:rsidRPr="00664E64">
        <w:rPr>
          <w:b/>
        </w:rPr>
        <w:t xml:space="preserve"> wagering </w:t>
      </w:r>
      <w:r w:rsidR="008A368C" w:rsidRPr="00664E64">
        <w:rPr>
          <w:b/>
        </w:rPr>
        <w:t>service providers</w:t>
      </w:r>
      <w:r w:rsidR="003B7BFC" w:rsidRPr="00664E64">
        <w:rPr>
          <w:b/>
        </w:rPr>
        <w:t xml:space="preserve"> and </w:t>
      </w:r>
      <w:r w:rsidRPr="00664E64">
        <w:rPr>
          <w:b/>
        </w:rPr>
        <w:t>small amount credit contracts</w:t>
      </w:r>
      <w:r w:rsidRPr="00664E64">
        <w:t xml:space="preserve"> (payday lending) for online wagering (in effect 17 February 2018)</w:t>
      </w:r>
    </w:p>
    <w:p w14:paraId="03C100C1" w14:textId="29BF388B" w:rsidR="001551F3" w:rsidRPr="00664E64" w:rsidRDefault="001551F3" w:rsidP="00AE462F">
      <w:pPr>
        <w:pStyle w:val="ListBullet"/>
        <w:spacing w:before="40"/>
      </w:pPr>
      <w:r w:rsidRPr="00664E64">
        <w:rPr>
          <w:b/>
        </w:rPr>
        <w:t>reduc</w:t>
      </w:r>
      <w:r w:rsidR="001B4317" w:rsidRPr="00664E64">
        <w:rPr>
          <w:b/>
        </w:rPr>
        <w:t>ing</w:t>
      </w:r>
      <w:r w:rsidRPr="00664E64">
        <w:rPr>
          <w:b/>
        </w:rPr>
        <w:t xml:space="preserve"> </w:t>
      </w:r>
      <w:r w:rsidR="001B4317" w:rsidRPr="00664E64">
        <w:rPr>
          <w:b/>
        </w:rPr>
        <w:t xml:space="preserve">the </w:t>
      </w:r>
      <w:r w:rsidRPr="00664E64">
        <w:rPr>
          <w:b/>
        </w:rPr>
        <w:t>customer verification period</w:t>
      </w:r>
      <w:r w:rsidRPr="00664E64">
        <w:t xml:space="preserve"> </w:t>
      </w:r>
      <w:r w:rsidR="00D13179" w:rsidRPr="00664E64">
        <w:t xml:space="preserve">from 90 days </w:t>
      </w:r>
      <w:r w:rsidRPr="00664E64">
        <w:t>to a maximum of 14 days for online wagering across all jurisdictions</w:t>
      </w:r>
      <w:r w:rsidR="001B4317" w:rsidRPr="00664E64">
        <w:t xml:space="preserve"> (in effect </w:t>
      </w:r>
      <w:r w:rsidR="00BC2BDE" w:rsidRPr="00664E64">
        <w:t>26</w:t>
      </w:r>
      <w:r w:rsidR="001B4317" w:rsidRPr="00664E64">
        <w:t xml:space="preserve"> February 2019)</w:t>
      </w:r>
    </w:p>
    <w:p w14:paraId="1E4690D5" w14:textId="1B0E18F5" w:rsidR="001551F3" w:rsidRPr="00664E64" w:rsidRDefault="004F349D" w:rsidP="00AE462F">
      <w:pPr>
        <w:pStyle w:val="ListBullet"/>
        <w:spacing w:before="40"/>
      </w:pPr>
      <w:r w:rsidRPr="00664E64">
        <w:rPr>
          <w:b/>
        </w:rPr>
        <w:t>restricting</w:t>
      </w:r>
      <w:r w:rsidR="001B4317" w:rsidRPr="00664E64">
        <w:rPr>
          <w:b/>
        </w:rPr>
        <w:t xml:space="preserve"> </w:t>
      </w:r>
      <w:r w:rsidR="001551F3" w:rsidRPr="00664E64">
        <w:rPr>
          <w:b/>
        </w:rPr>
        <w:t>all specified</w:t>
      </w:r>
      <w:r w:rsidR="001551F3" w:rsidRPr="00664E64">
        <w:t xml:space="preserve"> </w:t>
      </w:r>
      <w:r w:rsidR="001551F3" w:rsidRPr="00664E64">
        <w:rPr>
          <w:b/>
        </w:rPr>
        <w:t>inducements</w:t>
      </w:r>
      <w:r w:rsidR="001551F3" w:rsidRPr="00664E64">
        <w:t xml:space="preserve"> in applicable jurisdictions</w:t>
      </w:r>
      <w:r w:rsidRPr="00664E64">
        <w:t xml:space="preserve"> (in effect 26 May 2019)</w:t>
      </w:r>
    </w:p>
    <w:p w14:paraId="142EEF02" w14:textId="182CBA0F" w:rsidR="001551F3" w:rsidRPr="00664E64" w:rsidRDefault="001551F3" w:rsidP="00AE462F">
      <w:pPr>
        <w:pStyle w:val="ListBullet"/>
        <w:spacing w:before="40"/>
      </w:pPr>
      <w:r w:rsidRPr="00664E64">
        <w:t xml:space="preserve">ensuring that </w:t>
      </w:r>
      <w:r w:rsidR="004F349D" w:rsidRPr="00664E64">
        <w:t xml:space="preserve">online wagering </w:t>
      </w:r>
      <w:r w:rsidR="004F349D" w:rsidRPr="00664E64">
        <w:rPr>
          <w:b/>
        </w:rPr>
        <w:t xml:space="preserve">account </w:t>
      </w:r>
      <w:r w:rsidRPr="00664E64">
        <w:rPr>
          <w:b/>
        </w:rPr>
        <w:t xml:space="preserve">closure or cancellation </w:t>
      </w:r>
      <w:r w:rsidRPr="00664E64">
        <w:t>is readily available, and accessible for all customers</w:t>
      </w:r>
      <w:r w:rsidR="004F349D" w:rsidRPr="00664E64">
        <w:t xml:space="preserve"> (in effect 26 May 2019)</w:t>
      </w:r>
    </w:p>
    <w:p w14:paraId="6793D8F8" w14:textId="469C9A1F" w:rsidR="001551F3" w:rsidRPr="001E1ECD" w:rsidRDefault="004F349D" w:rsidP="001E1ECD">
      <w:pPr>
        <w:pStyle w:val="ListBullet"/>
        <w:spacing w:before="40"/>
        <w:rPr>
          <w:lang w:val="en-US"/>
        </w:rPr>
      </w:pPr>
      <w:r w:rsidRPr="00664E64">
        <w:t>providing a</w:t>
      </w:r>
      <w:r w:rsidR="00367838" w:rsidRPr="00664E64">
        <w:t xml:space="preserve"> </w:t>
      </w:r>
      <w:r w:rsidR="00367838" w:rsidRPr="00664E64">
        <w:rPr>
          <w:b/>
        </w:rPr>
        <w:t>voluntary opt-out pre-commitment scheme</w:t>
      </w:r>
      <w:r w:rsidR="00367838" w:rsidRPr="00664E64">
        <w:t xml:space="preserve"> </w:t>
      </w:r>
      <w:r w:rsidRPr="00664E64">
        <w:t>for deposit limits, on an operator basis (in effect 26 May 2019</w:t>
      </w:r>
      <w:r w:rsidR="001E1ECD">
        <w:t xml:space="preserve">, with </w:t>
      </w:r>
      <w:r w:rsidR="001E1ECD" w:rsidRPr="001E1ECD">
        <w:rPr>
          <w:lang w:val="en-US"/>
        </w:rPr>
        <w:t xml:space="preserve">further trialling and testing </w:t>
      </w:r>
      <w:r w:rsidR="001E1ECD">
        <w:rPr>
          <w:lang w:val="en-US"/>
        </w:rPr>
        <w:t xml:space="preserve">proposed </w:t>
      </w:r>
      <w:r w:rsidR="001E1ECD" w:rsidRPr="001E1ECD">
        <w:rPr>
          <w:lang w:val="en-US"/>
        </w:rPr>
        <w:t>to enhance this measure</w:t>
      </w:r>
      <w:r w:rsidR="001E1ECD">
        <w:rPr>
          <w:lang w:val="en-US"/>
        </w:rPr>
        <w:t>)</w:t>
      </w:r>
    </w:p>
    <w:p w14:paraId="2DF7999B" w14:textId="79208197" w:rsidR="001551F3" w:rsidRPr="00664E64" w:rsidRDefault="001551F3" w:rsidP="00AE462F">
      <w:pPr>
        <w:pStyle w:val="ListBullet"/>
        <w:spacing w:before="40"/>
      </w:pPr>
      <w:r w:rsidRPr="00664E64">
        <w:t xml:space="preserve">ensuring that customers receive meaningful </w:t>
      </w:r>
      <w:r w:rsidR="00BD6608" w:rsidRPr="00664E64">
        <w:rPr>
          <w:b/>
        </w:rPr>
        <w:t xml:space="preserve">activity </w:t>
      </w:r>
      <w:r w:rsidRPr="00664E64">
        <w:rPr>
          <w:b/>
        </w:rPr>
        <w:t>statements</w:t>
      </w:r>
      <w:r w:rsidRPr="00664E64">
        <w:t xml:space="preserve"> on their wagering</w:t>
      </w:r>
      <w:r w:rsidR="004F349D" w:rsidRPr="00664E64">
        <w:t xml:space="preserve"> activity</w:t>
      </w:r>
      <w:r w:rsidRPr="00664E64">
        <w:t xml:space="preserve"> from each interactive wagering service provider</w:t>
      </w:r>
      <w:r w:rsidR="004F349D" w:rsidRPr="00664E64">
        <w:t xml:space="preserve"> (</w:t>
      </w:r>
      <w:r w:rsidR="000A5781" w:rsidRPr="00664E64">
        <w:t>measure will take effect within six months of completion of trialling and testing of its features)</w:t>
      </w:r>
    </w:p>
    <w:p w14:paraId="0ECC9E49" w14:textId="774635C4" w:rsidR="001551F3" w:rsidRPr="00664E64" w:rsidRDefault="001551F3" w:rsidP="00AE462F">
      <w:pPr>
        <w:pStyle w:val="ListBullet"/>
        <w:spacing w:before="40"/>
      </w:pPr>
      <w:r w:rsidRPr="00664E64">
        <w:t xml:space="preserve">providing evidence-based </w:t>
      </w:r>
      <w:r w:rsidRPr="00664E64">
        <w:rPr>
          <w:b/>
        </w:rPr>
        <w:t>consistent gambling messaging</w:t>
      </w:r>
      <w:r w:rsidR="000A5781" w:rsidRPr="00664E64">
        <w:t xml:space="preserve"> (measure will take effect within six months of completion of trialling and testing of its features)</w:t>
      </w:r>
    </w:p>
    <w:p w14:paraId="5AE11B3A" w14:textId="15CF5690" w:rsidR="001551F3" w:rsidRPr="00664E64" w:rsidRDefault="000A5781" w:rsidP="00AE462F">
      <w:pPr>
        <w:pStyle w:val="ListBullet"/>
        <w:spacing w:before="40"/>
      </w:pPr>
      <w:r w:rsidRPr="00664E64">
        <w:t xml:space="preserve">providing </w:t>
      </w:r>
      <w:r w:rsidRPr="00664E64">
        <w:rPr>
          <w:b/>
        </w:rPr>
        <w:t xml:space="preserve">staff </w:t>
      </w:r>
      <w:r w:rsidR="001551F3" w:rsidRPr="00664E64">
        <w:rPr>
          <w:b/>
        </w:rPr>
        <w:t>training</w:t>
      </w:r>
      <w:r w:rsidR="004F349D" w:rsidRPr="00664E64">
        <w:rPr>
          <w:b/>
        </w:rPr>
        <w:t xml:space="preserve"> </w:t>
      </w:r>
      <w:r w:rsidR="001551F3" w:rsidRPr="00664E64">
        <w:t>in the responsible service of online gambling</w:t>
      </w:r>
      <w:r w:rsidRPr="00664E64">
        <w:t xml:space="preserve"> (measure will take effect within six months of completion of an online national training competency)</w:t>
      </w:r>
    </w:p>
    <w:p w14:paraId="63213FDA" w14:textId="045DDECA" w:rsidR="00DD5644" w:rsidRPr="00664E64" w:rsidRDefault="001551F3" w:rsidP="00AE462F">
      <w:pPr>
        <w:pStyle w:val="ListBullet"/>
        <w:spacing w:before="40"/>
      </w:pPr>
      <w:r w:rsidRPr="00664E64">
        <w:t xml:space="preserve">providing a </w:t>
      </w:r>
      <w:r w:rsidR="00664E64">
        <w:rPr>
          <w:b/>
        </w:rPr>
        <w:t>N</w:t>
      </w:r>
      <w:r w:rsidRPr="00664E64">
        <w:rPr>
          <w:b/>
        </w:rPr>
        <w:t xml:space="preserve">ational </w:t>
      </w:r>
      <w:r w:rsidR="00664E64">
        <w:rPr>
          <w:b/>
        </w:rPr>
        <w:t>S</w:t>
      </w:r>
      <w:r w:rsidRPr="00664E64">
        <w:rPr>
          <w:b/>
        </w:rPr>
        <w:t>elf-</w:t>
      </w:r>
      <w:r w:rsidR="00664E64">
        <w:rPr>
          <w:b/>
        </w:rPr>
        <w:t>E</w:t>
      </w:r>
      <w:r w:rsidRPr="00664E64">
        <w:rPr>
          <w:b/>
        </w:rPr>
        <w:t xml:space="preserve">xclusion </w:t>
      </w:r>
      <w:r w:rsidR="00664E64">
        <w:rPr>
          <w:b/>
        </w:rPr>
        <w:t>R</w:t>
      </w:r>
      <w:r w:rsidRPr="00664E64">
        <w:rPr>
          <w:b/>
        </w:rPr>
        <w:t>egister</w:t>
      </w:r>
      <w:r w:rsidRPr="00664E64">
        <w:t xml:space="preserve"> (NSER) for online wagering that ensures that those experiencing gambling harm can immediately exclude themselves from services offered by</w:t>
      </w:r>
      <w:r w:rsidR="000A5781" w:rsidRPr="00664E64">
        <w:t xml:space="preserve"> all</w:t>
      </w:r>
      <w:r w:rsidRPr="00664E64">
        <w:t xml:space="preserve"> interactive wagering service providers</w:t>
      </w:r>
      <w:r w:rsidR="000A5781" w:rsidRPr="00664E64">
        <w:t xml:space="preserve"> (measure will take effect 18 months from the commencement of the National Framework, subject to enactment of legislation and trailing and testing).</w:t>
      </w:r>
    </w:p>
    <w:p w14:paraId="0FCF51C0" w14:textId="2631C34C" w:rsidR="00DD5644" w:rsidRPr="00BE3CD8" w:rsidRDefault="00862306" w:rsidP="00E1075C">
      <w:pPr>
        <w:pStyle w:val="Heading2"/>
        <w:rPr>
          <w:color w:val="auto"/>
        </w:rPr>
      </w:pPr>
      <w:bookmarkStart w:id="5" w:name="_Toc12022536"/>
      <w:r w:rsidRPr="00BE3CD8">
        <w:rPr>
          <w:color w:val="auto"/>
        </w:rPr>
        <w:lastRenderedPageBreak/>
        <w:t xml:space="preserve">Evaluation of the National </w:t>
      </w:r>
      <w:r w:rsidR="00014A0D" w:rsidRPr="00BE3CD8">
        <w:rPr>
          <w:color w:val="auto"/>
        </w:rPr>
        <w:t>Framework</w:t>
      </w:r>
      <w:bookmarkEnd w:id="5"/>
    </w:p>
    <w:p w14:paraId="6D731A23" w14:textId="502B7D9E" w:rsidR="00076C32" w:rsidRPr="00664E64" w:rsidRDefault="00862306" w:rsidP="00862306">
      <w:pPr>
        <w:pStyle w:val="BodyText"/>
      </w:pPr>
      <w:r w:rsidRPr="00664E64">
        <w:t xml:space="preserve">An evaluation strategy has been designed to assess the effectiveness of the National </w:t>
      </w:r>
      <w:r w:rsidR="00014A0D" w:rsidRPr="00664E64">
        <w:t>Framework</w:t>
      </w:r>
      <w:r w:rsidRPr="00664E64">
        <w:t>’s measures in achieving</w:t>
      </w:r>
      <w:r w:rsidR="00E50A94" w:rsidRPr="00664E64">
        <w:t xml:space="preserve"> </w:t>
      </w:r>
      <w:r w:rsidRPr="00664E64">
        <w:t xml:space="preserve">intended outcomes for consumers, and to inform ongoing enhancements and refinements over time to ensure </w:t>
      </w:r>
      <w:r w:rsidR="00E50A94" w:rsidRPr="00664E64">
        <w:t>the Framework’s</w:t>
      </w:r>
      <w:r w:rsidRPr="00664E64">
        <w:t xml:space="preserve"> relevance in the fast-moving digital environment (Communio, 2018). The evaluation is also designed to identify any unintended consequences arising from the implementation of the National </w:t>
      </w:r>
      <w:r w:rsidR="00014A0D" w:rsidRPr="00664E64">
        <w:t>Framework</w:t>
      </w:r>
      <w:r w:rsidRPr="00664E64">
        <w:t>, and any weaknesses in the regulatory environment.</w:t>
      </w:r>
    </w:p>
    <w:p w14:paraId="6C66620C" w14:textId="25B6D02B" w:rsidR="00E50A94" w:rsidRPr="00664E64" w:rsidRDefault="00E50A94" w:rsidP="00862306">
      <w:pPr>
        <w:pStyle w:val="BodyText"/>
      </w:pPr>
      <w:r w:rsidRPr="00664E64">
        <w:t>A literature review describing the key features of the gambling environment in which the evaluation is taking place, and summarising evidence related to evaluating the Framework, is provided in Appendix 1. The literature review describes levels of wagering participation and related harm in Australia, the current legislative and environmental context in which wagering service providers and regulators operate, and evidence underpinning the 10 proposed consumer protection measures.</w:t>
      </w:r>
    </w:p>
    <w:p w14:paraId="1E345D3E" w14:textId="3AB7E197" w:rsidR="00862306" w:rsidRPr="00664E64" w:rsidRDefault="00862306" w:rsidP="00862306">
      <w:pPr>
        <w:pStyle w:val="BodyText"/>
      </w:pPr>
      <w:r w:rsidRPr="00664E64">
        <w:t xml:space="preserve">The effectiveness of the National </w:t>
      </w:r>
      <w:r w:rsidR="00014A0D" w:rsidRPr="00664E64">
        <w:t>Framework</w:t>
      </w:r>
      <w:r w:rsidRPr="00664E64">
        <w:t xml:space="preserve"> is to be evaluated in four phases over approximately five years. These include a preparation and baseline phase (Period 0</w:t>
      </w:r>
      <w:r w:rsidR="00267939" w:rsidRPr="00664E64">
        <w:t xml:space="preserve"> [P0]</w:t>
      </w:r>
      <w:r w:rsidRPr="00664E64">
        <w:t>), post-implementation review (P1; six months</w:t>
      </w:r>
      <w:r w:rsidR="008E07A0" w:rsidRPr="00664E64">
        <w:t xml:space="preserve"> after full implementation of the National Framework</w:t>
      </w:r>
      <w:r w:rsidRPr="00664E64">
        <w:t>), a process evaluation (P2; 18 months</w:t>
      </w:r>
      <w:r w:rsidR="008E07A0" w:rsidRPr="00664E64">
        <w:t xml:space="preserve"> after full implementation of the National Framework</w:t>
      </w:r>
      <w:r w:rsidRPr="00664E64">
        <w:t xml:space="preserve">) and an impact evaluation phase (P3; </w:t>
      </w:r>
      <w:r w:rsidR="00267939" w:rsidRPr="00664E64">
        <w:t xml:space="preserve">three </w:t>
      </w:r>
      <w:r w:rsidRPr="00664E64">
        <w:t>years</w:t>
      </w:r>
      <w:r w:rsidR="00757BC6" w:rsidRPr="00664E64">
        <w:t xml:space="preserve"> after</w:t>
      </w:r>
      <w:r w:rsidR="008E07A0" w:rsidRPr="00664E64">
        <w:t xml:space="preserve"> implementation of the National Framework</w:t>
      </w:r>
      <w:r w:rsidRPr="00664E64">
        <w:t xml:space="preserve">). </w:t>
      </w:r>
    </w:p>
    <w:p w14:paraId="20F2706A" w14:textId="40112722" w:rsidR="00DD5644" w:rsidRPr="00664E64" w:rsidRDefault="00862306" w:rsidP="00862306">
      <w:pPr>
        <w:pStyle w:val="BodyText"/>
      </w:pPr>
      <w:r w:rsidRPr="00664E64">
        <w:t xml:space="preserve">The Australian Gambling Research Centre (AGRC) within the Australian Institute of Family Studies (AIFS) </w:t>
      </w:r>
      <w:r w:rsidR="00256217" w:rsidRPr="00664E64">
        <w:t>was</w:t>
      </w:r>
      <w:r w:rsidRPr="00664E64">
        <w:t xml:space="preserve"> commissioned by the Department of Social Services (the Department) to develop and conduct the baseline study (P0) for the evaluation, prior to the full roll-out and implementation of the National </w:t>
      </w:r>
      <w:r w:rsidR="00014A0D" w:rsidRPr="00664E64">
        <w:t>Framework</w:t>
      </w:r>
      <w:r w:rsidRPr="00664E64">
        <w:t xml:space="preserve">. </w:t>
      </w:r>
    </w:p>
    <w:p w14:paraId="6D1717F1" w14:textId="67ED8199" w:rsidR="001A1BE6" w:rsidRPr="00664E64" w:rsidRDefault="001A1BE6" w:rsidP="00862306">
      <w:pPr>
        <w:pStyle w:val="BodyText"/>
      </w:pPr>
      <w:r w:rsidRPr="00664E64">
        <w:t xml:space="preserve">The baseline study methodology was underpinned by a program logic and theory of change (reproduced in Appendix </w:t>
      </w:r>
      <w:r w:rsidR="000603C2" w:rsidRPr="00664E64">
        <w:t>2</w:t>
      </w:r>
      <w:r w:rsidRPr="00664E64">
        <w:t xml:space="preserve">), which were developed as part of the </w:t>
      </w:r>
      <w:r w:rsidR="00E16E93" w:rsidRPr="00664E64">
        <w:t xml:space="preserve">project’s development </w:t>
      </w:r>
      <w:r w:rsidRPr="00664E64">
        <w:t>and</w:t>
      </w:r>
      <w:r w:rsidR="00E16E93" w:rsidRPr="00664E64">
        <w:t xml:space="preserve"> </w:t>
      </w:r>
      <w:r w:rsidRPr="00664E64">
        <w:t xml:space="preserve">described in detail in the Performance, Review and Evaluation Strategy (PRES; Communio, 2018). The program logic plays the critical role of modelling the intended relationships between the inputs, outputs and outcomes of the National Framework, and </w:t>
      </w:r>
      <w:r w:rsidR="002E68FB" w:rsidRPr="00664E64">
        <w:t xml:space="preserve">supports </w:t>
      </w:r>
      <w:r w:rsidRPr="00664E64">
        <w:t xml:space="preserve">the theory of change, which is the foundation for the evaluation activities, research questions and performance framework. Given the speed at which change is occurring in the interactive wagering space, it may be necessary for the program logic </w:t>
      </w:r>
      <w:r w:rsidR="00267939" w:rsidRPr="00664E64">
        <w:t xml:space="preserve">to </w:t>
      </w:r>
      <w:r w:rsidRPr="00664E64">
        <w:t>be refreshed to reflect the most recent research evidence, measurement tools, legislation and the current operating environment at each stage of the four-phase evaluation.</w:t>
      </w:r>
    </w:p>
    <w:p w14:paraId="446F1518" w14:textId="72EB14EA" w:rsidR="00DD5644" w:rsidRPr="00664E64" w:rsidRDefault="00DD5644" w:rsidP="00DD5644">
      <w:pPr>
        <w:pStyle w:val="BodyText"/>
      </w:pPr>
      <w:r w:rsidRPr="00664E64">
        <w:t xml:space="preserve">The baseline study for the evaluation of the National </w:t>
      </w:r>
      <w:r w:rsidR="00014A0D" w:rsidRPr="00664E64">
        <w:t>Framework</w:t>
      </w:r>
      <w:r w:rsidRPr="00664E64">
        <w:t xml:space="preserve"> </w:t>
      </w:r>
      <w:r w:rsidR="00CE278F" w:rsidRPr="00664E64">
        <w:t>aim</w:t>
      </w:r>
      <w:r w:rsidR="00CF6703" w:rsidRPr="00664E64">
        <w:t>ed</w:t>
      </w:r>
      <w:r w:rsidR="00CE278F" w:rsidRPr="00664E64">
        <w:t xml:space="preserve"> to</w:t>
      </w:r>
      <w:r w:rsidRPr="00664E64">
        <w:t xml:space="preserve"> address some of the gaps in the current evidence base and enhance understanding of: </w:t>
      </w:r>
    </w:p>
    <w:p w14:paraId="748907F1" w14:textId="7352F7F6"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t>levels of online wagering involvement (i.e. sports, race and event betting) among online wagering consumers, in terms of product participation, frequency and expenditure</w:t>
      </w:r>
    </w:p>
    <w:p w14:paraId="48029AAB" w14:textId="50FF9AF7"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t>the prevalence of risky gambling behaviour, and levels of harm experienced, among consumers of online wagering products</w:t>
      </w:r>
    </w:p>
    <w:p w14:paraId="26F45E2D" w14:textId="78E8E6A5"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t>consumer motivations to participate in online wagering, and the means by which consumers seek to manage and control their gambling activity</w:t>
      </w:r>
    </w:p>
    <w:p w14:paraId="07CDA5D7" w14:textId="19E53DE2"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t>awareness, uptake and perceived usefulness of existing consumer protection features provided by online wagering service providers, as reported by online wagering consumers</w:t>
      </w:r>
    </w:p>
    <w:p w14:paraId="775FD323" w14:textId="0A83B6FC"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lastRenderedPageBreak/>
        <w:t xml:space="preserve">readiness among online wagering service providers to implement the upcoming </w:t>
      </w:r>
      <w:r w:rsidR="00CE278F" w:rsidRPr="00664E64">
        <w:rPr>
          <w:rFonts w:ascii="Arial" w:hAnsi="Arial" w:cs="Arial"/>
          <w:sz w:val="20"/>
          <w:szCs w:val="20"/>
        </w:rPr>
        <w:t xml:space="preserve">National </w:t>
      </w:r>
      <w:r w:rsidR="00014A0D" w:rsidRPr="00664E64">
        <w:rPr>
          <w:rFonts w:ascii="Arial" w:hAnsi="Arial" w:cs="Arial"/>
          <w:sz w:val="20"/>
          <w:szCs w:val="20"/>
        </w:rPr>
        <w:t>Framework</w:t>
      </w:r>
      <w:r w:rsidRPr="00664E64">
        <w:rPr>
          <w:rFonts w:ascii="Arial" w:hAnsi="Arial" w:cs="Arial"/>
          <w:sz w:val="20"/>
          <w:szCs w:val="20"/>
        </w:rPr>
        <w:t xml:space="preserve">, and the challenges and opportunities they foresee in implementing and maintaining the </w:t>
      </w:r>
      <w:r w:rsidR="00CE278F" w:rsidRPr="00664E64">
        <w:rPr>
          <w:rFonts w:ascii="Arial" w:hAnsi="Arial" w:cs="Arial"/>
          <w:sz w:val="20"/>
          <w:szCs w:val="20"/>
        </w:rPr>
        <w:t xml:space="preserve">National </w:t>
      </w:r>
      <w:r w:rsidR="00014A0D" w:rsidRPr="00664E64">
        <w:rPr>
          <w:rFonts w:ascii="Arial" w:hAnsi="Arial" w:cs="Arial"/>
          <w:sz w:val="20"/>
          <w:szCs w:val="20"/>
        </w:rPr>
        <w:t>Framework</w:t>
      </w:r>
    </w:p>
    <w:p w14:paraId="77241188" w14:textId="43397453" w:rsidR="00DD5644" w:rsidRPr="00664E64" w:rsidRDefault="00DD5644" w:rsidP="00AE462F">
      <w:pPr>
        <w:numPr>
          <w:ilvl w:val="0"/>
          <w:numId w:val="1"/>
        </w:numPr>
        <w:tabs>
          <w:tab w:val="clear" w:pos="425"/>
        </w:tabs>
        <w:spacing w:before="120" w:line="280" w:lineRule="atLeast"/>
        <w:jc w:val="both"/>
        <w:rPr>
          <w:rFonts w:ascii="Arial" w:hAnsi="Arial" w:cs="Arial"/>
          <w:sz w:val="20"/>
          <w:szCs w:val="20"/>
        </w:rPr>
      </w:pPr>
      <w:r w:rsidRPr="00664E64">
        <w:rPr>
          <w:rFonts w:ascii="Arial" w:hAnsi="Arial" w:cs="Arial"/>
          <w:sz w:val="20"/>
          <w:szCs w:val="20"/>
        </w:rPr>
        <w:t xml:space="preserve">readiness among online wagering regulators to monitor, enforce and report on compliance among service providers with regard to the </w:t>
      </w:r>
      <w:r w:rsidR="00014A0D" w:rsidRPr="00664E64">
        <w:rPr>
          <w:rFonts w:ascii="Arial" w:hAnsi="Arial" w:cs="Arial"/>
          <w:sz w:val="20"/>
          <w:szCs w:val="20"/>
        </w:rPr>
        <w:t>Framework</w:t>
      </w:r>
      <w:r w:rsidRPr="00664E64">
        <w:rPr>
          <w:rFonts w:ascii="Arial" w:hAnsi="Arial" w:cs="Arial"/>
          <w:sz w:val="20"/>
          <w:szCs w:val="20"/>
        </w:rPr>
        <w:t xml:space="preserve"> and the challenges and opportunities they foresee</w:t>
      </w:r>
      <w:r w:rsidR="00E16E93" w:rsidRPr="00664E64">
        <w:rPr>
          <w:rFonts w:ascii="Arial" w:hAnsi="Arial" w:cs="Arial"/>
          <w:sz w:val="20"/>
          <w:szCs w:val="20"/>
        </w:rPr>
        <w:t xml:space="preserve"> </w:t>
      </w:r>
    </w:p>
    <w:p w14:paraId="124D26BF" w14:textId="60B224A8" w:rsidR="00ED0AEE" w:rsidRPr="00664E64" w:rsidRDefault="001F451E" w:rsidP="00AE462F">
      <w:pPr>
        <w:numPr>
          <w:ilvl w:val="0"/>
          <w:numId w:val="1"/>
        </w:numPr>
        <w:tabs>
          <w:tab w:val="clear" w:pos="425"/>
        </w:tabs>
        <w:spacing w:before="120" w:line="280" w:lineRule="atLeast"/>
        <w:jc w:val="both"/>
        <w:rPr>
          <w:rFonts w:cs="Arial"/>
        </w:rPr>
      </w:pPr>
      <w:r w:rsidRPr="00664E64">
        <w:rPr>
          <w:rFonts w:ascii="Arial" w:hAnsi="Arial" w:cs="Arial"/>
          <w:sz w:val="20"/>
          <w:szCs w:val="20"/>
        </w:rPr>
        <w:t>jurisdictional consistency in defining the responsible provision of online wagering.</w:t>
      </w:r>
      <w:r w:rsidRPr="00664E64">
        <w:rPr>
          <w:rFonts w:cs="Arial"/>
        </w:rPr>
        <w:t xml:space="preserve"> </w:t>
      </w:r>
      <w:r w:rsidR="00ED0AEE" w:rsidRPr="00664E64">
        <w:br w:type="page"/>
      </w:r>
    </w:p>
    <w:p w14:paraId="01D94F3C" w14:textId="78425564" w:rsidR="000D48CF" w:rsidRPr="00664E64" w:rsidRDefault="000D48CF" w:rsidP="00BE3CD8">
      <w:pPr>
        <w:pStyle w:val="Heading1Outline"/>
      </w:pPr>
      <w:bookmarkStart w:id="6" w:name="_Toc12022537"/>
      <w:r w:rsidRPr="00664E64">
        <w:lastRenderedPageBreak/>
        <w:t>Approach</w:t>
      </w:r>
      <w:bookmarkEnd w:id="6"/>
    </w:p>
    <w:p w14:paraId="08C15969" w14:textId="77777777" w:rsidR="000D48CF" w:rsidRPr="00664E64" w:rsidRDefault="000D48CF" w:rsidP="000D48CF">
      <w:pPr>
        <w:pStyle w:val="BodyText"/>
        <w:rPr>
          <w:lang w:bidi="ar-SA"/>
        </w:rPr>
      </w:pPr>
      <w:r w:rsidRPr="00664E64">
        <w:rPr>
          <w:lang w:bidi="ar-SA"/>
        </w:rPr>
        <w:t xml:space="preserve">The baseline study employed a mixed methods approach, comprising: </w:t>
      </w:r>
    </w:p>
    <w:p w14:paraId="7C8FD5DA" w14:textId="744BABAF" w:rsidR="000D48CF" w:rsidRPr="00664E64" w:rsidRDefault="004B78E0" w:rsidP="00F65855">
      <w:pPr>
        <w:pStyle w:val="ListNumber"/>
      </w:pPr>
      <w:r w:rsidRPr="00664E64">
        <w:t xml:space="preserve">a </w:t>
      </w:r>
      <w:r w:rsidR="000D48CF" w:rsidRPr="00664E64">
        <w:t>desktop review to profile the characteristics of a cross-section of online wagering service providers licensed in Australia, and the state/territory regulators who monitor wagering activities</w:t>
      </w:r>
    </w:p>
    <w:p w14:paraId="350C12AF" w14:textId="0894C991" w:rsidR="000D48CF" w:rsidRPr="00664E64" w:rsidRDefault="004B78E0" w:rsidP="00F65855">
      <w:pPr>
        <w:pStyle w:val="ListNumber"/>
      </w:pPr>
      <w:r w:rsidRPr="00664E64">
        <w:t xml:space="preserve">interviews </w:t>
      </w:r>
      <w:r w:rsidR="000D48CF" w:rsidRPr="00664E64">
        <w:t xml:space="preserve">with wagering service providers and regulators to discuss readiness to implement, monitor, report on and enforce compliance with the National </w:t>
      </w:r>
      <w:r w:rsidR="00014A0D" w:rsidRPr="00664E64">
        <w:t>Framework</w:t>
      </w:r>
    </w:p>
    <w:p w14:paraId="2B358FEE" w14:textId="4F05727A" w:rsidR="000D48CF" w:rsidRPr="00664E64" w:rsidRDefault="004B78E0" w:rsidP="00F65855">
      <w:pPr>
        <w:pStyle w:val="ListNumber"/>
      </w:pPr>
      <w:r w:rsidRPr="00664E64">
        <w:t xml:space="preserve">a </w:t>
      </w:r>
      <w:r w:rsidR="000D48CF" w:rsidRPr="00664E64">
        <w:t>survey of people who wager online to describe Australian consumer characteristics, levels of wagering involvement, motivations, self-management strategies, and awareness, uptake and perceived usefulness of existing consumer protection features.</w:t>
      </w:r>
    </w:p>
    <w:p w14:paraId="40DF5475" w14:textId="1F059202" w:rsidR="000D48CF" w:rsidRPr="00BE3CD8" w:rsidRDefault="000D48CF" w:rsidP="00E7490F">
      <w:pPr>
        <w:pStyle w:val="Heading2"/>
        <w:rPr>
          <w:color w:val="auto"/>
        </w:rPr>
      </w:pPr>
      <w:bookmarkStart w:id="7" w:name="_Toc12022538"/>
      <w:r w:rsidRPr="00BE3CD8">
        <w:rPr>
          <w:color w:val="auto"/>
        </w:rPr>
        <w:t xml:space="preserve">Desktop </w:t>
      </w:r>
      <w:r w:rsidR="004B78E0" w:rsidRPr="00BE3CD8">
        <w:rPr>
          <w:color w:val="auto"/>
        </w:rPr>
        <w:t>review</w:t>
      </w:r>
      <w:bookmarkEnd w:id="7"/>
    </w:p>
    <w:p w14:paraId="52B7F2C8" w14:textId="1FEC03C6" w:rsidR="000D48CF" w:rsidRPr="00664E64" w:rsidRDefault="00D22333" w:rsidP="00F65855">
      <w:pPr>
        <w:pStyle w:val="BodyText"/>
      </w:pPr>
      <w:r w:rsidRPr="00664E64">
        <w:t>The first</w:t>
      </w:r>
      <w:r w:rsidR="000D48CF" w:rsidRPr="00664E64">
        <w:t xml:space="preserve"> component of the baseline study involved a desktop review of wagering service provider and regulator websites.</w:t>
      </w:r>
      <w:r w:rsidR="00A761A3" w:rsidRPr="00664E64">
        <w:t xml:space="preserve"> The </w:t>
      </w:r>
      <w:r w:rsidR="008D7F6A" w:rsidRPr="00664E64">
        <w:t xml:space="preserve">desktop </w:t>
      </w:r>
      <w:r w:rsidR="00A761A3" w:rsidRPr="00664E64">
        <w:t xml:space="preserve">review </w:t>
      </w:r>
      <w:r w:rsidR="008D7F6A" w:rsidRPr="00664E64">
        <w:t xml:space="preserve">of publicly available websites </w:t>
      </w:r>
      <w:r w:rsidR="00A761A3" w:rsidRPr="00664E64">
        <w:t xml:space="preserve">was conducted </w:t>
      </w:r>
      <w:r w:rsidR="004B78E0" w:rsidRPr="00664E64">
        <w:t xml:space="preserve">during 4–8 </w:t>
      </w:r>
      <w:r w:rsidR="00A761A3" w:rsidRPr="00664E64">
        <w:t>March 2019 and its</w:t>
      </w:r>
      <w:r w:rsidR="000D48CF" w:rsidRPr="00664E64">
        <w:t xml:space="preserve"> purpose was to define and describe the characteristics of online wagering service providers and regulators and to identify any consumer protection measures that they currently implement.</w:t>
      </w:r>
    </w:p>
    <w:p w14:paraId="75E9BA2B" w14:textId="29BEE4F3" w:rsidR="000D48CF" w:rsidRPr="00BE3CD8" w:rsidRDefault="000D48CF" w:rsidP="00F65855">
      <w:pPr>
        <w:pStyle w:val="Heading3"/>
        <w:rPr>
          <w:color w:val="auto"/>
        </w:rPr>
      </w:pPr>
      <w:r w:rsidRPr="00BE3CD8">
        <w:rPr>
          <w:color w:val="auto"/>
        </w:rPr>
        <w:t>Providers</w:t>
      </w:r>
    </w:p>
    <w:p w14:paraId="229809D2" w14:textId="2F75DA92" w:rsidR="000D48CF" w:rsidRPr="00664E64" w:rsidRDefault="00BE4731" w:rsidP="00F65855">
      <w:pPr>
        <w:pStyle w:val="BodyText"/>
      </w:pPr>
      <w:r w:rsidRPr="00664E64">
        <w:t xml:space="preserve">The Australian licensed interactive wagering service providers register was used to identify wagering providers to include in the desktop review. </w:t>
      </w:r>
      <w:r w:rsidR="000D48CF" w:rsidRPr="00664E64">
        <w:t>The</w:t>
      </w:r>
      <w:r w:rsidRPr="00664E64">
        <w:t xml:space="preserve"> register is </w:t>
      </w:r>
      <w:r w:rsidR="002F2B11" w:rsidRPr="00664E64">
        <w:t xml:space="preserve">maintained by </w:t>
      </w:r>
      <w:r w:rsidR="000D48CF" w:rsidRPr="00664E64">
        <w:t>the Australian Communications and Media Authority (ACMA)</w:t>
      </w:r>
      <w:r w:rsidR="002F2B11" w:rsidRPr="00664E64">
        <w:t xml:space="preserve"> and it lists providers under: 1) TABs, corporate bookmakers and betting exchanges (mostly large and medium</w:t>
      </w:r>
      <w:r w:rsidR="004B78E0" w:rsidRPr="00664E64">
        <w:t>-</w:t>
      </w:r>
      <w:r w:rsidR="002F2B11" w:rsidRPr="00664E64">
        <w:t xml:space="preserve">sized providers); and 2) </w:t>
      </w:r>
      <w:r w:rsidR="004B78E0" w:rsidRPr="00664E64">
        <w:t>on</w:t>
      </w:r>
      <w:r w:rsidR="002F2B11" w:rsidRPr="00664E64">
        <w:t>-course bookmakers (mostly smaller</w:t>
      </w:r>
      <w:r w:rsidR="004B78E0" w:rsidRPr="00664E64">
        <w:t>-</w:t>
      </w:r>
      <w:r w:rsidR="002F2B11" w:rsidRPr="00664E64">
        <w:t xml:space="preserve">sized providers). As part of this study we reviewed all </w:t>
      </w:r>
      <w:r w:rsidR="004B78E0" w:rsidRPr="00664E64">
        <w:t>23</w:t>
      </w:r>
      <w:r w:rsidR="000D48CF" w:rsidRPr="00664E64">
        <w:t xml:space="preserve"> </w:t>
      </w:r>
      <w:r w:rsidR="002F2B11" w:rsidRPr="00664E64">
        <w:t xml:space="preserve">of the large and medium-sized </w:t>
      </w:r>
      <w:r w:rsidR="000D48CF" w:rsidRPr="00664E64">
        <w:t xml:space="preserve">providers </w:t>
      </w:r>
      <w:r w:rsidR="002F2B11" w:rsidRPr="00664E64">
        <w:t>from the ACMA register (some of whom have smaller services operating under their licence)</w:t>
      </w:r>
      <w:r w:rsidR="000D48CF" w:rsidRPr="00664E64">
        <w:t xml:space="preserve">, </w:t>
      </w:r>
      <w:r w:rsidR="002F2B11" w:rsidRPr="00664E64">
        <w:t>and</w:t>
      </w:r>
      <w:r w:rsidR="000D48CF" w:rsidRPr="00664E64">
        <w:t xml:space="preserve"> a further six </w:t>
      </w:r>
      <w:r w:rsidR="002F2B11" w:rsidRPr="00664E64">
        <w:t xml:space="preserve">of the </w:t>
      </w:r>
      <w:r w:rsidR="000D48CF" w:rsidRPr="00664E64">
        <w:t>smaller providers</w:t>
      </w:r>
      <w:r w:rsidR="002F2B11" w:rsidRPr="00664E64">
        <w:t xml:space="preserve"> who had an online presence</w:t>
      </w:r>
      <w:r w:rsidR="00784A9B" w:rsidRPr="00664E64">
        <w:t xml:space="preserve"> (very few of the </w:t>
      </w:r>
      <w:r w:rsidR="00645CEE" w:rsidRPr="00664E64">
        <w:t xml:space="preserve">smaller </w:t>
      </w:r>
      <w:r w:rsidR="00784A9B" w:rsidRPr="00664E64">
        <w:t xml:space="preserve">on-course bookmakers had an online presence). </w:t>
      </w:r>
      <w:r w:rsidR="00645CEE" w:rsidRPr="00664E64">
        <w:t>W</w:t>
      </w:r>
      <w:r w:rsidR="000D48CF" w:rsidRPr="00664E64">
        <w:t xml:space="preserve">agering providers regulated under </w:t>
      </w:r>
      <w:r w:rsidR="00645CEE" w:rsidRPr="00664E64">
        <w:t xml:space="preserve">different state and territory licensing authorities </w:t>
      </w:r>
      <w:r w:rsidR="000D48CF" w:rsidRPr="00664E64">
        <w:t xml:space="preserve">were included. </w:t>
      </w:r>
    </w:p>
    <w:p w14:paraId="3DBD7D0E" w14:textId="00122AB4" w:rsidR="000D48CF" w:rsidRPr="00664E64" w:rsidRDefault="00434C19" w:rsidP="00F65855">
      <w:pPr>
        <w:pStyle w:val="BodyText"/>
      </w:pPr>
      <w:r w:rsidRPr="00664E64">
        <w:t>The review was conducted to obtain a comprehensive snapshot of how consumer protection measures were being implemented at the time; t</w:t>
      </w:r>
      <w:r w:rsidR="000D48CF" w:rsidRPr="00664E64">
        <w:t xml:space="preserve">he criteria with which the </w:t>
      </w:r>
      <w:r w:rsidRPr="00664E64">
        <w:t>provider</w:t>
      </w:r>
      <w:r w:rsidR="000D48CF" w:rsidRPr="00664E64">
        <w:t xml:space="preserve"> websites were reviewed was as follows:</w:t>
      </w:r>
    </w:p>
    <w:p w14:paraId="29734BAB" w14:textId="3D35D2AD" w:rsidR="000D48CF" w:rsidRPr="00664E64" w:rsidRDefault="000D48CF" w:rsidP="00F65855">
      <w:pPr>
        <w:pStyle w:val="ListBullet"/>
      </w:pPr>
      <w:r w:rsidRPr="00664E64">
        <w:t>What account features were available to customers?</w:t>
      </w:r>
    </w:p>
    <w:p w14:paraId="472AA0D5" w14:textId="1569BB5C" w:rsidR="000D48CF" w:rsidRPr="00664E64" w:rsidRDefault="000D48CF" w:rsidP="00F65855">
      <w:pPr>
        <w:pStyle w:val="ListBullet2"/>
      </w:pPr>
      <w:r w:rsidRPr="00664E64">
        <w:t>These included customer verification requirements and time</w:t>
      </w:r>
      <w:r w:rsidR="004B78E0" w:rsidRPr="00664E64">
        <w:t xml:space="preserve"> </w:t>
      </w:r>
      <w:r w:rsidRPr="00664E64">
        <w:t xml:space="preserve">frames, the types of inducements that are available, if any pre-commitment features existed, methods of account closure or self-exclusion, access to activity and financial statements, and what types of gambling help messages were used. </w:t>
      </w:r>
    </w:p>
    <w:p w14:paraId="4968F0AF" w14:textId="54E00299" w:rsidR="000D48CF" w:rsidRPr="00664E64" w:rsidRDefault="000D48CF" w:rsidP="00F65855">
      <w:pPr>
        <w:pStyle w:val="ListBullet"/>
      </w:pPr>
      <w:r w:rsidRPr="00664E64">
        <w:t>What was the availability/accessibility of consumer protection measures?</w:t>
      </w:r>
    </w:p>
    <w:p w14:paraId="59E6333A" w14:textId="3EA8AC50" w:rsidR="000D48CF" w:rsidRPr="00664E64" w:rsidRDefault="000D48CF" w:rsidP="00F65855">
      <w:pPr>
        <w:pStyle w:val="ListBullet2"/>
      </w:pPr>
      <w:r w:rsidRPr="00664E64">
        <w:t xml:space="preserve">This included reviewing the uptake and implementation of the three National </w:t>
      </w:r>
      <w:r w:rsidR="00014A0D" w:rsidRPr="00664E64">
        <w:t>Framework</w:t>
      </w:r>
      <w:r w:rsidRPr="00664E64">
        <w:t xml:space="preserve"> measures rolled out during February 2018 and 2019, and </w:t>
      </w:r>
      <w:r w:rsidR="0019049F" w:rsidRPr="00664E64">
        <w:t>examined</w:t>
      </w:r>
      <w:r w:rsidRPr="00664E64">
        <w:t xml:space="preserve"> any existing features that broadly reflected the remaining measures to be implemented</w:t>
      </w:r>
      <w:r w:rsidR="0019049F" w:rsidRPr="00664E64">
        <w:t>.</w:t>
      </w:r>
    </w:p>
    <w:p w14:paraId="6F48271D" w14:textId="0D23FC5B" w:rsidR="000D48CF" w:rsidRPr="00664E64" w:rsidRDefault="00D64709" w:rsidP="00F65855">
      <w:pPr>
        <w:pStyle w:val="ListBullet"/>
      </w:pPr>
      <w:r>
        <w:t>Have</w:t>
      </w:r>
      <w:r w:rsidRPr="00664E64">
        <w:t xml:space="preserve"> </w:t>
      </w:r>
      <w:r>
        <w:t xml:space="preserve">wagering </w:t>
      </w:r>
      <w:r w:rsidR="004659A5">
        <w:t>providers</w:t>
      </w:r>
      <w:r w:rsidR="004659A5" w:rsidRPr="00664E64">
        <w:t xml:space="preserve"> </w:t>
      </w:r>
      <w:r>
        <w:t xml:space="preserve">made </w:t>
      </w:r>
      <w:r w:rsidR="000D48CF" w:rsidRPr="00664E64">
        <w:t xml:space="preserve">information regarding the National </w:t>
      </w:r>
      <w:r w:rsidR="00014A0D" w:rsidRPr="00664E64">
        <w:t>Framework</w:t>
      </w:r>
      <w:r w:rsidR="000D48CF" w:rsidRPr="00664E64">
        <w:t xml:space="preserve"> </w:t>
      </w:r>
      <w:r>
        <w:t xml:space="preserve">available to their customers, </w:t>
      </w:r>
      <w:r w:rsidR="000D48CF" w:rsidRPr="00664E64">
        <w:t>and are there any obvious features that portray an awareness and readiness to implement the remaining measures?</w:t>
      </w:r>
    </w:p>
    <w:p w14:paraId="3E1164B8" w14:textId="77777777" w:rsidR="000D48CF" w:rsidRPr="00664E64" w:rsidRDefault="000D48CF" w:rsidP="00F65855">
      <w:pPr>
        <w:pStyle w:val="ListBullet"/>
      </w:pPr>
      <w:r w:rsidRPr="00664E64">
        <w:lastRenderedPageBreak/>
        <w:t>What similarities and differences exist between the cross-section of providers regarding the above criteria?</w:t>
      </w:r>
    </w:p>
    <w:p w14:paraId="3C51B0F3" w14:textId="4D6AA4F1" w:rsidR="000D48CF" w:rsidRPr="00664E64" w:rsidRDefault="000D48CF" w:rsidP="00F65855">
      <w:pPr>
        <w:pStyle w:val="BodyText"/>
      </w:pPr>
      <w:r w:rsidRPr="00664E64">
        <w:t xml:space="preserve">In addition to the 10 measures outlined in the </w:t>
      </w:r>
      <w:r w:rsidR="00014A0D" w:rsidRPr="00664E64">
        <w:t>Framework</w:t>
      </w:r>
      <w:r w:rsidRPr="00664E64">
        <w:t xml:space="preserve">, other features that were considered were if the providers offered a dedicated responsible gambling page or link, self-exclusion options, and any other unique tools </w:t>
      </w:r>
      <w:r w:rsidR="008D7F6A" w:rsidRPr="00664E64">
        <w:t>offered</w:t>
      </w:r>
      <w:r w:rsidRPr="00664E64">
        <w:t xml:space="preserve"> by specific providers. </w:t>
      </w:r>
    </w:p>
    <w:p w14:paraId="24FE2668" w14:textId="7B2B0104" w:rsidR="000D48CF" w:rsidRPr="00664E64" w:rsidRDefault="000D48CF" w:rsidP="00F65855">
      <w:pPr>
        <w:pStyle w:val="BodyText"/>
      </w:pPr>
      <w:r w:rsidRPr="00664E64">
        <w:t xml:space="preserve">As we were only able to review publicly available websites, it is possible that we were unable to capture certain features or tools that </w:t>
      </w:r>
      <w:r w:rsidR="00915D1F" w:rsidRPr="00664E64">
        <w:t>were</w:t>
      </w:r>
      <w:r w:rsidRPr="00664E64">
        <w:t xml:space="preserve"> only accessible to members via an online login. As the desktop review was conducted without creating member accounts with the various providers, certain features were not able to be identified on the wagering provider websites. </w:t>
      </w:r>
    </w:p>
    <w:p w14:paraId="45142C3D" w14:textId="2339DCFD" w:rsidR="000D48CF" w:rsidRPr="00BE3CD8" w:rsidRDefault="000D48CF" w:rsidP="00F65855">
      <w:pPr>
        <w:pStyle w:val="Heading3"/>
        <w:rPr>
          <w:color w:val="auto"/>
        </w:rPr>
      </w:pPr>
      <w:r w:rsidRPr="00BE3CD8">
        <w:rPr>
          <w:color w:val="auto"/>
        </w:rPr>
        <w:t>Regulators</w:t>
      </w:r>
    </w:p>
    <w:p w14:paraId="31F1EC70" w14:textId="3894F38B" w:rsidR="000D48CF" w:rsidRPr="00664E64" w:rsidRDefault="000D48CF" w:rsidP="00F65855">
      <w:pPr>
        <w:pStyle w:val="BodyText"/>
      </w:pPr>
      <w:r w:rsidRPr="00664E64">
        <w:t xml:space="preserve">The </w:t>
      </w:r>
      <w:r w:rsidR="006324F8" w:rsidRPr="00664E64">
        <w:t xml:space="preserve">websites of the </w:t>
      </w:r>
      <w:r w:rsidRPr="00664E64">
        <w:t>state/territory licensing authority of each operator</w:t>
      </w:r>
      <w:r w:rsidR="009E6EDB" w:rsidRPr="00664E64">
        <w:t>,</w:t>
      </w:r>
      <w:r w:rsidR="004659A5">
        <w:t xml:space="preserve"> Australian Communications and Media Authority (</w:t>
      </w:r>
      <w:r w:rsidR="009E6EDB" w:rsidRPr="00664E64">
        <w:t>ACMA</w:t>
      </w:r>
      <w:r w:rsidR="004659A5">
        <w:t>)</w:t>
      </w:r>
      <w:r w:rsidR="009E6EDB" w:rsidRPr="00664E64">
        <w:t xml:space="preserve"> and the Australian Transaction Reports and Analysis Centre (AUSTRAC)</w:t>
      </w:r>
      <w:r w:rsidRPr="00664E64">
        <w:t xml:space="preserve"> </w:t>
      </w:r>
      <w:r w:rsidR="009E6EDB" w:rsidRPr="00664E64">
        <w:t>were also reviewed.</w:t>
      </w:r>
      <w:r w:rsidRPr="00664E64">
        <w:t xml:space="preserve"> </w:t>
      </w:r>
      <w:r w:rsidR="009E6EDB" w:rsidRPr="00664E64">
        <w:t>The state/territory licensing authorities are listed below:</w:t>
      </w:r>
    </w:p>
    <w:p w14:paraId="29085B15" w14:textId="454FF616" w:rsidR="000D48CF" w:rsidRPr="00664E64" w:rsidRDefault="004659A5" w:rsidP="00F65855">
      <w:pPr>
        <w:pStyle w:val="ListBullet"/>
      </w:pPr>
      <w:r w:rsidRPr="00664E64">
        <w:t>A</w:t>
      </w:r>
      <w:r>
        <w:t>ustralian Capital Territory</w:t>
      </w:r>
      <w:r w:rsidRPr="00664E64">
        <w:t xml:space="preserve"> </w:t>
      </w:r>
      <w:r w:rsidR="000D48CF" w:rsidRPr="00664E64">
        <w:t>Gambling &amp; Racing Commission</w:t>
      </w:r>
    </w:p>
    <w:p w14:paraId="409AF8AA" w14:textId="5B548904" w:rsidR="000D48CF" w:rsidRPr="00664E64" w:rsidRDefault="000D48CF" w:rsidP="00F65855">
      <w:pPr>
        <w:pStyle w:val="ListBullet"/>
      </w:pPr>
      <w:r w:rsidRPr="00664E64">
        <w:t>Liquor and Gaming N</w:t>
      </w:r>
      <w:r w:rsidR="00CD344F" w:rsidRPr="00664E64">
        <w:t xml:space="preserve">ew </w:t>
      </w:r>
      <w:r w:rsidRPr="00664E64">
        <w:t>S</w:t>
      </w:r>
      <w:r w:rsidR="00CD344F" w:rsidRPr="00664E64">
        <w:t xml:space="preserve">outh </w:t>
      </w:r>
      <w:r w:rsidRPr="00664E64">
        <w:t>W</w:t>
      </w:r>
      <w:r w:rsidR="00CD344F" w:rsidRPr="00664E64">
        <w:t>ales</w:t>
      </w:r>
      <w:r w:rsidRPr="00664E64">
        <w:t xml:space="preserve"> </w:t>
      </w:r>
    </w:p>
    <w:p w14:paraId="144268E7" w14:textId="77777777" w:rsidR="000D48CF" w:rsidRPr="00664E64" w:rsidRDefault="000D48CF" w:rsidP="00F65855">
      <w:pPr>
        <w:pStyle w:val="ListBullet"/>
      </w:pPr>
      <w:r w:rsidRPr="00664E64">
        <w:t xml:space="preserve">Northern Territory Racing Commission </w:t>
      </w:r>
    </w:p>
    <w:p w14:paraId="52BF22E9" w14:textId="77777777" w:rsidR="000D48CF" w:rsidRPr="00664E64" w:rsidRDefault="000D48CF" w:rsidP="00F65855">
      <w:pPr>
        <w:pStyle w:val="ListBullet"/>
      </w:pPr>
      <w:r w:rsidRPr="00664E64">
        <w:t xml:space="preserve">Queensland Office of Liquor &amp; Gaming Regulation </w:t>
      </w:r>
    </w:p>
    <w:p w14:paraId="09AB18F1" w14:textId="77777777" w:rsidR="000D48CF" w:rsidRPr="00664E64" w:rsidRDefault="000D48CF" w:rsidP="00F65855">
      <w:pPr>
        <w:pStyle w:val="ListBullet"/>
      </w:pPr>
      <w:r w:rsidRPr="00664E64">
        <w:t>South Australian Independent Gambling Authority</w:t>
      </w:r>
    </w:p>
    <w:p w14:paraId="03E8964B" w14:textId="77777777" w:rsidR="000D48CF" w:rsidRPr="00664E64" w:rsidRDefault="000D48CF" w:rsidP="00F65855">
      <w:pPr>
        <w:pStyle w:val="ListBullet"/>
      </w:pPr>
      <w:r w:rsidRPr="00664E64">
        <w:t xml:space="preserve">Tasmanian Department of Treasury &amp; Finance – Liquor &amp; Gaming </w:t>
      </w:r>
    </w:p>
    <w:p w14:paraId="0CDA6C54" w14:textId="77777777" w:rsidR="000D48CF" w:rsidRPr="00664E64" w:rsidRDefault="000D48CF" w:rsidP="00F65855">
      <w:pPr>
        <w:pStyle w:val="ListBullet"/>
      </w:pPr>
      <w:r w:rsidRPr="00664E64">
        <w:t xml:space="preserve">Victorian Commission for Gambling &amp; Liquor Regulation </w:t>
      </w:r>
    </w:p>
    <w:p w14:paraId="327A8505" w14:textId="77777777" w:rsidR="000D48CF" w:rsidRPr="00664E64" w:rsidRDefault="000D48CF" w:rsidP="00F65855">
      <w:pPr>
        <w:pStyle w:val="ListBullet"/>
      </w:pPr>
      <w:r w:rsidRPr="00664E64">
        <w:t>Western Australia Department of Local Government, Sport &amp; Cultural Industries</w:t>
      </w:r>
    </w:p>
    <w:p w14:paraId="214DD4A1" w14:textId="2AC772B8" w:rsidR="000D48CF" w:rsidRPr="00664E64" w:rsidRDefault="000D48CF" w:rsidP="00F65855">
      <w:pPr>
        <w:pStyle w:val="BodyText"/>
      </w:pPr>
      <w:r w:rsidRPr="00664E64">
        <w:t xml:space="preserve">The criteria for reviewing regulator websites differed slightly from the providers as the focus was the promotion of the National </w:t>
      </w:r>
      <w:r w:rsidR="00014A0D" w:rsidRPr="00664E64">
        <w:t>Framework</w:t>
      </w:r>
      <w:r w:rsidRPr="00664E64">
        <w:t xml:space="preserve"> and </w:t>
      </w:r>
      <w:r w:rsidR="00915D1F" w:rsidRPr="00664E64">
        <w:t xml:space="preserve">the </w:t>
      </w:r>
      <w:r w:rsidRPr="00664E64">
        <w:t xml:space="preserve">availability of clear information regarding the measures and the roll-out schedule. </w:t>
      </w:r>
    </w:p>
    <w:p w14:paraId="41E2E6BA" w14:textId="6D1C2027" w:rsidR="000D48CF" w:rsidRPr="00BE3CD8" w:rsidRDefault="000D48CF" w:rsidP="00F65855">
      <w:pPr>
        <w:pStyle w:val="Heading2"/>
        <w:rPr>
          <w:color w:val="auto"/>
        </w:rPr>
      </w:pPr>
      <w:bookmarkStart w:id="8" w:name="_Toc12022539"/>
      <w:r w:rsidRPr="00BE3CD8">
        <w:rPr>
          <w:color w:val="auto"/>
        </w:rPr>
        <w:t>Key stakeholder interviews</w:t>
      </w:r>
      <w:bookmarkEnd w:id="8"/>
    </w:p>
    <w:p w14:paraId="38BA36ED" w14:textId="65C55D1D" w:rsidR="000D48CF" w:rsidRPr="00BE3CD8" w:rsidRDefault="00A81432" w:rsidP="00F65855">
      <w:pPr>
        <w:pStyle w:val="Heading3"/>
        <w:rPr>
          <w:color w:val="auto"/>
        </w:rPr>
      </w:pPr>
      <w:r w:rsidRPr="00BE3CD8">
        <w:rPr>
          <w:color w:val="auto"/>
        </w:rPr>
        <w:t>Participants</w:t>
      </w:r>
    </w:p>
    <w:p w14:paraId="5AD9F544" w14:textId="77777777" w:rsidR="000D48CF" w:rsidRPr="00BE3CD8" w:rsidRDefault="000D48CF" w:rsidP="00F65855">
      <w:pPr>
        <w:pStyle w:val="Heading4"/>
        <w:rPr>
          <w:color w:val="auto"/>
        </w:rPr>
      </w:pPr>
      <w:r w:rsidRPr="00BE3CD8">
        <w:rPr>
          <w:color w:val="auto"/>
        </w:rPr>
        <w:t xml:space="preserve">Regulators </w:t>
      </w:r>
    </w:p>
    <w:p w14:paraId="76A3235E" w14:textId="090F0202" w:rsidR="000D48CF" w:rsidRPr="00664E64" w:rsidRDefault="000D48CF" w:rsidP="00F65855">
      <w:pPr>
        <w:pStyle w:val="BodyText"/>
      </w:pPr>
      <w:r w:rsidRPr="00664E64">
        <w:t xml:space="preserve">Semi-structured interviews were undertaken with gambling regulatory bodies in each state and </w:t>
      </w:r>
      <w:r w:rsidR="00403DC1" w:rsidRPr="00664E64">
        <w:t xml:space="preserve">territory. </w:t>
      </w:r>
      <w:r w:rsidRPr="00664E64">
        <w:t xml:space="preserve">Regulatory bodies in the Commonwealth government, responsible for </w:t>
      </w:r>
      <w:r w:rsidR="00A81432" w:rsidRPr="00664E64">
        <w:t xml:space="preserve">the </w:t>
      </w:r>
      <w:r w:rsidRPr="00664E64">
        <w:t xml:space="preserve">monitoring and enforcement of </w:t>
      </w:r>
      <w:r w:rsidR="00A81432" w:rsidRPr="00664E64">
        <w:t xml:space="preserve">the </w:t>
      </w:r>
      <w:r w:rsidR="007E439A" w:rsidRPr="00664E64">
        <w:t>N</w:t>
      </w:r>
      <w:r w:rsidRPr="00664E64">
        <w:t xml:space="preserve">ational </w:t>
      </w:r>
      <w:r w:rsidR="00A81432" w:rsidRPr="00664E64">
        <w:t xml:space="preserve">Framework </w:t>
      </w:r>
      <w:r w:rsidRPr="00664E64">
        <w:t xml:space="preserve">measures, were also interviewed. </w:t>
      </w:r>
      <w:r w:rsidR="00403DC1" w:rsidRPr="00664E64">
        <w:t>Interviews were conducted in a four</w:t>
      </w:r>
      <w:r w:rsidR="00841155" w:rsidRPr="00664E64">
        <w:t>-</w:t>
      </w:r>
      <w:r w:rsidR="00403DC1" w:rsidRPr="00664E64">
        <w:t xml:space="preserve">week period from early March to early April, with information provided by regulators current at the time of interview. </w:t>
      </w:r>
      <w:r w:rsidRPr="00664E64">
        <w:t>All state and territory government</w:t>
      </w:r>
      <w:r w:rsidR="00A81432" w:rsidRPr="00664E64">
        <w:t>s</w:t>
      </w:r>
      <w:r w:rsidRPr="00664E64">
        <w:t xml:space="preserve">, in addition to the Commonwealth, </w:t>
      </w:r>
      <w:r w:rsidR="00A81432" w:rsidRPr="00664E64">
        <w:t>are</w:t>
      </w:r>
      <w:r w:rsidRPr="00664E64">
        <w:t xml:space="preserve"> represented on the </w:t>
      </w:r>
      <w:r w:rsidR="00995836" w:rsidRPr="00664E64">
        <w:t xml:space="preserve">Implementation </w:t>
      </w:r>
      <w:r w:rsidRPr="00664E64">
        <w:t xml:space="preserve">Governance Committee </w:t>
      </w:r>
      <w:r w:rsidR="00A81432" w:rsidRPr="00664E64">
        <w:t>for</w:t>
      </w:r>
      <w:r w:rsidRPr="00664E64">
        <w:t xml:space="preserve"> the </w:t>
      </w:r>
      <w:r w:rsidR="007E439A" w:rsidRPr="00664E64">
        <w:t>National Framework</w:t>
      </w:r>
      <w:r w:rsidRPr="00664E64">
        <w:t xml:space="preserve">. As such, all regulators were aware of the baseline </w:t>
      </w:r>
      <w:r w:rsidR="00A81432" w:rsidRPr="00664E64">
        <w:t xml:space="preserve">study </w:t>
      </w:r>
      <w:r w:rsidRPr="00664E64">
        <w:t xml:space="preserve">evaluation being undertaken and had agreed to participate in the interview process. A total of 10 regulators </w:t>
      </w:r>
      <w:r w:rsidR="00A81432" w:rsidRPr="00664E64">
        <w:t>representing each state and territory and the Commonwealth were</w:t>
      </w:r>
      <w:r w:rsidRPr="00664E64">
        <w:t xml:space="preserve"> interviewed.</w:t>
      </w:r>
      <w:r w:rsidR="006209D9" w:rsidRPr="00664E64">
        <w:t xml:space="preserve"> </w:t>
      </w:r>
    </w:p>
    <w:p w14:paraId="6B90BC0A" w14:textId="77777777" w:rsidR="000D48CF" w:rsidRPr="00BE3CD8" w:rsidRDefault="000D48CF" w:rsidP="00F65855">
      <w:pPr>
        <w:pStyle w:val="Heading4"/>
        <w:rPr>
          <w:color w:val="auto"/>
        </w:rPr>
      </w:pPr>
      <w:r w:rsidRPr="00BE3CD8">
        <w:rPr>
          <w:color w:val="auto"/>
        </w:rPr>
        <w:lastRenderedPageBreak/>
        <w:t>Wagering providers</w:t>
      </w:r>
    </w:p>
    <w:p w14:paraId="2A8AC53E" w14:textId="03EB897C" w:rsidR="000D48CF" w:rsidRPr="00664E64" w:rsidRDefault="000D48CF" w:rsidP="00F65855">
      <w:pPr>
        <w:pStyle w:val="BodyText"/>
      </w:pPr>
      <w:r w:rsidRPr="00664E64">
        <w:t xml:space="preserve">Wagering providers were identified via </w:t>
      </w:r>
      <w:r w:rsidR="00AC240C" w:rsidRPr="00664E64">
        <w:t>the</w:t>
      </w:r>
      <w:r w:rsidRPr="00664E64">
        <w:t xml:space="preserve"> </w:t>
      </w:r>
      <w:r w:rsidR="00AC240C" w:rsidRPr="00664E64">
        <w:t>ACMA register with</w:t>
      </w:r>
      <w:r w:rsidRPr="00664E64">
        <w:t xml:space="preserve"> </w:t>
      </w:r>
      <w:r w:rsidR="00AC240C" w:rsidRPr="00664E64">
        <w:t>additional contact details</w:t>
      </w:r>
      <w:r w:rsidRPr="00664E64">
        <w:t xml:space="preserve"> provided by </w:t>
      </w:r>
      <w:r w:rsidR="00A81432" w:rsidRPr="00664E64">
        <w:t>the Department</w:t>
      </w:r>
      <w:r w:rsidRPr="00664E64">
        <w:t>. A cross-section of large</w:t>
      </w:r>
      <w:r w:rsidR="00CC4BD7" w:rsidRPr="00664E64">
        <w:t xml:space="preserve"> to </w:t>
      </w:r>
      <w:r w:rsidRPr="00664E64">
        <w:t xml:space="preserve">medium and smaller wagering providers were interviewed, </w:t>
      </w:r>
      <w:r w:rsidR="00995836" w:rsidRPr="00664E64">
        <w:t>in addition to</w:t>
      </w:r>
      <w:r w:rsidRPr="00664E64">
        <w:t xml:space="preserve"> smaller bookmakers</w:t>
      </w:r>
      <w:r w:rsidR="00995836" w:rsidRPr="00664E64">
        <w:t xml:space="preserve"> with </w:t>
      </w:r>
      <w:r w:rsidR="00841155" w:rsidRPr="00664E64">
        <w:t xml:space="preserve">an online or </w:t>
      </w:r>
      <w:r w:rsidR="00995836" w:rsidRPr="00664E64">
        <w:t xml:space="preserve">telephone wagering </w:t>
      </w:r>
      <w:r w:rsidR="00841155" w:rsidRPr="00664E64">
        <w:t>service</w:t>
      </w:r>
      <w:r w:rsidR="00403DC1" w:rsidRPr="00664E64">
        <w:t xml:space="preserve">. </w:t>
      </w:r>
      <w:r w:rsidRPr="00664E64">
        <w:t xml:space="preserve">In addition, a number of peak bodies in several state and territory jurisdictions, </w:t>
      </w:r>
      <w:r w:rsidR="007E439A" w:rsidRPr="00664E64">
        <w:t>and</w:t>
      </w:r>
      <w:r w:rsidRPr="00664E64">
        <w:t xml:space="preserve"> </w:t>
      </w:r>
      <w:r w:rsidR="00AC240C" w:rsidRPr="00664E64">
        <w:t xml:space="preserve">a </w:t>
      </w:r>
      <w:r w:rsidRPr="00664E64">
        <w:t xml:space="preserve">national industry body, were interviewed. A total of 20 </w:t>
      </w:r>
      <w:r w:rsidR="00995836" w:rsidRPr="00664E64">
        <w:t>organisations (</w:t>
      </w:r>
      <w:r w:rsidR="0019749C" w:rsidRPr="00664E64">
        <w:t xml:space="preserve">16 </w:t>
      </w:r>
      <w:r w:rsidRPr="00664E64">
        <w:t xml:space="preserve">wagering providers </w:t>
      </w:r>
      <w:r w:rsidR="00995836" w:rsidRPr="00664E64">
        <w:t xml:space="preserve">and </w:t>
      </w:r>
      <w:r w:rsidR="00CC4BD7" w:rsidRPr="00664E64">
        <w:t xml:space="preserve">four </w:t>
      </w:r>
      <w:r w:rsidRPr="00664E64">
        <w:t>peak bodies</w:t>
      </w:r>
      <w:r w:rsidR="00AC240C" w:rsidRPr="00664E64">
        <w:t>)</w:t>
      </w:r>
      <w:r w:rsidRPr="00664E64">
        <w:t xml:space="preserve"> were interviewed</w:t>
      </w:r>
      <w:r w:rsidR="00403DC1" w:rsidRPr="00664E64">
        <w:t xml:space="preserve"> from mid-March to mid</w:t>
      </w:r>
      <w:r w:rsidR="00841155" w:rsidRPr="00664E64">
        <w:t>-</w:t>
      </w:r>
      <w:r w:rsidR="00403DC1" w:rsidRPr="00664E64">
        <w:t>April.</w:t>
      </w:r>
    </w:p>
    <w:p w14:paraId="775E89B1" w14:textId="0A4F4D05" w:rsidR="00A81432" w:rsidRPr="00BE3CD8" w:rsidRDefault="00A81432" w:rsidP="00F65855">
      <w:pPr>
        <w:pStyle w:val="Heading3"/>
        <w:rPr>
          <w:color w:val="auto"/>
        </w:rPr>
      </w:pPr>
      <w:r w:rsidRPr="00BE3CD8">
        <w:rPr>
          <w:color w:val="auto"/>
        </w:rPr>
        <w:t>Recruitment procedure</w:t>
      </w:r>
      <w:r w:rsidR="00173CA3" w:rsidRPr="00BE3CD8">
        <w:rPr>
          <w:color w:val="auto"/>
        </w:rPr>
        <w:t>s and data collection</w:t>
      </w:r>
    </w:p>
    <w:p w14:paraId="61CAA01D" w14:textId="73D45C6D" w:rsidR="00BA4257" w:rsidRPr="00664E64" w:rsidRDefault="00A81432" w:rsidP="00F65855">
      <w:pPr>
        <w:pStyle w:val="BodyText"/>
      </w:pPr>
      <w:r w:rsidRPr="00664E64">
        <w:rPr>
          <w:rFonts w:cs="Arial"/>
        </w:rPr>
        <w:t xml:space="preserve">The Department provided a list of contact names </w:t>
      </w:r>
      <w:r w:rsidR="00BA4257" w:rsidRPr="00664E64">
        <w:t xml:space="preserve">for regulators </w:t>
      </w:r>
      <w:r w:rsidRPr="00664E64">
        <w:rPr>
          <w:rFonts w:cs="Arial"/>
        </w:rPr>
        <w:t>in each jurisdiction</w:t>
      </w:r>
      <w:r w:rsidR="00BA4257" w:rsidRPr="00664E64">
        <w:t>, and for wagering providers listed on the ACMA register. In some instances</w:t>
      </w:r>
      <w:r w:rsidR="00BF6E60" w:rsidRPr="00664E64">
        <w:t>,</w:t>
      </w:r>
      <w:r w:rsidR="00BA4257" w:rsidRPr="00664E64">
        <w:t xml:space="preserve"> we were referred onto contacts’ colleagues or used publicly available information to identify the most appropriate person to interview.</w:t>
      </w:r>
    </w:p>
    <w:p w14:paraId="51411F4C" w14:textId="33173E69" w:rsidR="00173CA3" w:rsidRPr="00664E64" w:rsidRDefault="00BA4257" w:rsidP="00F65855">
      <w:pPr>
        <w:pStyle w:val="BodyText"/>
      </w:pPr>
      <w:r w:rsidRPr="00664E64">
        <w:t xml:space="preserve">Initial contact with stakeholders </w:t>
      </w:r>
      <w:r w:rsidR="00BF6E60" w:rsidRPr="00664E64">
        <w:t xml:space="preserve">was </w:t>
      </w:r>
      <w:r w:rsidRPr="00664E64">
        <w:t xml:space="preserve">via a letter of </w:t>
      </w:r>
      <w:r w:rsidR="00BF6E60" w:rsidRPr="00664E64">
        <w:t xml:space="preserve">invitation and support from the Department. This letter outlined the key features of the </w:t>
      </w:r>
      <w:r w:rsidR="007E439A" w:rsidRPr="00664E64">
        <w:t xml:space="preserve">National </w:t>
      </w:r>
      <w:r w:rsidR="00BF6E60" w:rsidRPr="00664E64">
        <w:t xml:space="preserve">Framework and how stakeholders could contribute and have their say on the </w:t>
      </w:r>
      <w:r w:rsidR="007E439A" w:rsidRPr="00664E64">
        <w:t xml:space="preserve">National </w:t>
      </w:r>
      <w:r w:rsidR="00BF6E60" w:rsidRPr="00664E64">
        <w:t xml:space="preserve">Framework’s measures and implementation, including any perceived opportunities and challenges. AIFS followed this with an </w:t>
      </w:r>
      <w:r w:rsidR="00A81432" w:rsidRPr="00664E64">
        <w:t xml:space="preserve">email </w:t>
      </w:r>
      <w:r w:rsidR="00BF6E60" w:rsidRPr="00664E64">
        <w:t xml:space="preserve">invitation and a </w:t>
      </w:r>
      <w:r w:rsidR="00A81432" w:rsidRPr="00664E64">
        <w:t xml:space="preserve">plain language </w:t>
      </w:r>
      <w:r w:rsidR="00DA5781" w:rsidRPr="00664E64">
        <w:t>E</w:t>
      </w:r>
      <w:r w:rsidR="00A81432" w:rsidRPr="00664E64">
        <w:t xml:space="preserve">xplanatory </w:t>
      </w:r>
      <w:r w:rsidR="00DA5781" w:rsidRPr="00664E64">
        <w:t>S</w:t>
      </w:r>
      <w:r w:rsidR="00A81432" w:rsidRPr="00664E64">
        <w:t xml:space="preserve">tatement </w:t>
      </w:r>
      <w:r w:rsidR="00DA5781" w:rsidRPr="00664E64">
        <w:t>which included</w:t>
      </w:r>
      <w:r w:rsidR="00BF6E60" w:rsidRPr="00664E64">
        <w:t xml:space="preserve"> </w:t>
      </w:r>
      <w:r w:rsidR="00DA5781" w:rsidRPr="00664E64">
        <w:t xml:space="preserve">details about </w:t>
      </w:r>
      <w:r w:rsidR="00A81432" w:rsidRPr="00664E64">
        <w:t xml:space="preserve">the baseline </w:t>
      </w:r>
      <w:r w:rsidR="00BF6E60" w:rsidRPr="00664E64">
        <w:t>study</w:t>
      </w:r>
      <w:r w:rsidR="00DA5781" w:rsidRPr="00664E64">
        <w:t>,</w:t>
      </w:r>
      <w:r w:rsidR="00832DD4" w:rsidRPr="00664E64">
        <w:t xml:space="preserve"> </w:t>
      </w:r>
      <w:r w:rsidR="001B3CF9" w:rsidRPr="00664E64">
        <w:t>and the aims</w:t>
      </w:r>
      <w:r w:rsidR="00DA5781" w:rsidRPr="00664E64">
        <w:t>, methodology and key questions for</w:t>
      </w:r>
      <w:r w:rsidR="001B3CF9" w:rsidRPr="00664E64">
        <w:t xml:space="preserve"> the stakeholder interviews </w:t>
      </w:r>
      <w:r w:rsidR="00832DD4" w:rsidRPr="00664E64">
        <w:t>(</w:t>
      </w:r>
      <w:r w:rsidR="001B3CF9" w:rsidRPr="00664E64">
        <w:t>Appendi</w:t>
      </w:r>
      <w:r w:rsidR="00E50A94" w:rsidRPr="00664E64">
        <w:t>x 3</w:t>
      </w:r>
      <w:r w:rsidR="00832DD4" w:rsidRPr="00664E64">
        <w:t>)</w:t>
      </w:r>
      <w:r w:rsidR="00A81432" w:rsidRPr="00664E64">
        <w:t>.</w:t>
      </w:r>
      <w:r w:rsidR="00BF6E60" w:rsidRPr="00664E64">
        <w:t xml:space="preserve"> </w:t>
      </w:r>
    </w:p>
    <w:p w14:paraId="1C41B347" w14:textId="7E061490" w:rsidR="00BF6E60" w:rsidRPr="00664E64" w:rsidRDefault="00BF6E60" w:rsidP="00F65855">
      <w:pPr>
        <w:pStyle w:val="BodyText"/>
        <w:rPr>
          <w:rFonts w:cs="Arial"/>
        </w:rPr>
      </w:pPr>
      <w:r w:rsidRPr="00664E64">
        <w:t>Interested stakeholders were followed up via email and telephone</w:t>
      </w:r>
      <w:r w:rsidR="00CC4BD7" w:rsidRPr="00664E64">
        <w:t>,</w:t>
      </w:r>
      <w:r w:rsidRPr="00664E64">
        <w:t xml:space="preserve"> and interviews </w:t>
      </w:r>
      <w:r w:rsidR="00173CA3" w:rsidRPr="00664E64">
        <w:t xml:space="preserve">were </w:t>
      </w:r>
      <w:r w:rsidRPr="00664E64">
        <w:t xml:space="preserve">arranged at a time convenient for the participant. Almost all interviews were conducted via telephone (regulators: </w:t>
      </w:r>
      <w:r w:rsidR="00CC4BD7" w:rsidRPr="00664E64">
        <w:t xml:space="preserve">nine </w:t>
      </w:r>
      <w:r w:rsidRPr="00664E64">
        <w:t>via telephone and one face-to-face; providers: 19 via telephone and one face-to-face).</w:t>
      </w:r>
      <w:r w:rsidR="00173CA3" w:rsidRPr="00664E64">
        <w:t xml:space="preserve"> </w:t>
      </w:r>
      <w:r w:rsidR="00173CA3" w:rsidRPr="00664E64">
        <w:rPr>
          <w:rFonts w:cs="Arial"/>
        </w:rPr>
        <w:t>Interviews were audio-recorded and transcribed with the consent of participants. All participants were given the opportunity to ask any questions, seek clarification, or discontinue the interview at any time.</w:t>
      </w:r>
    </w:p>
    <w:p w14:paraId="1924A4CF" w14:textId="58B9BC4C" w:rsidR="00A81432" w:rsidRPr="00BE3CD8" w:rsidRDefault="0033667F" w:rsidP="00F65855">
      <w:pPr>
        <w:pStyle w:val="Heading3"/>
        <w:rPr>
          <w:color w:val="auto"/>
        </w:rPr>
      </w:pPr>
      <w:r w:rsidRPr="00BE3CD8">
        <w:rPr>
          <w:color w:val="auto"/>
        </w:rPr>
        <w:t>Interview schedule</w:t>
      </w:r>
    </w:p>
    <w:p w14:paraId="0FC40F65" w14:textId="1B163DB6" w:rsidR="000D48CF" w:rsidRPr="00664E64" w:rsidRDefault="000D48CF" w:rsidP="00AE462F">
      <w:pPr>
        <w:spacing w:before="120" w:line="280" w:lineRule="atLeast"/>
        <w:jc w:val="both"/>
        <w:rPr>
          <w:rFonts w:ascii="Arial" w:hAnsi="Arial" w:cs="Arial"/>
          <w:sz w:val="20"/>
          <w:szCs w:val="20"/>
        </w:rPr>
      </w:pPr>
      <w:r w:rsidRPr="00664E64">
        <w:rPr>
          <w:rFonts w:ascii="Arial" w:hAnsi="Arial" w:cs="Arial"/>
          <w:sz w:val="20"/>
          <w:szCs w:val="20"/>
        </w:rPr>
        <w:t xml:space="preserve">All regulator interviewees were asked a number of </w:t>
      </w:r>
      <w:r w:rsidR="0033667F" w:rsidRPr="00664E64">
        <w:rPr>
          <w:rFonts w:ascii="Arial" w:hAnsi="Arial" w:cs="Arial"/>
          <w:sz w:val="20"/>
          <w:szCs w:val="20"/>
        </w:rPr>
        <w:t>semi-struct</w:t>
      </w:r>
      <w:r w:rsidR="00173CA3" w:rsidRPr="00664E64">
        <w:rPr>
          <w:rFonts w:ascii="Arial" w:hAnsi="Arial" w:cs="Arial"/>
          <w:sz w:val="20"/>
          <w:szCs w:val="20"/>
        </w:rPr>
        <w:t>u</w:t>
      </w:r>
      <w:r w:rsidR="0033667F" w:rsidRPr="00664E64">
        <w:rPr>
          <w:rFonts w:ascii="Arial" w:hAnsi="Arial" w:cs="Arial"/>
          <w:sz w:val="20"/>
          <w:szCs w:val="20"/>
        </w:rPr>
        <w:t xml:space="preserve">red </w:t>
      </w:r>
      <w:r w:rsidRPr="00664E64">
        <w:rPr>
          <w:rFonts w:ascii="Arial" w:hAnsi="Arial" w:cs="Arial"/>
          <w:sz w:val="20"/>
          <w:szCs w:val="20"/>
        </w:rPr>
        <w:t xml:space="preserve">questions exploring the awareness, planning readiness, approach, monitoring, compliance and enforcement of </w:t>
      </w:r>
      <w:r w:rsidR="00014A0D" w:rsidRPr="00664E64">
        <w:rPr>
          <w:rFonts w:ascii="Arial" w:hAnsi="Arial" w:cs="Arial"/>
          <w:sz w:val="20"/>
          <w:szCs w:val="20"/>
        </w:rPr>
        <w:t>Framework</w:t>
      </w:r>
      <w:r w:rsidRPr="00664E64">
        <w:rPr>
          <w:rFonts w:ascii="Arial" w:hAnsi="Arial" w:cs="Arial"/>
          <w:sz w:val="20"/>
          <w:szCs w:val="20"/>
        </w:rPr>
        <w:t xml:space="preserve"> measures. Regulators were also given an opportunity to provide general thoughts on the operation and future development of the NCPF. </w:t>
      </w:r>
    </w:p>
    <w:p w14:paraId="6F8F3ED3" w14:textId="10CC00EB" w:rsidR="000D48CF" w:rsidRPr="00664E64" w:rsidRDefault="000D48CF" w:rsidP="00AE462F">
      <w:pPr>
        <w:spacing w:before="120" w:line="280" w:lineRule="atLeast"/>
        <w:jc w:val="both"/>
        <w:rPr>
          <w:rFonts w:ascii="Arial" w:hAnsi="Arial" w:cs="Arial"/>
          <w:sz w:val="20"/>
          <w:szCs w:val="20"/>
        </w:rPr>
      </w:pPr>
      <w:r w:rsidRPr="00664E64">
        <w:rPr>
          <w:rFonts w:ascii="Arial" w:hAnsi="Arial" w:cs="Arial"/>
          <w:sz w:val="20"/>
          <w:szCs w:val="20"/>
        </w:rPr>
        <w:t xml:space="preserve">Wagering providers were asked similar </w:t>
      </w:r>
      <w:r w:rsidR="00173CA3" w:rsidRPr="00664E64">
        <w:rPr>
          <w:rFonts w:ascii="Arial" w:hAnsi="Arial" w:cs="Arial"/>
          <w:sz w:val="20"/>
          <w:szCs w:val="20"/>
        </w:rPr>
        <w:t xml:space="preserve">semi-structured </w:t>
      </w:r>
      <w:r w:rsidRPr="00664E64">
        <w:rPr>
          <w:rFonts w:ascii="Arial" w:hAnsi="Arial" w:cs="Arial"/>
          <w:sz w:val="20"/>
          <w:szCs w:val="20"/>
        </w:rPr>
        <w:t xml:space="preserve">questions exploring the awareness, planning, communication and compliance efforts of </w:t>
      </w:r>
      <w:r w:rsidR="00014A0D" w:rsidRPr="00664E64">
        <w:rPr>
          <w:rFonts w:ascii="Arial" w:hAnsi="Arial" w:cs="Arial"/>
          <w:sz w:val="20"/>
          <w:szCs w:val="20"/>
        </w:rPr>
        <w:t>Framework</w:t>
      </w:r>
      <w:r w:rsidRPr="00664E64">
        <w:rPr>
          <w:rFonts w:ascii="Arial" w:hAnsi="Arial" w:cs="Arial"/>
          <w:sz w:val="20"/>
          <w:szCs w:val="20"/>
        </w:rPr>
        <w:t xml:space="preserve"> measures</w:t>
      </w:r>
      <w:r w:rsidR="00173CA3" w:rsidRPr="00664E64">
        <w:rPr>
          <w:rFonts w:ascii="Arial" w:hAnsi="Arial" w:cs="Arial"/>
          <w:sz w:val="20"/>
          <w:szCs w:val="20"/>
        </w:rPr>
        <w:t xml:space="preserve">. </w:t>
      </w:r>
      <w:r w:rsidRPr="00664E64">
        <w:rPr>
          <w:rFonts w:ascii="Arial" w:hAnsi="Arial" w:cs="Arial"/>
          <w:sz w:val="20"/>
          <w:szCs w:val="20"/>
        </w:rPr>
        <w:t>Wagering providers were also given an opportunity to raise any challenges and opportunities for them under the new measures.</w:t>
      </w:r>
    </w:p>
    <w:p w14:paraId="3279A9BA" w14:textId="59C2CA12" w:rsidR="000D48CF" w:rsidRPr="00BE3CD8" w:rsidRDefault="00173CA3" w:rsidP="00F65855">
      <w:pPr>
        <w:pStyle w:val="Heading3"/>
        <w:rPr>
          <w:color w:val="auto"/>
        </w:rPr>
      </w:pPr>
      <w:r w:rsidRPr="00BE3CD8">
        <w:rPr>
          <w:color w:val="auto"/>
        </w:rPr>
        <w:t>Data analysis</w:t>
      </w:r>
      <w:r w:rsidR="000D48CF" w:rsidRPr="00BE3CD8">
        <w:rPr>
          <w:color w:val="auto"/>
        </w:rPr>
        <w:t xml:space="preserve"> </w:t>
      </w:r>
    </w:p>
    <w:p w14:paraId="00710576" w14:textId="507B6405" w:rsidR="000D48CF" w:rsidRPr="00664E64" w:rsidRDefault="000D48CF" w:rsidP="00F65855">
      <w:pPr>
        <w:pStyle w:val="BodyText"/>
      </w:pPr>
      <w:r w:rsidRPr="00664E64">
        <w:t xml:space="preserve">Data gathered through the semi-structured interviews </w:t>
      </w:r>
      <w:r w:rsidR="006C1748" w:rsidRPr="00664E64">
        <w:t>was</w:t>
      </w:r>
      <w:r w:rsidRPr="00664E64">
        <w:t xml:space="preserve"> arranged thematically </w:t>
      </w:r>
      <w:r w:rsidR="006C1748" w:rsidRPr="00664E64">
        <w:t xml:space="preserve">in MS Excel </w:t>
      </w:r>
      <w:r w:rsidRPr="00664E64">
        <w:t xml:space="preserve">with all information de-identified. </w:t>
      </w:r>
    </w:p>
    <w:p w14:paraId="0AEB3EE3" w14:textId="57F156E4" w:rsidR="000D48CF" w:rsidRPr="00664E64" w:rsidRDefault="000D48CF" w:rsidP="00F65855">
      <w:pPr>
        <w:pStyle w:val="BodyText"/>
      </w:pPr>
      <w:r w:rsidRPr="00664E64">
        <w:t xml:space="preserve">For regulatory bodies, </w:t>
      </w:r>
      <w:r w:rsidR="006C1748" w:rsidRPr="00664E64">
        <w:t xml:space="preserve">key themes and </w:t>
      </w:r>
      <w:r w:rsidRPr="00664E64">
        <w:t xml:space="preserve">findings explored the awareness, readiness and processes, in addition to monitoring and compliance, and any challenges and opportunities faced with developing a </w:t>
      </w:r>
      <w:r w:rsidR="007E439A" w:rsidRPr="00664E64">
        <w:t>N</w:t>
      </w:r>
      <w:r w:rsidRPr="00664E64">
        <w:t xml:space="preserve">ational </w:t>
      </w:r>
      <w:r w:rsidR="00014A0D" w:rsidRPr="00664E64">
        <w:t>Framework</w:t>
      </w:r>
      <w:r w:rsidRPr="00664E64">
        <w:t xml:space="preserve">. For wagering providers, additional questions focused on </w:t>
      </w:r>
      <w:r w:rsidR="00036D29" w:rsidRPr="00664E64">
        <w:t>implementation,</w:t>
      </w:r>
      <w:r w:rsidRPr="00664E64">
        <w:t xml:space="preserve"> including </w:t>
      </w:r>
      <w:r w:rsidR="00036D29" w:rsidRPr="00664E64">
        <w:t>impacts on business</w:t>
      </w:r>
      <w:r w:rsidR="006C1748" w:rsidRPr="00664E64">
        <w:t xml:space="preserve"> </w:t>
      </w:r>
      <w:r w:rsidR="00036D29" w:rsidRPr="00664E64">
        <w:t xml:space="preserve">operations and </w:t>
      </w:r>
      <w:r w:rsidRPr="00664E64">
        <w:t xml:space="preserve">any challenges and opportunities with wagering providers operating across </w:t>
      </w:r>
      <w:r w:rsidR="006C1748" w:rsidRPr="00664E64">
        <w:t xml:space="preserve">different </w:t>
      </w:r>
      <w:r w:rsidRPr="00664E64">
        <w:t>jurisdictions.</w:t>
      </w:r>
      <w:r w:rsidR="006C1748" w:rsidRPr="00664E64">
        <w:t xml:space="preserve"> Findings have been illustrated with de-identified quotes where appropriate. </w:t>
      </w:r>
    </w:p>
    <w:p w14:paraId="7DD834B9" w14:textId="6D2A23E6" w:rsidR="000D48CF" w:rsidRPr="00BE3CD8" w:rsidRDefault="000D48CF" w:rsidP="00F65855">
      <w:pPr>
        <w:pStyle w:val="Heading2"/>
        <w:rPr>
          <w:color w:val="auto"/>
        </w:rPr>
      </w:pPr>
      <w:bookmarkStart w:id="9" w:name="_Toc12022540"/>
      <w:r w:rsidRPr="00BE3CD8">
        <w:rPr>
          <w:color w:val="auto"/>
        </w:rPr>
        <w:lastRenderedPageBreak/>
        <w:t>Consumer survey</w:t>
      </w:r>
      <w:bookmarkEnd w:id="9"/>
    </w:p>
    <w:p w14:paraId="3C0B77CE" w14:textId="77777777" w:rsidR="000D48CF" w:rsidRPr="00664E64" w:rsidRDefault="000D48CF" w:rsidP="00F65855">
      <w:pPr>
        <w:pStyle w:val="BodyText"/>
      </w:pPr>
      <w:r w:rsidRPr="00664E64">
        <w:t>A survey of people who wager online was conducted to describe Australian consumer characteristics, levels of wagering involvement, motivations, self-management strategies, and awareness, uptake and perceived usefulness of existing consumer protection features.</w:t>
      </w:r>
    </w:p>
    <w:p w14:paraId="1EFFFE64" w14:textId="4A4FD332" w:rsidR="000D48CF" w:rsidRPr="00664E64" w:rsidRDefault="000D48CF" w:rsidP="00F65855">
      <w:pPr>
        <w:pStyle w:val="BodyText"/>
        <w:rPr>
          <w:rFonts w:eastAsia="MS Mincho"/>
          <w:color w:val="62136D"/>
          <w:kern w:val="32"/>
          <w:sz w:val="28"/>
          <w:szCs w:val="28"/>
        </w:rPr>
      </w:pPr>
      <w:r w:rsidRPr="00664E64">
        <w:t>It was anticipated that data collected from the survey would allow for meaningful baseline comparisons between and within consumer subgroups (including at</w:t>
      </w:r>
      <w:r w:rsidR="00CC4BD7" w:rsidRPr="00664E64">
        <w:t>-</w:t>
      </w:r>
      <w:r w:rsidRPr="00664E64">
        <w:t>risk cohorts)</w:t>
      </w:r>
      <w:r w:rsidR="000C7EA3" w:rsidRPr="00664E64">
        <w:t>.</w:t>
      </w:r>
      <w:r w:rsidRPr="00664E64">
        <w:t xml:space="preserve"> Importantly, the data </w:t>
      </w:r>
      <w:r w:rsidR="00294AEF" w:rsidRPr="00664E64">
        <w:t xml:space="preserve">will also </w:t>
      </w:r>
      <w:r w:rsidRPr="00664E64">
        <w:t>facilitate comparison</w:t>
      </w:r>
      <w:r w:rsidR="00294AEF" w:rsidRPr="00664E64">
        <w:t>s</w:t>
      </w:r>
      <w:r w:rsidRPr="00664E64">
        <w:t xml:space="preserve"> over time </w:t>
      </w:r>
      <w:r w:rsidR="00294AEF" w:rsidRPr="00664E64">
        <w:t>for</w:t>
      </w:r>
      <w:r w:rsidRPr="00664E64">
        <w:t xml:space="preserve"> later stages of </w:t>
      </w:r>
      <w:r w:rsidR="00294AEF" w:rsidRPr="00664E64">
        <w:t xml:space="preserve">the </w:t>
      </w:r>
      <w:r w:rsidRPr="00664E64">
        <w:t xml:space="preserve">evaluation, and </w:t>
      </w:r>
      <w:r w:rsidR="00294AEF" w:rsidRPr="00664E64">
        <w:t xml:space="preserve">comparisons </w:t>
      </w:r>
      <w:r w:rsidRPr="00664E64">
        <w:t xml:space="preserve">with other </w:t>
      </w:r>
      <w:r w:rsidR="00294AEF" w:rsidRPr="00664E64">
        <w:t>gambling-related and population-based data sources</w:t>
      </w:r>
      <w:r w:rsidRPr="00664E64">
        <w:t>.</w:t>
      </w:r>
    </w:p>
    <w:p w14:paraId="04FBD7A9" w14:textId="643F0537" w:rsidR="000D48CF" w:rsidRPr="00BE3CD8" w:rsidRDefault="000D48CF" w:rsidP="00F65855">
      <w:pPr>
        <w:pStyle w:val="Heading3"/>
        <w:rPr>
          <w:color w:val="auto"/>
        </w:rPr>
      </w:pPr>
      <w:r w:rsidRPr="00BE3CD8">
        <w:rPr>
          <w:color w:val="auto"/>
        </w:rPr>
        <w:t>Fieldwork provider and pilot testing</w:t>
      </w:r>
    </w:p>
    <w:p w14:paraId="4C8D241E" w14:textId="58EE35D4" w:rsidR="000D48CF" w:rsidRPr="00664E64" w:rsidRDefault="000D48CF" w:rsidP="00F65855">
      <w:pPr>
        <w:pStyle w:val="BodyText"/>
      </w:pPr>
      <w:r w:rsidRPr="00664E64">
        <w:t>Roy Morgan Research was contracted for the</w:t>
      </w:r>
      <w:r w:rsidR="004C7517" w:rsidRPr="00664E64">
        <w:t xml:space="preserve"> consumer survey</w:t>
      </w:r>
      <w:r w:rsidRPr="00664E64">
        <w:t xml:space="preserve"> data collection</w:t>
      </w:r>
      <w:r w:rsidR="004C7517" w:rsidRPr="00664E64">
        <w:t>;</w:t>
      </w:r>
      <w:r w:rsidRPr="00664E64">
        <w:t xml:space="preserve"> including building, piloting and administering the survey.</w:t>
      </w:r>
    </w:p>
    <w:p w14:paraId="5DAF75CD" w14:textId="2F6A031A" w:rsidR="000D48CF" w:rsidRPr="00664E64" w:rsidRDefault="000D48CF" w:rsidP="00F65855">
      <w:pPr>
        <w:pStyle w:val="BodyText"/>
      </w:pPr>
      <w:r w:rsidRPr="00664E64">
        <w:t xml:space="preserve">The survey content and participant information sheet were prepared by AIFS and the survey was programmed by Roy Morgan on Confirmit. Extensive testing of the </w:t>
      </w:r>
      <w:r w:rsidR="004C7517" w:rsidRPr="00664E64">
        <w:t>p</w:t>
      </w:r>
      <w:r w:rsidRPr="00664E64">
        <w:t xml:space="preserve">ilot survey was conducted by both Roy Morgan and AIFS staff; testing included checking that all routing and programming was correct, as well as ensuring maximum readability and usability for respondents. Minor </w:t>
      </w:r>
      <w:r w:rsidR="004C7517" w:rsidRPr="00664E64">
        <w:t>amendments</w:t>
      </w:r>
      <w:r w:rsidRPr="00664E64">
        <w:t xml:space="preserve"> were made to the survey in consultation with AIFS.  </w:t>
      </w:r>
    </w:p>
    <w:p w14:paraId="2F4730AF" w14:textId="7365FACE" w:rsidR="000D48CF" w:rsidRPr="00664E64" w:rsidRDefault="000D48CF" w:rsidP="00F65855">
      <w:pPr>
        <w:pStyle w:val="BodyText"/>
      </w:pPr>
      <w:r w:rsidRPr="00664E64">
        <w:rPr>
          <w:rFonts w:cs="Arial"/>
        </w:rPr>
        <w:t xml:space="preserve">The </w:t>
      </w:r>
      <w:r w:rsidR="004C7517" w:rsidRPr="00664E64">
        <w:rPr>
          <w:rFonts w:cs="Arial"/>
        </w:rPr>
        <w:t>p</w:t>
      </w:r>
      <w:r w:rsidRPr="00664E64">
        <w:rPr>
          <w:rFonts w:cs="Arial"/>
        </w:rPr>
        <w:t>ilot survey was released to 413 members of the Roy Morgan online panel on Wednesday</w:t>
      </w:r>
      <w:r w:rsidR="00CC4BD7" w:rsidRPr="00664E64">
        <w:rPr>
          <w:rFonts w:cs="Arial"/>
        </w:rPr>
        <w:t>,</w:t>
      </w:r>
      <w:r w:rsidRPr="00664E64">
        <w:rPr>
          <w:rFonts w:cs="Arial"/>
        </w:rPr>
        <w:t xml:space="preserve"> 20 February 2019. A total of 45 respondents completed the survey, with 61 having </w:t>
      </w:r>
      <w:r w:rsidR="004C7517" w:rsidRPr="00664E64">
        <w:rPr>
          <w:rFonts w:cs="Arial"/>
        </w:rPr>
        <w:t>commenced it</w:t>
      </w:r>
      <w:r w:rsidRPr="00664E64">
        <w:rPr>
          <w:rFonts w:cs="Arial"/>
        </w:rPr>
        <w:t xml:space="preserve">. </w:t>
      </w:r>
      <w:r w:rsidRPr="00664E64">
        <w:t>The average survey timing was 16 minutes, which included time to complete some pilot feedback questions.</w:t>
      </w:r>
    </w:p>
    <w:p w14:paraId="5923830A" w14:textId="77777777" w:rsidR="000D48CF" w:rsidRPr="00664E64" w:rsidRDefault="000D48CF" w:rsidP="00F65855">
      <w:pPr>
        <w:pStyle w:val="BodyText"/>
        <w:rPr>
          <w:rFonts w:cs="Arial"/>
        </w:rPr>
      </w:pPr>
      <w:r w:rsidRPr="00664E64">
        <w:rPr>
          <w:rFonts w:cs="Arial"/>
        </w:rPr>
        <w:t xml:space="preserve">The pilot survey was positively received by participants and few changes to survey content or programming were made. </w:t>
      </w:r>
    </w:p>
    <w:p w14:paraId="4266EBD4" w14:textId="16995732" w:rsidR="000D48CF" w:rsidRPr="00BE3CD8" w:rsidRDefault="000D48CF" w:rsidP="00F65855">
      <w:pPr>
        <w:pStyle w:val="Heading3"/>
        <w:rPr>
          <w:color w:val="auto"/>
        </w:rPr>
      </w:pPr>
      <w:r w:rsidRPr="00BE3CD8">
        <w:rPr>
          <w:color w:val="auto"/>
        </w:rPr>
        <w:t>Survey participants</w:t>
      </w:r>
    </w:p>
    <w:p w14:paraId="3A392205" w14:textId="77777777" w:rsidR="00294AEF" w:rsidRPr="00664E64" w:rsidRDefault="00294AEF" w:rsidP="00F65855">
      <w:pPr>
        <w:pStyle w:val="BodyText"/>
        <w:rPr>
          <w:rFonts w:eastAsia="MS Mincho"/>
          <w:lang w:bidi="ar-SA"/>
        </w:rPr>
      </w:pPr>
      <w:r w:rsidRPr="00664E64">
        <w:rPr>
          <w:rFonts w:eastAsia="MS Mincho"/>
          <w:lang w:bidi="ar-SA"/>
        </w:rPr>
        <w:t>Eligibility criteria for the consumer survey included:</w:t>
      </w:r>
    </w:p>
    <w:p w14:paraId="3CDAF3F5" w14:textId="77777777" w:rsidR="00294AEF" w:rsidRPr="00664E64" w:rsidRDefault="00294AEF" w:rsidP="00F65855">
      <w:pPr>
        <w:pStyle w:val="ListBullet"/>
      </w:pPr>
      <w:r w:rsidRPr="00664E64">
        <w:rPr>
          <w:color w:val="000000" w:themeColor="text1"/>
        </w:rPr>
        <w:t xml:space="preserve">currently living in Australia, aged 18 or over, and have </w:t>
      </w:r>
      <w:r w:rsidRPr="00664E64">
        <w:t xml:space="preserve">placed a monetary bet online in the last 12 months on sports, racing, or other events. </w:t>
      </w:r>
    </w:p>
    <w:p w14:paraId="36CDC530" w14:textId="77777777" w:rsidR="00294AEF" w:rsidRPr="00664E64" w:rsidRDefault="00294AEF" w:rsidP="00F65855">
      <w:pPr>
        <w:pStyle w:val="ListBullet"/>
      </w:pPr>
      <w:r w:rsidRPr="00664E64">
        <w:t>‘online’ referred to electronically placing a bet via a mobile/smartphone, computer (e.g. PC or laptop), tablet (e.g. iPad), smart TV, internet telephone, or by telephone call.</w:t>
      </w:r>
    </w:p>
    <w:p w14:paraId="0F128B59" w14:textId="0EC7EFBA" w:rsidR="00294AEF" w:rsidRPr="00664E64" w:rsidRDefault="00294AEF" w:rsidP="00F65855">
      <w:pPr>
        <w:pStyle w:val="BodyText"/>
      </w:pPr>
      <w:r w:rsidRPr="00664E64">
        <w:t xml:space="preserve">There were no specific exclusion criteria for this study. </w:t>
      </w:r>
    </w:p>
    <w:p w14:paraId="0171EBA7" w14:textId="2A53A247" w:rsidR="000D48CF" w:rsidRPr="00664E64" w:rsidRDefault="000D48CF" w:rsidP="00F65855">
      <w:pPr>
        <w:pStyle w:val="BodyText"/>
      </w:pPr>
      <w:r w:rsidRPr="00664E64">
        <w:t xml:space="preserve">The main wave online consumer survey was conducted with a non-random sample of 5,076 Australians who placed wagers online with Australian service providers in the past 12 months (i.e. ‘active’ wagerers). Over 90% of respondents were recruited through </w:t>
      </w:r>
      <w:r w:rsidR="00777971" w:rsidRPr="00664E64">
        <w:t>an</w:t>
      </w:r>
      <w:r w:rsidRPr="00664E64">
        <w:t xml:space="preserve"> online wagering service provider, with the remaining </w:t>
      </w:r>
      <w:r w:rsidR="00777971" w:rsidRPr="00664E64">
        <w:t>sample recruited from</w:t>
      </w:r>
      <w:r w:rsidRPr="00664E64">
        <w:t xml:space="preserve"> Roy Morgan’s </w:t>
      </w:r>
      <w:r w:rsidR="00777971" w:rsidRPr="00664E64">
        <w:t>o</w:t>
      </w:r>
      <w:r w:rsidRPr="00664E64">
        <w:t xml:space="preserve">nline </w:t>
      </w:r>
      <w:r w:rsidR="00777971" w:rsidRPr="00664E64">
        <w:t>p</w:t>
      </w:r>
      <w:r w:rsidRPr="00664E64">
        <w:t xml:space="preserve">anel. </w:t>
      </w:r>
    </w:p>
    <w:p w14:paraId="0A6A0BA9" w14:textId="36000780" w:rsidR="000D48CF" w:rsidRPr="00664E64" w:rsidRDefault="00172CDF" w:rsidP="00F65855">
      <w:pPr>
        <w:pStyle w:val="BodyText"/>
      </w:pPr>
      <w:r w:rsidRPr="00664E64">
        <w:t>Key characteristics of the final sample (</w:t>
      </w:r>
      <w:r w:rsidRPr="00664E64">
        <w:rPr>
          <w:i/>
        </w:rPr>
        <w:t>N</w:t>
      </w:r>
      <w:r w:rsidR="00CC4BD7" w:rsidRPr="00664E64">
        <w:t xml:space="preserve"> </w:t>
      </w:r>
      <w:r w:rsidRPr="00664E64">
        <w:t>=</w:t>
      </w:r>
      <w:r w:rsidR="00CC4BD7" w:rsidRPr="00664E64">
        <w:t xml:space="preserve"> </w:t>
      </w:r>
      <w:r w:rsidRPr="00664E64">
        <w:t xml:space="preserve">5,076) include: </w:t>
      </w:r>
      <w:r w:rsidR="000D48CF" w:rsidRPr="00664E64">
        <w:t>76.8% male, 23.0% female, 0.2% othe</w:t>
      </w:r>
      <w:r w:rsidRPr="00664E64">
        <w:t>r gender</w:t>
      </w:r>
      <w:r w:rsidR="000D48CF" w:rsidRPr="00664E64">
        <w:t xml:space="preserve">; mean </w:t>
      </w:r>
      <w:r w:rsidRPr="00664E64">
        <w:t xml:space="preserve">age 47.7 years (SD = 14.49), </w:t>
      </w:r>
      <w:r w:rsidR="000D48CF" w:rsidRPr="00664E64">
        <w:t>median age 47</w:t>
      </w:r>
      <w:r w:rsidRPr="00664E64">
        <w:t>; 62% resident in one of the state capitals, the remainder in the territories or regional areas.</w:t>
      </w:r>
      <w:r w:rsidR="00B56148" w:rsidRPr="00664E64">
        <w:t xml:space="preserve"> </w:t>
      </w:r>
    </w:p>
    <w:p w14:paraId="05ECC221" w14:textId="77777777" w:rsidR="00173CA3" w:rsidRPr="00BE3CD8" w:rsidRDefault="00173CA3" w:rsidP="00F65855">
      <w:pPr>
        <w:pStyle w:val="Heading3"/>
        <w:rPr>
          <w:color w:val="auto"/>
        </w:rPr>
      </w:pPr>
      <w:r w:rsidRPr="00BE3CD8">
        <w:rPr>
          <w:color w:val="auto"/>
        </w:rPr>
        <w:lastRenderedPageBreak/>
        <w:t>Recruitment procedures and data collection</w:t>
      </w:r>
    </w:p>
    <w:p w14:paraId="49CB331B" w14:textId="20405726" w:rsidR="000D48CF" w:rsidRPr="00664E64" w:rsidRDefault="000D48CF" w:rsidP="00F65855">
      <w:pPr>
        <w:pStyle w:val="BodyText"/>
      </w:pPr>
      <w:r w:rsidRPr="00664E64">
        <w:t xml:space="preserve">Survey participants were primarily recruited through online wagering service providers’ customer databases. Service providers were requested to supply the survey link to their customers aged 18 years </w:t>
      </w:r>
      <w:r w:rsidR="00AB0940" w:rsidRPr="00664E64">
        <w:t>and</w:t>
      </w:r>
      <w:r w:rsidRPr="00664E64">
        <w:t xml:space="preserve"> over who lived in Australia and had placed a bet online in the past 12 months. </w:t>
      </w:r>
    </w:p>
    <w:p w14:paraId="137478FA" w14:textId="3836656F" w:rsidR="000D48CF" w:rsidRPr="00664E64" w:rsidRDefault="00EC08CC" w:rsidP="00F65855">
      <w:pPr>
        <w:pStyle w:val="BodyText"/>
      </w:pPr>
      <w:r w:rsidRPr="00664E64">
        <w:t>A mix of 25 small, medium and large</w:t>
      </w:r>
      <w:r w:rsidR="0086307A" w:rsidRPr="00664E64">
        <w:t>-</w:t>
      </w:r>
      <w:r w:rsidRPr="00664E64">
        <w:t>sized</w:t>
      </w:r>
      <w:r w:rsidR="000D48CF" w:rsidRPr="00664E64">
        <w:t xml:space="preserve"> online wagering providers who were licenced in Australia was supplied to Roy Morgan, all of whom had been initially </w:t>
      </w:r>
      <w:r w:rsidR="00AB0940" w:rsidRPr="00664E64">
        <w:t>contacted by the Department about the research</w:t>
      </w:r>
      <w:r w:rsidR="000D48CF" w:rsidRPr="00664E64">
        <w:t>. Providers were encouraged to engage in the study, and were made aware of its relation</w:t>
      </w:r>
      <w:r w:rsidR="0086307A" w:rsidRPr="00664E64">
        <w:t>ship</w:t>
      </w:r>
      <w:r w:rsidR="000D48CF" w:rsidRPr="00664E64">
        <w:t xml:space="preserve"> to the NCPF and </w:t>
      </w:r>
      <w:r w:rsidR="00A81432" w:rsidRPr="00664E64">
        <w:t>the Department</w:t>
      </w:r>
      <w:r w:rsidR="000D48CF" w:rsidRPr="00664E64">
        <w:t xml:space="preserve">, as well as being offered a summary of the report’s findings once they were released. Providers were also offered test links of the survey </w:t>
      </w:r>
      <w:r w:rsidR="00AB0940" w:rsidRPr="00664E64">
        <w:t>(to asses content, timing, etc</w:t>
      </w:r>
      <w:r w:rsidR="0086307A" w:rsidRPr="00664E64">
        <w:t>.</w:t>
      </w:r>
      <w:r w:rsidR="00AB0940" w:rsidRPr="00664E64">
        <w:t xml:space="preserve">) </w:t>
      </w:r>
      <w:r w:rsidR="000D48CF" w:rsidRPr="00664E64">
        <w:t>prior to the final survey link being sent. Follow-up contact attempts via phone and email were made by Roy Morgan to ensure that providers were given ample opportunity to participate in the study. If no contact was made after two email attempts and three phone calls, further contact was not attempted, unless it was reinitiated by the provider. A second list of smaller bookmakers, located throughout South Australia, Queensland and New South Wales, who were believed to provide an online</w:t>
      </w:r>
      <w:r w:rsidR="00841155" w:rsidRPr="00664E64">
        <w:t xml:space="preserve"> and/or telephone</w:t>
      </w:r>
      <w:r w:rsidR="000D48CF" w:rsidRPr="00664E64">
        <w:t xml:space="preserve"> wagering service were also contacted. The vast majority of </w:t>
      </w:r>
      <w:r w:rsidR="0086307A" w:rsidRPr="00664E64">
        <w:t xml:space="preserve">these </w:t>
      </w:r>
      <w:r w:rsidR="000D48CF" w:rsidRPr="00664E64">
        <w:t>replied that they provided a telephone betting service</w:t>
      </w:r>
      <w:r w:rsidR="00841155" w:rsidRPr="00664E64">
        <w:t xml:space="preserve"> only and they did not</w:t>
      </w:r>
      <w:r w:rsidR="0086307A" w:rsidRPr="00664E64">
        <w:t xml:space="preserve"> have</w:t>
      </w:r>
      <w:r w:rsidR="00841155" w:rsidRPr="00664E64">
        <w:t xml:space="preserve"> </w:t>
      </w:r>
      <w:r w:rsidR="000D48CF" w:rsidRPr="00664E64">
        <w:t xml:space="preserve">the ability </w:t>
      </w:r>
      <w:r w:rsidR="0086307A" w:rsidRPr="00664E64">
        <w:t xml:space="preserve">to </w:t>
      </w:r>
      <w:r w:rsidR="000D48CF" w:rsidRPr="00664E64">
        <w:t xml:space="preserve">send the </w:t>
      </w:r>
      <w:r w:rsidR="00841155" w:rsidRPr="00664E64">
        <w:t xml:space="preserve">online </w:t>
      </w:r>
      <w:r w:rsidR="000D48CF" w:rsidRPr="00664E64">
        <w:t xml:space="preserve">survey link to their customers. No further contact was made with these providers.  </w:t>
      </w:r>
    </w:p>
    <w:p w14:paraId="7651C8A9" w14:textId="07D68277" w:rsidR="000D48CF" w:rsidRPr="00664E64" w:rsidRDefault="00777971" w:rsidP="00F65855">
      <w:pPr>
        <w:pStyle w:val="BodyText"/>
      </w:pPr>
      <w:r w:rsidRPr="00664E64">
        <w:t xml:space="preserve">In total, 11 wagering service providers (of different sizes and licence locations) agreed to participate in the study. </w:t>
      </w:r>
      <w:r w:rsidR="000D48CF" w:rsidRPr="00664E64">
        <w:t xml:space="preserve">Once agreeing to participate, providers were sent the </w:t>
      </w:r>
      <w:r w:rsidR="00AB0940" w:rsidRPr="00664E64">
        <w:t xml:space="preserve">final </w:t>
      </w:r>
      <w:r w:rsidR="000D48CF" w:rsidRPr="00664E64">
        <w:t>survey link along with an email invitation template which could be used to send to customers. Service providers were offered assistance throughout the whole data collection period in sending out the survey link</w:t>
      </w:r>
      <w:r w:rsidR="00AB0940" w:rsidRPr="00664E64">
        <w:t xml:space="preserve"> and answering any queries</w:t>
      </w:r>
      <w:r w:rsidR="000D48CF" w:rsidRPr="00664E64">
        <w:t xml:space="preserve">. Providers were not given specific instructions regarding </w:t>
      </w:r>
      <w:r w:rsidR="00C818BA" w:rsidRPr="00664E64">
        <w:t xml:space="preserve">the </w:t>
      </w:r>
      <w:r w:rsidR="002723EF" w:rsidRPr="00664E64">
        <w:t xml:space="preserve">distribution </w:t>
      </w:r>
      <w:r w:rsidR="00C818BA" w:rsidRPr="00664E64">
        <w:t xml:space="preserve">date or </w:t>
      </w:r>
      <w:r w:rsidR="000D48CF" w:rsidRPr="00664E64">
        <w:t xml:space="preserve">number of links they were required to send </w:t>
      </w:r>
      <w:r w:rsidR="00C818BA" w:rsidRPr="00664E64">
        <w:t xml:space="preserve">as we wanted to </w:t>
      </w:r>
      <w:r w:rsidR="000D48CF" w:rsidRPr="00664E64">
        <w:t>allow them to work with</w:t>
      </w:r>
      <w:r w:rsidR="00AB0940" w:rsidRPr="00664E64">
        <w:t>in</w:t>
      </w:r>
      <w:r w:rsidR="000D48CF" w:rsidRPr="00664E64">
        <w:t xml:space="preserve"> their existing processes (e.g. other emails being sent to customers). </w:t>
      </w:r>
    </w:p>
    <w:p w14:paraId="528EE831" w14:textId="788937AE" w:rsidR="000D48CF" w:rsidRPr="00664E64" w:rsidRDefault="00AB0940" w:rsidP="00F65855">
      <w:pPr>
        <w:pStyle w:val="BodyText"/>
      </w:pPr>
      <w:r w:rsidRPr="00664E64">
        <w:t xml:space="preserve">Service </w:t>
      </w:r>
      <w:r w:rsidR="000D48CF" w:rsidRPr="00664E64">
        <w:t xml:space="preserve">providers started sending the survey links to their customers </w:t>
      </w:r>
      <w:r w:rsidRPr="00664E64">
        <w:t xml:space="preserve">(via email and/or text) </w:t>
      </w:r>
      <w:r w:rsidR="000D48CF" w:rsidRPr="00664E64">
        <w:t xml:space="preserve">on 6 March 2019. All </w:t>
      </w:r>
      <w:r w:rsidRPr="00664E64">
        <w:t xml:space="preserve">of </w:t>
      </w:r>
      <w:r w:rsidR="000D48CF" w:rsidRPr="00664E64">
        <w:t>the links remained active until the 1 April</w:t>
      </w:r>
      <w:r w:rsidRPr="00664E64">
        <w:t xml:space="preserve"> 2019</w:t>
      </w:r>
      <w:r w:rsidR="000D48CF" w:rsidRPr="00664E64">
        <w:t xml:space="preserve">. </w:t>
      </w:r>
      <w:r w:rsidRPr="00664E64">
        <w:t>P</w:t>
      </w:r>
      <w:r w:rsidR="000D48CF" w:rsidRPr="00664E64">
        <w:t>articipants took</w:t>
      </w:r>
      <w:r w:rsidRPr="00664E64">
        <w:t xml:space="preserve"> an average</w:t>
      </w:r>
      <w:r w:rsidR="000D48CF" w:rsidRPr="00664E64">
        <w:t xml:space="preserve"> 15 minutes to complete the survey.</w:t>
      </w:r>
      <w:r w:rsidRPr="00664E64">
        <w:t xml:space="preserve"> </w:t>
      </w:r>
      <w:r w:rsidR="000D48CF" w:rsidRPr="00664E64">
        <w:t>Five</w:t>
      </w:r>
      <w:r w:rsidR="009E1B57" w:rsidRPr="00664E64">
        <w:t xml:space="preserve"> </w:t>
      </w:r>
      <w:r w:rsidR="000D48CF" w:rsidRPr="00664E64">
        <w:t xml:space="preserve">$200 gift vouchers were </w:t>
      </w:r>
      <w:r w:rsidR="009E1B57" w:rsidRPr="00664E64">
        <w:t xml:space="preserve">randomly </w:t>
      </w:r>
      <w:r w:rsidR="000D48CF" w:rsidRPr="00664E64">
        <w:t xml:space="preserve">awarded to respondents who completed the survey. </w:t>
      </w:r>
      <w:r w:rsidR="00C818BA" w:rsidRPr="00664E64">
        <w:t>R</w:t>
      </w:r>
      <w:r w:rsidR="000D48CF" w:rsidRPr="00664E64">
        <w:t xml:space="preserve">espondents were given the option to provide their email </w:t>
      </w:r>
      <w:r w:rsidR="00C818BA" w:rsidRPr="00664E64">
        <w:t xml:space="preserve">address </w:t>
      </w:r>
      <w:r w:rsidR="000D48CF" w:rsidRPr="00664E64">
        <w:t>to enter the draw</w:t>
      </w:r>
      <w:r w:rsidR="00C818BA" w:rsidRPr="00664E64">
        <w:t xml:space="preserve"> and we</w:t>
      </w:r>
      <w:r w:rsidR="000D48CF" w:rsidRPr="00664E64">
        <w:t xml:space="preserve"> ensured that the language surrounding the draw was not related to gambling or chance in any way</w:t>
      </w:r>
      <w:r w:rsidR="00C818BA" w:rsidRPr="00664E64">
        <w:t>; as is standard practice in this field.</w:t>
      </w:r>
      <w:r w:rsidR="00252F37" w:rsidRPr="00664E64">
        <w:t xml:space="preserve"> </w:t>
      </w:r>
    </w:p>
    <w:p w14:paraId="4F6E6F00" w14:textId="69AFED09" w:rsidR="000D48CF" w:rsidRPr="00BE3CD8" w:rsidRDefault="000D48CF" w:rsidP="00F65855">
      <w:pPr>
        <w:pStyle w:val="Heading3"/>
        <w:rPr>
          <w:color w:val="auto"/>
        </w:rPr>
      </w:pPr>
      <w:r w:rsidRPr="00BE3CD8">
        <w:rPr>
          <w:color w:val="auto"/>
        </w:rPr>
        <w:t>Survey instrument</w:t>
      </w:r>
    </w:p>
    <w:p w14:paraId="5AA52C9D" w14:textId="0063F767" w:rsidR="000D48CF" w:rsidRPr="00664E64" w:rsidRDefault="000D48CF" w:rsidP="000D48CF">
      <w:pPr>
        <w:pStyle w:val="MarginText"/>
        <w:spacing w:before="120" w:after="0" w:line="280" w:lineRule="atLeast"/>
        <w:jc w:val="both"/>
        <w:rPr>
          <w:rFonts w:eastAsia="Times New Roman" w:cs="Arial"/>
          <w:color w:val="2C2624"/>
          <w:sz w:val="20"/>
          <w:szCs w:val="24"/>
          <w:lang w:val="en-AU" w:eastAsia="en-US" w:bidi="en-US"/>
        </w:rPr>
      </w:pPr>
      <w:r w:rsidRPr="00664E64">
        <w:rPr>
          <w:rFonts w:eastAsia="Times New Roman" w:cs="Arial"/>
          <w:color w:val="2C2624"/>
          <w:sz w:val="20"/>
          <w:szCs w:val="24"/>
          <w:lang w:val="en-AU" w:eastAsia="en-US" w:bidi="en-US"/>
        </w:rPr>
        <w:t xml:space="preserve">The online consumer survey canvassed standard demographics questions (age, gender, postcode, employment, household structure, income, country of birth, etc.), levels of online wagering participation, motivations to wager, prevalence of risky gambling behaviour and harm experienced, and awareness, uptake and perceived usefulness of existing consumer protection features. </w:t>
      </w:r>
    </w:p>
    <w:p w14:paraId="0DAD662B" w14:textId="432A0F63" w:rsidR="000D48CF" w:rsidRPr="00664E64" w:rsidRDefault="000D48CF" w:rsidP="000D48CF">
      <w:pPr>
        <w:pStyle w:val="BodyText"/>
        <w:rPr>
          <w:rFonts w:cs="Arial"/>
          <w:szCs w:val="20"/>
        </w:rPr>
      </w:pPr>
      <w:r w:rsidRPr="00664E64">
        <w:rPr>
          <w:rFonts w:cs="Arial"/>
          <w:lang w:bidi="ar-SA"/>
        </w:rPr>
        <w:t xml:space="preserve">The survey collected largely quantitative data, with some open-ended text response questions. Many of the </w:t>
      </w:r>
      <w:r w:rsidRPr="00664E64">
        <w:rPr>
          <w:rFonts w:cs="Arial"/>
          <w:szCs w:val="20"/>
        </w:rPr>
        <w:t xml:space="preserve">questions and scales were </w:t>
      </w:r>
      <w:r w:rsidR="001B3CF9" w:rsidRPr="00664E64">
        <w:rPr>
          <w:rFonts w:cs="Arial"/>
          <w:szCs w:val="20"/>
        </w:rPr>
        <w:t>selected</w:t>
      </w:r>
      <w:r w:rsidRPr="00664E64">
        <w:rPr>
          <w:rFonts w:cs="Arial"/>
          <w:szCs w:val="20"/>
        </w:rPr>
        <w:t xml:space="preserve"> to provide data that are consistent with the standards and definitions used in other gambling research, as well as population-based studies undertaken by government agencies who are leaders in this field, including the Australian Bureau of Statistics, Australian Institute of Health and Welfare and the Department. A copy of the consumer survey is provided in Appendix </w:t>
      </w:r>
      <w:r w:rsidR="00E50A94" w:rsidRPr="00664E64">
        <w:rPr>
          <w:rFonts w:cs="Arial"/>
          <w:szCs w:val="20"/>
        </w:rPr>
        <w:t>4</w:t>
      </w:r>
      <w:r w:rsidRPr="00664E64">
        <w:rPr>
          <w:rFonts w:cs="Arial"/>
          <w:szCs w:val="20"/>
        </w:rPr>
        <w:t>.</w:t>
      </w:r>
    </w:p>
    <w:p w14:paraId="50353F03" w14:textId="77777777" w:rsidR="000D48CF" w:rsidRPr="00664E64" w:rsidRDefault="000D48CF" w:rsidP="00F65855">
      <w:pPr>
        <w:pStyle w:val="Heading4"/>
        <w:rPr>
          <w:szCs w:val="20"/>
        </w:rPr>
      </w:pPr>
      <w:r w:rsidRPr="00664E64">
        <w:lastRenderedPageBreak/>
        <w:t>Online wagering involvement</w:t>
      </w:r>
      <w:r w:rsidRPr="00664E64">
        <w:rPr>
          <w:szCs w:val="20"/>
        </w:rPr>
        <w:t xml:space="preserve"> </w:t>
      </w:r>
    </w:p>
    <w:p w14:paraId="25BF2331" w14:textId="40E4BDC9" w:rsidR="000D48CF" w:rsidRPr="00664E64" w:rsidRDefault="000D48CF" w:rsidP="000D48CF">
      <w:pPr>
        <w:pStyle w:val="BodyText"/>
        <w:rPr>
          <w:rFonts w:cs="Arial"/>
        </w:rPr>
      </w:pPr>
      <w:r w:rsidRPr="00664E64">
        <w:rPr>
          <w:rFonts w:cs="Arial"/>
        </w:rPr>
        <w:t>Consumers were asked about: 1) activities</w:t>
      </w:r>
      <w:r w:rsidR="001B3CF9" w:rsidRPr="00664E64">
        <w:rPr>
          <w:rFonts w:cs="Arial"/>
        </w:rPr>
        <w:t>/products they had bet on in the past 12 months</w:t>
      </w:r>
      <w:r w:rsidR="0086307A" w:rsidRPr="00664E64">
        <w:rPr>
          <w:rFonts w:cs="Arial"/>
        </w:rPr>
        <w:t>;</w:t>
      </w:r>
      <w:r w:rsidRPr="00664E64">
        <w:rPr>
          <w:rFonts w:cs="Arial"/>
        </w:rPr>
        <w:t xml:space="preserve"> 2) </w:t>
      </w:r>
      <w:r w:rsidR="00DF7214" w:rsidRPr="00664E64">
        <w:rPr>
          <w:rFonts w:cs="Arial"/>
        </w:rPr>
        <w:t>betting</w:t>
      </w:r>
      <w:r w:rsidRPr="00664E64">
        <w:rPr>
          <w:rFonts w:cs="Arial"/>
        </w:rPr>
        <w:t xml:space="preserve"> frequency</w:t>
      </w:r>
      <w:r w:rsidR="0086307A" w:rsidRPr="00664E64">
        <w:rPr>
          <w:rFonts w:cs="Arial"/>
        </w:rPr>
        <w:t>;</w:t>
      </w:r>
      <w:r w:rsidRPr="00664E64">
        <w:rPr>
          <w:rFonts w:cs="Arial"/>
        </w:rPr>
        <w:t xml:space="preserve"> 3) </w:t>
      </w:r>
      <w:r w:rsidR="00DF7214" w:rsidRPr="00664E64">
        <w:rPr>
          <w:rFonts w:cs="Arial"/>
        </w:rPr>
        <w:t xml:space="preserve">betting </w:t>
      </w:r>
      <w:r w:rsidRPr="00664E64">
        <w:rPr>
          <w:rFonts w:cs="Arial"/>
        </w:rPr>
        <w:t>location</w:t>
      </w:r>
      <w:r w:rsidR="00DF7214" w:rsidRPr="00664E64">
        <w:rPr>
          <w:rFonts w:cs="Arial"/>
        </w:rPr>
        <w:t>s</w:t>
      </w:r>
      <w:r w:rsidR="0086307A" w:rsidRPr="00664E64">
        <w:rPr>
          <w:rFonts w:cs="Arial"/>
        </w:rPr>
        <w:t>;</w:t>
      </w:r>
      <w:r w:rsidRPr="00664E64">
        <w:rPr>
          <w:rFonts w:cs="Arial"/>
        </w:rPr>
        <w:t xml:space="preserve"> 4) </w:t>
      </w:r>
      <w:r w:rsidR="00DF7214" w:rsidRPr="00664E64">
        <w:rPr>
          <w:rFonts w:cs="Arial"/>
        </w:rPr>
        <w:t xml:space="preserve">betting </w:t>
      </w:r>
      <w:r w:rsidRPr="00664E64">
        <w:rPr>
          <w:rFonts w:cs="Arial"/>
        </w:rPr>
        <w:t xml:space="preserve">methods (e.g. online, </w:t>
      </w:r>
      <w:r w:rsidR="00DF7214" w:rsidRPr="00664E64">
        <w:rPr>
          <w:rFonts w:cs="Arial"/>
        </w:rPr>
        <w:t>telephone call)</w:t>
      </w:r>
      <w:r w:rsidR="0086307A" w:rsidRPr="00664E64">
        <w:rPr>
          <w:rFonts w:cs="Arial"/>
        </w:rPr>
        <w:t>;</w:t>
      </w:r>
      <w:r w:rsidR="00DF7214" w:rsidRPr="00664E64">
        <w:rPr>
          <w:rFonts w:cs="Arial"/>
        </w:rPr>
        <w:t xml:space="preserve"> </w:t>
      </w:r>
      <w:r w:rsidRPr="00664E64">
        <w:rPr>
          <w:rFonts w:cs="Arial"/>
        </w:rPr>
        <w:t xml:space="preserve">5) </w:t>
      </w:r>
      <w:r w:rsidR="00DF7214" w:rsidRPr="00664E64">
        <w:rPr>
          <w:rFonts w:cs="Arial"/>
        </w:rPr>
        <w:t xml:space="preserve">betting </w:t>
      </w:r>
      <w:r w:rsidRPr="00664E64">
        <w:rPr>
          <w:rFonts w:cs="Arial"/>
        </w:rPr>
        <w:t>expenditure</w:t>
      </w:r>
      <w:r w:rsidR="0086307A" w:rsidRPr="00664E64">
        <w:rPr>
          <w:rFonts w:cs="Arial"/>
        </w:rPr>
        <w:t>;</w:t>
      </w:r>
      <w:r w:rsidRPr="00664E64">
        <w:rPr>
          <w:rFonts w:cs="Arial"/>
        </w:rPr>
        <w:t xml:space="preserve"> 6) number of online accounts</w:t>
      </w:r>
      <w:r w:rsidR="0086307A" w:rsidRPr="00664E64">
        <w:rPr>
          <w:rFonts w:cs="Arial"/>
        </w:rPr>
        <w:t>;</w:t>
      </w:r>
      <w:r w:rsidRPr="00664E64">
        <w:rPr>
          <w:rFonts w:cs="Arial"/>
        </w:rPr>
        <w:t xml:space="preserve"> 7) how </w:t>
      </w:r>
      <w:r w:rsidR="00DF7214" w:rsidRPr="00664E64">
        <w:rPr>
          <w:rFonts w:cs="Arial"/>
        </w:rPr>
        <w:t xml:space="preserve">betting </w:t>
      </w:r>
      <w:r w:rsidRPr="00664E64">
        <w:rPr>
          <w:rFonts w:cs="Arial"/>
        </w:rPr>
        <w:t xml:space="preserve">compares to </w:t>
      </w:r>
      <w:r w:rsidR="0086307A" w:rsidRPr="00664E64">
        <w:rPr>
          <w:rFonts w:cs="Arial"/>
        </w:rPr>
        <w:t xml:space="preserve">12 </w:t>
      </w:r>
      <w:r w:rsidRPr="00664E64">
        <w:rPr>
          <w:rFonts w:cs="Arial"/>
        </w:rPr>
        <w:t>months ago</w:t>
      </w:r>
      <w:r w:rsidR="0086307A" w:rsidRPr="00664E64">
        <w:rPr>
          <w:rFonts w:cs="Arial"/>
        </w:rPr>
        <w:t>;</w:t>
      </w:r>
      <w:r w:rsidRPr="00664E64">
        <w:rPr>
          <w:rFonts w:cs="Arial"/>
        </w:rPr>
        <w:t xml:space="preserve"> 8) </w:t>
      </w:r>
      <w:r w:rsidR="00DF7214" w:rsidRPr="00664E64">
        <w:rPr>
          <w:rFonts w:cs="Arial"/>
        </w:rPr>
        <w:t>betting motivations</w:t>
      </w:r>
      <w:r w:rsidR="0086307A" w:rsidRPr="00664E64">
        <w:rPr>
          <w:rFonts w:cs="Arial"/>
        </w:rPr>
        <w:t xml:space="preserve">; </w:t>
      </w:r>
      <w:r w:rsidRPr="00664E64">
        <w:rPr>
          <w:rFonts w:cs="Arial"/>
        </w:rPr>
        <w:t xml:space="preserve">9) </w:t>
      </w:r>
      <w:r w:rsidR="00DF7214" w:rsidRPr="00664E64">
        <w:rPr>
          <w:rFonts w:cs="Arial"/>
        </w:rPr>
        <w:t>strategies to control or limit betting</w:t>
      </w:r>
      <w:r w:rsidR="0086307A" w:rsidRPr="00664E64">
        <w:rPr>
          <w:rFonts w:cs="Arial"/>
        </w:rPr>
        <w:t>;</w:t>
      </w:r>
      <w:r w:rsidR="00DF7214" w:rsidRPr="00664E64">
        <w:rPr>
          <w:rFonts w:cs="Arial"/>
        </w:rPr>
        <w:t xml:space="preserve"> and 10) other gambling participation</w:t>
      </w:r>
      <w:r w:rsidRPr="00664E64">
        <w:rPr>
          <w:rFonts w:cs="Arial"/>
        </w:rPr>
        <w:t xml:space="preserve">. </w:t>
      </w:r>
    </w:p>
    <w:p w14:paraId="30B5E51F" w14:textId="77777777" w:rsidR="000D48CF" w:rsidRPr="00664E64" w:rsidRDefault="000D48CF" w:rsidP="00F65855">
      <w:pPr>
        <w:pStyle w:val="Heading4"/>
      </w:pPr>
      <w:r w:rsidRPr="00664E64">
        <w:t xml:space="preserve">The Problem Gambling Severity Index (PGSI; Ferris &amp; Wynne, 2001) </w:t>
      </w:r>
    </w:p>
    <w:p w14:paraId="4D239354" w14:textId="791B9EE4" w:rsidR="000D48CF" w:rsidRPr="00664E64" w:rsidRDefault="00DB60C5" w:rsidP="000D48CF">
      <w:pPr>
        <w:pStyle w:val="BodyText"/>
        <w:rPr>
          <w:rFonts w:eastAsia="MS Mincho" w:cs="Arial"/>
          <w:color w:val="62136D"/>
          <w:kern w:val="32"/>
          <w:sz w:val="22"/>
          <w:szCs w:val="22"/>
          <w:lang w:bidi="ar-SA"/>
        </w:rPr>
      </w:pPr>
      <w:r w:rsidRPr="00664E64">
        <w:rPr>
          <w:rFonts w:cs="Arial"/>
        </w:rPr>
        <w:t>T</w:t>
      </w:r>
      <w:r w:rsidR="000D48CF" w:rsidRPr="00664E64">
        <w:rPr>
          <w:rFonts w:cs="Arial"/>
        </w:rPr>
        <w:t>h</w:t>
      </w:r>
      <w:r w:rsidRPr="00664E64">
        <w:rPr>
          <w:rFonts w:cs="Arial"/>
        </w:rPr>
        <w:t xml:space="preserve">e PGSI is a </w:t>
      </w:r>
      <w:r w:rsidR="000D48CF" w:rsidRPr="00664E64">
        <w:rPr>
          <w:rFonts w:cs="Arial"/>
        </w:rPr>
        <w:t xml:space="preserve">9-item instrument </w:t>
      </w:r>
      <w:r w:rsidRPr="00664E64">
        <w:rPr>
          <w:rFonts w:cs="Arial"/>
        </w:rPr>
        <w:t xml:space="preserve">(used in most gambling research) </w:t>
      </w:r>
      <w:r w:rsidR="000D48CF" w:rsidRPr="00664E64">
        <w:rPr>
          <w:rFonts w:cs="Arial"/>
        </w:rPr>
        <w:t>to establish problem gambling risk categories in the surveyed population</w:t>
      </w:r>
      <w:r w:rsidRPr="00664E64">
        <w:rPr>
          <w:rFonts w:cs="Arial"/>
        </w:rPr>
        <w:t>,</w:t>
      </w:r>
      <w:r w:rsidR="000D48CF" w:rsidRPr="00664E64">
        <w:rPr>
          <w:rFonts w:cs="Arial"/>
        </w:rPr>
        <w:t xml:space="preserve"> and to enable comparisons between those presenting with no risk, low risk, moderate risk, and problem gambling behaviour. </w:t>
      </w:r>
    </w:p>
    <w:p w14:paraId="68D7D8C7" w14:textId="7C0B2206" w:rsidR="000D48CF" w:rsidRPr="00664E64" w:rsidRDefault="000D48CF" w:rsidP="00F65855">
      <w:pPr>
        <w:pStyle w:val="Heading4"/>
      </w:pPr>
      <w:r w:rsidRPr="00664E64">
        <w:t>The Gambling Harms Scale (GHS; Browne, Goodwin</w:t>
      </w:r>
      <w:r w:rsidR="0086307A" w:rsidRPr="00664E64">
        <w:t>,</w:t>
      </w:r>
      <w:r w:rsidRPr="00664E64">
        <w:t xml:space="preserve"> &amp; Rockloff, 2017) </w:t>
      </w:r>
    </w:p>
    <w:p w14:paraId="3BA42D46" w14:textId="2251AB27" w:rsidR="000D48CF" w:rsidRPr="00664E64" w:rsidRDefault="000D48CF" w:rsidP="000D48CF">
      <w:pPr>
        <w:pStyle w:val="BodyText"/>
        <w:rPr>
          <w:rFonts w:cs="Arial"/>
        </w:rPr>
      </w:pPr>
      <w:r w:rsidRPr="00664E64">
        <w:rPr>
          <w:rFonts w:cs="Arial"/>
        </w:rPr>
        <w:t>Th</w:t>
      </w:r>
      <w:r w:rsidR="00DB60C5" w:rsidRPr="00664E64">
        <w:rPr>
          <w:rFonts w:cs="Arial"/>
        </w:rPr>
        <w:t>e</w:t>
      </w:r>
      <w:r w:rsidRPr="00664E64">
        <w:rPr>
          <w:rFonts w:cs="Arial"/>
        </w:rPr>
        <w:t xml:space="preserve"> </w:t>
      </w:r>
      <w:r w:rsidR="00DB60C5" w:rsidRPr="00664E64">
        <w:rPr>
          <w:rFonts w:cs="Arial"/>
        </w:rPr>
        <w:t xml:space="preserve">Short Gambling Harms Scale is a </w:t>
      </w:r>
      <w:r w:rsidRPr="00664E64">
        <w:rPr>
          <w:rFonts w:cs="Arial"/>
        </w:rPr>
        <w:t>10-item</w:t>
      </w:r>
      <w:r w:rsidR="00DB60C5" w:rsidRPr="00664E64">
        <w:rPr>
          <w:rFonts w:cs="Arial"/>
        </w:rPr>
        <w:t xml:space="preserve"> </w:t>
      </w:r>
      <w:r w:rsidRPr="00664E64">
        <w:rPr>
          <w:rFonts w:cs="Arial"/>
        </w:rPr>
        <w:t>public health focused gambling-related harm measure. Following consultation with the scale developer, we modif</w:t>
      </w:r>
      <w:r w:rsidR="00DA5781" w:rsidRPr="00664E64">
        <w:rPr>
          <w:rFonts w:cs="Arial"/>
        </w:rPr>
        <w:t xml:space="preserve">ied </w:t>
      </w:r>
      <w:r w:rsidRPr="00664E64">
        <w:rPr>
          <w:rFonts w:cs="Arial"/>
        </w:rPr>
        <w:t xml:space="preserve">the question stem from a scale that measures overall gambling-related harm to one that specifically measures online wagering-related harm. Seven additional high performing items </w:t>
      </w:r>
      <w:r w:rsidR="00DA5781" w:rsidRPr="00664E64">
        <w:rPr>
          <w:rFonts w:cs="Arial"/>
        </w:rPr>
        <w:t xml:space="preserve">from Browne’s list of 72 items </w:t>
      </w:r>
      <w:r w:rsidRPr="00664E64">
        <w:rPr>
          <w:rFonts w:cs="Arial"/>
        </w:rPr>
        <w:t xml:space="preserve">were </w:t>
      </w:r>
      <w:r w:rsidR="00DA5781" w:rsidRPr="00664E64">
        <w:rPr>
          <w:rFonts w:cs="Arial"/>
        </w:rPr>
        <w:t xml:space="preserve">also included, and </w:t>
      </w:r>
      <w:r w:rsidRPr="00664E64">
        <w:rPr>
          <w:rFonts w:cs="Arial"/>
        </w:rPr>
        <w:t>cover</w:t>
      </w:r>
      <w:r w:rsidR="00DA5781" w:rsidRPr="00664E64">
        <w:rPr>
          <w:rFonts w:cs="Arial"/>
        </w:rPr>
        <w:t>ed</w:t>
      </w:r>
      <w:r w:rsidRPr="00664E64">
        <w:rPr>
          <w:rFonts w:cs="Arial"/>
        </w:rPr>
        <w:t xml:space="preserve"> the primary harm domains, including Financial, Work/study, Health, Emotional/psychological, and Relationship harms. </w:t>
      </w:r>
    </w:p>
    <w:p w14:paraId="2469AE3F" w14:textId="77777777" w:rsidR="000D48CF" w:rsidRPr="00664E64" w:rsidRDefault="000D48CF" w:rsidP="00F65855">
      <w:pPr>
        <w:pStyle w:val="Heading4"/>
      </w:pPr>
      <w:r w:rsidRPr="00664E64">
        <w:t xml:space="preserve">The Personal Wellbeing Index (PWI; International Wellbeing Group, 2013) </w:t>
      </w:r>
    </w:p>
    <w:p w14:paraId="054E7C3C" w14:textId="19841E0B" w:rsidR="000D48CF" w:rsidRPr="00664E64" w:rsidRDefault="000D48CF" w:rsidP="000D48CF">
      <w:pPr>
        <w:pStyle w:val="BodyText"/>
        <w:rPr>
          <w:rFonts w:cs="Arial"/>
        </w:rPr>
      </w:pPr>
      <w:r w:rsidRPr="00664E64">
        <w:rPr>
          <w:rFonts w:cs="Arial"/>
        </w:rPr>
        <w:t>This</w:t>
      </w:r>
      <w:r w:rsidR="00DA5781" w:rsidRPr="00664E64">
        <w:rPr>
          <w:rFonts w:cs="Arial"/>
        </w:rPr>
        <w:t xml:space="preserve"> is a</w:t>
      </w:r>
      <w:r w:rsidRPr="00664E64">
        <w:rPr>
          <w:rFonts w:cs="Arial"/>
        </w:rPr>
        <w:t xml:space="preserve"> 7-item scale used to measure satisfaction with life across seven different domains including</w:t>
      </w:r>
      <w:r w:rsidR="0086307A" w:rsidRPr="00664E64">
        <w:rPr>
          <w:rFonts w:cs="Arial"/>
        </w:rPr>
        <w:t>:</w:t>
      </w:r>
      <w:r w:rsidRPr="00664E64">
        <w:rPr>
          <w:rFonts w:cs="Arial"/>
        </w:rPr>
        <w:t xml:space="preserve"> standard of living, health, achievements, relationships, safety, community belonging, future security, and </w:t>
      </w:r>
      <w:r w:rsidR="0086307A" w:rsidRPr="00664E64">
        <w:rPr>
          <w:rFonts w:cs="Arial"/>
        </w:rPr>
        <w:t>‘</w:t>
      </w:r>
      <w:r w:rsidRPr="00664E64">
        <w:rPr>
          <w:rFonts w:cs="Arial"/>
        </w:rPr>
        <w:t>life as a whole</w:t>
      </w:r>
      <w:r w:rsidR="0086307A" w:rsidRPr="00664E64">
        <w:rPr>
          <w:rFonts w:cs="Arial"/>
        </w:rPr>
        <w:t>’</w:t>
      </w:r>
      <w:r w:rsidRPr="00664E64">
        <w:rPr>
          <w:rFonts w:cs="Arial"/>
        </w:rPr>
        <w:t>. The PWI is a reliable and valid tool regularly applied to Australian samples.</w:t>
      </w:r>
    </w:p>
    <w:p w14:paraId="2F00B901" w14:textId="77777777" w:rsidR="000D48CF" w:rsidRPr="00664E64" w:rsidRDefault="000D48CF" w:rsidP="00F65855">
      <w:pPr>
        <w:pStyle w:val="Heading4"/>
      </w:pPr>
      <w:r w:rsidRPr="00664E64">
        <w:t xml:space="preserve">Gambling motivations (18 items) and behavioural self-control measures (15 items) </w:t>
      </w:r>
    </w:p>
    <w:p w14:paraId="49C61F79" w14:textId="7C81490F" w:rsidR="000D48CF" w:rsidRPr="00664E64" w:rsidRDefault="000D48CF" w:rsidP="000D48CF">
      <w:pPr>
        <w:pStyle w:val="BodyText"/>
        <w:rPr>
          <w:rFonts w:cs="Arial"/>
        </w:rPr>
      </w:pPr>
      <w:r w:rsidRPr="00664E64">
        <w:rPr>
          <w:rFonts w:cs="Arial"/>
        </w:rPr>
        <w:t>These two scales were derived from interviews and surveys with a sample of young (aged 18</w:t>
      </w:r>
      <w:r w:rsidR="0086307A" w:rsidRPr="00664E64">
        <w:rPr>
          <w:rFonts w:cs="Arial"/>
        </w:rPr>
        <w:t>–</w:t>
      </w:r>
      <w:r w:rsidRPr="00664E64">
        <w:rPr>
          <w:rFonts w:cs="Arial"/>
        </w:rPr>
        <w:t>35 years) Victorian men who wagered on sports and races (Jenkinson</w:t>
      </w:r>
      <w:r w:rsidR="0086307A" w:rsidRPr="00664E64">
        <w:rPr>
          <w:rFonts w:cs="Arial"/>
        </w:rPr>
        <w:t xml:space="preserve">, </w:t>
      </w:r>
      <w:r w:rsidR="0086307A" w:rsidRPr="00664E64">
        <w:rPr>
          <w:color w:val="000000" w:themeColor="text1"/>
        </w:rPr>
        <w:t>de Lacey-Vawdon, &amp; Carroll</w:t>
      </w:r>
      <w:r w:rsidRPr="00664E64">
        <w:rPr>
          <w:rFonts w:cs="Arial"/>
        </w:rPr>
        <w:t xml:space="preserve">, 2018). </w:t>
      </w:r>
    </w:p>
    <w:p w14:paraId="50B24311" w14:textId="77777777" w:rsidR="000D48CF" w:rsidRPr="00664E64" w:rsidRDefault="000D48CF" w:rsidP="00F65855">
      <w:pPr>
        <w:pStyle w:val="Heading4"/>
      </w:pPr>
      <w:r w:rsidRPr="00664E64">
        <w:t xml:space="preserve">Awareness and use of consumer protection features </w:t>
      </w:r>
    </w:p>
    <w:p w14:paraId="61C3C268" w14:textId="06DCC614" w:rsidR="000D48CF" w:rsidRPr="00664E64" w:rsidRDefault="000D48CF" w:rsidP="000D48CF">
      <w:pPr>
        <w:pStyle w:val="BodyText"/>
        <w:rPr>
          <w:rFonts w:cs="Arial"/>
        </w:rPr>
      </w:pPr>
      <w:r w:rsidRPr="00664E64">
        <w:rPr>
          <w:rFonts w:cs="Arial"/>
        </w:rPr>
        <w:t xml:space="preserve">Customer awareness, use and perceived usefulness of existing consumer protection features provided by online wagering </w:t>
      </w:r>
      <w:r w:rsidR="00DA5781" w:rsidRPr="00664E64">
        <w:rPr>
          <w:rFonts w:cs="Arial"/>
        </w:rPr>
        <w:t>providers</w:t>
      </w:r>
      <w:r w:rsidRPr="00664E64">
        <w:rPr>
          <w:rFonts w:cs="Arial"/>
        </w:rPr>
        <w:t xml:space="preserve"> were captured by </w:t>
      </w:r>
      <w:r w:rsidR="0043636E" w:rsidRPr="00664E64">
        <w:rPr>
          <w:rFonts w:cs="Arial"/>
        </w:rPr>
        <w:t xml:space="preserve">10 </w:t>
      </w:r>
      <w:r w:rsidRPr="00664E64">
        <w:rPr>
          <w:rFonts w:cs="Arial"/>
        </w:rPr>
        <w:t xml:space="preserve">items that map to the measures to be implemented under the National </w:t>
      </w:r>
      <w:r w:rsidR="00014A0D" w:rsidRPr="00664E64">
        <w:rPr>
          <w:rFonts w:cs="Arial"/>
        </w:rPr>
        <w:t>Framework</w:t>
      </w:r>
      <w:r w:rsidRPr="00664E64">
        <w:rPr>
          <w:rFonts w:cs="Arial"/>
        </w:rPr>
        <w:t>. In two additional open-ended questions consumers were asked about other protection features they believe would be useful and whether there was anything else about their experiences with consumer protection measures that they would like to describe.</w:t>
      </w:r>
    </w:p>
    <w:p w14:paraId="77DBB2F8" w14:textId="327A6359" w:rsidR="000D48CF" w:rsidRPr="00BE3CD8" w:rsidRDefault="006C19C7" w:rsidP="00F65855">
      <w:pPr>
        <w:pStyle w:val="Heading3"/>
        <w:rPr>
          <w:color w:val="auto"/>
        </w:rPr>
      </w:pPr>
      <w:r w:rsidRPr="00BE3CD8">
        <w:rPr>
          <w:color w:val="auto"/>
        </w:rPr>
        <w:t xml:space="preserve">Data </w:t>
      </w:r>
      <w:r w:rsidR="000D48CF" w:rsidRPr="00BE3CD8">
        <w:rPr>
          <w:color w:val="auto"/>
        </w:rPr>
        <w:t>analysis</w:t>
      </w:r>
    </w:p>
    <w:p w14:paraId="426DC8C2" w14:textId="6132DAA8" w:rsidR="000D48CF" w:rsidRPr="00664E64" w:rsidRDefault="000D48CF" w:rsidP="00F65855">
      <w:pPr>
        <w:pStyle w:val="BodyText"/>
        <w:rPr>
          <w:rFonts w:eastAsia="MS Mincho" w:cs="Arial"/>
          <w:color w:val="62136D"/>
          <w:kern w:val="32"/>
          <w:sz w:val="28"/>
          <w:szCs w:val="28"/>
        </w:rPr>
      </w:pPr>
      <w:r w:rsidRPr="00664E64">
        <w:t xml:space="preserve">For the purpose of this report, descriptive analyses were carried out on numerical data using the software Stata </w:t>
      </w:r>
      <w:r w:rsidR="00CB3F34" w:rsidRPr="00664E64">
        <w:t xml:space="preserve">version </w:t>
      </w:r>
      <w:r w:rsidRPr="00664E64">
        <w:t>15.1</w:t>
      </w:r>
      <w:r w:rsidR="006C19C7" w:rsidRPr="00664E64">
        <w:t xml:space="preserve">. </w:t>
      </w:r>
      <w:r w:rsidRPr="00664E64">
        <w:t xml:space="preserve">The analyses mainly focussed on the proportion of survey participants responding to different response items for individual questions included in the survey. Detailed demographic analyses </w:t>
      </w:r>
      <w:r w:rsidR="006C19C7" w:rsidRPr="00664E64">
        <w:t xml:space="preserve">(e.g. investigating sex and age associations) </w:t>
      </w:r>
      <w:r w:rsidRPr="00664E64">
        <w:t xml:space="preserve">were carried out for </w:t>
      </w:r>
      <w:r w:rsidR="006C19C7" w:rsidRPr="00664E64">
        <w:t>wagering</w:t>
      </w:r>
      <w:r w:rsidRPr="00664E64">
        <w:t xml:space="preserve"> participation and a few other measures. </w:t>
      </w:r>
      <w:r w:rsidR="006C19C7" w:rsidRPr="00664E64">
        <w:t xml:space="preserve">PWI (International Wellbeing Group, 2013) scores were calculated following the methods suggested by relevant literature. </w:t>
      </w:r>
    </w:p>
    <w:p w14:paraId="35CBEED2" w14:textId="44903D22" w:rsidR="000D48CF" w:rsidRPr="00664E64" w:rsidRDefault="000D48CF" w:rsidP="00F65855">
      <w:pPr>
        <w:pStyle w:val="BodyText"/>
      </w:pPr>
      <w:r w:rsidRPr="00664E64">
        <w:lastRenderedPageBreak/>
        <w:t xml:space="preserve">To assist in interpreting the figures derived from these analyses, sample size and other critical information </w:t>
      </w:r>
      <w:r w:rsidR="006C19C7" w:rsidRPr="00664E64">
        <w:t>is</w:t>
      </w:r>
      <w:r w:rsidRPr="00664E64">
        <w:t xml:space="preserve"> included in the </w:t>
      </w:r>
      <w:r w:rsidR="0043636E" w:rsidRPr="00664E64">
        <w:t xml:space="preserve">tables </w:t>
      </w:r>
      <w:r w:rsidR="006C19C7" w:rsidRPr="00664E64">
        <w:t>(</w:t>
      </w:r>
      <w:r w:rsidRPr="00664E64">
        <w:t>Chapter 5</w:t>
      </w:r>
      <w:r w:rsidR="006C19C7" w:rsidRPr="00664E64">
        <w:t>)</w:t>
      </w:r>
      <w:r w:rsidRPr="00664E64">
        <w:t xml:space="preserve">. Responses to open text fields </w:t>
      </w:r>
      <w:r w:rsidR="006C19C7" w:rsidRPr="00664E64">
        <w:t xml:space="preserve">about the usefulness of different consumer protection measures </w:t>
      </w:r>
      <w:r w:rsidRPr="00664E64">
        <w:t xml:space="preserve">were cleaned and analysed for frequencies using MS Excel. The responses were thematically grouped </w:t>
      </w:r>
      <w:r w:rsidR="006C19C7" w:rsidRPr="00664E64">
        <w:t xml:space="preserve">into </w:t>
      </w:r>
      <w:r w:rsidRPr="00664E64">
        <w:t xml:space="preserve">categories </w:t>
      </w:r>
      <w:r w:rsidR="0098649F" w:rsidRPr="00664E64">
        <w:t>according to</w:t>
      </w:r>
      <w:r w:rsidR="006C19C7" w:rsidRPr="00664E64">
        <w:t xml:space="preserve"> the</w:t>
      </w:r>
      <w:r w:rsidRPr="00664E64">
        <w:t xml:space="preserve"> usefulness scale </w:t>
      </w:r>
      <w:r w:rsidR="006C19C7" w:rsidRPr="00664E64">
        <w:t>included</w:t>
      </w:r>
      <w:r w:rsidRPr="00664E64">
        <w:t xml:space="preserve"> in the question. </w:t>
      </w:r>
    </w:p>
    <w:p w14:paraId="28267463" w14:textId="77777777" w:rsidR="002723EF" w:rsidRPr="00BE3CD8" w:rsidRDefault="002723EF" w:rsidP="00F65855">
      <w:pPr>
        <w:pStyle w:val="Heading2"/>
        <w:rPr>
          <w:color w:val="auto"/>
        </w:rPr>
      </w:pPr>
      <w:bookmarkStart w:id="10" w:name="_Toc12022541"/>
      <w:r w:rsidRPr="00BE3CD8">
        <w:rPr>
          <w:color w:val="auto"/>
        </w:rPr>
        <w:t>Ethical considerations</w:t>
      </w:r>
      <w:bookmarkEnd w:id="10"/>
    </w:p>
    <w:p w14:paraId="54445DA4" w14:textId="436513BC" w:rsidR="0059266E" w:rsidRDefault="0059266E" w:rsidP="0048571F">
      <w:pPr>
        <w:pStyle w:val="BodyText"/>
      </w:pPr>
      <w:r>
        <w:t xml:space="preserve">All participants in this study were provided with a </w:t>
      </w:r>
      <w:r w:rsidRPr="0059266E">
        <w:t xml:space="preserve">plain language </w:t>
      </w:r>
      <w:r>
        <w:t>Information Sheet</w:t>
      </w:r>
      <w:r w:rsidRPr="0059266E">
        <w:t xml:space="preserve"> which detailed the project background, survey</w:t>
      </w:r>
      <w:r>
        <w:t xml:space="preserve"> or interview</w:t>
      </w:r>
      <w:r w:rsidRPr="0059266E">
        <w:t xml:space="preserve"> methodology and key questions to be canvassed, privacy and data security,</w:t>
      </w:r>
      <w:r>
        <w:t xml:space="preserve"> </w:t>
      </w:r>
      <w:r w:rsidRPr="0059266E">
        <w:t>potential dissemination strategies</w:t>
      </w:r>
      <w:r>
        <w:t>, and</w:t>
      </w:r>
      <w:r w:rsidRPr="0059266E">
        <w:t xml:space="preserve"> contact details for the Ethics Committee and Principal Researcher</w:t>
      </w:r>
      <w:r>
        <w:t>.</w:t>
      </w:r>
    </w:p>
    <w:p w14:paraId="04AD2A56" w14:textId="0934DD8A" w:rsidR="0048571F" w:rsidRPr="00664E64" w:rsidRDefault="0059266E" w:rsidP="0048571F">
      <w:pPr>
        <w:pStyle w:val="BodyText"/>
      </w:pPr>
      <w:r>
        <w:t>Key stakeholders were provided a copy of the Information Sheet (Appendix 3) prior to interview and had the opportunity to ask any questions prior to consenting to participate. They</w:t>
      </w:r>
      <w:r w:rsidR="0048571F" w:rsidRPr="00664E64">
        <w:t xml:space="preserve"> were also given the opportunity to decline to answer questions, or to stop the interview at any point. Permission was also sought to audio record the interview and to use de</w:t>
      </w:r>
      <w:r w:rsidR="002C3A2F">
        <w:t>-</w:t>
      </w:r>
      <w:r w:rsidR="0048571F" w:rsidRPr="00664E64">
        <w:t xml:space="preserve">identified transcripts in the evaluation report. </w:t>
      </w:r>
    </w:p>
    <w:p w14:paraId="664BD347" w14:textId="43BB6819" w:rsidR="002723EF" w:rsidRPr="00664E64" w:rsidRDefault="0059266E" w:rsidP="002723EF">
      <w:pPr>
        <w:pStyle w:val="MarginText"/>
        <w:spacing w:before="120" w:after="0" w:line="280" w:lineRule="atLeast"/>
        <w:jc w:val="both"/>
        <w:rPr>
          <w:rFonts w:eastAsia="Times New Roman" w:cs="Arial"/>
          <w:color w:val="2C2624"/>
          <w:sz w:val="20"/>
          <w:szCs w:val="24"/>
          <w:lang w:val="en-AU" w:eastAsia="en-US" w:bidi="en-US"/>
        </w:rPr>
      </w:pPr>
      <w:r>
        <w:rPr>
          <w:rFonts w:eastAsia="Times New Roman" w:cs="Arial"/>
          <w:color w:val="2C2624"/>
          <w:sz w:val="20"/>
          <w:szCs w:val="24"/>
          <w:lang w:val="en-AU" w:eastAsia="en-US" w:bidi="en-US"/>
        </w:rPr>
        <w:t xml:space="preserve">For the </w:t>
      </w:r>
      <w:r w:rsidR="0048571F" w:rsidRPr="00664E64">
        <w:rPr>
          <w:rFonts w:eastAsia="Times New Roman" w:cs="Arial"/>
          <w:color w:val="2C2624"/>
          <w:sz w:val="20"/>
          <w:szCs w:val="24"/>
          <w:lang w:val="en-AU" w:eastAsia="en-US" w:bidi="en-US"/>
        </w:rPr>
        <w:t xml:space="preserve">consumer </w:t>
      </w:r>
      <w:r w:rsidR="002723EF" w:rsidRPr="00664E64">
        <w:rPr>
          <w:rFonts w:eastAsia="Times New Roman" w:cs="Arial"/>
          <w:color w:val="2C2624"/>
          <w:sz w:val="20"/>
          <w:szCs w:val="24"/>
          <w:lang w:val="en-AU" w:eastAsia="en-US" w:bidi="en-US"/>
        </w:rPr>
        <w:t>survey</w:t>
      </w:r>
      <w:r>
        <w:rPr>
          <w:rFonts w:eastAsia="Times New Roman" w:cs="Arial"/>
          <w:color w:val="2C2624"/>
          <w:sz w:val="20"/>
          <w:szCs w:val="24"/>
          <w:lang w:val="en-AU" w:eastAsia="en-US" w:bidi="en-US"/>
        </w:rPr>
        <w:t>, a</w:t>
      </w:r>
      <w:r w:rsidR="002723EF" w:rsidRPr="00664E64">
        <w:rPr>
          <w:rFonts w:eastAsia="Times New Roman" w:cs="Arial"/>
          <w:color w:val="2C2624"/>
          <w:sz w:val="20"/>
          <w:szCs w:val="24"/>
          <w:lang w:val="en-AU" w:eastAsia="en-US" w:bidi="en-US"/>
        </w:rPr>
        <w:t xml:space="preserve"> link directed potential participants to </w:t>
      </w:r>
      <w:r>
        <w:rPr>
          <w:rFonts w:eastAsia="Times New Roman" w:cs="Arial"/>
          <w:color w:val="2C2624"/>
          <w:sz w:val="20"/>
          <w:szCs w:val="24"/>
          <w:lang w:val="en-AU" w:eastAsia="en-US" w:bidi="en-US"/>
        </w:rPr>
        <w:t xml:space="preserve">Information Sheet </w:t>
      </w:r>
      <w:r w:rsidR="00E50A94" w:rsidRPr="00664E64">
        <w:rPr>
          <w:rFonts w:eastAsia="Times New Roman" w:cs="Arial"/>
          <w:color w:val="2C2624"/>
          <w:sz w:val="20"/>
          <w:szCs w:val="24"/>
          <w:lang w:val="en-AU" w:eastAsia="en-US" w:bidi="en-US"/>
        </w:rPr>
        <w:t>(front page, Appendix 4)</w:t>
      </w:r>
      <w:r>
        <w:rPr>
          <w:rFonts w:eastAsia="Times New Roman" w:cs="Arial"/>
          <w:color w:val="2C2624"/>
          <w:sz w:val="20"/>
          <w:szCs w:val="24"/>
          <w:lang w:val="en-AU" w:eastAsia="en-US" w:bidi="en-US"/>
        </w:rPr>
        <w:t xml:space="preserve">, which also included </w:t>
      </w:r>
      <w:r w:rsidR="002723EF" w:rsidRPr="00664E64">
        <w:rPr>
          <w:rFonts w:eastAsia="Times New Roman" w:cs="Arial"/>
          <w:color w:val="2C2624"/>
          <w:sz w:val="20"/>
          <w:szCs w:val="24"/>
          <w:lang w:val="en-AU" w:eastAsia="en-US" w:bidi="en-US"/>
        </w:rPr>
        <w:t xml:space="preserve">a list of support services should participants wish to speak with someone about their gambling or other personal issues. Participants were also made aware </w:t>
      </w:r>
      <w:r>
        <w:rPr>
          <w:rFonts w:eastAsia="Times New Roman" w:cs="Arial"/>
          <w:color w:val="2C2624"/>
          <w:sz w:val="20"/>
          <w:szCs w:val="24"/>
          <w:lang w:val="en-AU" w:eastAsia="en-US" w:bidi="en-US"/>
        </w:rPr>
        <w:t>that</w:t>
      </w:r>
      <w:r w:rsidR="002723EF" w:rsidRPr="00664E64">
        <w:rPr>
          <w:rFonts w:eastAsia="Times New Roman" w:cs="Arial"/>
          <w:color w:val="2C2624"/>
          <w:sz w:val="20"/>
          <w:szCs w:val="24"/>
          <w:lang w:val="en-AU" w:eastAsia="en-US" w:bidi="en-US"/>
        </w:rPr>
        <w:t xml:space="preserve"> that $200 gift vouchers would be awarded to five randomly selected participants.</w:t>
      </w:r>
    </w:p>
    <w:p w14:paraId="05F5386B" w14:textId="34927C4B" w:rsidR="002723EF" w:rsidRPr="00664E64" w:rsidRDefault="002723EF" w:rsidP="002723EF">
      <w:pPr>
        <w:pStyle w:val="BodyText"/>
        <w:rPr>
          <w:rFonts w:cs="Arial"/>
        </w:rPr>
      </w:pPr>
      <w:r w:rsidRPr="00664E64">
        <w:rPr>
          <w:rFonts w:cs="Arial"/>
        </w:rPr>
        <w:t xml:space="preserve">Participants in the online survey were asked to describe their gambling and related behaviours. There were no expectations that serious issues would arise as a result of completing the survey; however, it was possible that responding to questions about sensitive behaviours might be distressing for some participants. The </w:t>
      </w:r>
      <w:r w:rsidR="0059266E">
        <w:rPr>
          <w:rFonts w:cs="Arial"/>
        </w:rPr>
        <w:t>Information Sheet</w:t>
      </w:r>
      <w:r w:rsidRPr="00664E64">
        <w:rPr>
          <w:rFonts w:cs="Arial"/>
        </w:rPr>
        <w:t xml:space="preserve"> and the final page of the online survey included contact details for the Gambling Help Online and Lifeline. In addition, participants were able to cease participation at any time during the survey by closing their internet browser.</w:t>
      </w:r>
    </w:p>
    <w:p w14:paraId="2B820A62" w14:textId="4C0D45D3" w:rsidR="002723EF" w:rsidRPr="00664E64" w:rsidRDefault="002723EF" w:rsidP="002723EF">
      <w:pPr>
        <w:pStyle w:val="BodyText"/>
      </w:pPr>
      <w:r w:rsidRPr="00664E64">
        <w:t xml:space="preserve">Online survey data collected and analysed for the purpose of this study were non-identifiable. Online survey participants who elected to enter the draw for a gift voucher provided some contact information (e.g. first name, mobile number, email) at the conclusion of the survey. Roy Morgan undertook the voucher draw and then deleted all participant contact information. De-identified survey data (i.e. a database that does not include any participant contact details) </w:t>
      </w:r>
      <w:r w:rsidR="0043636E" w:rsidRPr="00664E64">
        <w:t xml:space="preserve">were </w:t>
      </w:r>
      <w:r w:rsidRPr="00664E64">
        <w:t xml:space="preserve">provided to AIFS and </w:t>
      </w:r>
      <w:r w:rsidR="0043636E" w:rsidRPr="00664E64">
        <w:t xml:space="preserve">are </w:t>
      </w:r>
      <w:r w:rsidRPr="00664E64">
        <w:t xml:space="preserve">stored in a password-protected database only accessible to the AIFS research team. Any paper-based documentation </w:t>
      </w:r>
      <w:r w:rsidR="0059266E">
        <w:t>is</w:t>
      </w:r>
      <w:r w:rsidRPr="00664E64">
        <w:t xml:space="preserve"> stored in locked filing cabinets in the secure AIFS offices.</w:t>
      </w:r>
    </w:p>
    <w:p w14:paraId="24729D08" w14:textId="77777777" w:rsidR="002723EF" w:rsidRPr="00664E64" w:rsidRDefault="002723EF" w:rsidP="000D48CF">
      <w:pPr>
        <w:pStyle w:val="BodyText"/>
      </w:pPr>
    </w:p>
    <w:p w14:paraId="440A14F4" w14:textId="60E19E42" w:rsidR="00A60A19" w:rsidRPr="00664E64" w:rsidRDefault="00A60A19" w:rsidP="00435456">
      <w:pPr>
        <w:pStyle w:val="BodyText"/>
      </w:pPr>
      <w:r w:rsidRPr="00664E64">
        <w:br w:type="page"/>
      </w:r>
    </w:p>
    <w:p w14:paraId="0BBCAB70" w14:textId="39A5C4B7" w:rsidR="001422DD" w:rsidRPr="00664E64" w:rsidRDefault="00975305" w:rsidP="00BE3CD8">
      <w:pPr>
        <w:pStyle w:val="Heading1Outline"/>
      </w:pPr>
      <w:bookmarkStart w:id="11" w:name="_Toc12022542"/>
      <w:r w:rsidRPr="00664E64">
        <w:lastRenderedPageBreak/>
        <w:t xml:space="preserve">Desktop review: </w:t>
      </w:r>
      <w:r w:rsidR="00912622" w:rsidRPr="00664E64">
        <w:t xml:space="preserve">key </w:t>
      </w:r>
      <w:r w:rsidR="00A60A19" w:rsidRPr="00664E64">
        <w:t>findings</w:t>
      </w:r>
      <w:bookmarkEnd w:id="11"/>
    </w:p>
    <w:p w14:paraId="7CD5D6FC" w14:textId="6D3A7D92" w:rsidR="001422DD" w:rsidRPr="00BE3CD8" w:rsidRDefault="001422DD" w:rsidP="00E7490F">
      <w:pPr>
        <w:pStyle w:val="Heading2"/>
        <w:rPr>
          <w:color w:val="auto"/>
        </w:rPr>
      </w:pPr>
      <w:bookmarkStart w:id="12" w:name="_Toc12022543"/>
      <w:r w:rsidRPr="00BE3CD8">
        <w:rPr>
          <w:color w:val="auto"/>
        </w:rPr>
        <w:t>Provider websites</w:t>
      </w:r>
      <w:bookmarkEnd w:id="12"/>
      <w:r w:rsidRPr="00BE3CD8">
        <w:rPr>
          <w:color w:val="auto"/>
        </w:rPr>
        <w:t xml:space="preserve"> </w:t>
      </w:r>
    </w:p>
    <w:p w14:paraId="5E19123B" w14:textId="4E75B68F" w:rsidR="001422DD" w:rsidRPr="00BE3CD8" w:rsidRDefault="001422DD" w:rsidP="00F65855">
      <w:pPr>
        <w:pStyle w:val="Heading3"/>
        <w:rPr>
          <w:color w:val="auto"/>
        </w:rPr>
      </w:pPr>
      <w:r w:rsidRPr="00BE3CD8">
        <w:rPr>
          <w:color w:val="auto"/>
        </w:rPr>
        <w:t>Offering credit</w:t>
      </w:r>
    </w:p>
    <w:p w14:paraId="1C8FDD8D" w14:textId="27A0749F" w:rsidR="00E2628D" w:rsidRPr="00BE3CD8" w:rsidRDefault="00E2628D" w:rsidP="00BE3CD8">
      <w:pPr>
        <w:spacing w:before="120" w:line="280" w:lineRule="atLeast"/>
        <w:rPr>
          <w:rFonts w:ascii="Arial" w:hAnsi="Arial" w:cs="Arial"/>
          <w:sz w:val="20"/>
          <w:szCs w:val="20"/>
          <w:lang w:bidi="en-US"/>
        </w:rPr>
      </w:pPr>
      <w:r w:rsidRPr="00BE3CD8">
        <w:rPr>
          <w:rFonts w:ascii="Arial" w:hAnsi="Arial" w:cs="Arial"/>
          <w:sz w:val="20"/>
          <w:szCs w:val="20"/>
          <w:lang w:bidi="en-US"/>
        </w:rPr>
        <w:t xml:space="preserve">Following amendments to the Interactive Gambling Act 2001 (IGA) implemented on 17 February 2018, online wagering providers are no longer able to offer lines of credit to their customers </w:t>
      </w:r>
      <w:r w:rsidRPr="00BE3CD8">
        <w:rPr>
          <w:rFonts w:ascii="Arial" w:hAnsi="Arial" w:cs="Arial"/>
          <w:sz w:val="20"/>
          <w:szCs w:val="20"/>
          <w:lang w:bidi="en-US"/>
        </w:rPr>
        <w:fldChar w:fldCharType="begin"/>
      </w:r>
      <w:r w:rsidRPr="00BE3CD8">
        <w:rPr>
          <w:rFonts w:ascii="Arial" w:hAnsi="Arial" w:cs="Arial"/>
          <w:sz w:val="20"/>
          <w:szCs w:val="20"/>
          <w:lang w:bidi="en-US"/>
        </w:rPr>
        <w:instrText xml:space="preserve"> ADDIN EN.CITE &lt;EndNote&gt;&lt;Cite&gt;&lt;Author&gt;ACMA&lt;/Author&gt;&lt;Year&gt;2019&lt;/Year&gt;&lt;RecNum&gt;17&lt;/RecNum&gt;&lt;DisplayText&gt;(ACMA, 2019)&lt;/DisplayText&gt;&lt;record&gt;&lt;rec-number&gt;17&lt;/rec-number&gt;&lt;foreign-keys&gt;&lt;key app="EN" db-id="e2dz00ex4pp9eie9dpdxxwtiddvpd9wepa5x" timestamp="1552447768"&gt;17&lt;/key&gt;&lt;/foreign-keys&gt;&lt;ref-type name="Electronic Article"&gt;43&lt;/ref-type&gt;&lt;contributors&gt;&lt;authors&gt;&lt;author&gt;ACMA&lt;/author&gt;&lt;/authors&gt;&lt;/contributors&gt;&lt;titles&gt;&lt;title&gt;Credit betting ban&lt;/title&gt;&lt;tertiary-title&gt;https://www.acma.gov.au/Industry/Internet/Internet-content/Interactive-gambling/credit-betting-ban&lt;/tertiary-title&gt;&lt;/titles&gt;&lt;dates&gt;&lt;year&gt;2019&lt;/year&gt;&lt;pub-dates&gt;&lt;date&gt;March 13, 2019&lt;/date&gt;&lt;/pub-dates&gt;&lt;/dates&gt;&lt;publisher&gt;ACMA&lt;/publisher&gt;&lt;urls&gt;&lt;/urls&gt;&lt;/record&gt;&lt;/Cite&gt;&lt;/EndNote&gt;</w:instrText>
      </w:r>
      <w:r w:rsidRPr="00BE3CD8">
        <w:rPr>
          <w:rFonts w:ascii="Arial" w:hAnsi="Arial" w:cs="Arial"/>
          <w:sz w:val="20"/>
          <w:szCs w:val="20"/>
          <w:lang w:bidi="en-US"/>
        </w:rPr>
        <w:fldChar w:fldCharType="separate"/>
      </w:r>
      <w:r w:rsidRPr="00BE3CD8">
        <w:rPr>
          <w:rFonts w:ascii="Arial" w:hAnsi="Arial" w:cs="Arial"/>
          <w:sz w:val="20"/>
          <w:szCs w:val="20"/>
          <w:lang w:bidi="en-US"/>
        </w:rPr>
        <w:t>(ACMA, 2019)</w:t>
      </w:r>
      <w:r w:rsidRPr="00BE3CD8">
        <w:rPr>
          <w:rFonts w:ascii="Arial" w:hAnsi="Arial" w:cs="Arial"/>
          <w:sz w:val="20"/>
          <w:szCs w:val="20"/>
          <w:lang w:bidi="en-US"/>
        </w:rPr>
        <w:fldChar w:fldCharType="end"/>
      </w:r>
      <w:r w:rsidRPr="00BE3CD8">
        <w:rPr>
          <w:rFonts w:ascii="Arial" w:hAnsi="Arial" w:cs="Arial"/>
          <w:sz w:val="20"/>
          <w:szCs w:val="20"/>
          <w:lang w:bidi="en-US"/>
        </w:rPr>
        <w:t xml:space="preserve">. It is also prohibited to facilitate or promote the provision of credit by a third person, for example, by a ‘pay-day’ lender. However, there is an exemption for telephone betting services under the IGA, where a service provider has a wagering turnover of less than $30 million in the previous financial year and the service provider offered racecourse-based wagering services during part or whole of the previous financial year. Our review indicated that </w:t>
      </w:r>
      <w:r w:rsidR="002C3A2F" w:rsidRPr="00BE3CD8">
        <w:rPr>
          <w:rFonts w:ascii="Arial" w:hAnsi="Arial" w:cs="Arial"/>
          <w:sz w:val="20"/>
          <w:szCs w:val="20"/>
          <w:lang w:bidi="en-US"/>
        </w:rPr>
        <w:t>all</w:t>
      </w:r>
      <w:r w:rsidRPr="00BE3CD8">
        <w:rPr>
          <w:rFonts w:ascii="Arial" w:hAnsi="Arial" w:cs="Arial"/>
          <w:sz w:val="20"/>
          <w:szCs w:val="20"/>
          <w:lang w:bidi="en-US"/>
        </w:rPr>
        <w:t xml:space="preserve"> 29</w:t>
      </w:r>
      <w:r w:rsidR="002C3A2F" w:rsidRPr="00BE3CD8">
        <w:rPr>
          <w:rFonts w:ascii="Arial" w:hAnsi="Arial" w:cs="Arial"/>
          <w:sz w:val="20"/>
          <w:szCs w:val="20"/>
          <w:lang w:bidi="en-US"/>
        </w:rPr>
        <w:t xml:space="preserve"> reviewed</w:t>
      </w:r>
      <w:r w:rsidRPr="00BE3CD8">
        <w:rPr>
          <w:rFonts w:ascii="Arial" w:hAnsi="Arial" w:cs="Arial"/>
          <w:sz w:val="20"/>
          <w:szCs w:val="20"/>
          <w:lang w:bidi="en-US"/>
        </w:rPr>
        <w:t xml:space="preserve"> online providers</w:t>
      </w:r>
      <w:r w:rsidR="002C3A2F" w:rsidRPr="00BE3CD8">
        <w:rPr>
          <w:rFonts w:ascii="Arial" w:hAnsi="Arial" w:cs="Arial"/>
          <w:sz w:val="20"/>
          <w:szCs w:val="20"/>
          <w:lang w:bidi="en-US"/>
        </w:rPr>
        <w:t>, irrespective of size,</w:t>
      </w:r>
      <w:r w:rsidRPr="00BE3CD8">
        <w:rPr>
          <w:rFonts w:ascii="Arial" w:hAnsi="Arial" w:cs="Arial"/>
          <w:sz w:val="20"/>
          <w:szCs w:val="20"/>
          <w:lang w:bidi="en-US"/>
        </w:rPr>
        <w:t xml:space="preserve"> did not offer lines of credit or small amount credit contracts.</w:t>
      </w:r>
    </w:p>
    <w:p w14:paraId="5D3AF700" w14:textId="7EBFBBAD" w:rsidR="001422DD" w:rsidRPr="00BE3CD8" w:rsidRDefault="001422DD" w:rsidP="00F65855">
      <w:pPr>
        <w:pStyle w:val="Heading3"/>
        <w:rPr>
          <w:color w:val="auto"/>
        </w:rPr>
      </w:pPr>
      <w:r w:rsidRPr="00BE3CD8">
        <w:rPr>
          <w:color w:val="auto"/>
        </w:rPr>
        <w:t>Customer verification</w:t>
      </w:r>
    </w:p>
    <w:p w14:paraId="45207060" w14:textId="79CD700F" w:rsidR="001422DD" w:rsidRPr="00664E64" w:rsidRDefault="00094E7D" w:rsidP="00F65855">
      <w:pPr>
        <w:pStyle w:val="BodyText"/>
      </w:pPr>
      <w:r>
        <w:t xml:space="preserve">The </w:t>
      </w:r>
      <w:r w:rsidR="006D0E8E">
        <w:t xml:space="preserve">desktop </w:t>
      </w:r>
      <w:r>
        <w:t xml:space="preserve">review was </w:t>
      </w:r>
      <w:r w:rsidR="006D0E8E">
        <w:t xml:space="preserve">undertaken </w:t>
      </w:r>
      <w:r>
        <w:t xml:space="preserve">during 4-8 March, </w:t>
      </w:r>
      <w:r w:rsidR="006D0E8E">
        <w:t>shortly</w:t>
      </w:r>
      <w:r>
        <w:t xml:space="preserve"> after the implementation of </w:t>
      </w:r>
      <w:r w:rsidR="006D0E8E" w:rsidRPr="006D0E8E">
        <w:t xml:space="preserve">the third consumer protection measure </w:t>
      </w:r>
      <w:r w:rsidR="006D0E8E">
        <w:t>to</w:t>
      </w:r>
      <w:r w:rsidR="006D0E8E" w:rsidRPr="006D0E8E">
        <w:t xml:space="preserve"> redu</w:t>
      </w:r>
      <w:r w:rsidR="006D0E8E">
        <w:t>ce</w:t>
      </w:r>
      <w:r w:rsidR="006D0E8E" w:rsidRPr="006D0E8E">
        <w:t xml:space="preserve"> customer verification times</w:t>
      </w:r>
      <w:r w:rsidR="006D0E8E">
        <w:t xml:space="preserve"> to a maximum of 14 days;</w:t>
      </w:r>
      <w:r>
        <w:t xml:space="preserve"> a</w:t>
      </w:r>
      <w:r w:rsidR="001422DD" w:rsidRPr="00664E64">
        <w:t xml:space="preserve">t the time of </w:t>
      </w:r>
      <w:r>
        <w:t>the</w:t>
      </w:r>
      <w:r w:rsidR="001422DD" w:rsidRPr="00664E64">
        <w:t xml:space="preserve"> review, 17 of the 23 large providers included information </w:t>
      </w:r>
      <w:r w:rsidR="00FE118E" w:rsidRPr="00664E64">
        <w:t xml:space="preserve">on </w:t>
      </w:r>
      <w:r w:rsidR="001422DD" w:rsidRPr="00664E64">
        <w:t>their website</w:t>
      </w:r>
      <w:r w:rsidR="0043636E" w:rsidRPr="00664E64">
        <w:t>s</w:t>
      </w:r>
      <w:r w:rsidR="001422DD" w:rsidRPr="00664E64">
        <w:t xml:space="preserve"> that was compliant with</w:t>
      </w:r>
      <w:r w:rsidR="006D0E8E">
        <w:t xml:space="preserve"> this measure</w:t>
      </w:r>
      <w:r w:rsidR="001422DD" w:rsidRPr="00664E64">
        <w:t xml:space="preserve">. </w:t>
      </w:r>
      <w:r w:rsidR="006D0E8E">
        <w:t>F</w:t>
      </w:r>
      <w:r w:rsidR="001422DD" w:rsidRPr="00664E64">
        <w:t xml:space="preserve">our </w:t>
      </w:r>
      <w:r w:rsidR="006D0E8E">
        <w:t xml:space="preserve">of the larger providers </w:t>
      </w:r>
      <w:r w:rsidR="001422DD" w:rsidRPr="00664E64">
        <w:t xml:space="preserve">had yet to change their policy </w:t>
      </w:r>
      <w:r w:rsidR="006D0E8E">
        <w:t xml:space="preserve">or update the information on their website, </w:t>
      </w:r>
      <w:r w:rsidR="001422DD" w:rsidRPr="00664E64">
        <w:t>and two did not provide any information. The verification time</w:t>
      </w:r>
      <w:r w:rsidR="0043636E" w:rsidRPr="00664E64">
        <w:t xml:space="preserve"> </w:t>
      </w:r>
      <w:r w:rsidR="001422DD" w:rsidRPr="00664E64">
        <w:t xml:space="preserve">frames of the four providers who were </w:t>
      </w:r>
      <w:r>
        <w:t xml:space="preserve">yet to </w:t>
      </w:r>
      <w:r w:rsidR="006D0E8E">
        <w:t xml:space="preserve">comply or </w:t>
      </w:r>
      <w:r>
        <w:t>update the</w:t>
      </w:r>
      <w:r w:rsidR="006D0E8E">
        <w:t>ir customer</w:t>
      </w:r>
      <w:r>
        <w:t xml:space="preserve"> information </w:t>
      </w:r>
      <w:r w:rsidR="001422DD" w:rsidRPr="00664E64">
        <w:t>ranged from 30</w:t>
      </w:r>
      <w:r w:rsidR="0043636E" w:rsidRPr="00664E64">
        <w:t>–</w:t>
      </w:r>
      <w:r w:rsidR="001422DD" w:rsidRPr="00664E64">
        <w:t xml:space="preserve">95 days. </w:t>
      </w:r>
    </w:p>
    <w:p w14:paraId="2843FA38" w14:textId="3DE4B7E3" w:rsidR="001422DD" w:rsidRPr="00664E64" w:rsidRDefault="001422DD" w:rsidP="00F65855">
      <w:pPr>
        <w:pStyle w:val="BodyText"/>
      </w:pPr>
      <w:r w:rsidRPr="00664E64">
        <w:t xml:space="preserve">Collecting information regarding customer verification periods and procedures </w:t>
      </w:r>
      <w:r w:rsidR="006D0E8E">
        <w:t xml:space="preserve">for the smaller providers </w:t>
      </w:r>
      <w:r w:rsidRPr="00664E64">
        <w:t xml:space="preserve">was more challenging. The six smaller providers that were reviewed were selected due to their online presence; however, the websites </w:t>
      </w:r>
      <w:r w:rsidR="00FF3D08" w:rsidRPr="00664E64">
        <w:t>included limited</w:t>
      </w:r>
      <w:r w:rsidRPr="00664E64">
        <w:t xml:space="preserve"> detail and </w:t>
      </w:r>
      <w:r w:rsidR="00FF3D08" w:rsidRPr="00664E64">
        <w:t xml:space="preserve">did </w:t>
      </w:r>
      <w:r w:rsidRPr="00664E64">
        <w:t xml:space="preserve">not </w:t>
      </w:r>
      <w:r w:rsidR="00FF3D08" w:rsidRPr="00664E64">
        <w:t xml:space="preserve">appear to be </w:t>
      </w:r>
      <w:r w:rsidRPr="00664E64">
        <w:t xml:space="preserve">regularly maintained. </w:t>
      </w:r>
      <w:r w:rsidR="00FF3D08" w:rsidRPr="00664E64">
        <w:t>C</w:t>
      </w:r>
      <w:r w:rsidRPr="00664E64">
        <w:t>ustomer verification information was only able to be obtained from two of the smaller providers</w:t>
      </w:r>
      <w:r w:rsidR="006D0E8E">
        <w:t xml:space="preserve">; at the time of review neither appeared </w:t>
      </w:r>
      <w:r w:rsidRPr="00664E64">
        <w:t>complian</w:t>
      </w:r>
      <w:r w:rsidR="006D0E8E">
        <w:t>t</w:t>
      </w:r>
      <w:r w:rsidRPr="00664E64">
        <w:t xml:space="preserve"> with th</w:t>
      </w:r>
      <w:r w:rsidR="006D0E8E">
        <w:t>is</w:t>
      </w:r>
      <w:r w:rsidRPr="00664E64">
        <w:t xml:space="preserve"> measure – their verification periods were 90 and 21 days respectively.  </w:t>
      </w:r>
    </w:p>
    <w:p w14:paraId="1F990317" w14:textId="3B2DADFF" w:rsidR="001422DD" w:rsidRPr="003B36FC" w:rsidRDefault="001422DD" w:rsidP="00F65855">
      <w:pPr>
        <w:pStyle w:val="Heading3"/>
        <w:rPr>
          <w:color w:val="auto"/>
        </w:rPr>
      </w:pPr>
      <w:r w:rsidRPr="003B36FC">
        <w:rPr>
          <w:color w:val="auto"/>
        </w:rPr>
        <w:t>Inducements</w:t>
      </w:r>
      <w:r w:rsidR="00184107" w:rsidRPr="003B36FC">
        <w:rPr>
          <w:color w:val="auto"/>
        </w:rPr>
        <w:t xml:space="preserve">, account closure </w:t>
      </w:r>
      <w:r w:rsidR="00E50A94" w:rsidRPr="003B36FC">
        <w:rPr>
          <w:color w:val="auto"/>
        </w:rPr>
        <w:t>and</w:t>
      </w:r>
      <w:r w:rsidR="00184107" w:rsidRPr="003B36FC">
        <w:rPr>
          <w:color w:val="auto"/>
        </w:rPr>
        <w:t xml:space="preserve"> activity statements</w:t>
      </w:r>
    </w:p>
    <w:p w14:paraId="7D726101" w14:textId="5B828D7A" w:rsidR="001422DD" w:rsidRPr="00664E64" w:rsidRDefault="001422DD" w:rsidP="00AE462F">
      <w:pPr>
        <w:spacing w:before="120" w:line="280" w:lineRule="atLeast"/>
        <w:jc w:val="both"/>
        <w:rPr>
          <w:rFonts w:ascii="Arial" w:hAnsi="Arial" w:cs="Arial"/>
          <w:sz w:val="20"/>
          <w:szCs w:val="20"/>
        </w:rPr>
      </w:pPr>
      <w:r w:rsidRPr="00664E64">
        <w:rPr>
          <w:rFonts w:ascii="Arial" w:hAnsi="Arial" w:cs="Arial"/>
          <w:sz w:val="20"/>
          <w:szCs w:val="20"/>
        </w:rPr>
        <w:t>The majority (</w:t>
      </w:r>
      <w:r w:rsidRPr="00664E64">
        <w:rPr>
          <w:rFonts w:ascii="Arial" w:hAnsi="Arial" w:cs="Arial"/>
          <w:i/>
          <w:sz w:val="20"/>
          <w:szCs w:val="20"/>
        </w:rPr>
        <w:t>n</w:t>
      </w:r>
      <w:r w:rsidR="0043636E" w:rsidRPr="00664E64">
        <w:rPr>
          <w:rFonts w:ascii="Arial" w:hAnsi="Arial" w:cs="Arial"/>
          <w:sz w:val="20"/>
          <w:szCs w:val="20"/>
        </w:rPr>
        <w:t xml:space="preserve"> </w:t>
      </w:r>
      <w:r w:rsidRPr="00664E64">
        <w:rPr>
          <w:rFonts w:ascii="Arial" w:hAnsi="Arial" w:cs="Arial"/>
          <w:sz w:val="20"/>
          <w:szCs w:val="20"/>
        </w:rPr>
        <w:t>=</w:t>
      </w:r>
      <w:r w:rsidR="0043636E" w:rsidRPr="00664E64">
        <w:rPr>
          <w:rFonts w:ascii="Arial" w:hAnsi="Arial" w:cs="Arial"/>
          <w:sz w:val="20"/>
          <w:szCs w:val="20"/>
        </w:rPr>
        <w:t xml:space="preserve"> </w:t>
      </w:r>
      <w:r w:rsidRPr="00664E64">
        <w:rPr>
          <w:rFonts w:ascii="Arial" w:hAnsi="Arial" w:cs="Arial"/>
          <w:sz w:val="20"/>
          <w:szCs w:val="20"/>
        </w:rPr>
        <w:t>20) of the large providers offered an incentive to open an account, with the most common reward being a bonus bet ranging from $50</w:t>
      </w:r>
      <w:r w:rsidR="0043636E" w:rsidRPr="00664E64">
        <w:rPr>
          <w:rFonts w:ascii="Arial" w:hAnsi="Arial" w:cs="Arial"/>
          <w:sz w:val="20"/>
          <w:szCs w:val="20"/>
        </w:rPr>
        <w:t>–$</w:t>
      </w:r>
      <w:r w:rsidRPr="00664E64">
        <w:rPr>
          <w:rFonts w:ascii="Arial" w:hAnsi="Arial" w:cs="Arial"/>
          <w:sz w:val="20"/>
          <w:szCs w:val="20"/>
        </w:rPr>
        <w:t>20</w:t>
      </w:r>
      <w:r w:rsidR="009336C8" w:rsidRPr="00664E64">
        <w:rPr>
          <w:rFonts w:ascii="Arial" w:hAnsi="Arial" w:cs="Arial"/>
          <w:sz w:val="20"/>
          <w:szCs w:val="20"/>
        </w:rPr>
        <w:t>0</w:t>
      </w:r>
      <w:r w:rsidRPr="00664E64">
        <w:rPr>
          <w:rFonts w:ascii="Arial" w:hAnsi="Arial" w:cs="Arial"/>
          <w:sz w:val="20"/>
          <w:szCs w:val="20"/>
        </w:rPr>
        <w:t>. Bonus bets were required to be turned over at least once</w:t>
      </w:r>
      <w:r w:rsidR="0043636E" w:rsidRPr="00664E64">
        <w:rPr>
          <w:rFonts w:ascii="Arial" w:hAnsi="Arial" w:cs="Arial"/>
          <w:sz w:val="20"/>
          <w:szCs w:val="20"/>
        </w:rPr>
        <w:t>;</w:t>
      </w:r>
      <w:r w:rsidRPr="00664E64">
        <w:rPr>
          <w:rFonts w:ascii="Arial" w:hAnsi="Arial" w:cs="Arial"/>
          <w:sz w:val="20"/>
          <w:szCs w:val="20"/>
        </w:rPr>
        <w:t xml:space="preserve"> </w:t>
      </w:r>
      <w:r w:rsidR="0043636E" w:rsidRPr="00664E64">
        <w:rPr>
          <w:rFonts w:ascii="Arial" w:hAnsi="Arial" w:cs="Arial"/>
          <w:sz w:val="20"/>
          <w:szCs w:val="20"/>
        </w:rPr>
        <w:t>that is,</w:t>
      </w:r>
      <w:r w:rsidRPr="00664E64">
        <w:rPr>
          <w:rFonts w:ascii="Arial" w:hAnsi="Arial" w:cs="Arial"/>
          <w:sz w:val="20"/>
          <w:szCs w:val="20"/>
        </w:rPr>
        <w:t xml:space="preserve"> the value of the bonus bet had to be wagered and won before it could be withdrawn. Although they featured much simpler website designs, three of the six smaller providers also promoted incentives to open an account or provided event</w:t>
      </w:r>
      <w:r w:rsidR="0043636E" w:rsidRPr="00664E64">
        <w:rPr>
          <w:rFonts w:ascii="Arial" w:hAnsi="Arial" w:cs="Arial"/>
          <w:sz w:val="20"/>
          <w:szCs w:val="20"/>
        </w:rPr>
        <w:t>-</w:t>
      </w:r>
      <w:r w:rsidRPr="00664E64">
        <w:rPr>
          <w:rFonts w:ascii="Arial" w:hAnsi="Arial" w:cs="Arial"/>
          <w:sz w:val="20"/>
          <w:szCs w:val="20"/>
        </w:rPr>
        <w:t xml:space="preserve">specific bonus bets. Inducements were either advertised in large banners on the front page of the provider’s website, or </w:t>
      </w:r>
      <w:r w:rsidR="0043636E" w:rsidRPr="00664E64">
        <w:rPr>
          <w:rFonts w:ascii="Arial" w:hAnsi="Arial" w:cs="Arial"/>
          <w:sz w:val="20"/>
          <w:szCs w:val="20"/>
        </w:rPr>
        <w:t xml:space="preserve">were </w:t>
      </w:r>
      <w:r w:rsidRPr="00664E64">
        <w:rPr>
          <w:rFonts w:ascii="Arial" w:hAnsi="Arial" w:cs="Arial"/>
          <w:sz w:val="20"/>
          <w:szCs w:val="20"/>
        </w:rPr>
        <w:t>included within a separate promotions tab</w:t>
      </w:r>
      <w:r w:rsidR="0043636E" w:rsidRPr="00664E64">
        <w:rPr>
          <w:rFonts w:ascii="Arial" w:hAnsi="Arial" w:cs="Arial"/>
          <w:sz w:val="20"/>
          <w:szCs w:val="20"/>
        </w:rPr>
        <w:t>,</w:t>
      </w:r>
      <w:r w:rsidRPr="00664E64">
        <w:rPr>
          <w:rFonts w:ascii="Arial" w:hAnsi="Arial" w:cs="Arial"/>
          <w:sz w:val="20"/>
          <w:szCs w:val="20"/>
        </w:rPr>
        <w:t xml:space="preserve"> which was also accessible from the front page. A number of the major providers also featured promotions with live video of events or a live countdown to next jumps or matches on their front page. </w:t>
      </w:r>
      <w:r w:rsidR="00B94256" w:rsidRPr="00664E64">
        <w:rPr>
          <w:rFonts w:ascii="Arial" w:hAnsi="Arial" w:cs="Arial"/>
          <w:sz w:val="20"/>
          <w:szCs w:val="20"/>
        </w:rPr>
        <w:t xml:space="preserve">It must be noted, however, that the desktop review was conducted in Victoria and the same inducements may not have been visible in other jurisdictions.  </w:t>
      </w:r>
    </w:p>
    <w:p w14:paraId="32C77A1D" w14:textId="4303D327" w:rsidR="001422DD" w:rsidRPr="00664E64" w:rsidRDefault="001422DD" w:rsidP="00AE462F">
      <w:pPr>
        <w:spacing w:before="120" w:line="280" w:lineRule="atLeast"/>
        <w:jc w:val="both"/>
        <w:rPr>
          <w:rFonts w:ascii="Arial" w:hAnsi="Arial" w:cs="Arial"/>
          <w:sz w:val="20"/>
          <w:szCs w:val="20"/>
        </w:rPr>
      </w:pPr>
      <w:r w:rsidRPr="00664E64">
        <w:rPr>
          <w:rFonts w:ascii="Arial" w:hAnsi="Arial" w:cs="Arial"/>
          <w:sz w:val="20"/>
          <w:szCs w:val="20"/>
        </w:rPr>
        <w:t xml:space="preserve">Other promotions were not able to be easily viewed as providers commonly restrict access to these via a member login screen. Similarly, login details were generally required for information regarding measures such as account closure and activity statements. Where it was possible to determine if a provider offered an account closure feature, the method provided was either through an online process or </w:t>
      </w:r>
      <w:r w:rsidR="00E63A68" w:rsidRPr="00664E64">
        <w:rPr>
          <w:rFonts w:ascii="Arial" w:hAnsi="Arial" w:cs="Arial"/>
          <w:sz w:val="20"/>
          <w:szCs w:val="20"/>
        </w:rPr>
        <w:t xml:space="preserve">by </w:t>
      </w:r>
      <w:r w:rsidRPr="00664E64">
        <w:rPr>
          <w:rFonts w:ascii="Arial" w:hAnsi="Arial" w:cs="Arial"/>
          <w:sz w:val="20"/>
          <w:szCs w:val="20"/>
        </w:rPr>
        <w:t xml:space="preserve">directly </w:t>
      </w:r>
      <w:r w:rsidRPr="00664E64">
        <w:rPr>
          <w:rFonts w:ascii="Arial" w:hAnsi="Arial" w:cs="Arial"/>
          <w:sz w:val="20"/>
          <w:szCs w:val="20"/>
        </w:rPr>
        <w:lastRenderedPageBreak/>
        <w:t xml:space="preserve">contacting the operator via email or telephone. </w:t>
      </w:r>
      <w:r w:rsidR="00E63A68" w:rsidRPr="00664E64">
        <w:rPr>
          <w:rFonts w:ascii="Arial" w:hAnsi="Arial" w:cs="Arial"/>
          <w:sz w:val="20"/>
          <w:szCs w:val="20"/>
        </w:rPr>
        <w:t>T</w:t>
      </w:r>
      <w:r w:rsidRPr="00664E64">
        <w:rPr>
          <w:rFonts w:ascii="Arial" w:hAnsi="Arial" w:cs="Arial"/>
          <w:sz w:val="20"/>
          <w:szCs w:val="20"/>
        </w:rPr>
        <w:t xml:space="preserve">he information that was able to be obtained regarding activity statements indicated that they were accessible online and customers were provided with a choice regarding frequency of statements.  </w:t>
      </w:r>
    </w:p>
    <w:p w14:paraId="75ED36EA" w14:textId="7EECE2C8" w:rsidR="001422DD" w:rsidRPr="003B36FC" w:rsidRDefault="001422DD" w:rsidP="00F65855">
      <w:pPr>
        <w:pStyle w:val="Heading3"/>
        <w:rPr>
          <w:color w:val="auto"/>
        </w:rPr>
      </w:pPr>
      <w:r w:rsidRPr="003B36FC">
        <w:rPr>
          <w:color w:val="auto"/>
        </w:rPr>
        <w:t xml:space="preserve">Voluntary opt-out </w:t>
      </w:r>
      <w:r w:rsidR="00094E7D" w:rsidRPr="003B36FC">
        <w:rPr>
          <w:color w:val="auto"/>
        </w:rPr>
        <w:t xml:space="preserve">pre-commitment </w:t>
      </w:r>
      <w:r w:rsidRPr="003B36FC">
        <w:rPr>
          <w:color w:val="auto"/>
        </w:rPr>
        <w:t>features</w:t>
      </w:r>
    </w:p>
    <w:p w14:paraId="1153DF70" w14:textId="6E7BF5E3" w:rsidR="001422DD" w:rsidRPr="00664E64" w:rsidRDefault="001422DD" w:rsidP="00F65855">
      <w:pPr>
        <w:pStyle w:val="BodyText"/>
      </w:pPr>
      <w:r w:rsidRPr="00664E64">
        <w:t xml:space="preserve">There were a range of </w:t>
      </w:r>
      <w:r w:rsidR="000C5D8B" w:rsidRPr="00664E64">
        <w:t>pre-commitment</w:t>
      </w:r>
      <w:r w:rsidRPr="00664E64">
        <w:t xml:space="preserve"> protective measures </w:t>
      </w:r>
      <w:r w:rsidR="001F2934" w:rsidRPr="00664E64">
        <w:t xml:space="preserve">available </w:t>
      </w:r>
      <w:r w:rsidRPr="00664E64">
        <w:t xml:space="preserve">across the providers, both large and small. The most common feature of deposit limits appeared to be offered by all </w:t>
      </w:r>
      <w:r w:rsidR="001F2934" w:rsidRPr="00664E64">
        <w:t xml:space="preserve">of the </w:t>
      </w:r>
      <w:r w:rsidRPr="00664E64">
        <w:t>large providers with the exception of one. The deposit limit period ranged from 24</w:t>
      </w:r>
      <w:r w:rsidR="00A860C3" w:rsidRPr="00664E64">
        <w:t xml:space="preserve"> </w:t>
      </w:r>
      <w:r w:rsidRPr="00664E64">
        <w:t>h</w:t>
      </w:r>
      <w:r w:rsidR="00A860C3" w:rsidRPr="00664E64">
        <w:t>ou</w:t>
      </w:r>
      <w:r w:rsidRPr="00664E64">
        <w:t>rs to 30 days and it was compl</w:t>
      </w:r>
      <w:r w:rsidR="00A860C3" w:rsidRPr="00664E64">
        <w:t>e</w:t>
      </w:r>
      <w:r w:rsidRPr="00664E64">
        <w:t xml:space="preserve">mented with additional features such as gambling time-out and spend, withdraw, and loss limits. Several of the major providers included specific features such as </w:t>
      </w:r>
      <w:r w:rsidR="00A860C3" w:rsidRPr="00664E64">
        <w:t>‘</w:t>
      </w:r>
      <w:r w:rsidRPr="00664E64">
        <w:t>Reality Check</w:t>
      </w:r>
      <w:r w:rsidR="00A860C3" w:rsidRPr="00664E64">
        <w:t xml:space="preserve">’, </w:t>
      </w:r>
      <w:r w:rsidRPr="00664E64">
        <w:t xml:space="preserve">which informed customers of how long they had remained logged into their account and </w:t>
      </w:r>
      <w:r w:rsidR="00A860C3" w:rsidRPr="00664E64">
        <w:t>‘</w:t>
      </w:r>
      <w:r w:rsidRPr="00664E64">
        <w:t>Take a Break</w:t>
      </w:r>
      <w:r w:rsidR="00A860C3" w:rsidRPr="00664E64">
        <w:t xml:space="preserve">’, </w:t>
      </w:r>
      <w:r w:rsidRPr="00664E64">
        <w:t xml:space="preserve">which acted as a temporary account closure. Additional unique protective measures included onsite wagering calculators and wagering diaries. Although these features were relatively straightforward to find on the providers’ websites, there was no way of assessing their features or usefulness without an active account. </w:t>
      </w:r>
    </w:p>
    <w:p w14:paraId="3BE508FC" w14:textId="2AB709AB" w:rsidR="001422DD" w:rsidRPr="003B36FC" w:rsidRDefault="001422DD" w:rsidP="00F65855">
      <w:pPr>
        <w:pStyle w:val="Heading3"/>
        <w:rPr>
          <w:color w:val="auto"/>
        </w:rPr>
      </w:pPr>
      <w:r w:rsidRPr="003B36FC">
        <w:rPr>
          <w:color w:val="auto"/>
        </w:rPr>
        <w:t>Gambling messages</w:t>
      </w:r>
    </w:p>
    <w:p w14:paraId="7347D13E" w14:textId="11568F1D" w:rsidR="00CA4960" w:rsidRPr="00664E64" w:rsidRDefault="001422DD" w:rsidP="00F65855">
      <w:pPr>
        <w:pStyle w:val="BodyText"/>
      </w:pPr>
      <w:r w:rsidRPr="00664E64">
        <w:t xml:space="preserve">Gambling messaging across </w:t>
      </w:r>
      <w:r w:rsidR="001F2934" w:rsidRPr="00664E64">
        <w:t>provider</w:t>
      </w:r>
      <w:r w:rsidRPr="00664E64">
        <w:t xml:space="preserve"> websites remained fairly consistent in terms of the general nature of the messages</w:t>
      </w:r>
      <w:r w:rsidR="001F2934" w:rsidRPr="00664E64">
        <w:t>, but</w:t>
      </w:r>
      <w:r w:rsidRPr="00664E64">
        <w:t xml:space="preserve"> the specific language used varied across providers. Almost all of the large providers included a dedicated page for ‘responsible gambling’ and support. The sections on the responsible gambling pages were relatively consistent across providers and included separate categories:</w:t>
      </w:r>
    </w:p>
    <w:p w14:paraId="50B0AB25" w14:textId="77777777" w:rsidR="003B4E97" w:rsidRPr="00664E64" w:rsidRDefault="001422DD" w:rsidP="00F65855">
      <w:pPr>
        <w:pStyle w:val="ListBullet"/>
      </w:pPr>
      <w:r w:rsidRPr="00664E64">
        <w:t>Information on problem gambling – provided customers with an overview of what constituted problem gambling and served as a form of self-assessment.</w:t>
      </w:r>
    </w:p>
    <w:p w14:paraId="4503DE8C" w14:textId="77777777" w:rsidR="003B4E97" w:rsidRPr="00664E64" w:rsidRDefault="001422DD" w:rsidP="00F65855">
      <w:pPr>
        <w:pStyle w:val="ListBullet"/>
      </w:pPr>
      <w:r w:rsidRPr="00664E64">
        <w:t>Advice on problem gambling – provided specific tips to avoid problem gambling including setting limits and not wagering under the influence of alcohol.</w:t>
      </w:r>
    </w:p>
    <w:p w14:paraId="06FC055A" w14:textId="37237BEC" w:rsidR="003B4E97" w:rsidRPr="00664E64" w:rsidRDefault="001F2934" w:rsidP="00F65855">
      <w:pPr>
        <w:pStyle w:val="ListBullet"/>
      </w:pPr>
      <w:r w:rsidRPr="00664E64">
        <w:t>A l</w:t>
      </w:r>
      <w:r w:rsidR="001422DD" w:rsidRPr="00664E64">
        <w:t xml:space="preserve">ink or </w:t>
      </w:r>
      <w:r w:rsidRPr="00664E64">
        <w:t xml:space="preserve">telephone </w:t>
      </w:r>
      <w:r w:rsidR="001422DD" w:rsidRPr="00664E64">
        <w:t>number for Gambling Help Online</w:t>
      </w:r>
      <w:r w:rsidR="00A860C3" w:rsidRPr="00664E64">
        <w:t xml:space="preserve"> was provided.</w:t>
      </w:r>
      <w:r w:rsidR="001422DD" w:rsidRPr="00664E64">
        <w:t xml:space="preserve"> </w:t>
      </w:r>
    </w:p>
    <w:p w14:paraId="1682321D" w14:textId="08298B75" w:rsidR="003B4E97" w:rsidRPr="00664E64" w:rsidRDefault="001422DD" w:rsidP="00F65855">
      <w:pPr>
        <w:pStyle w:val="ListBullet"/>
      </w:pPr>
      <w:r w:rsidRPr="00664E64">
        <w:t xml:space="preserve">Information provided for professional gambling help – </w:t>
      </w:r>
      <w:r w:rsidR="00A860C3" w:rsidRPr="00664E64">
        <w:t xml:space="preserve">this was </w:t>
      </w:r>
      <w:r w:rsidRPr="00664E64">
        <w:t>any links or support numbers beside</w:t>
      </w:r>
      <w:r w:rsidR="00A860C3" w:rsidRPr="00664E64">
        <w:t>s</w:t>
      </w:r>
      <w:r w:rsidRPr="00664E64">
        <w:t xml:space="preserve"> Gambling Help Online</w:t>
      </w:r>
      <w:r w:rsidR="00A860C3" w:rsidRPr="00664E64">
        <w:t>.</w:t>
      </w:r>
    </w:p>
    <w:p w14:paraId="0E8472E9" w14:textId="669633B0" w:rsidR="001422DD" w:rsidRPr="00664E64" w:rsidRDefault="001422DD" w:rsidP="00F65855">
      <w:pPr>
        <w:pStyle w:val="ListBullet"/>
      </w:pPr>
      <w:r w:rsidRPr="00664E64">
        <w:t xml:space="preserve">Protection of minors – all providers clearly stated the </w:t>
      </w:r>
      <w:r w:rsidR="001F2934" w:rsidRPr="00664E64">
        <w:t>potential risks</w:t>
      </w:r>
      <w:r w:rsidRPr="00664E64">
        <w:t xml:space="preserve"> of minors being involved in gambling activity and some included site filtering features. </w:t>
      </w:r>
    </w:p>
    <w:p w14:paraId="3692FB0B" w14:textId="2EDC99FA" w:rsidR="001422DD" w:rsidRPr="00664E64" w:rsidRDefault="001422DD" w:rsidP="00F65855">
      <w:pPr>
        <w:pStyle w:val="BodyText"/>
      </w:pPr>
      <w:r w:rsidRPr="00664E64">
        <w:t>The six smaller providers had little to no information regarding responsible gambling with four of them providing the number for Gambling Help Online but no other information. The limited financial and technological capabilities of smaller providers may mean that they are not able to offer all of the features of the larger providers (including wagering calculators and diaries or a live chat option with trained staff).</w:t>
      </w:r>
    </w:p>
    <w:p w14:paraId="6B8737B5" w14:textId="533DCACE" w:rsidR="001422DD" w:rsidRPr="00664E64" w:rsidRDefault="001422DD" w:rsidP="00F65855">
      <w:pPr>
        <w:pStyle w:val="Heading3"/>
      </w:pPr>
      <w:r w:rsidRPr="003B36FC">
        <w:rPr>
          <w:color w:val="auto"/>
        </w:rPr>
        <w:t>Staff training</w:t>
      </w:r>
    </w:p>
    <w:p w14:paraId="324A329F" w14:textId="2B49C174" w:rsidR="001422DD" w:rsidRPr="00664E64" w:rsidRDefault="001422DD" w:rsidP="00F65855">
      <w:pPr>
        <w:pStyle w:val="BodyText"/>
      </w:pPr>
      <w:r w:rsidRPr="00664E64">
        <w:t>Evidence of staff training was difficult to measure through a review of providers’ websites</w:t>
      </w:r>
      <w:r w:rsidR="001F2934" w:rsidRPr="00664E64">
        <w:t>,</w:t>
      </w:r>
      <w:r w:rsidRPr="00664E64">
        <w:t xml:space="preserve"> but information regarding specific staff training was occasionally provided. Furthermore, a number of providers included a live chat feature and although these were typically for general inquires, there were some that reported that they specifically provided assistance with responsible gambling. </w:t>
      </w:r>
    </w:p>
    <w:p w14:paraId="77E03CAE" w14:textId="4CFAC700" w:rsidR="001422DD" w:rsidRPr="003B36FC" w:rsidRDefault="001422DD" w:rsidP="00F65855">
      <w:pPr>
        <w:pStyle w:val="Heading3"/>
        <w:rPr>
          <w:color w:val="auto"/>
        </w:rPr>
      </w:pPr>
      <w:r w:rsidRPr="003B36FC">
        <w:rPr>
          <w:color w:val="auto"/>
        </w:rPr>
        <w:lastRenderedPageBreak/>
        <w:t>Self-exclusion</w:t>
      </w:r>
    </w:p>
    <w:p w14:paraId="1F68CE89" w14:textId="2494EA65" w:rsidR="00185259" w:rsidRPr="00664E64" w:rsidRDefault="001422DD" w:rsidP="00F65855">
      <w:pPr>
        <w:pStyle w:val="BodyText"/>
      </w:pPr>
      <w:r w:rsidRPr="00664E64">
        <w:t>We observed that all of the large providers offered customers the option to either temporarily or permanently self-exclude themselves. While the National Self-Exclusion Register is not yet available, the large and medium</w:t>
      </w:r>
      <w:r w:rsidR="00A860C3" w:rsidRPr="00664E64">
        <w:t>-</w:t>
      </w:r>
      <w:r w:rsidRPr="00664E64">
        <w:t xml:space="preserve">sized providers offered a comprehensive self-exclusion feature where users were able to complete the process online and select a period of exclusion. </w:t>
      </w:r>
    </w:p>
    <w:p w14:paraId="1170DDE8" w14:textId="26A6B4CE" w:rsidR="001E5903" w:rsidRPr="00664E64" w:rsidRDefault="004364F5" w:rsidP="00AE462F">
      <w:pPr>
        <w:spacing w:before="120" w:line="280" w:lineRule="atLeast"/>
        <w:jc w:val="both"/>
        <w:rPr>
          <w:rFonts w:ascii="Arial" w:hAnsi="Arial" w:cs="Arial"/>
          <w:sz w:val="20"/>
          <w:szCs w:val="20"/>
        </w:rPr>
      </w:pPr>
      <w:r w:rsidRPr="00664E64">
        <w:rPr>
          <w:rFonts w:ascii="Arial" w:hAnsi="Arial" w:cs="Arial"/>
          <w:sz w:val="20"/>
          <w:szCs w:val="20"/>
        </w:rPr>
        <w:t>Table 3.1</w:t>
      </w:r>
      <w:r w:rsidR="001E5903" w:rsidRPr="00664E64">
        <w:rPr>
          <w:rFonts w:ascii="Arial" w:hAnsi="Arial" w:cs="Arial"/>
          <w:sz w:val="20"/>
          <w:szCs w:val="20"/>
        </w:rPr>
        <w:t xml:space="preserve"> provides a summary of the desktop review findings. It shows the number of providers that </w:t>
      </w:r>
      <w:r w:rsidR="001F2934" w:rsidRPr="00664E64">
        <w:rPr>
          <w:rFonts w:ascii="Arial" w:hAnsi="Arial" w:cs="Arial"/>
          <w:sz w:val="20"/>
          <w:szCs w:val="20"/>
        </w:rPr>
        <w:t>had evidence or information relating to</w:t>
      </w:r>
      <w:r w:rsidR="001E5903" w:rsidRPr="00664E64">
        <w:rPr>
          <w:rFonts w:ascii="Arial" w:hAnsi="Arial" w:cs="Arial"/>
          <w:sz w:val="20"/>
          <w:szCs w:val="20"/>
        </w:rPr>
        <w:t xml:space="preserve"> each of the 10 measures </w:t>
      </w:r>
      <w:r w:rsidR="001F2934" w:rsidRPr="00664E64">
        <w:rPr>
          <w:rFonts w:ascii="Arial" w:hAnsi="Arial" w:cs="Arial"/>
          <w:sz w:val="20"/>
          <w:szCs w:val="20"/>
        </w:rPr>
        <w:t>included</w:t>
      </w:r>
      <w:r w:rsidR="001E5903" w:rsidRPr="00664E64">
        <w:rPr>
          <w:rFonts w:ascii="Arial" w:hAnsi="Arial" w:cs="Arial"/>
          <w:sz w:val="20"/>
          <w:szCs w:val="20"/>
        </w:rPr>
        <w:t xml:space="preserve"> </w:t>
      </w:r>
      <w:r w:rsidR="001F2934" w:rsidRPr="00664E64">
        <w:rPr>
          <w:rFonts w:ascii="Arial" w:hAnsi="Arial" w:cs="Arial"/>
          <w:sz w:val="20"/>
          <w:szCs w:val="20"/>
        </w:rPr>
        <w:t xml:space="preserve">as part of </w:t>
      </w:r>
      <w:r w:rsidR="001E5903" w:rsidRPr="00664E64">
        <w:rPr>
          <w:rFonts w:ascii="Arial" w:hAnsi="Arial" w:cs="Arial"/>
          <w:sz w:val="20"/>
          <w:szCs w:val="20"/>
        </w:rPr>
        <w:t xml:space="preserve">the </w:t>
      </w:r>
      <w:r w:rsidR="00014A0D" w:rsidRPr="00664E64">
        <w:rPr>
          <w:rFonts w:ascii="Arial" w:hAnsi="Arial" w:cs="Arial"/>
          <w:sz w:val="20"/>
          <w:szCs w:val="20"/>
        </w:rPr>
        <w:t>Framework</w:t>
      </w:r>
      <w:r w:rsidR="001E5903" w:rsidRPr="00664E64">
        <w:rPr>
          <w:rFonts w:ascii="Arial" w:hAnsi="Arial" w:cs="Arial"/>
          <w:sz w:val="20"/>
          <w:szCs w:val="20"/>
        </w:rPr>
        <w:t>. Both the large and small providers are included and it is noted where specific information was not known.</w:t>
      </w:r>
    </w:p>
    <w:p w14:paraId="40F0D4C3" w14:textId="4F590E89" w:rsidR="00C9659C" w:rsidRPr="003B36FC" w:rsidRDefault="00C9659C" w:rsidP="00415C73">
      <w:pPr>
        <w:pStyle w:val="FigureCaption"/>
        <w:rPr>
          <w:color w:val="auto"/>
          <w:lang w:val="en-AU"/>
        </w:rPr>
      </w:pPr>
      <w:bookmarkStart w:id="13" w:name="_Toc12021403"/>
      <w:bookmarkStart w:id="14" w:name="_Toc12549560"/>
      <w:r w:rsidRPr="003B36FC">
        <w:rPr>
          <w:color w:val="auto"/>
          <w:lang w:val="en-AU"/>
        </w:rPr>
        <w:t>Table 3.</w:t>
      </w:r>
      <w:r w:rsidR="00777624" w:rsidRPr="003B36FC">
        <w:rPr>
          <w:color w:val="auto"/>
          <w:lang w:val="en-AU"/>
        </w:rPr>
        <w:fldChar w:fldCharType="begin"/>
      </w:r>
      <w:r w:rsidR="00777624" w:rsidRPr="003B36FC">
        <w:rPr>
          <w:color w:val="auto"/>
          <w:lang w:val="en-AU"/>
        </w:rPr>
        <w:instrText xml:space="preserve"> SEQ Table_3. \* ARABIC </w:instrText>
      </w:r>
      <w:r w:rsidR="00777624" w:rsidRPr="003B36FC">
        <w:rPr>
          <w:color w:val="auto"/>
          <w:lang w:val="en-AU"/>
        </w:rPr>
        <w:fldChar w:fldCharType="separate"/>
      </w:r>
      <w:r w:rsidR="00354BBD" w:rsidRPr="003B36FC">
        <w:rPr>
          <w:noProof/>
          <w:color w:val="auto"/>
          <w:lang w:val="en-AU"/>
        </w:rPr>
        <w:t>1</w:t>
      </w:r>
      <w:r w:rsidR="00777624" w:rsidRPr="003B36FC">
        <w:rPr>
          <w:noProof/>
          <w:color w:val="auto"/>
          <w:lang w:val="en-AU"/>
        </w:rPr>
        <w:fldChar w:fldCharType="end"/>
      </w:r>
      <w:r w:rsidR="00C42467" w:rsidRPr="003B36FC">
        <w:rPr>
          <w:noProof/>
          <w:color w:val="auto"/>
          <w:lang w:val="en-AU"/>
        </w:rPr>
        <w:t>:</w:t>
      </w:r>
      <w:r w:rsidRPr="003B36FC">
        <w:rPr>
          <w:color w:val="auto"/>
          <w:lang w:val="en-AU"/>
        </w:rPr>
        <w:t xml:space="preserve"> Number of providers who </w:t>
      </w:r>
      <w:r w:rsidR="00C42467" w:rsidRPr="003B36FC">
        <w:rPr>
          <w:color w:val="auto"/>
          <w:lang w:val="en-AU"/>
        </w:rPr>
        <w:t xml:space="preserve">have </w:t>
      </w:r>
      <w:r w:rsidRPr="003B36FC">
        <w:rPr>
          <w:color w:val="auto"/>
          <w:lang w:val="en-AU"/>
        </w:rPr>
        <w:t>implemented different protective measures</w:t>
      </w:r>
      <w:bookmarkEnd w:id="13"/>
      <w:bookmarkEnd w:id="14"/>
    </w:p>
    <w:tbl>
      <w:tblPr>
        <w:tblStyle w:val="TableGrid"/>
        <w:tblW w:w="0" w:type="auto"/>
        <w:tblLook w:val="04A0" w:firstRow="1" w:lastRow="0" w:firstColumn="1" w:lastColumn="0" w:noHBand="0" w:noVBand="1"/>
        <w:tblCaption w:val="Number of providers who have implemented the different protective measures of the framework"/>
        <w:tblDescription w:val="The table lists the protective measures as recommended by the framework and then gives the number of providers out of a total of 29 who have implemented each measure."/>
      </w:tblPr>
      <w:tblGrid>
        <w:gridCol w:w="4675"/>
        <w:gridCol w:w="4675"/>
      </w:tblGrid>
      <w:tr w:rsidR="00185259" w:rsidRPr="00664E64" w14:paraId="26266BE5" w14:textId="77777777" w:rsidTr="00FC3DE6">
        <w:trPr>
          <w:cnfStyle w:val="100000000000" w:firstRow="1" w:lastRow="0" w:firstColumn="0" w:lastColumn="0" w:oddVBand="0" w:evenVBand="0" w:oddHBand="0" w:evenHBand="0" w:firstRowFirstColumn="0" w:firstRowLastColumn="0" w:lastRowFirstColumn="0" w:lastRowLastColumn="0"/>
          <w:cantSplit w:val="0"/>
          <w:tblHeader/>
        </w:trPr>
        <w:tc>
          <w:tcPr>
            <w:tcW w:w="4675" w:type="dxa"/>
          </w:tcPr>
          <w:p w14:paraId="7E5BD1C2" w14:textId="77777777" w:rsidR="00185259" w:rsidRPr="00664E64" w:rsidRDefault="00185259" w:rsidP="00F65855">
            <w:pPr>
              <w:pStyle w:val="TableColHeadLeft"/>
              <w:rPr>
                <w:lang w:val="en-AU"/>
              </w:rPr>
            </w:pPr>
            <w:r w:rsidRPr="00664E64">
              <w:rPr>
                <w:lang w:val="en-AU"/>
              </w:rPr>
              <w:t>Protective measure</w:t>
            </w:r>
          </w:p>
        </w:tc>
        <w:tc>
          <w:tcPr>
            <w:tcW w:w="4675" w:type="dxa"/>
          </w:tcPr>
          <w:p w14:paraId="02C7BB3A" w14:textId="77777777" w:rsidR="00094E7D" w:rsidRDefault="00185259" w:rsidP="00F65855">
            <w:pPr>
              <w:pStyle w:val="TableColHeadCentre"/>
              <w:rPr>
                <w:lang w:val="en-AU"/>
              </w:rPr>
            </w:pPr>
            <w:r w:rsidRPr="00664E64">
              <w:rPr>
                <w:lang w:val="en-AU"/>
              </w:rPr>
              <w:t>Number of providers who</w:t>
            </w:r>
            <w:r w:rsidR="00C566BA" w:rsidRPr="00664E64">
              <w:rPr>
                <w:lang w:val="en-AU"/>
              </w:rPr>
              <w:t xml:space="preserve"> </w:t>
            </w:r>
            <w:r w:rsidR="004364F5" w:rsidRPr="00664E64">
              <w:rPr>
                <w:lang w:val="en-AU"/>
              </w:rPr>
              <w:t>currently</w:t>
            </w:r>
            <w:r w:rsidRPr="00664E64">
              <w:rPr>
                <w:lang w:val="en-AU"/>
              </w:rPr>
              <w:t xml:space="preserve"> </w:t>
            </w:r>
            <w:r w:rsidR="00C566BA" w:rsidRPr="00664E64">
              <w:rPr>
                <w:lang w:val="en-AU"/>
              </w:rPr>
              <w:t>have available</w:t>
            </w:r>
          </w:p>
          <w:p w14:paraId="238AFD5C" w14:textId="289BD266" w:rsidR="00185259" w:rsidRPr="00664E64" w:rsidRDefault="00094E7D" w:rsidP="00F65855">
            <w:pPr>
              <w:pStyle w:val="TableColHeadCentre"/>
              <w:rPr>
                <w:lang w:val="en-AU"/>
              </w:rPr>
            </w:pPr>
            <w:r>
              <w:rPr>
                <w:lang w:val="en-AU"/>
              </w:rPr>
              <w:t>(</w:t>
            </w:r>
            <w:r w:rsidR="006D0E8E" w:rsidRPr="00C42467">
              <w:rPr>
                <w:i/>
                <w:lang w:val="en-AU"/>
              </w:rPr>
              <w:t>N</w:t>
            </w:r>
            <w:r>
              <w:rPr>
                <w:lang w:val="en-AU"/>
              </w:rPr>
              <w:t xml:space="preserve"> = 29)</w:t>
            </w:r>
            <w:r w:rsidR="00C566BA" w:rsidRPr="00664E64">
              <w:rPr>
                <w:lang w:val="en-AU"/>
              </w:rPr>
              <w:t xml:space="preserve"> </w:t>
            </w:r>
          </w:p>
        </w:tc>
      </w:tr>
      <w:tr w:rsidR="00185259" w:rsidRPr="00664E64" w14:paraId="60F3F950" w14:textId="77777777" w:rsidTr="00FC3DE6">
        <w:trPr>
          <w:cantSplit w:val="0"/>
        </w:trPr>
        <w:tc>
          <w:tcPr>
            <w:tcW w:w="4675" w:type="dxa"/>
          </w:tcPr>
          <w:p w14:paraId="2B05EFE2" w14:textId="77777777" w:rsidR="00185259" w:rsidRPr="00664E64" w:rsidRDefault="00185259" w:rsidP="00F65855">
            <w:pPr>
              <w:pStyle w:val="TableText"/>
              <w:rPr>
                <w:lang w:val="en-AU"/>
              </w:rPr>
            </w:pPr>
            <w:r w:rsidRPr="00664E64">
              <w:rPr>
                <w:lang w:val="en-AU"/>
              </w:rPr>
              <w:t>Offered lines of credit</w:t>
            </w:r>
          </w:p>
        </w:tc>
        <w:tc>
          <w:tcPr>
            <w:tcW w:w="4675" w:type="dxa"/>
          </w:tcPr>
          <w:p w14:paraId="1DD073B7" w14:textId="77777777" w:rsidR="00185259" w:rsidRPr="00664E64" w:rsidRDefault="00185259" w:rsidP="00F65855">
            <w:pPr>
              <w:pStyle w:val="TableTextCentre"/>
              <w:rPr>
                <w:lang w:val="en-AU"/>
              </w:rPr>
            </w:pPr>
            <w:r w:rsidRPr="00664E64">
              <w:rPr>
                <w:lang w:val="en-AU"/>
              </w:rPr>
              <w:t>-</w:t>
            </w:r>
          </w:p>
        </w:tc>
      </w:tr>
      <w:tr w:rsidR="00185259" w:rsidRPr="00664E64" w14:paraId="4757E810" w14:textId="77777777" w:rsidTr="00FC3DE6">
        <w:trPr>
          <w:cantSplit w:val="0"/>
        </w:trPr>
        <w:tc>
          <w:tcPr>
            <w:tcW w:w="4675" w:type="dxa"/>
          </w:tcPr>
          <w:p w14:paraId="0AB056FF" w14:textId="77777777" w:rsidR="00185259" w:rsidRPr="00664E64" w:rsidRDefault="00185259" w:rsidP="00F65855">
            <w:pPr>
              <w:pStyle w:val="TableText"/>
              <w:rPr>
                <w:lang w:val="en-AU"/>
              </w:rPr>
            </w:pPr>
            <w:r w:rsidRPr="00664E64">
              <w:rPr>
                <w:lang w:val="en-AU"/>
              </w:rPr>
              <w:t>Offered small amount credit contracts</w:t>
            </w:r>
          </w:p>
        </w:tc>
        <w:tc>
          <w:tcPr>
            <w:tcW w:w="4675" w:type="dxa"/>
          </w:tcPr>
          <w:p w14:paraId="2A061B74" w14:textId="77777777" w:rsidR="00185259" w:rsidRPr="00664E64" w:rsidRDefault="00185259" w:rsidP="00F65855">
            <w:pPr>
              <w:pStyle w:val="TableTextCentre"/>
              <w:rPr>
                <w:lang w:val="en-AU"/>
              </w:rPr>
            </w:pPr>
            <w:r w:rsidRPr="00664E64">
              <w:rPr>
                <w:lang w:val="en-AU"/>
              </w:rPr>
              <w:t>-</w:t>
            </w:r>
          </w:p>
        </w:tc>
      </w:tr>
      <w:tr w:rsidR="00185259" w:rsidRPr="00664E64" w14:paraId="53708C03" w14:textId="77777777" w:rsidTr="00FC3DE6">
        <w:trPr>
          <w:cantSplit w:val="0"/>
        </w:trPr>
        <w:tc>
          <w:tcPr>
            <w:tcW w:w="4675" w:type="dxa"/>
          </w:tcPr>
          <w:p w14:paraId="126E8D20" w14:textId="77777777" w:rsidR="00185259" w:rsidRPr="00664E64" w:rsidRDefault="00185259" w:rsidP="00F65855">
            <w:pPr>
              <w:pStyle w:val="TableText"/>
              <w:rPr>
                <w:lang w:val="en-AU"/>
              </w:rPr>
            </w:pPr>
            <w:r w:rsidRPr="00664E64">
              <w:rPr>
                <w:lang w:val="en-AU"/>
              </w:rPr>
              <w:t>Customer verification (within 14 days)</w:t>
            </w:r>
          </w:p>
        </w:tc>
        <w:tc>
          <w:tcPr>
            <w:tcW w:w="4675" w:type="dxa"/>
          </w:tcPr>
          <w:p w14:paraId="3628B9E6" w14:textId="77777777" w:rsidR="00185259" w:rsidRPr="00664E64" w:rsidRDefault="00185259" w:rsidP="00F65855">
            <w:pPr>
              <w:pStyle w:val="TableTextCentre"/>
              <w:rPr>
                <w:lang w:val="en-AU"/>
              </w:rPr>
            </w:pPr>
            <w:r w:rsidRPr="00664E64">
              <w:rPr>
                <w:lang w:val="en-AU"/>
              </w:rPr>
              <w:t>17</w:t>
            </w:r>
          </w:p>
        </w:tc>
      </w:tr>
      <w:tr w:rsidR="00185259" w:rsidRPr="00664E64" w14:paraId="58F942C7" w14:textId="77777777" w:rsidTr="00FC3DE6">
        <w:trPr>
          <w:cantSplit w:val="0"/>
        </w:trPr>
        <w:tc>
          <w:tcPr>
            <w:tcW w:w="4675" w:type="dxa"/>
          </w:tcPr>
          <w:p w14:paraId="1FB838AB" w14:textId="7FF0F1F0" w:rsidR="00185259" w:rsidRPr="00664E64" w:rsidRDefault="00185259" w:rsidP="00F65855">
            <w:pPr>
              <w:pStyle w:val="TableTextIndent"/>
              <w:rPr>
                <w:i/>
                <w:lang w:val="en-AU"/>
              </w:rPr>
            </w:pPr>
            <w:r w:rsidRPr="00664E64">
              <w:rPr>
                <w:i/>
                <w:lang w:val="en-AU"/>
              </w:rPr>
              <w:t>Unknown</w:t>
            </w:r>
          </w:p>
        </w:tc>
        <w:tc>
          <w:tcPr>
            <w:tcW w:w="4675" w:type="dxa"/>
          </w:tcPr>
          <w:p w14:paraId="7962A8F9" w14:textId="77777777" w:rsidR="00185259" w:rsidRPr="00664E64" w:rsidRDefault="00185259" w:rsidP="00F65855">
            <w:pPr>
              <w:pStyle w:val="TableTextCentre"/>
              <w:rPr>
                <w:lang w:val="en-AU"/>
              </w:rPr>
            </w:pPr>
            <w:r w:rsidRPr="00664E64">
              <w:rPr>
                <w:lang w:val="en-AU"/>
              </w:rPr>
              <w:t>6</w:t>
            </w:r>
          </w:p>
        </w:tc>
      </w:tr>
      <w:tr w:rsidR="00185259" w:rsidRPr="00664E64" w14:paraId="0AD5EDBD" w14:textId="77777777" w:rsidTr="00FC3DE6">
        <w:trPr>
          <w:cantSplit w:val="0"/>
        </w:trPr>
        <w:tc>
          <w:tcPr>
            <w:tcW w:w="4675" w:type="dxa"/>
          </w:tcPr>
          <w:p w14:paraId="6D83C2E7" w14:textId="77777777" w:rsidR="00185259" w:rsidRPr="00664E64" w:rsidRDefault="00185259" w:rsidP="00F65855">
            <w:pPr>
              <w:pStyle w:val="TableText"/>
              <w:rPr>
                <w:lang w:val="en-AU"/>
              </w:rPr>
            </w:pPr>
            <w:r w:rsidRPr="00664E64">
              <w:rPr>
                <w:lang w:val="en-AU"/>
              </w:rPr>
              <w:t>Restricted inducements</w:t>
            </w:r>
          </w:p>
        </w:tc>
        <w:tc>
          <w:tcPr>
            <w:tcW w:w="4675" w:type="dxa"/>
          </w:tcPr>
          <w:p w14:paraId="72D9065C" w14:textId="77777777" w:rsidR="00185259" w:rsidRPr="00664E64" w:rsidRDefault="00185259" w:rsidP="00F65855">
            <w:pPr>
              <w:pStyle w:val="TableTextCentre"/>
              <w:rPr>
                <w:lang w:val="en-AU"/>
              </w:rPr>
            </w:pPr>
            <w:r w:rsidRPr="00664E64">
              <w:rPr>
                <w:lang w:val="en-AU"/>
              </w:rPr>
              <w:t>6</w:t>
            </w:r>
          </w:p>
        </w:tc>
      </w:tr>
      <w:tr w:rsidR="00185259" w:rsidRPr="00664E64" w14:paraId="099D20DB" w14:textId="77777777" w:rsidTr="00FC3DE6">
        <w:trPr>
          <w:cantSplit w:val="0"/>
        </w:trPr>
        <w:tc>
          <w:tcPr>
            <w:tcW w:w="4675" w:type="dxa"/>
          </w:tcPr>
          <w:p w14:paraId="4C0E17F1" w14:textId="77777777" w:rsidR="00185259" w:rsidRPr="00664E64" w:rsidRDefault="00185259" w:rsidP="00F65855">
            <w:pPr>
              <w:pStyle w:val="TableText"/>
              <w:rPr>
                <w:lang w:val="en-AU"/>
              </w:rPr>
            </w:pPr>
            <w:r w:rsidRPr="00664E64">
              <w:rPr>
                <w:lang w:val="en-AU"/>
              </w:rPr>
              <w:t>Account closure</w:t>
            </w:r>
          </w:p>
        </w:tc>
        <w:tc>
          <w:tcPr>
            <w:tcW w:w="4675" w:type="dxa"/>
          </w:tcPr>
          <w:p w14:paraId="53B95FCD" w14:textId="77777777" w:rsidR="00185259" w:rsidRPr="00664E64" w:rsidRDefault="00185259" w:rsidP="00F65855">
            <w:pPr>
              <w:pStyle w:val="TableTextCentre"/>
              <w:rPr>
                <w:lang w:val="en-AU"/>
              </w:rPr>
            </w:pPr>
            <w:r w:rsidRPr="00664E64">
              <w:rPr>
                <w:lang w:val="en-AU"/>
              </w:rPr>
              <w:t>15</w:t>
            </w:r>
          </w:p>
        </w:tc>
      </w:tr>
      <w:tr w:rsidR="00185259" w:rsidRPr="00664E64" w14:paraId="0BBD6578" w14:textId="77777777" w:rsidTr="00FC3DE6">
        <w:trPr>
          <w:cantSplit w:val="0"/>
        </w:trPr>
        <w:tc>
          <w:tcPr>
            <w:tcW w:w="4675" w:type="dxa"/>
          </w:tcPr>
          <w:p w14:paraId="6C021BD1" w14:textId="597E8ECE" w:rsidR="00185259" w:rsidRPr="00664E64" w:rsidRDefault="00185259" w:rsidP="00F65855">
            <w:pPr>
              <w:pStyle w:val="TableTextIndent"/>
              <w:rPr>
                <w:lang w:val="en-AU"/>
              </w:rPr>
            </w:pPr>
            <w:r w:rsidRPr="00664E64">
              <w:rPr>
                <w:i/>
                <w:lang w:val="en-AU"/>
              </w:rPr>
              <w:t>Unknown</w:t>
            </w:r>
          </w:p>
        </w:tc>
        <w:tc>
          <w:tcPr>
            <w:tcW w:w="4675" w:type="dxa"/>
          </w:tcPr>
          <w:p w14:paraId="27F20BDA" w14:textId="77777777" w:rsidR="00185259" w:rsidRPr="00664E64" w:rsidRDefault="00185259" w:rsidP="00F65855">
            <w:pPr>
              <w:pStyle w:val="TableTextCentre"/>
              <w:rPr>
                <w:lang w:val="en-AU"/>
              </w:rPr>
            </w:pPr>
            <w:r w:rsidRPr="00664E64">
              <w:rPr>
                <w:lang w:val="en-AU"/>
              </w:rPr>
              <w:t>14</w:t>
            </w:r>
          </w:p>
        </w:tc>
      </w:tr>
      <w:tr w:rsidR="00185259" w:rsidRPr="00664E64" w14:paraId="1DD30520" w14:textId="77777777" w:rsidTr="00FC3DE6">
        <w:trPr>
          <w:cantSplit w:val="0"/>
        </w:trPr>
        <w:tc>
          <w:tcPr>
            <w:tcW w:w="4675" w:type="dxa"/>
          </w:tcPr>
          <w:p w14:paraId="7BEA53B4" w14:textId="514E7CAD" w:rsidR="00185259" w:rsidRPr="00664E64" w:rsidRDefault="00185259" w:rsidP="00F65855">
            <w:pPr>
              <w:pStyle w:val="TableText"/>
              <w:rPr>
                <w:lang w:val="en-AU"/>
              </w:rPr>
            </w:pPr>
            <w:r w:rsidRPr="00664E64">
              <w:rPr>
                <w:lang w:val="en-AU"/>
              </w:rPr>
              <w:t>Voluntary opt-out</w:t>
            </w:r>
            <w:r w:rsidR="006D0E8E">
              <w:rPr>
                <w:lang w:val="en-AU"/>
              </w:rPr>
              <w:t xml:space="preserve"> pre-commitment</w:t>
            </w:r>
          </w:p>
        </w:tc>
        <w:tc>
          <w:tcPr>
            <w:tcW w:w="4675" w:type="dxa"/>
          </w:tcPr>
          <w:p w14:paraId="679A198C" w14:textId="77777777" w:rsidR="00185259" w:rsidRPr="00664E64" w:rsidRDefault="00185259" w:rsidP="00F65855">
            <w:pPr>
              <w:pStyle w:val="TableTextCentre"/>
              <w:rPr>
                <w:lang w:val="en-AU"/>
              </w:rPr>
            </w:pPr>
            <w:r w:rsidRPr="00664E64">
              <w:rPr>
                <w:lang w:val="en-AU"/>
              </w:rPr>
              <w:t>24</w:t>
            </w:r>
          </w:p>
        </w:tc>
      </w:tr>
      <w:tr w:rsidR="00185259" w:rsidRPr="00664E64" w14:paraId="6B834E4E" w14:textId="77777777" w:rsidTr="00FC3DE6">
        <w:trPr>
          <w:cantSplit w:val="0"/>
        </w:trPr>
        <w:tc>
          <w:tcPr>
            <w:tcW w:w="4675" w:type="dxa"/>
          </w:tcPr>
          <w:p w14:paraId="43785A5E" w14:textId="6739502C" w:rsidR="00185259" w:rsidRPr="00664E64" w:rsidRDefault="00185259" w:rsidP="00F65855">
            <w:pPr>
              <w:pStyle w:val="TableTextIndent"/>
              <w:rPr>
                <w:lang w:val="en-AU"/>
              </w:rPr>
            </w:pPr>
            <w:r w:rsidRPr="00664E64">
              <w:rPr>
                <w:i/>
                <w:lang w:val="en-AU"/>
              </w:rPr>
              <w:t>Unknown</w:t>
            </w:r>
          </w:p>
        </w:tc>
        <w:tc>
          <w:tcPr>
            <w:tcW w:w="4675" w:type="dxa"/>
          </w:tcPr>
          <w:p w14:paraId="7B2F9565" w14:textId="77777777" w:rsidR="00185259" w:rsidRPr="00664E64" w:rsidRDefault="00185259" w:rsidP="00F65855">
            <w:pPr>
              <w:pStyle w:val="TableTextCentre"/>
              <w:rPr>
                <w:lang w:val="en-AU"/>
              </w:rPr>
            </w:pPr>
            <w:r w:rsidRPr="00664E64">
              <w:rPr>
                <w:lang w:val="en-AU"/>
              </w:rPr>
              <w:t>2</w:t>
            </w:r>
          </w:p>
        </w:tc>
      </w:tr>
      <w:tr w:rsidR="00185259" w:rsidRPr="00664E64" w14:paraId="5586B6E9" w14:textId="77777777" w:rsidTr="00FC3DE6">
        <w:trPr>
          <w:cantSplit w:val="0"/>
        </w:trPr>
        <w:tc>
          <w:tcPr>
            <w:tcW w:w="4675" w:type="dxa"/>
          </w:tcPr>
          <w:p w14:paraId="2760080A" w14:textId="77777777" w:rsidR="00185259" w:rsidRPr="00664E64" w:rsidRDefault="00185259" w:rsidP="00F65855">
            <w:pPr>
              <w:pStyle w:val="TableText"/>
              <w:rPr>
                <w:lang w:val="en-AU"/>
              </w:rPr>
            </w:pPr>
            <w:r w:rsidRPr="00664E64">
              <w:rPr>
                <w:lang w:val="en-AU"/>
              </w:rPr>
              <w:t>Activity statements</w:t>
            </w:r>
          </w:p>
        </w:tc>
        <w:tc>
          <w:tcPr>
            <w:tcW w:w="4675" w:type="dxa"/>
          </w:tcPr>
          <w:p w14:paraId="2A212B4B" w14:textId="77777777" w:rsidR="00185259" w:rsidRPr="00664E64" w:rsidRDefault="00185259" w:rsidP="00F65855">
            <w:pPr>
              <w:pStyle w:val="TableTextCentre"/>
              <w:rPr>
                <w:lang w:val="en-AU"/>
              </w:rPr>
            </w:pPr>
            <w:r w:rsidRPr="00664E64">
              <w:rPr>
                <w:lang w:val="en-AU"/>
              </w:rPr>
              <w:t>16</w:t>
            </w:r>
          </w:p>
        </w:tc>
      </w:tr>
      <w:tr w:rsidR="00185259" w:rsidRPr="00664E64" w14:paraId="00796C44" w14:textId="77777777" w:rsidTr="00FC3DE6">
        <w:trPr>
          <w:cantSplit w:val="0"/>
        </w:trPr>
        <w:tc>
          <w:tcPr>
            <w:tcW w:w="4675" w:type="dxa"/>
          </w:tcPr>
          <w:p w14:paraId="2C23DA3E" w14:textId="627C5184" w:rsidR="00185259" w:rsidRPr="00664E64" w:rsidRDefault="00185259" w:rsidP="00F65855">
            <w:pPr>
              <w:pStyle w:val="TableTextIndent"/>
              <w:rPr>
                <w:i/>
                <w:lang w:val="en-AU"/>
              </w:rPr>
            </w:pPr>
            <w:r w:rsidRPr="00664E64">
              <w:rPr>
                <w:i/>
                <w:lang w:val="en-AU"/>
              </w:rPr>
              <w:t>Unknown</w:t>
            </w:r>
          </w:p>
        </w:tc>
        <w:tc>
          <w:tcPr>
            <w:tcW w:w="4675" w:type="dxa"/>
          </w:tcPr>
          <w:p w14:paraId="76784EF1" w14:textId="77777777" w:rsidR="00185259" w:rsidRPr="00664E64" w:rsidRDefault="00185259" w:rsidP="00F65855">
            <w:pPr>
              <w:pStyle w:val="TableTextCentre"/>
              <w:rPr>
                <w:lang w:val="en-AU"/>
              </w:rPr>
            </w:pPr>
            <w:r w:rsidRPr="00664E64">
              <w:rPr>
                <w:lang w:val="en-AU"/>
              </w:rPr>
              <w:t>12</w:t>
            </w:r>
          </w:p>
        </w:tc>
      </w:tr>
      <w:tr w:rsidR="00185259" w:rsidRPr="00664E64" w14:paraId="53856772" w14:textId="77777777" w:rsidTr="00FC3DE6">
        <w:trPr>
          <w:cantSplit w:val="0"/>
        </w:trPr>
        <w:tc>
          <w:tcPr>
            <w:tcW w:w="4675" w:type="dxa"/>
          </w:tcPr>
          <w:p w14:paraId="4D3B11CB" w14:textId="7CE348A0" w:rsidR="00185259" w:rsidRPr="00664E64" w:rsidRDefault="006D0E8E" w:rsidP="00F65855">
            <w:pPr>
              <w:pStyle w:val="TableText"/>
              <w:rPr>
                <w:lang w:val="en-AU"/>
              </w:rPr>
            </w:pPr>
            <w:r>
              <w:rPr>
                <w:lang w:val="en-AU"/>
              </w:rPr>
              <w:t>‘Responsible</w:t>
            </w:r>
            <w:r w:rsidRPr="00664E64">
              <w:rPr>
                <w:lang w:val="en-AU"/>
              </w:rPr>
              <w:t xml:space="preserve"> </w:t>
            </w:r>
            <w:r w:rsidR="00185259" w:rsidRPr="00664E64">
              <w:rPr>
                <w:lang w:val="en-AU"/>
              </w:rPr>
              <w:t>gambling</w:t>
            </w:r>
            <w:r>
              <w:rPr>
                <w:lang w:val="en-AU"/>
              </w:rPr>
              <w:t>’</w:t>
            </w:r>
            <w:r w:rsidR="00185259" w:rsidRPr="00664E64">
              <w:rPr>
                <w:lang w:val="en-AU"/>
              </w:rPr>
              <w:t xml:space="preserve"> messages</w:t>
            </w:r>
          </w:p>
        </w:tc>
        <w:tc>
          <w:tcPr>
            <w:tcW w:w="4675" w:type="dxa"/>
          </w:tcPr>
          <w:p w14:paraId="6E266F36" w14:textId="77777777" w:rsidR="00185259" w:rsidRPr="00664E64" w:rsidRDefault="00185259" w:rsidP="00F65855">
            <w:pPr>
              <w:pStyle w:val="TableTextCentre"/>
              <w:rPr>
                <w:lang w:val="en-AU"/>
              </w:rPr>
            </w:pPr>
            <w:r w:rsidRPr="00664E64">
              <w:rPr>
                <w:lang w:val="en-AU"/>
              </w:rPr>
              <w:t>22</w:t>
            </w:r>
          </w:p>
        </w:tc>
      </w:tr>
      <w:tr w:rsidR="00185259" w:rsidRPr="00664E64" w14:paraId="5E751C5B" w14:textId="77777777" w:rsidTr="00FC3DE6">
        <w:trPr>
          <w:cantSplit w:val="0"/>
        </w:trPr>
        <w:tc>
          <w:tcPr>
            <w:tcW w:w="4675" w:type="dxa"/>
          </w:tcPr>
          <w:p w14:paraId="3FDE71EE" w14:textId="77777777" w:rsidR="00185259" w:rsidRPr="00664E64" w:rsidRDefault="00185259" w:rsidP="00F65855">
            <w:pPr>
              <w:pStyle w:val="TableText"/>
              <w:rPr>
                <w:lang w:val="en-AU"/>
              </w:rPr>
            </w:pPr>
            <w:r w:rsidRPr="00664E64">
              <w:rPr>
                <w:lang w:val="en-AU"/>
              </w:rPr>
              <w:t>Staff training</w:t>
            </w:r>
          </w:p>
        </w:tc>
        <w:tc>
          <w:tcPr>
            <w:tcW w:w="4675" w:type="dxa"/>
          </w:tcPr>
          <w:p w14:paraId="53C5986B" w14:textId="77777777" w:rsidR="00185259" w:rsidRPr="00664E64" w:rsidRDefault="00185259" w:rsidP="00F65855">
            <w:pPr>
              <w:pStyle w:val="TableTextCentre"/>
              <w:rPr>
                <w:lang w:val="en-AU"/>
              </w:rPr>
            </w:pPr>
            <w:r w:rsidRPr="00664E64">
              <w:rPr>
                <w:lang w:val="en-AU"/>
              </w:rPr>
              <w:t>10</w:t>
            </w:r>
          </w:p>
        </w:tc>
      </w:tr>
      <w:tr w:rsidR="00185259" w:rsidRPr="00664E64" w14:paraId="7FE5D59D" w14:textId="77777777" w:rsidTr="00FC3DE6">
        <w:trPr>
          <w:cantSplit w:val="0"/>
        </w:trPr>
        <w:tc>
          <w:tcPr>
            <w:tcW w:w="4675" w:type="dxa"/>
          </w:tcPr>
          <w:p w14:paraId="4DCDC6F1" w14:textId="77777777" w:rsidR="00185259" w:rsidRPr="00664E64" w:rsidRDefault="00185259" w:rsidP="00F65855">
            <w:pPr>
              <w:pStyle w:val="TableText"/>
              <w:rPr>
                <w:lang w:val="en-AU"/>
              </w:rPr>
            </w:pPr>
            <w:r w:rsidRPr="00664E64">
              <w:rPr>
                <w:lang w:val="en-AU"/>
              </w:rPr>
              <w:t>National self-exclusion register (NSER)</w:t>
            </w:r>
          </w:p>
        </w:tc>
        <w:tc>
          <w:tcPr>
            <w:tcW w:w="4675" w:type="dxa"/>
          </w:tcPr>
          <w:p w14:paraId="6A55FD5D" w14:textId="77777777" w:rsidR="00185259" w:rsidRPr="00664E64" w:rsidRDefault="00185259" w:rsidP="00F65855">
            <w:pPr>
              <w:pStyle w:val="TableTextCentre"/>
              <w:rPr>
                <w:lang w:val="en-AU"/>
              </w:rPr>
            </w:pPr>
            <w:r w:rsidRPr="00664E64">
              <w:rPr>
                <w:lang w:val="en-AU"/>
              </w:rPr>
              <w:t>-</w:t>
            </w:r>
          </w:p>
        </w:tc>
      </w:tr>
    </w:tbl>
    <w:p w14:paraId="53ACCFBF" w14:textId="0D1F9C7D" w:rsidR="001422DD" w:rsidRPr="003B36FC" w:rsidRDefault="001422DD" w:rsidP="00E7490F">
      <w:pPr>
        <w:pStyle w:val="Heading2"/>
        <w:rPr>
          <w:color w:val="auto"/>
        </w:rPr>
      </w:pPr>
      <w:bookmarkStart w:id="15" w:name="_Toc12022544"/>
      <w:r w:rsidRPr="003B36FC">
        <w:rPr>
          <w:color w:val="auto"/>
        </w:rPr>
        <w:t>Regulator websites</w:t>
      </w:r>
      <w:bookmarkEnd w:id="15"/>
    </w:p>
    <w:p w14:paraId="59C5172C" w14:textId="3C2135BF" w:rsidR="00A35876" w:rsidRPr="00664E64" w:rsidRDefault="000234B2" w:rsidP="000234B2">
      <w:pPr>
        <w:pStyle w:val="BodyText"/>
        <w:rPr>
          <w:rFonts w:cs="Arial"/>
        </w:rPr>
      </w:pPr>
      <w:r w:rsidRPr="00664E64">
        <w:rPr>
          <w:rFonts w:cs="Arial"/>
        </w:rPr>
        <w:t>At the time of review</w:t>
      </w:r>
      <w:r w:rsidR="002F02D6" w:rsidRPr="00664E64">
        <w:rPr>
          <w:rFonts w:cs="Arial"/>
        </w:rPr>
        <w:t>,</w:t>
      </w:r>
      <w:r w:rsidRPr="00664E64">
        <w:rPr>
          <w:rFonts w:cs="Arial"/>
        </w:rPr>
        <w:t xml:space="preserve"> only three out of eight state and territory regulator websites included information about the National Framework on their website or provided a link to the National Policy Statement</w:t>
      </w:r>
      <w:r w:rsidR="00782ED0" w:rsidRPr="00664E64">
        <w:rPr>
          <w:rFonts w:cs="Arial"/>
        </w:rPr>
        <w:t xml:space="preserve"> (</w:t>
      </w:r>
      <w:r w:rsidR="00A860C3" w:rsidRPr="00664E64">
        <w:rPr>
          <w:rFonts w:cs="Arial"/>
        </w:rPr>
        <w:t>DSS</w:t>
      </w:r>
      <w:r w:rsidR="00782ED0" w:rsidRPr="00664E64">
        <w:rPr>
          <w:rFonts w:cs="Arial"/>
        </w:rPr>
        <w:t>, 2018);</w:t>
      </w:r>
      <w:r w:rsidRPr="00664E64">
        <w:rPr>
          <w:rFonts w:cs="Arial"/>
        </w:rPr>
        <w:t xml:space="preserve"> however, </w:t>
      </w:r>
      <w:r w:rsidR="0024538A">
        <w:rPr>
          <w:rFonts w:cs="Arial"/>
        </w:rPr>
        <w:t>both</w:t>
      </w:r>
      <w:r w:rsidR="0024538A" w:rsidRPr="00664E64">
        <w:rPr>
          <w:rFonts w:cs="Arial"/>
        </w:rPr>
        <w:t xml:space="preserve"> </w:t>
      </w:r>
      <w:r w:rsidRPr="00664E64">
        <w:rPr>
          <w:rFonts w:cs="Arial"/>
        </w:rPr>
        <w:t>Commonwealth websites included reference to it and provided links to further information.</w:t>
      </w:r>
    </w:p>
    <w:p w14:paraId="5CD97D40" w14:textId="16FA7FD4" w:rsidR="000234B2" w:rsidRPr="00664E64" w:rsidRDefault="00A35876" w:rsidP="00A35876">
      <w:pPr>
        <w:rPr>
          <w:rFonts w:cs="Arial"/>
        </w:rPr>
      </w:pPr>
      <w:r w:rsidRPr="00664E64">
        <w:rPr>
          <w:rFonts w:cs="Arial"/>
        </w:rPr>
        <w:br w:type="page"/>
      </w:r>
    </w:p>
    <w:p w14:paraId="3DD4C6B8" w14:textId="77777777" w:rsidR="00A35876" w:rsidRPr="003B36FC" w:rsidRDefault="00A35876" w:rsidP="00415C73">
      <w:pPr>
        <w:pStyle w:val="BoxHeading1"/>
        <w:rPr>
          <w:color w:val="auto"/>
        </w:rPr>
      </w:pPr>
      <w:r w:rsidRPr="003B36FC">
        <w:rPr>
          <w:color w:val="auto"/>
        </w:rPr>
        <w:lastRenderedPageBreak/>
        <w:t>Box 3.1: Summary of findings from desktop review</w:t>
      </w:r>
    </w:p>
    <w:p w14:paraId="26D848C7" w14:textId="36661D75" w:rsidR="00A35876" w:rsidRPr="00664E64" w:rsidRDefault="00A35876" w:rsidP="00A35876">
      <w:pPr>
        <w:pStyle w:val="BoxBulletList"/>
      </w:pPr>
      <w:r w:rsidRPr="00664E64">
        <w:t>The desktop review collated information from provider and regulator websites to determine which consumer protection measures, if any, were already being implemented and to assess the potential readiness of providers to implement upcoming measures. Twenty</w:t>
      </w:r>
      <w:r w:rsidR="0030560E" w:rsidRPr="00664E64">
        <w:t>-three</w:t>
      </w:r>
      <w:r w:rsidRPr="00664E64">
        <w:t xml:space="preserve"> large to medium-sized providers, six smaller providers, and </w:t>
      </w:r>
      <w:r w:rsidR="0030560E" w:rsidRPr="00664E64">
        <w:t>10</w:t>
      </w:r>
      <w:r w:rsidR="00D633C6">
        <w:t xml:space="preserve"> Commonwealth,</w:t>
      </w:r>
      <w:r w:rsidRPr="00664E64">
        <w:t xml:space="preserve"> state and territory regulatory websites were reviewed. </w:t>
      </w:r>
    </w:p>
    <w:p w14:paraId="526CBC27" w14:textId="77777777" w:rsidR="00A35876" w:rsidRPr="00664E64" w:rsidRDefault="00A35876" w:rsidP="00A35876">
      <w:pPr>
        <w:pStyle w:val="BoxBulletList"/>
      </w:pPr>
      <w:r w:rsidRPr="00664E64">
        <w:t>Offering lines of credit or small amount credit contracts – none of the providers we reviewed offered lines of credit or small amount credit contracts on their website as per the legislation that was implemented 17 February 2018.</w:t>
      </w:r>
    </w:p>
    <w:p w14:paraId="307B1769" w14:textId="6894D4C1" w:rsidR="00A35876" w:rsidRPr="00664E64" w:rsidRDefault="00A35876" w:rsidP="00A35876">
      <w:pPr>
        <w:pStyle w:val="BoxBulletList"/>
      </w:pPr>
      <w:r w:rsidRPr="00664E64">
        <w:t xml:space="preserve">Customer verification – the majority of the larger providers reported completing their verification process within the stipulated 14 days; however, a small number were </w:t>
      </w:r>
      <w:r w:rsidR="00D633C6">
        <w:t xml:space="preserve">yet to </w:t>
      </w:r>
      <w:r w:rsidR="006D0E8E">
        <w:t xml:space="preserve">comply or </w:t>
      </w:r>
      <w:r w:rsidR="00D633C6">
        <w:t>update the information on their website</w:t>
      </w:r>
      <w:r w:rsidRPr="00664E64">
        <w:t xml:space="preserve">. Verification information was only obtained for two of the small providers; </w:t>
      </w:r>
      <w:r w:rsidR="006D0E8E">
        <w:t xml:space="preserve">at the time of review </w:t>
      </w:r>
      <w:r w:rsidRPr="00664E64">
        <w:t xml:space="preserve">neither </w:t>
      </w:r>
      <w:r w:rsidR="006D0E8E">
        <w:t xml:space="preserve">appeared </w:t>
      </w:r>
      <w:r w:rsidRPr="00664E64">
        <w:t>compli</w:t>
      </w:r>
      <w:r w:rsidR="006D0E8E">
        <w:t>ant</w:t>
      </w:r>
      <w:r w:rsidRPr="00664E64">
        <w:t xml:space="preserve"> with the measure.</w:t>
      </w:r>
    </w:p>
    <w:p w14:paraId="7D3DD88E" w14:textId="77777777" w:rsidR="00A35876" w:rsidRPr="00664E64" w:rsidRDefault="00A35876" w:rsidP="00A35876">
      <w:pPr>
        <w:pStyle w:val="BoxBulletList"/>
      </w:pPr>
      <w:r w:rsidRPr="00664E64">
        <w:t xml:space="preserve">Restrictions on inducements – the majority of providers, regardless of size, offered a number of incentives to open accounts or to bet on specific events; they also required a minimum turnover before any complementary funds could be withdrawn. Direct marketing was almost always aimed at customers who gave their consent to receive the material. </w:t>
      </w:r>
    </w:p>
    <w:p w14:paraId="48A9AF61" w14:textId="77777777" w:rsidR="00A35876" w:rsidRPr="00664E64" w:rsidRDefault="00A35876" w:rsidP="00A35876">
      <w:pPr>
        <w:pStyle w:val="BoxBulletList"/>
      </w:pPr>
      <w:r w:rsidRPr="00664E64">
        <w:t xml:space="preserve">Account closure – information regarding account closure was generally behind a member login although the information that was obtained from some providers suggested that both online and via direct contact methods were available to close accounts. </w:t>
      </w:r>
    </w:p>
    <w:p w14:paraId="30B9F661" w14:textId="77777777" w:rsidR="00A35876" w:rsidRPr="00664E64" w:rsidRDefault="00A35876" w:rsidP="00A35876">
      <w:pPr>
        <w:pStyle w:val="BoxBulletList"/>
      </w:pPr>
      <w:r w:rsidRPr="00664E64">
        <w:t xml:space="preserve">Voluntary opt-out – a range of opt-out features were provided. The most common were timed limits for deposits, spending, and withdrawing. A number of the major providers also had specific features such as wagering calculators or diaries. </w:t>
      </w:r>
    </w:p>
    <w:p w14:paraId="692DAE6B" w14:textId="77777777" w:rsidR="00A35876" w:rsidRPr="00664E64" w:rsidRDefault="00A35876" w:rsidP="00A35876">
      <w:pPr>
        <w:pStyle w:val="BoxBulletList"/>
      </w:pPr>
      <w:r w:rsidRPr="00664E64">
        <w:t>Activity statements – activity statements were almost always behind a member login although some providers mentioned that statements were readily available online for customers.</w:t>
      </w:r>
    </w:p>
    <w:p w14:paraId="18892E24" w14:textId="77777777" w:rsidR="00A35876" w:rsidRPr="00664E64" w:rsidRDefault="00A35876" w:rsidP="00A35876">
      <w:pPr>
        <w:pStyle w:val="BoxBulletList"/>
      </w:pPr>
      <w:r w:rsidRPr="00664E64">
        <w:t xml:space="preserve">Consistent gambling messages – there was a degree of consistency with the gambling messaging across providers although there was no uniform standard. Almost all the large providers had separate pages for responsible gambling and all of them included either a link or a number for professional gambling help. </w:t>
      </w:r>
    </w:p>
    <w:p w14:paraId="61BBEACD" w14:textId="77777777" w:rsidR="00A35876" w:rsidRPr="00664E64" w:rsidRDefault="00A35876" w:rsidP="00A35876">
      <w:pPr>
        <w:pStyle w:val="BoxBulletList"/>
      </w:pPr>
      <w:r w:rsidRPr="00664E64">
        <w:t xml:space="preserve">Staff training – information regarding specialised staff training for the provision of safe online wagering services was unclear and difficult to obtain. The majority of providers made no mention of staff training although some stated that their staff were trained to provide gambling help and support. </w:t>
      </w:r>
    </w:p>
    <w:p w14:paraId="2DECB7CA" w14:textId="51E90E6D" w:rsidR="0030560E" w:rsidRPr="00664E64" w:rsidRDefault="00A35876" w:rsidP="00415C73">
      <w:pPr>
        <w:pStyle w:val="BoxBulletList"/>
      </w:pPr>
      <w:r w:rsidRPr="00664E64">
        <w:t xml:space="preserve">National self-exclusion register (NSER) – although all the large providers had self-exclusion features in place, none mentioned the NSER or any other kind of register, which is not unexpected given the timelines for implementation of that </w:t>
      </w:r>
      <w:r w:rsidR="0030560E" w:rsidRPr="00664E64">
        <w:t>measure</w:t>
      </w:r>
      <w:r w:rsidRPr="00664E64">
        <w:t>.</w:t>
      </w:r>
    </w:p>
    <w:p w14:paraId="2306932D" w14:textId="7A732203" w:rsidR="00A35876" w:rsidRPr="00664E64" w:rsidRDefault="00A35876" w:rsidP="00415C73">
      <w:pPr>
        <w:pStyle w:val="BoxBulletList"/>
      </w:pPr>
      <w:r w:rsidRPr="00664E64">
        <w:t>Only three of the eight state and territory regulatory body websites contained information regarding the Framework; however, all Commonwealth websites included either the National Policy Statement or a link to it.</w:t>
      </w:r>
    </w:p>
    <w:p w14:paraId="025E4F77" w14:textId="77777777" w:rsidR="00C8633F" w:rsidRPr="00664E64" w:rsidRDefault="00C8633F">
      <w:pPr>
        <w:rPr>
          <w:rFonts w:cs="Arial"/>
          <w:color w:val="ED0C64"/>
          <w:kern w:val="32"/>
          <w:sz w:val="44"/>
        </w:rPr>
      </w:pPr>
      <w:r w:rsidRPr="00664E64">
        <w:br w:type="page"/>
      </w:r>
    </w:p>
    <w:p w14:paraId="72C535C0" w14:textId="7371E316" w:rsidR="00A60A19" w:rsidRPr="00664E64" w:rsidRDefault="006B6D15" w:rsidP="00BE3CD8">
      <w:pPr>
        <w:pStyle w:val="Heading1Outline"/>
      </w:pPr>
      <w:bookmarkStart w:id="16" w:name="_Toc12020325"/>
      <w:bookmarkStart w:id="17" w:name="_Toc12022545"/>
      <w:bookmarkStart w:id="18" w:name="_Toc12022546"/>
      <w:bookmarkEnd w:id="16"/>
      <w:bookmarkEnd w:id="17"/>
      <w:r w:rsidRPr="00664E64">
        <w:lastRenderedPageBreak/>
        <w:t>S</w:t>
      </w:r>
      <w:r w:rsidR="00A60A19" w:rsidRPr="00664E64">
        <w:t>takeholder interviews</w:t>
      </w:r>
      <w:r w:rsidRPr="00664E64">
        <w:t>: key findings</w:t>
      </w:r>
      <w:bookmarkEnd w:id="18"/>
    </w:p>
    <w:p w14:paraId="4D76F72C" w14:textId="499C0B26" w:rsidR="006B6D15" w:rsidRPr="003B36FC" w:rsidRDefault="006B6D15" w:rsidP="000234B2">
      <w:pPr>
        <w:pStyle w:val="Heading2"/>
        <w:jc w:val="left"/>
        <w:rPr>
          <w:color w:val="auto"/>
        </w:rPr>
      </w:pPr>
      <w:bookmarkStart w:id="19" w:name="_Toc12022547"/>
      <w:r w:rsidRPr="003B36FC">
        <w:rPr>
          <w:color w:val="auto"/>
        </w:rPr>
        <w:t>Commonwealth, State and Territory Gambling Regulatory Bodies</w:t>
      </w:r>
      <w:bookmarkEnd w:id="19"/>
    </w:p>
    <w:p w14:paraId="67F523AE" w14:textId="286479B4" w:rsidR="006B6D15" w:rsidRPr="003B36FC" w:rsidRDefault="006B6D15" w:rsidP="00F65855">
      <w:pPr>
        <w:pStyle w:val="Heading3"/>
        <w:rPr>
          <w:color w:val="auto"/>
        </w:rPr>
      </w:pPr>
      <w:r w:rsidRPr="003B36FC">
        <w:rPr>
          <w:color w:val="auto"/>
        </w:rPr>
        <w:t xml:space="preserve">Planning </w:t>
      </w:r>
      <w:r w:rsidR="0030560E" w:rsidRPr="003B36FC">
        <w:rPr>
          <w:color w:val="auto"/>
        </w:rPr>
        <w:t>and</w:t>
      </w:r>
      <w:r w:rsidRPr="003B36FC">
        <w:rPr>
          <w:color w:val="auto"/>
        </w:rPr>
        <w:t xml:space="preserve"> implementation of NCPF measures</w:t>
      </w:r>
    </w:p>
    <w:p w14:paraId="4266BC1A" w14:textId="630E4E5D" w:rsidR="006B6D15" w:rsidRPr="00664E64" w:rsidRDefault="006B6D15" w:rsidP="00F65855">
      <w:pPr>
        <w:pStyle w:val="BodyText"/>
        <w:rPr>
          <w:rFonts w:eastAsia="MS Mincho"/>
        </w:rPr>
      </w:pPr>
      <w:r w:rsidRPr="00664E64">
        <w:rPr>
          <w:rFonts w:eastAsia="MS Mincho"/>
        </w:rPr>
        <w:t>Regulators had a good understanding of the NCPF measures, the expected time</w:t>
      </w:r>
      <w:r w:rsidR="00BF75AB" w:rsidRPr="00664E64">
        <w:rPr>
          <w:rFonts w:eastAsia="MS Mincho"/>
        </w:rPr>
        <w:t xml:space="preserve"> </w:t>
      </w:r>
      <w:r w:rsidRPr="00664E64">
        <w:rPr>
          <w:rFonts w:eastAsia="MS Mincho"/>
        </w:rPr>
        <w:t xml:space="preserve">frame for implementation of each measure and delineation of responsibilities between the Commonwealth and state &amp; territory governments. Several regulators had been working on developing the NCPF principles from their inception, and the National Policy Statement (November 2018) reflects the agreed commitments of the Commonwealth government and state &amp; territory jurisdictions. </w:t>
      </w:r>
    </w:p>
    <w:p w14:paraId="7A4B0EE1" w14:textId="77777777" w:rsidR="006B6D15" w:rsidRPr="00664E64" w:rsidRDefault="006B6D15" w:rsidP="00F65855">
      <w:pPr>
        <w:pStyle w:val="BodyText"/>
        <w:rPr>
          <w:rFonts w:eastAsia="MS Mincho"/>
        </w:rPr>
      </w:pPr>
      <w:r w:rsidRPr="00664E64">
        <w:rPr>
          <w:rFonts w:eastAsia="MS Mincho"/>
        </w:rPr>
        <w:t xml:space="preserve">Some regulators described being partially or fully ready to implement measures prior to the NCPF being finalised. </w:t>
      </w:r>
    </w:p>
    <w:p w14:paraId="2C86BAFC" w14:textId="59EE177E" w:rsidR="006B6D15" w:rsidRPr="003B36FC" w:rsidRDefault="006B6D15" w:rsidP="00F65855">
      <w:pPr>
        <w:pStyle w:val="Quote"/>
        <w:rPr>
          <w:color w:val="auto"/>
        </w:rPr>
      </w:pPr>
      <w:r w:rsidRPr="003B36FC">
        <w:rPr>
          <w:color w:val="auto"/>
        </w:rPr>
        <w:t>‘[Jurisdiction] amended its legislation back in 2017</w:t>
      </w:r>
      <w:r w:rsidR="00BF75AB" w:rsidRPr="003B36FC">
        <w:rPr>
          <w:color w:val="auto"/>
        </w:rPr>
        <w:t xml:space="preserve"> </w:t>
      </w:r>
      <w:r w:rsidRPr="003B36FC">
        <w:rPr>
          <w:color w:val="auto"/>
        </w:rPr>
        <w:t xml:space="preserve">… to implement whatever the </w:t>
      </w:r>
      <w:r w:rsidR="00014A0D" w:rsidRPr="003B36FC">
        <w:rPr>
          <w:color w:val="auto"/>
        </w:rPr>
        <w:t>Framework</w:t>
      </w:r>
      <w:r w:rsidRPr="003B36FC">
        <w:rPr>
          <w:color w:val="auto"/>
        </w:rPr>
        <w:t xml:space="preserve"> ended up to be. So before the </w:t>
      </w:r>
      <w:r w:rsidR="00014A0D" w:rsidRPr="003B36FC">
        <w:rPr>
          <w:color w:val="auto"/>
        </w:rPr>
        <w:t>Framework</w:t>
      </w:r>
      <w:r w:rsidRPr="003B36FC">
        <w:rPr>
          <w:color w:val="auto"/>
        </w:rPr>
        <w:t xml:space="preserve"> was finalised we had the power to implement</w:t>
      </w:r>
      <w:r w:rsidR="00BF75AB" w:rsidRPr="003B36FC">
        <w:rPr>
          <w:color w:val="auto"/>
        </w:rPr>
        <w:t>.</w:t>
      </w:r>
      <w:r w:rsidRPr="003B36FC">
        <w:rPr>
          <w:color w:val="auto"/>
        </w:rPr>
        <w:t>’</w:t>
      </w:r>
    </w:p>
    <w:p w14:paraId="47C02917" w14:textId="39D0BA42" w:rsidR="006B6D15" w:rsidRPr="003B36FC" w:rsidRDefault="006B6D15" w:rsidP="00F65855">
      <w:pPr>
        <w:pStyle w:val="Quote"/>
        <w:rPr>
          <w:color w:val="auto"/>
        </w:rPr>
      </w:pPr>
      <w:r w:rsidRPr="003B36FC">
        <w:rPr>
          <w:color w:val="auto"/>
        </w:rPr>
        <w:t xml:space="preserve">‘Out of the </w:t>
      </w:r>
      <w:r w:rsidR="00BF75AB" w:rsidRPr="003B36FC">
        <w:rPr>
          <w:color w:val="auto"/>
        </w:rPr>
        <w:t xml:space="preserve">10 </w:t>
      </w:r>
      <w:r w:rsidRPr="003B36FC">
        <w:rPr>
          <w:color w:val="auto"/>
        </w:rPr>
        <w:t>measures there are only two instances where we may need to have legislative amendment</w:t>
      </w:r>
      <w:r w:rsidR="00BF75AB" w:rsidRPr="003B36FC">
        <w:rPr>
          <w:color w:val="auto"/>
        </w:rPr>
        <w:t>.</w:t>
      </w:r>
      <w:r w:rsidRPr="003B36FC">
        <w:rPr>
          <w:color w:val="auto"/>
        </w:rPr>
        <w:t>’</w:t>
      </w:r>
    </w:p>
    <w:p w14:paraId="7115B18A" w14:textId="4F37D2A3" w:rsidR="00556897" w:rsidRPr="00664E64" w:rsidRDefault="006B6D15" w:rsidP="00F65855">
      <w:pPr>
        <w:pStyle w:val="BodyText"/>
        <w:rPr>
          <w:rFonts w:eastAsia="MS Mincho"/>
        </w:rPr>
      </w:pPr>
      <w:r w:rsidRPr="00664E64">
        <w:rPr>
          <w:rFonts w:eastAsia="MS Mincho"/>
        </w:rPr>
        <w:t>Other regulators expressed the view that the time</w:t>
      </w:r>
      <w:r w:rsidR="00BF75AB" w:rsidRPr="00664E64">
        <w:rPr>
          <w:rFonts w:eastAsia="MS Mincho"/>
        </w:rPr>
        <w:t xml:space="preserve"> </w:t>
      </w:r>
      <w:r w:rsidRPr="00664E64">
        <w:rPr>
          <w:rFonts w:eastAsia="MS Mincho"/>
        </w:rPr>
        <w:t xml:space="preserve">frames were quite tight, particularly in relation to </w:t>
      </w:r>
      <w:r w:rsidR="00556897" w:rsidRPr="00664E64">
        <w:rPr>
          <w:rFonts w:eastAsia="MS Mincho"/>
        </w:rPr>
        <w:t xml:space="preserve">changes that were required to be made by wagering providers </w:t>
      </w:r>
      <w:r w:rsidR="008E07B7" w:rsidRPr="00664E64">
        <w:rPr>
          <w:rFonts w:eastAsia="MS Mincho"/>
        </w:rPr>
        <w:t xml:space="preserve">for </w:t>
      </w:r>
      <w:r w:rsidRPr="00664E64">
        <w:rPr>
          <w:rFonts w:eastAsia="MS Mincho"/>
        </w:rPr>
        <w:t>NCPF measures due to come into effect in May 2019</w:t>
      </w:r>
      <w:r w:rsidR="00556897" w:rsidRPr="00664E64">
        <w:rPr>
          <w:rFonts w:eastAsia="MS Mincho"/>
        </w:rPr>
        <w:t>:</w:t>
      </w:r>
    </w:p>
    <w:p w14:paraId="4A63F55A" w14:textId="04AD0627" w:rsidR="00556897" w:rsidRPr="003B36FC" w:rsidRDefault="00BF75AB" w:rsidP="00F65855">
      <w:pPr>
        <w:pStyle w:val="Quote"/>
        <w:rPr>
          <w:color w:val="auto"/>
        </w:rPr>
      </w:pPr>
      <w:r w:rsidRPr="003B36FC">
        <w:rPr>
          <w:color w:val="auto"/>
        </w:rPr>
        <w:t>‘</w:t>
      </w:r>
      <w:r w:rsidR="00556897" w:rsidRPr="003B36FC">
        <w:rPr>
          <w:color w:val="auto"/>
        </w:rPr>
        <w:t>Particularly the May 2019 time frames [look a bit tight] but look that's something that operators have committed to dealing with and you know it's mainly the technical aspects on their end I guess that require some work.</w:t>
      </w:r>
      <w:r w:rsidRPr="003B36FC">
        <w:rPr>
          <w:color w:val="auto"/>
        </w:rPr>
        <w:t>’</w:t>
      </w:r>
      <w:r w:rsidR="00556897" w:rsidRPr="003B36FC">
        <w:rPr>
          <w:color w:val="auto"/>
        </w:rPr>
        <w:t xml:space="preserve">  </w:t>
      </w:r>
    </w:p>
    <w:p w14:paraId="7F822F7F" w14:textId="375ADB19" w:rsidR="006B6D15" w:rsidRPr="00664E64" w:rsidRDefault="006B6D15" w:rsidP="00F65855">
      <w:pPr>
        <w:pStyle w:val="BodyText"/>
        <w:rPr>
          <w:rFonts w:eastAsia="MS Mincho"/>
        </w:rPr>
      </w:pPr>
      <w:r w:rsidRPr="00664E64">
        <w:rPr>
          <w:rFonts w:eastAsia="MS Mincho"/>
        </w:rPr>
        <w:t xml:space="preserve">More than one regulator said that, at the time of interview, </w:t>
      </w:r>
      <w:r w:rsidR="00556897" w:rsidRPr="00664E64">
        <w:rPr>
          <w:rFonts w:eastAsia="MS Mincho"/>
        </w:rPr>
        <w:t>certain</w:t>
      </w:r>
      <w:r w:rsidRPr="00664E64">
        <w:rPr>
          <w:rFonts w:eastAsia="MS Mincho"/>
        </w:rPr>
        <w:t xml:space="preserve"> implementation methods were still to be determined </w:t>
      </w:r>
      <w:r w:rsidR="006922B3" w:rsidRPr="00664E64">
        <w:rPr>
          <w:rFonts w:eastAsia="MS Mincho"/>
        </w:rPr>
        <w:t xml:space="preserve">by </w:t>
      </w:r>
      <w:r w:rsidR="00B47D9E" w:rsidRPr="00664E64">
        <w:rPr>
          <w:rFonts w:eastAsia="MS Mincho"/>
        </w:rPr>
        <w:t xml:space="preserve">a few </w:t>
      </w:r>
      <w:r w:rsidR="006922B3" w:rsidRPr="00664E64">
        <w:rPr>
          <w:rFonts w:eastAsia="MS Mincho"/>
        </w:rPr>
        <w:t>juri</w:t>
      </w:r>
      <w:r w:rsidR="00B47D9E" w:rsidRPr="00664E64">
        <w:rPr>
          <w:rFonts w:eastAsia="MS Mincho"/>
        </w:rPr>
        <w:t>s</w:t>
      </w:r>
      <w:r w:rsidR="006922B3" w:rsidRPr="00664E64">
        <w:rPr>
          <w:rFonts w:eastAsia="MS Mincho"/>
        </w:rPr>
        <w:t xml:space="preserve">dictions </w:t>
      </w:r>
      <w:r w:rsidRPr="00664E64">
        <w:rPr>
          <w:rFonts w:eastAsia="MS Mincho"/>
        </w:rPr>
        <w:t>for measures coming into effect in May 2019.</w:t>
      </w:r>
    </w:p>
    <w:p w14:paraId="40652887" w14:textId="77777777" w:rsidR="006B6D15" w:rsidRPr="00664E64" w:rsidRDefault="006B6D15" w:rsidP="00F65855">
      <w:pPr>
        <w:pStyle w:val="BodyText"/>
        <w:rPr>
          <w:rFonts w:eastAsia="MS Mincho"/>
        </w:rPr>
      </w:pPr>
      <w:r w:rsidRPr="00664E64">
        <w:rPr>
          <w:rFonts w:eastAsia="MS Mincho"/>
        </w:rPr>
        <w:t>Some regulators have a specific role in implementing and monitoring compliance of national measures that are already in effect. These regulators reported having a detailed understanding of the technical requirements of those measures, and how they are to be monitored and enforced. These regulators reported a good awareness of the NCPF overall, although they were not as focused on state and territory-related measures.</w:t>
      </w:r>
    </w:p>
    <w:p w14:paraId="03D09398" w14:textId="78BD29F0" w:rsidR="006B6D15" w:rsidRPr="003B36FC" w:rsidRDefault="006B6D15" w:rsidP="00F65855">
      <w:pPr>
        <w:pStyle w:val="Heading3"/>
        <w:rPr>
          <w:color w:val="auto"/>
        </w:rPr>
      </w:pPr>
      <w:r w:rsidRPr="003B36FC">
        <w:rPr>
          <w:color w:val="auto"/>
        </w:rPr>
        <w:t>Technical changes required to implement NCPF measures</w:t>
      </w:r>
    </w:p>
    <w:p w14:paraId="73BAEBCF" w14:textId="77777777" w:rsidR="006B6D15" w:rsidRPr="00664E64" w:rsidRDefault="006B6D15" w:rsidP="00F65855">
      <w:pPr>
        <w:pStyle w:val="BodyText"/>
        <w:rPr>
          <w:rFonts w:eastAsia="MS Mincho"/>
          <w:color w:val="62136D"/>
          <w:sz w:val="28"/>
          <w:szCs w:val="28"/>
        </w:rPr>
      </w:pPr>
      <w:r w:rsidRPr="00664E64">
        <w:rPr>
          <w:rFonts w:eastAsia="MS Mincho"/>
        </w:rPr>
        <w:t xml:space="preserve">All regulators reported having a good awareness of the technical changes required to implement NCPF measures in their respective jurisdictions. They described implementing these measures through legislative change, regulatory amendment or changes to Codes of Practice. </w:t>
      </w:r>
    </w:p>
    <w:p w14:paraId="64F549E0" w14:textId="17863718" w:rsidR="006B6D15" w:rsidRPr="003B36FC" w:rsidRDefault="006B6D15" w:rsidP="00F65855">
      <w:pPr>
        <w:pStyle w:val="Quote"/>
        <w:rPr>
          <w:color w:val="auto"/>
        </w:rPr>
      </w:pPr>
      <w:r w:rsidRPr="003B36FC">
        <w:rPr>
          <w:color w:val="auto"/>
        </w:rPr>
        <w:lastRenderedPageBreak/>
        <w:t>‘Implementation was successful in terms of the fact that those provisions implementing the measures were inserted into</w:t>
      </w:r>
      <w:r w:rsidRPr="003B36FC">
        <w:t xml:space="preserve"> </w:t>
      </w:r>
      <w:r w:rsidRPr="003B36FC">
        <w:rPr>
          <w:color w:val="auto"/>
        </w:rPr>
        <w:t>the [Act]</w:t>
      </w:r>
      <w:r w:rsidR="00BF75AB" w:rsidRPr="003B36FC">
        <w:rPr>
          <w:color w:val="auto"/>
        </w:rPr>
        <w:t xml:space="preserve"> </w:t>
      </w:r>
      <w:r w:rsidRPr="003B36FC">
        <w:rPr>
          <w:color w:val="auto"/>
        </w:rPr>
        <w:t>… so in terms of their implementation</w:t>
      </w:r>
      <w:r w:rsidR="00BF75AB" w:rsidRPr="003B36FC">
        <w:rPr>
          <w:color w:val="auto"/>
        </w:rPr>
        <w:t xml:space="preserve"> </w:t>
      </w:r>
      <w:r w:rsidRPr="003B36FC">
        <w:rPr>
          <w:color w:val="auto"/>
        </w:rPr>
        <w:t>… achieved on time and successfully</w:t>
      </w:r>
      <w:r w:rsidR="00BF75AB" w:rsidRPr="003B36FC">
        <w:rPr>
          <w:color w:val="auto"/>
        </w:rPr>
        <w:t>.</w:t>
      </w:r>
      <w:r w:rsidRPr="003B36FC">
        <w:rPr>
          <w:color w:val="auto"/>
        </w:rPr>
        <w:t>’</w:t>
      </w:r>
    </w:p>
    <w:p w14:paraId="312002F3" w14:textId="77777777" w:rsidR="006B6D15" w:rsidRPr="00664E64" w:rsidRDefault="006B6D15" w:rsidP="00F65855">
      <w:pPr>
        <w:pStyle w:val="BodyText"/>
        <w:rPr>
          <w:rFonts w:eastAsia="MS Mincho"/>
        </w:rPr>
      </w:pPr>
      <w:r w:rsidRPr="00664E64">
        <w:rPr>
          <w:rFonts w:eastAsia="MS Mincho"/>
        </w:rPr>
        <w:t xml:space="preserve">Some jurisdictions reported that they already had pre-existing legislative or regulatory gambling restrictions that partially or fully addressed NCPF measures, or required only minor amendments. For example, one jurisdiction amended legislation in 2017 allowing its responsible Minister with a clear power to issue directives to implement the NCPF, thus making it an offence for wagering providers to not be in compliance. </w:t>
      </w:r>
    </w:p>
    <w:p w14:paraId="341DDF52" w14:textId="77777777" w:rsidR="006B6D15" w:rsidRPr="00664E64" w:rsidRDefault="006B6D15" w:rsidP="00F65855">
      <w:pPr>
        <w:pStyle w:val="BodyText"/>
        <w:rPr>
          <w:rFonts w:eastAsia="MS Mincho"/>
        </w:rPr>
      </w:pPr>
      <w:r w:rsidRPr="00664E64">
        <w:rPr>
          <w:rFonts w:eastAsia="MS Mincho"/>
        </w:rPr>
        <w:t xml:space="preserve">Other jurisdictions have amended, or plan to amend, regulations under existing legislation that addresses the actions of wagering providers. These jurisdictions noted that regulatory amendment was less onerous and timelier than amending legislation. </w:t>
      </w:r>
    </w:p>
    <w:p w14:paraId="790D2BB8" w14:textId="12FC4147" w:rsidR="006B6D15" w:rsidRPr="003B36FC" w:rsidRDefault="006B6D15" w:rsidP="00F65855">
      <w:pPr>
        <w:pStyle w:val="Quote"/>
        <w:rPr>
          <w:color w:val="auto"/>
        </w:rPr>
      </w:pPr>
      <w:r w:rsidRPr="003B36FC">
        <w:rPr>
          <w:color w:val="auto"/>
        </w:rPr>
        <w:t>‘It takes a long time to get Parliament to open up say, a Gaming Act which is always controversial because you know as soon as you open it up, you know people want to raise lots of other issues that they have with it</w:t>
      </w:r>
      <w:r w:rsidR="00582D82" w:rsidRPr="003B36FC">
        <w:rPr>
          <w:color w:val="auto"/>
        </w:rPr>
        <w:t>.’</w:t>
      </w:r>
    </w:p>
    <w:p w14:paraId="0953375F" w14:textId="77777777" w:rsidR="006B6D15" w:rsidRPr="00664E64" w:rsidRDefault="006B6D15" w:rsidP="00F65855">
      <w:pPr>
        <w:pStyle w:val="BodyText"/>
        <w:rPr>
          <w:rFonts w:eastAsia="MS Mincho"/>
        </w:rPr>
      </w:pPr>
      <w:r w:rsidRPr="00664E64">
        <w:rPr>
          <w:rFonts w:eastAsia="MS Mincho"/>
        </w:rPr>
        <w:t>Some jurisdictions plan to implement measures under their mandatory Codes of Practice that govern actions of wagering providers. At the time of interview, one jurisdiction was still to determine the specifics of how upcoming measures would be put into effect under their Code of Practice.</w:t>
      </w:r>
    </w:p>
    <w:p w14:paraId="587FDEFF" w14:textId="77777777" w:rsidR="006B6D15" w:rsidRPr="00664E64" w:rsidRDefault="006B6D15" w:rsidP="00F65855">
      <w:pPr>
        <w:pStyle w:val="BodyText"/>
        <w:rPr>
          <w:rFonts w:eastAsia="MS Mincho"/>
        </w:rPr>
      </w:pPr>
      <w:r w:rsidRPr="00664E64">
        <w:rPr>
          <w:rFonts w:eastAsia="MS Mincho"/>
        </w:rPr>
        <w:t xml:space="preserve">A number of measures that have been implemented are now part of licence conditions for wagering providers in particular jurisdictions. Jurisdictions with relatively few licensees viewed this as a straightforward method to ensure compliance with the new measures: </w:t>
      </w:r>
    </w:p>
    <w:p w14:paraId="3C9AD246" w14:textId="4373950C" w:rsidR="006B6D15" w:rsidRPr="003B36FC" w:rsidRDefault="006B6D15" w:rsidP="00F65855">
      <w:pPr>
        <w:pStyle w:val="Quote"/>
        <w:rPr>
          <w:color w:val="auto"/>
        </w:rPr>
      </w:pPr>
      <w:r w:rsidRPr="003B36FC">
        <w:rPr>
          <w:color w:val="auto"/>
        </w:rPr>
        <w:t>‘We’ll be amending our Code of Practice and basically, the changes we make will only apply to [wagering provider] because</w:t>
      </w:r>
      <w:r w:rsidR="00582D82" w:rsidRPr="003B36FC">
        <w:rPr>
          <w:color w:val="auto"/>
        </w:rPr>
        <w:t xml:space="preserve"> </w:t>
      </w:r>
      <w:r w:rsidRPr="003B36FC">
        <w:rPr>
          <w:color w:val="auto"/>
        </w:rPr>
        <w:t xml:space="preserve">… our regulatory </w:t>
      </w:r>
      <w:r w:rsidR="00014A0D" w:rsidRPr="003B36FC">
        <w:rPr>
          <w:color w:val="auto"/>
        </w:rPr>
        <w:t>Framework</w:t>
      </w:r>
      <w:r w:rsidRPr="003B36FC">
        <w:rPr>
          <w:color w:val="auto"/>
        </w:rPr>
        <w:t xml:space="preserve"> only allows us to implement … conditions and regulations on licensees that we licence.’</w:t>
      </w:r>
    </w:p>
    <w:p w14:paraId="1A81A804" w14:textId="77777777" w:rsidR="006B6D15" w:rsidRPr="00664E64" w:rsidRDefault="006B6D15" w:rsidP="00F65855">
      <w:pPr>
        <w:pStyle w:val="BodyText"/>
        <w:rPr>
          <w:rFonts w:eastAsia="MS Mincho"/>
        </w:rPr>
      </w:pPr>
      <w:r w:rsidRPr="00664E64">
        <w:rPr>
          <w:rFonts w:eastAsia="MS Mincho"/>
        </w:rPr>
        <w:t>Some jurisdictions noted that the new licence conditions required internal technical changes by wagering providers to ensure compliance.</w:t>
      </w:r>
    </w:p>
    <w:p w14:paraId="7B175A18" w14:textId="4429C267" w:rsidR="006B6D15" w:rsidRPr="00664E64" w:rsidRDefault="006B6D15" w:rsidP="00F65855">
      <w:pPr>
        <w:pStyle w:val="BodyText"/>
        <w:rPr>
          <w:rFonts w:eastAsia="MS Mincho"/>
        </w:rPr>
      </w:pPr>
      <w:r w:rsidRPr="00664E64">
        <w:t>Some regulators said that they needed to determine how certain NCPF measures would be implemented before they came into effect in May 2020. Several jurisdictions advised that NCPF measures due to come into effect in 2020 require further trialling and development of a uniform approach, particularly in relation to measure eight on consistent gambling messaging. However, most jurisdictions were confident of implementing measures due to come into effect in May 2019, despite the relatively narrow time</w:t>
      </w:r>
      <w:r w:rsidR="00582D82" w:rsidRPr="00664E64">
        <w:t xml:space="preserve"> </w:t>
      </w:r>
      <w:r w:rsidRPr="00664E64">
        <w:t>frames</w:t>
      </w:r>
      <w:r w:rsidRPr="00664E64">
        <w:rPr>
          <w:rFonts w:eastAsia="MS Mincho"/>
        </w:rPr>
        <w:t>.</w:t>
      </w:r>
    </w:p>
    <w:p w14:paraId="49E85736" w14:textId="79DAFBD5" w:rsidR="006B6D15" w:rsidRPr="006B1160" w:rsidRDefault="006B6D15" w:rsidP="00F65855">
      <w:pPr>
        <w:pStyle w:val="Heading3"/>
        <w:rPr>
          <w:color w:val="auto"/>
        </w:rPr>
      </w:pPr>
      <w:r w:rsidRPr="006B1160">
        <w:rPr>
          <w:color w:val="auto"/>
        </w:rPr>
        <w:t>Monitoring and compliance of NCPF measures</w:t>
      </w:r>
    </w:p>
    <w:p w14:paraId="71667C45" w14:textId="7261050D" w:rsidR="006B6D15" w:rsidRPr="00664E64" w:rsidRDefault="006B6D15" w:rsidP="00F65855">
      <w:pPr>
        <w:pStyle w:val="BodyText"/>
        <w:rPr>
          <w:rFonts w:eastAsia="MS Mincho"/>
        </w:rPr>
      </w:pPr>
      <w:r w:rsidRPr="00664E64">
        <w:rPr>
          <w:rFonts w:eastAsia="MS Mincho"/>
        </w:rPr>
        <w:t>All jurisdictions reported that monitoring and compliance of NCPF measures would largely fall under existing mechanisms. Some jurisdictions have separate bodies that ensure monitoring and compliance of wagering providers th</w:t>
      </w:r>
      <w:r w:rsidR="006B6F31" w:rsidRPr="00664E64">
        <w:rPr>
          <w:rFonts w:eastAsia="MS Mincho"/>
        </w:rPr>
        <w:t>r</w:t>
      </w:r>
      <w:r w:rsidRPr="00664E64">
        <w:rPr>
          <w:rFonts w:eastAsia="MS Mincho"/>
        </w:rPr>
        <w:t xml:space="preserve">ough licence conditions or other requirements. Commonwealth regulators noted largely positive interactions with state </w:t>
      </w:r>
      <w:r w:rsidR="00582D82" w:rsidRPr="00664E64">
        <w:rPr>
          <w:rFonts w:eastAsia="MS Mincho"/>
        </w:rPr>
        <w:t xml:space="preserve">and </w:t>
      </w:r>
      <w:r w:rsidRPr="00664E64">
        <w:rPr>
          <w:rFonts w:eastAsia="MS Mincho"/>
        </w:rPr>
        <w:t xml:space="preserve">territory regulators on monitoring and compliance issues that cross jurisdictional borders. </w:t>
      </w:r>
    </w:p>
    <w:p w14:paraId="03BA521D" w14:textId="77777777" w:rsidR="006B6D15" w:rsidRPr="00664E64" w:rsidRDefault="006B6D15" w:rsidP="00F65855">
      <w:pPr>
        <w:pStyle w:val="BodyText"/>
        <w:rPr>
          <w:rFonts w:eastAsia="MS Mincho"/>
        </w:rPr>
      </w:pPr>
      <w:r w:rsidRPr="00664E64">
        <w:rPr>
          <w:rFonts w:eastAsia="MS Mincho"/>
        </w:rPr>
        <w:t xml:space="preserve">State and territory regulators differ as to the level of monitoring of wagering providers licensed in their jurisdiction. Some jurisdictions reported taking an active approach with, for example, supervisory teams </w:t>
      </w:r>
      <w:r w:rsidRPr="00664E64">
        <w:rPr>
          <w:rFonts w:eastAsia="MS Mincho"/>
        </w:rPr>
        <w:lastRenderedPageBreak/>
        <w:t xml:space="preserve">that conduct assessments of wagering providers. Other jurisdictions rely more on reported breaches of licence by wagering providers, or on an audit approach, after which investigations may take place. </w:t>
      </w:r>
    </w:p>
    <w:p w14:paraId="1DECDD82" w14:textId="77777777" w:rsidR="006B6D15" w:rsidRPr="0024278A" w:rsidRDefault="006B6D15" w:rsidP="00F65855">
      <w:pPr>
        <w:pStyle w:val="BodyText"/>
        <w:rPr>
          <w:rFonts w:eastAsia="MS Mincho"/>
          <w:color w:val="auto"/>
        </w:rPr>
      </w:pPr>
      <w:r w:rsidRPr="00664E64">
        <w:rPr>
          <w:rFonts w:eastAsia="MS Mincho"/>
        </w:rPr>
        <w:t>A point of difference emerged in the reach of state and territory laws across jurisdictions. Some jurisdictions reported only requiring adherence to regulations in that jurisdiction where the wagering provider is licensed (point of supply approach)</w:t>
      </w:r>
      <w:r w:rsidRPr="00664E64">
        <w:rPr>
          <w:rFonts w:eastAsia="MS Mincho"/>
          <w:color w:val="FF0000"/>
        </w:rPr>
        <w:t xml:space="preserve">. </w:t>
      </w:r>
      <w:r w:rsidRPr="00664E64">
        <w:rPr>
          <w:rFonts w:eastAsia="MS Mincho"/>
        </w:rPr>
        <w:t>Other jurisdictions extend their legal regulations to wagering providers who offer services to residents within a jurisdiction (point of consumption approach).</w:t>
      </w:r>
      <w:r w:rsidRPr="00664E64">
        <w:rPr>
          <w:rFonts w:eastAsia="MS Mincho"/>
          <w:color w:val="FF0000"/>
        </w:rPr>
        <w:t xml:space="preserve"> </w:t>
      </w:r>
    </w:p>
    <w:p w14:paraId="22FA75D5" w14:textId="5E59EF39" w:rsidR="006B6D15" w:rsidRPr="00664E64" w:rsidRDefault="006B6D15" w:rsidP="00F65855">
      <w:pPr>
        <w:pStyle w:val="BodyText"/>
        <w:rPr>
          <w:rFonts w:eastAsia="MS Mincho"/>
        </w:rPr>
      </w:pPr>
      <w:r w:rsidRPr="00664E64">
        <w:rPr>
          <w:rFonts w:eastAsia="MS Mincho"/>
        </w:rPr>
        <w:t xml:space="preserve">Regulators reported that this resulted in discrepancies across jurisdictions as to how wagering providers are regulated across state and territory borders. At least one regulator has prosecuted licensees registered in another state or territory for infringements in delivering its gambling products within that jurisdiction. Another regulator </w:t>
      </w:r>
      <w:r w:rsidR="006C04B8" w:rsidRPr="00664E64">
        <w:rPr>
          <w:rFonts w:eastAsia="MS Mincho"/>
        </w:rPr>
        <w:t>that was</w:t>
      </w:r>
      <w:r w:rsidR="00BB12E2" w:rsidRPr="00664E64">
        <w:rPr>
          <w:rFonts w:eastAsia="MS Mincho"/>
        </w:rPr>
        <w:t xml:space="preserve"> </w:t>
      </w:r>
      <w:r w:rsidR="004503A2" w:rsidRPr="00664E64">
        <w:rPr>
          <w:rFonts w:eastAsia="MS Mincho"/>
        </w:rPr>
        <w:t>spoken with</w:t>
      </w:r>
      <w:r w:rsidR="006C04B8" w:rsidRPr="00664E64">
        <w:rPr>
          <w:rFonts w:eastAsia="MS Mincho"/>
        </w:rPr>
        <w:t xml:space="preserve"> later in the </w:t>
      </w:r>
      <w:r w:rsidR="00BB12E2" w:rsidRPr="00664E64">
        <w:rPr>
          <w:rFonts w:eastAsia="MS Mincho"/>
        </w:rPr>
        <w:t>interview time</w:t>
      </w:r>
      <w:r w:rsidR="00582D82" w:rsidRPr="00664E64">
        <w:rPr>
          <w:rFonts w:eastAsia="MS Mincho"/>
        </w:rPr>
        <w:t xml:space="preserve"> </w:t>
      </w:r>
      <w:r w:rsidR="00BB12E2" w:rsidRPr="00664E64">
        <w:rPr>
          <w:rFonts w:eastAsia="MS Mincho"/>
        </w:rPr>
        <w:t>frame</w:t>
      </w:r>
      <w:r w:rsidRPr="00664E64">
        <w:rPr>
          <w:rFonts w:eastAsia="MS Mincho"/>
        </w:rPr>
        <w:t xml:space="preserve"> said they now have a process to inform regulators in other jurisdictions of breaches of their gambling provisions:</w:t>
      </w:r>
    </w:p>
    <w:p w14:paraId="7D87294B" w14:textId="0F0BAFC6" w:rsidR="006B6D15" w:rsidRPr="006B1160" w:rsidRDefault="006B6D15" w:rsidP="00F65855">
      <w:pPr>
        <w:pStyle w:val="Quote"/>
        <w:rPr>
          <w:color w:val="auto"/>
        </w:rPr>
      </w:pPr>
      <w:r w:rsidRPr="006B1160">
        <w:rPr>
          <w:color w:val="auto"/>
        </w:rPr>
        <w:t xml:space="preserve">‘If the wagering service provider that is not regulated in this jurisdiction is in breach of the provisions of the </w:t>
      </w:r>
      <w:r w:rsidR="00AD2B47" w:rsidRPr="006B1160">
        <w:rPr>
          <w:color w:val="auto"/>
        </w:rPr>
        <w:t>N</w:t>
      </w:r>
      <w:r w:rsidRPr="006B1160">
        <w:rPr>
          <w:color w:val="auto"/>
        </w:rPr>
        <w:t xml:space="preserve">ational </w:t>
      </w:r>
      <w:r w:rsidR="00014A0D" w:rsidRPr="006B1160">
        <w:rPr>
          <w:color w:val="auto"/>
        </w:rPr>
        <w:t>Framework</w:t>
      </w:r>
      <w:r w:rsidRPr="006B1160">
        <w:rPr>
          <w:color w:val="auto"/>
        </w:rPr>
        <w:t>, then we would inform the relevant regulator and it’s presumed that that regulator would take action. Because we have no statutory ability to take action against [a provider] that’s not licensed here</w:t>
      </w:r>
      <w:r w:rsidR="00582D82" w:rsidRPr="006B1160">
        <w:rPr>
          <w:color w:val="auto"/>
        </w:rPr>
        <w:t>.</w:t>
      </w:r>
      <w:r w:rsidRPr="006B1160">
        <w:rPr>
          <w:color w:val="auto"/>
        </w:rPr>
        <w:t>’</w:t>
      </w:r>
    </w:p>
    <w:p w14:paraId="454815EF" w14:textId="77777777" w:rsidR="006B6D15" w:rsidRPr="00664E64" w:rsidRDefault="006B6D15" w:rsidP="00F65855">
      <w:pPr>
        <w:pStyle w:val="BodyText"/>
        <w:rPr>
          <w:rFonts w:eastAsia="MS Mincho"/>
        </w:rPr>
      </w:pPr>
      <w:r w:rsidRPr="00664E64">
        <w:rPr>
          <w:rFonts w:eastAsia="MS Mincho"/>
        </w:rPr>
        <w:t xml:space="preserve">All jurisdictions have a range of penalties for breaches of their regulations depending on the severity of the breach. These include formal warnings, access to customer records, infringements notices, cancellation of licences, fines and civil penalties. A number of jurisdictions reported having undertaken prosecutions of wagering providers for breaches of their existing regulations, and some have highlighted the benefit of such actions: </w:t>
      </w:r>
    </w:p>
    <w:p w14:paraId="797E5D0B" w14:textId="4E62EFB5" w:rsidR="006B6D15" w:rsidRPr="006B1160" w:rsidRDefault="006B6D15" w:rsidP="00F65855">
      <w:pPr>
        <w:pStyle w:val="Quote"/>
        <w:rPr>
          <w:color w:val="auto"/>
        </w:rPr>
      </w:pPr>
      <w:r w:rsidRPr="006B1160">
        <w:rPr>
          <w:color w:val="auto"/>
        </w:rPr>
        <w:t>‘We see a lot more self-disclosed breaches where they want to own up to it, and tell us what they’re doing in the first instance</w:t>
      </w:r>
      <w:r w:rsidR="00FA363C" w:rsidRPr="006B1160">
        <w:rPr>
          <w:color w:val="auto"/>
        </w:rPr>
        <w:t>.</w:t>
      </w:r>
      <w:r w:rsidRPr="006B1160">
        <w:rPr>
          <w:color w:val="auto"/>
        </w:rPr>
        <w:t xml:space="preserve">’ </w:t>
      </w:r>
    </w:p>
    <w:p w14:paraId="2D806E23" w14:textId="77777777" w:rsidR="006B6D15" w:rsidRPr="00664E64" w:rsidRDefault="006B6D15" w:rsidP="00F65855">
      <w:pPr>
        <w:pStyle w:val="BodyText"/>
        <w:rPr>
          <w:rFonts w:eastAsia="MS Mincho"/>
        </w:rPr>
      </w:pPr>
      <w:r w:rsidRPr="00664E64">
        <w:rPr>
          <w:rFonts w:eastAsia="MS Mincho"/>
        </w:rPr>
        <w:t xml:space="preserve">Some regulators noted positive feedback on compliance by wagering providers for measures already in effect. </w:t>
      </w:r>
    </w:p>
    <w:p w14:paraId="330DF4C8" w14:textId="4492D61C" w:rsidR="006B6D15" w:rsidRPr="006B1160" w:rsidRDefault="006B6D15" w:rsidP="00F65855">
      <w:pPr>
        <w:pStyle w:val="Quote"/>
        <w:rPr>
          <w:color w:val="auto"/>
        </w:rPr>
      </w:pPr>
      <w:r w:rsidRPr="006B1160">
        <w:rPr>
          <w:color w:val="auto"/>
        </w:rPr>
        <w:t>‘You know, it is in [wagering providers’] interest to know who they’re doing business with. They can’t pay out any winnings unless they’ve done it anyway, so it’s just a liability on their books until they actually know who the person is and they can actually start transacting the money. And at the same time</w:t>
      </w:r>
      <w:r w:rsidR="00FA363C" w:rsidRPr="006B1160">
        <w:rPr>
          <w:color w:val="auto"/>
        </w:rPr>
        <w:t xml:space="preserve"> </w:t>
      </w:r>
      <w:r w:rsidRPr="006B1160">
        <w:rPr>
          <w:color w:val="auto"/>
        </w:rPr>
        <w:t>… they want to do the right thing</w:t>
      </w:r>
      <w:r w:rsidR="00FA363C" w:rsidRPr="006B1160">
        <w:rPr>
          <w:color w:val="auto"/>
        </w:rPr>
        <w:t>.</w:t>
      </w:r>
      <w:r w:rsidRPr="006B1160">
        <w:rPr>
          <w:color w:val="auto"/>
        </w:rPr>
        <w:t xml:space="preserve">’ </w:t>
      </w:r>
    </w:p>
    <w:p w14:paraId="39745BBF" w14:textId="0346CF3D" w:rsidR="006B6D15" w:rsidRPr="006B1160" w:rsidRDefault="006B6D15" w:rsidP="00F65855">
      <w:pPr>
        <w:pStyle w:val="Heading3"/>
        <w:rPr>
          <w:color w:val="auto"/>
        </w:rPr>
      </w:pPr>
      <w:r w:rsidRPr="006B1160">
        <w:rPr>
          <w:color w:val="auto"/>
        </w:rPr>
        <w:t>Communication with wagering providers and consumers</w:t>
      </w:r>
    </w:p>
    <w:p w14:paraId="3FF085FA" w14:textId="502CC477" w:rsidR="006B6D15" w:rsidRPr="00664E64" w:rsidRDefault="006B6D15" w:rsidP="00F65855">
      <w:pPr>
        <w:pStyle w:val="BodyText"/>
        <w:rPr>
          <w:rFonts w:eastAsia="MS Mincho"/>
        </w:rPr>
      </w:pPr>
      <w:r w:rsidRPr="00664E64">
        <w:rPr>
          <w:rFonts w:eastAsia="MS Mincho"/>
        </w:rPr>
        <w:t xml:space="preserve">Many regulators have been in discussion with wagering providers on NCPF measures as part of regular and ongoing dialogue. Some jurisdictions have undertaken a more formal communication strategy for existing measures. For example, one regulator undertook an education campaign for wagering providers by advising them of new prohibitions in writing and the need to modify business practices. The regulator also developed a social media campaign for consumers around major sporting events such as the Victorian Spring Racing Carnival and AFL/NFL Grand Finals. </w:t>
      </w:r>
    </w:p>
    <w:p w14:paraId="0950AEA0" w14:textId="4105C452" w:rsidR="006B6D15" w:rsidRPr="00664E64" w:rsidRDefault="006B6D15" w:rsidP="00F65855">
      <w:pPr>
        <w:pStyle w:val="BodyText"/>
        <w:rPr>
          <w:rFonts w:eastAsia="MS Mincho"/>
        </w:rPr>
      </w:pPr>
      <w:r w:rsidRPr="00664E64">
        <w:rPr>
          <w:rFonts w:eastAsia="MS Mincho"/>
        </w:rPr>
        <w:t xml:space="preserve">Other regulators reported that a communications strategy or media release may be developed and rolled out closer to the time of implementation of later measures, and would be largely directed at wagering providers, rather than consumers, in light of regulatory amendments. Some regulators advised that a communications strategy for consumers would not be feasible given they have a regulatory approach that </w:t>
      </w:r>
      <w:r w:rsidRPr="00664E64">
        <w:rPr>
          <w:rFonts w:eastAsia="MS Mincho"/>
        </w:rPr>
        <w:lastRenderedPageBreak/>
        <w:t>only covers licensees in their jurisdiction</w:t>
      </w:r>
      <w:r w:rsidR="0042429E" w:rsidRPr="00664E64">
        <w:rPr>
          <w:rFonts w:eastAsia="MS Mincho"/>
        </w:rPr>
        <w:t>, but that for some measures it would be useful for</w:t>
      </w:r>
      <w:r w:rsidRPr="00664E64">
        <w:rPr>
          <w:rFonts w:eastAsia="MS Mincho"/>
        </w:rPr>
        <w:t xml:space="preserve"> a communications strategy </w:t>
      </w:r>
      <w:r w:rsidR="0042429E" w:rsidRPr="00664E64">
        <w:rPr>
          <w:rFonts w:eastAsia="MS Mincho"/>
        </w:rPr>
        <w:t>to be</w:t>
      </w:r>
      <w:r w:rsidRPr="00664E64">
        <w:rPr>
          <w:rFonts w:eastAsia="MS Mincho"/>
        </w:rPr>
        <w:t xml:space="preserve"> led by the Commonwealth </w:t>
      </w:r>
      <w:r w:rsidR="00FA363C" w:rsidRPr="00664E64">
        <w:rPr>
          <w:rFonts w:eastAsia="MS Mincho"/>
        </w:rPr>
        <w:t>G</w:t>
      </w:r>
      <w:r w:rsidRPr="00664E64">
        <w:rPr>
          <w:rFonts w:eastAsia="MS Mincho"/>
        </w:rPr>
        <w:t xml:space="preserve">overnment </w:t>
      </w:r>
      <w:r w:rsidR="0042429E" w:rsidRPr="00664E64">
        <w:rPr>
          <w:rFonts w:eastAsia="MS Mincho"/>
        </w:rPr>
        <w:t xml:space="preserve">in order </w:t>
      </w:r>
      <w:r w:rsidRPr="00664E64">
        <w:rPr>
          <w:rFonts w:eastAsia="MS Mincho"/>
        </w:rPr>
        <w:t>to promote a national approach</w:t>
      </w:r>
      <w:r w:rsidR="0042429E" w:rsidRPr="00664E64">
        <w:rPr>
          <w:rFonts w:eastAsia="MS Mincho"/>
        </w:rPr>
        <w:t xml:space="preserve">. Some regulators </w:t>
      </w:r>
      <w:r w:rsidRPr="00664E64">
        <w:rPr>
          <w:rFonts w:eastAsia="MS Mincho"/>
        </w:rPr>
        <w:t xml:space="preserve">also noted the importance of the Commonwealth </w:t>
      </w:r>
      <w:r w:rsidR="00FA363C" w:rsidRPr="00664E64">
        <w:rPr>
          <w:rFonts w:eastAsia="MS Mincho"/>
        </w:rPr>
        <w:t>G</w:t>
      </w:r>
      <w:r w:rsidRPr="00664E64">
        <w:rPr>
          <w:rFonts w:eastAsia="MS Mincho"/>
        </w:rPr>
        <w:t xml:space="preserve">overnment coordinating briefing on the NCPF </w:t>
      </w:r>
      <w:r w:rsidR="0025063F" w:rsidRPr="00664E64">
        <w:rPr>
          <w:rFonts w:eastAsia="MS Mincho"/>
        </w:rPr>
        <w:t xml:space="preserve">for wagering providers </w:t>
      </w:r>
      <w:r w:rsidRPr="00664E64">
        <w:rPr>
          <w:rFonts w:eastAsia="MS Mincho"/>
        </w:rPr>
        <w:t xml:space="preserve">through stakeholder forums to provide a consistent, information-sharing approach. </w:t>
      </w:r>
    </w:p>
    <w:p w14:paraId="7747EBB1" w14:textId="69852E09" w:rsidR="006B6D15" w:rsidRPr="00664E64" w:rsidRDefault="006B6D15" w:rsidP="00F65855">
      <w:pPr>
        <w:pStyle w:val="BodyText"/>
        <w:rPr>
          <w:rFonts w:eastAsia="MS Mincho"/>
        </w:rPr>
      </w:pPr>
      <w:r w:rsidRPr="00664E64">
        <w:rPr>
          <w:rFonts w:eastAsia="MS Mincho"/>
        </w:rPr>
        <w:t xml:space="preserve">Although most regulators characterised their dialogue with wagering providers as positive, some jurisdictions noted that providers had raised issues with them regarding roll-out of the </w:t>
      </w:r>
      <w:r w:rsidR="00014A0D" w:rsidRPr="00664E64">
        <w:rPr>
          <w:rFonts w:eastAsia="MS Mincho"/>
        </w:rPr>
        <w:t>Framework</w:t>
      </w:r>
      <w:r w:rsidRPr="00664E64">
        <w:rPr>
          <w:rFonts w:eastAsia="MS Mincho"/>
        </w:rPr>
        <w:t>. For example, one concern for wagering providers operating nationally has been the lack of detail regarding how measures would be implemented in each jurisdiction. This would reportedly have consequences for the internal technical changes required by wagering providers, particularly in state and territory jurisdictions that may have different standards under the NCPF. Wagering providers also conveyed concerns to some regulators about the narrow time</w:t>
      </w:r>
      <w:r w:rsidR="00FA363C" w:rsidRPr="00664E64">
        <w:rPr>
          <w:rFonts w:eastAsia="MS Mincho"/>
        </w:rPr>
        <w:t xml:space="preserve"> </w:t>
      </w:r>
      <w:r w:rsidRPr="00664E64">
        <w:rPr>
          <w:rFonts w:eastAsia="MS Mincho"/>
        </w:rPr>
        <w:t xml:space="preserve">frames for changing internal operations and business practices prior to measures coming into effect in 2019. </w:t>
      </w:r>
    </w:p>
    <w:p w14:paraId="1D29CEA7" w14:textId="77777777" w:rsidR="006B6D15" w:rsidRPr="00664E64" w:rsidRDefault="006B6D15" w:rsidP="00F65855">
      <w:pPr>
        <w:pStyle w:val="BodyText"/>
        <w:rPr>
          <w:rFonts w:eastAsia="MS Mincho"/>
        </w:rPr>
      </w:pPr>
      <w:r w:rsidRPr="00664E64">
        <w:rPr>
          <w:rFonts w:eastAsia="MS Mincho"/>
        </w:rPr>
        <w:t>However, other regulators noted that the ongoing dialogue with wagering providers in their jurisdictions has meant that providers are well aware of upcoming changes:</w:t>
      </w:r>
    </w:p>
    <w:p w14:paraId="67E99F21" w14:textId="154956A8" w:rsidR="006B6D15" w:rsidRPr="006B1160" w:rsidRDefault="006B6D15" w:rsidP="00F65855">
      <w:pPr>
        <w:pStyle w:val="Quote"/>
        <w:rPr>
          <w:color w:val="auto"/>
        </w:rPr>
      </w:pPr>
      <w:r w:rsidRPr="006B1160">
        <w:rPr>
          <w:color w:val="auto"/>
        </w:rPr>
        <w:t>‘In terms of the wagering service providers</w:t>
      </w:r>
      <w:r w:rsidR="00FA363C" w:rsidRPr="006B1160">
        <w:rPr>
          <w:color w:val="auto"/>
        </w:rPr>
        <w:t xml:space="preserve"> </w:t>
      </w:r>
      <w:r w:rsidRPr="006B1160">
        <w:rPr>
          <w:color w:val="auto"/>
        </w:rPr>
        <w:t>…</w:t>
      </w:r>
      <w:r w:rsidR="00FA363C" w:rsidRPr="006B1160">
        <w:rPr>
          <w:color w:val="auto"/>
        </w:rPr>
        <w:t xml:space="preserve"> </w:t>
      </w:r>
      <w:r w:rsidRPr="006B1160">
        <w:rPr>
          <w:color w:val="auto"/>
        </w:rPr>
        <w:t>we’ve been very open with them as to what the requirements are and they should at least understand</w:t>
      </w:r>
      <w:r w:rsidR="00FA363C" w:rsidRPr="006B1160">
        <w:rPr>
          <w:color w:val="auto"/>
        </w:rPr>
        <w:t xml:space="preserve"> </w:t>
      </w:r>
      <w:r w:rsidRPr="006B1160">
        <w:rPr>
          <w:color w:val="auto"/>
        </w:rPr>
        <w:t>… the [jurisdiction’s] position and they haven’t come back to us and said they don’t understand how they would implement any of this</w:t>
      </w:r>
      <w:r w:rsidR="00FA363C" w:rsidRPr="006B1160">
        <w:rPr>
          <w:color w:val="auto"/>
        </w:rPr>
        <w:t>.</w:t>
      </w:r>
      <w:r w:rsidRPr="006B1160">
        <w:rPr>
          <w:color w:val="auto"/>
        </w:rPr>
        <w:t xml:space="preserve">’  </w:t>
      </w:r>
    </w:p>
    <w:p w14:paraId="088A9340" w14:textId="536774E1" w:rsidR="006B6D15" w:rsidRPr="00664E64" w:rsidRDefault="006B6D15" w:rsidP="00F65855">
      <w:pPr>
        <w:pStyle w:val="BodyText"/>
        <w:rPr>
          <w:rFonts w:eastAsia="MS Mincho"/>
        </w:rPr>
      </w:pPr>
      <w:r w:rsidRPr="00664E64">
        <w:rPr>
          <w:rFonts w:eastAsia="MS Mincho"/>
        </w:rPr>
        <w:t xml:space="preserve">Some </w:t>
      </w:r>
      <w:r w:rsidR="007B710B" w:rsidRPr="00664E64">
        <w:rPr>
          <w:rFonts w:eastAsia="MS Mincho"/>
        </w:rPr>
        <w:t xml:space="preserve">regulators noted that </w:t>
      </w:r>
      <w:r w:rsidRPr="00664E64">
        <w:rPr>
          <w:rFonts w:eastAsia="MS Mincho"/>
        </w:rPr>
        <w:t xml:space="preserve">wagering providers have viewed dialogue with </w:t>
      </w:r>
      <w:r w:rsidR="007B710B" w:rsidRPr="00664E64">
        <w:rPr>
          <w:rFonts w:eastAsia="MS Mincho"/>
        </w:rPr>
        <w:t>them</w:t>
      </w:r>
      <w:r w:rsidRPr="00664E64">
        <w:rPr>
          <w:rFonts w:eastAsia="MS Mincho"/>
        </w:rPr>
        <w:t xml:space="preserve"> as an opportunity to lobby for exemptions from the NCPF measures:</w:t>
      </w:r>
    </w:p>
    <w:p w14:paraId="473FC50F" w14:textId="62D4FCD5" w:rsidR="006B6D15" w:rsidRPr="006B1160" w:rsidRDefault="006B6D15" w:rsidP="00F65855">
      <w:pPr>
        <w:pStyle w:val="Quote"/>
        <w:rPr>
          <w:color w:val="auto"/>
        </w:rPr>
      </w:pPr>
      <w:r w:rsidRPr="006B1160">
        <w:rPr>
          <w:color w:val="auto"/>
        </w:rPr>
        <w:t>‘So [wagering provider] has approached us about that particular measure [voluntary opt-out pre</w:t>
      </w:r>
      <w:r w:rsidR="001312C2" w:rsidRPr="006B1160">
        <w:rPr>
          <w:color w:val="auto"/>
        </w:rPr>
        <w:t>-</w:t>
      </w:r>
      <w:r w:rsidRPr="006B1160">
        <w:rPr>
          <w:color w:val="auto"/>
        </w:rPr>
        <w:t xml:space="preserve">commitment], they’ve said it’s not as strong a harm minimisation measure as </w:t>
      </w:r>
      <w:r w:rsidR="007B710B" w:rsidRPr="006B1160">
        <w:rPr>
          <w:color w:val="auto"/>
        </w:rPr>
        <w:t>[others we already have in place]</w:t>
      </w:r>
      <w:r w:rsidRPr="006B1160">
        <w:rPr>
          <w:color w:val="auto"/>
        </w:rPr>
        <w:t>. And so they are saying … “can we be exempt from that requirement?”</w:t>
      </w:r>
      <w:r w:rsidR="00FA363C" w:rsidRPr="006B1160">
        <w:rPr>
          <w:color w:val="auto"/>
        </w:rPr>
        <w:t>’</w:t>
      </w:r>
      <w:r w:rsidRPr="006B1160">
        <w:rPr>
          <w:color w:val="auto"/>
        </w:rPr>
        <w:t>.</w:t>
      </w:r>
    </w:p>
    <w:p w14:paraId="74779CE0" w14:textId="496792CC" w:rsidR="006B6D15" w:rsidRPr="006B1160" w:rsidRDefault="006B6D15" w:rsidP="00F65855">
      <w:pPr>
        <w:pStyle w:val="Heading3"/>
        <w:rPr>
          <w:color w:val="auto"/>
        </w:rPr>
      </w:pPr>
      <w:r w:rsidRPr="006B1160">
        <w:rPr>
          <w:color w:val="auto"/>
        </w:rPr>
        <w:t>Specific NCPF measures</w:t>
      </w:r>
    </w:p>
    <w:p w14:paraId="09581ADC" w14:textId="7931B5D0" w:rsidR="0084251B" w:rsidRPr="006B1160" w:rsidRDefault="006B6D15" w:rsidP="00F65855">
      <w:pPr>
        <w:pStyle w:val="Heading4"/>
        <w:rPr>
          <w:color w:val="auto"/>
        </w:rPr>
      </w:pPr>
      <w:r w:rsidRPr="006B1160">
        <w:rPr>
          <w:color w:val="auto"/>
        </w:rPr>
        <w:t>Prohibitions of lines of credit, links with payday lenders and customer verification periods</w:t>
      </w:r>
    </w:p>
    <w:p w14:paraId="2A3EEA1C" w14:textId="75645097" w:rsidR="0084251B" w:rsidRPr="00664E64" w:rsidRDefault="006B6D15" w:rsidP="002C4FC0">
      <w:pPr>
        <w:tabs>
          <w:tab w:val="left" w:pos="1338"/>
        </w:tabs>
        <w:spacing w:before="120" w:line="280" w:lineRule="atLeast"/>
        <w:jc w:val="both"/>
        <w:rPr>
          <w:rFonts w:ascii="Arial" w:hAnsi="Arial" w:cs="Arial"/>
          <w:sz w:val="20"/>
        </w:rPr>
      </w:pPr>
      <w:r w:rsidRPr="00664E64">
        <w:rPr>
          <w:rFonts w:ascii="Arial" w:hAnsi="Arial" w:cs="Arial"/>
          <w:sz w:val="20"/>
        </w:rPr>
        <w:t xml:space="preserve">A number of national measures have already come into effect, including prohibitions of lines of credit (measure 1), prohibition of links with payday lenders (measure 2) and mandatory customer verification periods (measure 3). </w:t>
      </w:r>
    </w:p>
    <w:p w14:paraId="42F0C424" w14:textId="43B0C08B" w:rsidR="0084251B" w:rsidRPr="00664E64" w:rsidRDefault="006B6D15" w:rsidP="00F65855">
      <w:pPr>
        <w:pStyle w:val="BodyText"/>
        <w:rPr>
          <w:rFonts w:eastAsia="MS Mincho"/>
        </w:rPr>
      </w:pPr>
      <w:r w:rsidRPr="00664E64">
        <w:rPr>
          <w:rFonts w:eastAsia="MS Mincho"/>
        </w:rPr>
        <w:t xml:space="preserve">Regulators noted that implementation of these measures had been relatively straightforward. Wagering providers had been sharing information on business practices in some cases for 12 months prior to implementation. </w:t>
      </w:r>
    </w:p>
    <w:p w14:paraId="34CD01B1" w14:textId="4CD38E2D" w:rsidR="0084251B" w:rsidRPr="00664E64" w:rsidRDefault="006B6D15" w:rsidP="00F65855">
      <w:pPr>
        <w:pStyle w:val="BodyText"/>
        <w:rPr>
          <w:rFonts w:eastAsia="MS Mincho"/>
          <w:color w:val="62136D"/>
          <w:sz w:val="28"/>
          <w:szCs w:val="28"/>
        </w:rPr>
      </w:pPr>
      <w:r w:rsidRPr="00664E64">
        <w:rPr>
          <w:rFonts w:eastAsia="MS Mincho"/>
        </w:rPr>
        <w:t xml:space="preserve">Some regulators </w:t>
      </w:r>
      <w:r w:rsidR="001E1ECD">
        <w:rPr>
          <w:rFonts w:eastAsia="MS Mincho"/>
        </w:rPr>
        <w:t>reported</w:t>
      </w:r>
      <w:r w:rsidRPr="00664E64">
        <w:rPr>
          <w:rFonts w:eastAsia="MS Mincho"/>
        </w:rPr>
        <w:t xml:space="preserve"> that </w:t>
      </w:r>
      <w:r w:rsidR="001E1ECD">
        <w:rPr>
          <w:rFonts w:eastAsia="MS Mincho"/>
        </w:rPr>
        <w:t>many</w:t>
      </w:r>
      <w:r w:rsidRPr="00664E64">
        <w:rPr>
          <w:rFonts w:eastAsia="MS Mincho"/>
        </w:rPr>
        <w:t xml:space="preserve"> wagering providers were </w:t>
      </w:r>
      <w:r w:rsidR="001E1ECD">
        <w:rPr>
          <w:rFonts w:eastAsia="MS Mincho"/>
        </w:rPr>
        <w:t xml:space="preserve">already </w:t>
      </w:r>
      <w:r w:rsidRPr="00664E64">
        <w:rPr>
          <w:rFonts w:eastAsia="MS Mincho"/>
        </w:rPr>
        <w:t>compl</w:t>
      </w:r>
      <w:r w:rsidR="00FA363C" w:rsidRPr="00664E64">
        <w:rPr>
          <w:rFonts w:eastAsia="MS Mincho"/>
        </w:rPr>
        <w:t>i</w:t>
      </w:r>
      <w:r w:rsidRPr="00664E64">
        <w:rPr>
          <w:rFonts w:eastAsia="MS Mincho"/>
        </w:rPr>
        <w:t>ant with measures prior to implementation, and that changing their internal operations would not have a great impact upon their business practices.</w:t>
      </w:r>
    </w:p>
    <w:p w14:paraId="2D6F4532" w14:textId="09EBB059" w:rsidR="006B6D15" w:rsidRPr="006B1160" w:rsidRDefault="006B6D15" w:rsidP="00F65855">
      <w:pPr>
        <w:pStyle w:val="Quote"/>
        <w:rPr>
          <w:color w:val="auto"/>
          <w:sz w:val="28"/>
          <w:szCs w:val="28"/>
        </w:rPr>
      </w:pPr>
      <w:r w:rsidRPr="00664E64">
        <w:t>‘</w:t>
      </w:r>
      <w:r w:rsidRPr="006B1160">
        <w:rPr>
          <w:color w:val="auto"/>
        </w:rPr>
        <w:t xml:space="preserve">So we do have a bit of engagement with the big corporate and online bookmakers which are the ones that [the NCPF] really impacts. And from the information they were giving us before </w:t>
      </w:r>
      <w:r w:rsidRPr="006B1160">
        <w:rPr>
          <w:color w:val="auto"/>
        </w:rPr>
        <w:lastRenderedPageBreak/>
        <w:t>[customer verification] came in, it wasn’t going to be a huge impact for them</w:t>
      </w:r>
      <w:r w:rsidR="00FA363C" w:rsidRPr="006B1160">
        <w:rPr>
          <w:color w:val="auto"/>
        </w:rPr>
        <w:t xml:space="preserve"> </w:t>
      </w:r>
      <w:r w:rsidRPr="006B1160">
        <w:rPr>
          <w:color w:val="auto"/>
        </w:rPr>
        <w:t>… the majority of people … who signed up for these accounts were [being verified] within 14 days</w:t>
      </w:r>
      <w:r w:rsidR="00FA363C" w:rsidRPr="006B1160">
        <w:rPr>
          <w:color w:val="auto"/>
        </w:rPr>
        <w:t>.</w:t>
      </w:r>
      <w:r w:rsidRPr="006B1160">
        <w:rPr>
          <w:color w:val="auto"/>
        </w:rPr>
        <w:t>’</w:t>
      </w:r>
    </w:p>
    <w:p w14:paraId="20BE5539" w14:textId="52D35200" w:rsidR="006B6D15" w:rsidRPr="006B1160" w:rsidRDefault="006B6D15" w:rsidP="00F65855">
      <w:pPr>
        <w:pStyle w:val="Quote"/>
        <w:rPr>
          <w:color w:val="auto"/>
        </w:rPr>
      </w:pPr>
      <w:r w:rsidRPr="006B1160">
        <w:rPr>
          <w:color w:val="auto"/>
        </w:rPr>
        <w:t>‘</w:t>
      </w:r>
      <w:r w:rsidR="00FA363C" w:rsidRPr="006B1160">
        <w:rPr>
          <w:color w:val="auto"/>
        </w:rPr>
        <w:t>W</w:t>
      </w:r>
      <w:r w:rsidRPr="006B1160">
        <w:rPr>
          <w:color w:val="auto"/>
        </w:rPr>
        <w:t>e were negotiating with [wagering providers] about the implementation and putting into effect</w:t>
      </w:r>
      <w:r w:rsidR="00FA363C" w:rsidRPr="006B1160">
        <w:rPr>
          <w:color w:val="auto"/>
        </w:rPr>
        <w:t xml:space="preserve"> </w:t>
      </w:r>
      <w:r w:rsidR="006B1160">
        <w:rPr>
          <w:color w:val="auto"/>
        </w:rPr>
        <w:t>…</w:t>
      </w:r>
      <w:r w:rsidRPr="006B1160">
        <w:rPr>
          <w:color w:val="auto"/>
        </w:rPr>
        <w:t>from a regulatory sense they’re dealing with the technical changes that need to be made and we understand that’s on track</w:t>
      </w:r>
      <w:r w:rsidR="00FA363C" w:rsidRPr="006B1160">
        <w:rPr>
          <w:color w:val="auto"/>
        </w:rPr>
        <w:t>.</w:t>
      </w:r>
      <w:r w:rsidRPr="006B1160">
        <w:rPr>
          <w:color w:val="auto"/>
        </w:rPr>
        <w:t>’</w:t>
      </w:r>
    </w:p>
    <w:p w14:paraId="40D83F2D" w14:textId="04B3449E" w:rsidR="006B6D15" w:rsidRPr="00664E64" w:rsidRDefault="006B6D15" w:rsidP="00F65855">
      <w:pPr>
        <w:pStyle w:val="Heading4"/>
      </w:pPr>
      <w:r w:rsidRPr="00664E64">
        <w:t xml:space="preserve">Restrictions on </w:t>
      </w:r>
      <w:r w:rsidR="00FA363C" w:rsidRPr="00664E64">
        <w:t>i</w:t>
      </w:r>
      <w:r w:rsidRPr="00664E64">
        <w:t>nducements</w:t>
      </w:r>
    </w:p>
    <w:p w14:paraId="42FC8886" w14:textId="6C5C0D4E" w:rsidR="006B6D15" w:rsidRPr="00664E64" w:rsidRDefault="006B6D15" w:rsidP="00F65855">
      <w:pPr>
        <w:pStyle w:val="BodyText"/>
        <w:rPr>
          <w:rFonts w:eastAsia="MS Mincho"/>
        </w:rPr>
      </w:pPr>
      <w:r w:rsidRPr="00664E64">
        <w:rPr>
          <w:rFonts w:eastAsia="MS Mincho"/>
        </w:rPr>
        <w:t>Several regulators advised</w:t>
      </w:r>
      <w:r w:rsidR="00FA363C" w:rsidRPr="00664E64">
        <w:rPr>
          <w:rFonts w:eastAsia="MS Mincho"/>
        </w:rPr>
        <w:t xml:space="preserve"> that</w:t>
      </w:r>
      <w:r w:rsidRPr="00664E64">
        <w:rPr>
          <w:rFonts w:eastAsia="MS Mincho"/>
        </w:rPr>
        <w:t xml:space="preserve"> the measure on restriction on inducements from wagering providers (</w:t>
      </w:r>
      <w:r w:rsidR="00FA363C" w:rsidRPr="00664E64">
        <w:rPr>
          <w:rFonts w:eastAsia="MS Mincho"/>
        </w:rPr>
        <w:t>m</w:t>
      </w:r>
      <w:r w:rsidRPr="00664E64">
        <w:rPr>
          <w:rFonts w:eastAsia="MS Mincho"/>
        </w:rPr>
        <w:t xml:space="preserve">easure 4) has been challenging in the context of a national </w:t>
      </w:r>
      <w:r w:rsidR="00014A0D" w:rsidRPr="00664E64">
        <w:rPr>
          <w:rFonts w:eastAsia="MS Mincho"/>
        </w:rPr>
        <w:t>Framework</w:t>
      </w:r>
      <w:r w:rsidRPr="00664E64">
        <w:rPr>
          <w:rFonts w:eastAsia="MS Mincho"/>
        </w:rPr>
        <w:t xml:space="preserve">. </w:t>
      </w:r>
    </w:p>
    <w:p w14:paraId="6D0E5B16" w14:textId="5F146BE4" w:rsidR="006B6D15" w:rsidRPr="00664E64" w:rsidRDefault="006B6D15" w:rsidP="00F65855">
      <w:pPr>
        <w:pStyle w:val="BodyText"/>
        <w:rPr>
          <w:rFonts w:eastAsia="MS Mincho"/>
        </w:rPr>
      </w:pPr>
      <w:r w:rsidRPr="00664E64">
        <w:rPr>
          <w:rFonts w:eastAsia="MS Mincho"/>
        </w:rPr>
        <w:t>The NCPF currently establishes a minimum standard for all states and territories. However, some jurisdictions currently have stricter provisions on the type of inducements that wagering providers can offer in their state or territory. In some jurisdictions this also affects advertising of gambling products. Regulators in jurisdictions with strict provisions have advised that the</w:t>
      </w:r>
      <w:r w:rsidR="00AD2B47" w:rsidRPr="00664E64">
        <w:rPr>
          <w:rFonts w:eastAsia="MS Mincho"/>
        </w:rPr>
        <w:t>y</w:t>
      </w:r>
      <w:r w:rsidRPr="00664E64">
        <w:rPr>
          <w:rFonts w:eastAsia="MS Mincho"/>
        </w:rPr>
        <w:t xml:space="preserve"> do not intend to loosen their current restrictions on inducements, which may create discrepancies around inducement provisions between state and territory jurisdictions.</w:t>
      </w:r>
    </w:p>
    <w:p w14:paraId="5AC95619" w14:textId="77777777" w:rsidR="006B6D15" w:rsidRPr="00664E64" w:rsidRDefault="006B6D15" w:rsidP="00F65855">
      <w:pPr>
        <w:pStyle w:val="BodyText"/>
        <w:rPr>
          <w:rFonts w:eastAsia="MS Mincho"/>
        </w:rPr>
      </w:pPr>
      <w:r w:rsidRPr="00664E64">
        <w:rPr>
          <w:rFonts w:eastAsia="MS Mincho"/>
        </w:rPr>
        <w:t>Some regulators also advised that wagering providers have concerns about the lack of nationally harmonised regulations on inducements. Wagering providers had raised concerns about having to offer different products, or types of advertising, in different jurisdictions. However, regulators in jurisdictions with stricter inducement provisions disputed this:</w:t>
      </w:r>
    </w:p>
    <w:p w14:paraId="78F8E7B4" w14:textId="2277541C" w:rsidR="006B6D15" w:rsidRPr="006B1160" w:rsidRDefault="006B6D15" w:rsidP="00F65855">
      <w:pPr>
        <w:pStyle w:val="Quote"/>
        <w:rPr>
          <w:color w:val="auto"/>
        </w:rPr>
      </w:pPr>
      <w:r w:rsidRPr="006B1160">
        <w:rPr>
          <w:color w:val="auto"/>
        </w:rPr>
        <w:t>‘The [wagering] operators will say to us</w:t>
      </w:r>
      <w:r w:rsidR="00FA363C" w:rsidRPr="006B1160">
        <w:rPr>
          <w:color w:val="auto"/>
        </w:rPr>
        <w:t>,</w:t>
      </w:r>
      <w:r w:rsidRPr="006B1160">
        <w:rPr>
          <w:color w:val="auto"/>
        </w:rPr>
        <w:t xml:space="preserve"> “Oh well you’re effectively imposing a national ban because if we</w:t>
      </w:r>
      <w:r w:rsidR="00FA363C" w:rsidRPr="006B1160">
        <w:rPr>
          <w:color w:val="auto"/>
        </w:rPr>
        <w:t xml:space="preserve"> </w:t>
      </w:r>
      <w:r w:rsidRPr="006B1160">
        <w:rPr>
          <w:color w:val="auto"/>
        </w:rPr>
        <w:t>… have to meet your standards for ads then basically we have to do it across Australia”. And we say “No you don’t. You know, we know, that you can very specifically target your advertisements to different markets so we know you can target to [jurisdiction’s] market</w:t>
      </w:r>
      <w:r w:rsidR="001312C2" w:rsidRPr="006B1160">
        <w:rPr>
          <w:color w:val="auto"/>
        </w:rPr>
        <w:t>”.</w:t>
      </w:r>
      <w:r w:rsidRPr="006B1160">
        <w:rPr>
          <w:color w:val="auto"/>
        </w:rPr>
        <w:t>’</w:t>
      </w:r>
    </w:p>
    <w:p w14:paraId="7B922FD3" w14:textId="56E289DE" w:rsidR="006B6D15" w:rsidRPr="006B1160" w:rsidRDefault="006B6D15" w:rsidP="00F65855">
      <w:pPr>
        <w:pStyle w:val="Quote"/>
        <w:rPr>
          <w:color w:val="auto"/>
        </w:rPr>
      </w:pPr>
      <w:r w:rsidRPr="006B1160">
        <w:rPr>
          <w:color w:val="auto"/>
        </w:rPr>
        <w:t>‘So industry is saying to us “well can’t [jurisdiction] now sink down to the [minimum] inducement standard” And we’ve made it very clear to them we have no intention of doing that</w:t>
      </w:r>
      <w:r w:rsidR="001312C2" w:rsidRPr="006B1160">
        <w:rPr>
          <w:color w:val="auto"/>
        </w:rPr>
        <w:t>.</w:t>
      </w:r>
      <w:r w:rsidRPr="006B1160">
        <w:rPr>
          <w:color w:val="auto"/>
        </w:rPr>
        <w:t>'</w:t>
      </w:r>
    </w:p>
    <w:p w14:paraId="1EC0DFC1" w14:textId="194F7231" w:rsidR="006B6D15" w:rsidRPr="006B1160" w:rsidRDefault="006B6D15" w:rsidP="00F65855">
      <w:pPr>
        <w:pStyle w:val="Heading4"/>
        <w:rPr>
          <w:color w:val="auto"/>
        </w:rPr>
      </w:pPr>
      <w:r w:rsidRPr="006B1160">
        <w:rPr>
          <w:color w:val="auto"/>
        </w:rPr>
        <w:t>Consistent gambling messaging</w:t>
      </w:r>
    </w:p>
    <w:p w14:paraId="6854B2B2" w14:textId="4BCFDF5E" w:rsidR="006B6D15" w:rsidRPr="00664E64" w:rsidRDefault="00AE72B6" w:rsidP="00F65855">
      <w:pPr>
        <w:pStyle w:val="BodyText"/>
        <w:rPr>
          <w:rFonts w:eastAsia="MS Mincho"/>
        </w:rPr>
      </w:pPr>
      <w:r w:rsidRPr="00664E64">
        <w:rPr>
          <w:rFonts w:eastAsia="MS Mincho"/>
        </w:rPr>
        <w:t>There is agreement between jurisdiction</w:t>
      </w:r>
      <w:r w:rsidR="00E67E90" w:rsidRPr="00664E64">
        <w:rPr>
          <w:rFonts w:eastAsia="MS Mincho"/>
        </w:rPr>
        <w:t>s</w:t>
      </w:r>
      <w:r w:rsidRPr="00664E64">
        <w:rPr>
          <w:rFonts w:eastAsia="MS Mincho"/>
        </w:rPr>
        <w:t xml:space="preserve"> on the n</w:t>
      </w:r>
      <w:r w:rsidR="00E67E90" w:rsidRPr="00664E64">
        <w:rPr>
          <w:rFonts w:eastAsia="MS Mincho"/>
        </w:rPr>
        <w:t>e</w:t>
      </w:r>
      <w:r w:rsidRPr="00664E64">
        <w:rPr>
          <w:rFonts w:eastAsia="MS Mincho"/>
        </w:rPr>
        <w:t xml:space="preserve">ed for an agreed definition of responsible gambling </w:t>
      </w:r>
      <w:r w:rsidR="00E67E90" w:rsidRPr="00664E64">
        <w:rPr>
          <w:rFonts w:eastAsia="MS Mincho"/>
        </w:rPr>
        <w:t xml:space="preserve">to avoid inconsistent and ineffective messaging. At present, a </w:t>
      </w:r>
      <w:r w:rsidR="006B6D15" w:rsidRPr="00664E64">
        <w:rPr>
          <w:rFonts w:eastAsia="MS Mincho"/>
        </w:rPr>
        <w:t>number of jurisdictions do not currently have a legal definition of ‘responsible gambling’</w:t>
      </w:r>
      <w:r w:rsidR="009063C9" w:rsidRPr="00664E64">
        <w:rPr>
          <w:rFonts w:eastAsia="MS Mincho"/>
        </w:rPr>
        <w:t>;</w:t>
      </w:r>
      <w:r w:rsidR="006B6D15" w:rsidRPr="00664E64">
        <w:rPr>
          <w:rFonts w:eastAsia="MS Mincho"/>
        </w:rPr>
        <w:t xml:space="preserve"> </w:t>
      </w:r>
      <w:r w:rsidR="009063C9" w:rsidRPr="00664E64">
        <w:rPr>
          <w:rFonts w:eastAsia="MS Mincho"/>
        </w:rPr>
        <w:t>h</w:t>
      </w:r>
      <w:r w:rsidR="006B6D15" w:rsidRPr="00664E64">
        <w:rPr>
          <w:rFonts w:eastAsia="MS Mincho"/>
        </w:rPr>
        <w:t>owever</w:t>
      </w:r>
      <w:r w:rsidR="009063C9" w:rsidRPr="00664E64">
        <w:rPr>
          <w:rFonts w:eastAsia="MS Mincho"/>
        </w:rPr>
        <w:t>,</w:t>
      </w:r>
      <w:r w:rsidR="006B6D15" w:rsidRPr="00664E64">
        <w:rPr>
          <w:rFonts w:eastAsia="MS Mincho"/>
        </w:rPr>
        <w:t xml:space="preserve"> many jurisdictions require responsible gambling messaging to be provided by their wagering provider licensees. Some jurisdictions also provide links to other responsible gambling pages or helplines from their own websites. </w:t>
      </w:r>
    </w:p>
    <w:p w14:paraId="1B1D9EED" w14:textId="59204EF1" w:rsidR="006B6D15" w:rsidRPr="00664E64" w:rsidRDefault="006B6D15" w:rsidP="00F65855">
      <w:pPr>
        <w:pStyle w:val="BodyText"/>
        <w:rPr>
          <w:rFonts w:eastAsia="MS Mincho"/>
        </w:rPr>
      </w:pPr>
      <w:r w:rsidRPr="00664E64">
        <w:rPr>
          <w:rFonts w:eastAsia="MS Mincho"/>
        </w:rPr>
        <w:t xml:space="preserve">In addition, several jurisdictions reported </w:t>
      </w:r>
      <w:r w:rsidR="001312C2" w:rsidRPr="00664E64">
        <w:rPr>
          <w:rFonts w:eastAsia="MS Mincho"/>
        </w:rPr>
        <w:t xml:space="preserve">that </w:t>
      </w:r>
      <w:r w:rsidRPr="00664E64">
        <w:rPr>
          <w:rFonts w:eastAsia="MS Mincho"/>
        </w:rPr>
        <w:t xml:space="preserve">they have a clear idea of what gambling messages they promote as regulators, even if </w:t>
      </w:r>
      <w:r w:rsidR="001312C2" w:rsidRPr="00664E64">
        <w:rPr>
          <w:rFonts w:eastAsia="MS Mincho"/>
        </w:rPr>
        <w:t xml:space="preserve">it is </w:t>
      </w:r>
      <w:r w:rsidRPr="00664E64">
        <w:rPr>
          <w:rFonts w:eastAsia="MS Mincho"/>
        </w:rPr>
        <w:t>not articulated in legislation or regulation:</w:t>
      </w:r>
    </w:p>
    <w:p w14:paraId="324CAD4F" w14:textId="00B8EB33" w:rsidR="006B6D15" w:rsidRPr="006B1160" w:rsidRDefault="006B6D15" w:rsidP="00F65855">
      <w:pPr>
        <w:pStyle w:val="Quote"/>
        <w:rPr>
          <w:color w:val="auto"/>
        </w:rPr>
      </w:pPr>
      <w:r w:rsidRPr="006B1160">
        <w:rPr>
          <w:color w:val="auto"/>
        </w:rPr>
        <w:t>‘It’s basically the provision of safe, socially responsible and supportive gambling environments where the potential for harm associated with gambling is minimised and people can make informed decisions about their participation in gambling</w:t>
      </w:r>
      <w:r w:rsidR="001312C2" w:rsidRPr="006B1160">
        <w:rPr>
          <w:color w:val="auto"/>
        </w:rPr>
        <w:t>.</w:t>
      </w:r>
      <w:r w:rsidRPr="006B1160">
        <w:rPr>
          <w:color w:val="auto"/>
        </w:rPr>
        <w:t xml:space="preserve">’ </w:t>
      </w:r>
    </w:p>
    <w:p w14:paraId="4B11FA33" w14:textId="5123B308" w:rsidR="006B6D15" w:rsidRPr="00664E64" w:rsidRDefault="006B6D15" w:rsidP="00F65855">
      <w:pPr>
        <w:pStyle w:val="BodyText"/>
        <w:rPr>
          <w:rFonts w:eastAsia="MS Mincho"/>
        </w:rPr>
      </w:pPr>
      <w:r w:rsidRPr="00664E64">
        <w:rPr>
          <w:rFonts w:eastAsia="MS Mincho"/>
        </w:rPr>
        <w:t xml:space="preserve">A number of regulators viewed the development of consistent gambling messaging as a measure that should be primarily led by the Commonwealth </w:t>
      </w:r>
      <w:r w:rsidR="001312C2" w:rsidRPr="00664E64">
        <w:rPr>
          <w:rFonts w:eastAsia="MS Mincho"/>
        </w:rPr>
        <w:t>G</w:t>
      </w:r>
      <w:r w:rsidRPr="00664E64">
        <w:rPr>
          <w:rFonts w:eastAsia="MS Mincho"/>
        </w:rPr>
        <w:t xml:space="preserve">overnment to encourage uniformity across jurisdictions: </w:t>
      </w:r>
    </w:p>
    <w:p w14:paraId="39F86BEC" w14:textId="23416877" w:rsidR="006B6D15" w:rsidRPr="006B1160" w:rsidRDefault="006B6D15" w:rsidP="00F65855">
      <w:pPr>
        <w:pStyle w:val="Quote"/>
        <w:rPr>
          <w:color w:val="auto"/>
        </w:rPr>
      </w:pPr>
      <w:r w:rsidRPr="006B1160">
        <w:rPr>
          <w:color w:val="auto"/>
        </w:rPr>
        <w:lastRenderedPageBreak/>
        <w:t xml:space="preserve"> ‘If the Commonwealth comes up through its research with an appropriate message</w:t>
      </w:r>
      <w:r w:rsidR="001312C2" w:rsidRPr="006B1160">
        <w:rPr>
          <w:color w:val="auto"/>
        </w:rPr>
        <w:t xml:space="preserve"> </w:t>
      </w:r>
      <w:r w:rsidRPr="006B1160">
        <w:rPr>
          <w:color w:val="auto"/>
        </w:rPr>
        <w:t>… then that message would be the same in each state and it would be better than</w:t>
      </w:r>
      <w:r w:rsidR="001312C2" w:rsidRPr="006B1160">
        <w:rPr>
          <w:color w:val="auto"/>
        </w:rPr>
        <w:t>,</w:t>
      </w:r>
      <w:r w:rsidRPr="006B1160">
        <w:rPr>
          <w:color w:val="auto"/>
        </w:rPr>
        <w:t xml:space="preserve"> “think about your choices”.</w:t>
      </w:r>
      <w:r w:rsidR="001312C2" w:rsidRPr="006B1160">
        <w:rPr>
          <w:color w:val="auto"/>
        </w:rPr>
        <w:t>’</w:t>
      </w:r>
      <w:r w:rsidRPr="006B1160">
        <w:rPr>
          <w:color w:val="auto"/>
        </w:rPr>
        <w:t xml:space="preserve"> </w:t>
      </w:r>
    </w:p>
    <w:p w14:paraId="64771017" w14:textId="77777777" w:rsidR="006B6D15" w:rsidRPr="00664E64" w:rsidRDefault="006B6D15" w:rsidP="00F65855">
      <w:pPr>
        <w:pStyle w:val="BodyText"/>
        <w:rPr>
          <w:rFonts w:eastAsia="MS Mincho"/>
        </w:rPr>
      </w:pPr>
      <w:r w:rsidRPr="00664E64">
        <w:rPr>
          <w:rFonts w:eastAsia="MS Mincho"/>
        </w:rPr>
        <w:t xml:space="preserve">Although the focus of this measure is on ‘consistent’ gambling messaging, several jurisdictions noted the importance of a harm reduction approach to any gambling messages: </w:t>
      </w:r>
    </w:p>
    <w:p w14:paraId="14A76F6C" w14:textId="0756C06C" w:rsidR="006B6D15" w:rsidRPr="00085B1A" w:rsidRDefault="006B6D15" w:rsidP="00F65855">
      <w:pPr>
        <w:pStyle w:val="Quote"/>
        <w:rPr>
          <w:color w:val="auto"/>
        </w:rPr>
      </w:pPr>
      <w:r w:rsidRPr="00085B1A">
        <w:rPr>
          <w:color w:val="auto"/>
        </w:rPr>
        <w:t>‘My feeling that a throwaway line of ‘gamble responsibly’ has lost all meaning or value</w:t>
      </w:r>
      <w:r w:rsidR="001312C2" w:rsidRPr="00085B1A">
        <w:rPr>
          <w:color w:val="auto"/>
        </w:rPr>
        <w:t xml:space="preserve"> </w:t>
      </w:r>
      <w:r w:rsidRPr="00085B1A">
        <w:rPr>
          <w:color w:val="auto"/>
        </w:rPr>
        <w:t>… there’s scope for reviewing the messaging generally to make sure that it is addressing the harm</w:t>
      </w:r>
      <w:r w:rsidR="001312C2" w:rsidRPr="00085B1A">
        <w:rPr>
          <w:color w:val="auto"/>
        </w:rPr>
        <w:t xml:space="preserve"> </w:t>
      </w:r>
      <w:r w:rsidRPr="00085B1A">
        <w:rPr>
          <w:color w:val="auto"/>
        </w:rPr>
        <w:t>… and identifying that there is a harm associated with gambling rather than just, you know, encouraging people to gamble responsibly</w:t>
      </w:r>
      <w:r w:rsidR="001312C2" w:rsidRPr="00085B1A">
        <w:rPr>
          <w:color w:val="auto"/>
        </w:rPr>
        <w:t>.</w:t>
      </w:r>
      <w:r w:rsidRPr="00085B1A">
        <w:rPr>
          <w:color w:val="auto"/>
        </w:rPr>
        <w:t xml:space="preserve">’ </w:t>
      </w:r>
    </w:p>
    <w:p w14:paraId="677DEC0A" w14:textId="619819E4" w:rsidR="006B6D15" w:rsidRPr="00085B1A" w:rsidRDefault="006B6D15" w:rsidP="00F65855">
      <w:pPr>
        <w:pStyle w:val="Quote"/>
        <w:rPr>
          <w:color w:val="auto"/>
        </w:rPr>
      </w:pPr>
      <w:r w:rsidRPr="00085B1A">
        <w:rPr>
          <w:color w:val="auto"/>
        </w:rPr>
        <w:t>‘I’d like to talk about things in different ways around reducing harm and responsible gambling</w:t>
      </w:r>
      <w:r w:rsidR="001312C2" w:rsidRPr="00085B1A">
        <w:rPr>
          <w:color w:val="auto"/>
        </w:rPr>
        <w:t xml:space="preserve"> </w:t>
      </w:r>
      <w:r w:rsidRPr="00085B1A">
        <w:rPr>
          <w:color w:val="auto"/>
        </w:rPr>
        <w:t>… I think [jurisdiction] would agree that harm [reduction] is a better approach</w:t>
      </w:r>
      <w:r w:rsidR="001312C2" w:rsidRPr="00085B1A">
        <w:rPr>
          <w:color w:val="auto"/>
        </w:rPr>
        <w:t>.</w:t>
      </w:r>
      <w:r w:rsidRPr="00085B1A">
        <w:rPr>
          <w:color w:val="auto"/>
        </w:rPr>
        <w:t>’</w:t>
      </w:r>
    </w:p>
    <w:p w14:paraId="625CDE4F" w14:textId="232618EC" w:rsidR="006B6D15" w:rsidRPr="00085B1A" w:rsidRDefault="006B6D15" w:rsidP="00F65855">
      <w:pPr>
        <w:pStyle w:val="Quote"/>
        <w:rPr>
          <w:color w:val="auto"/>
        </w:rPr>
      </w:pPr>
      <w:r w:rsidRPr="00085B1A">
        <w:rPr>
          <w:color w:val="auto"/>
        </w:rPr>
        <w:t xml:space="preserve">‘So [jurisdiction] is moving, like a lot of jurisdictions, to a public health approach to gambling harm. And a lot of our current messaging </w:t>
      </w:r>
      <w:r w:rsidR="00014A0D" w:rsidRPr="00085B1A">
        <w:rPr>
          <w:color w:val="auto"/>
        </w:rPr>
        <w:t>Framework</w:t>
      </w:r>
      <w:r w:rsidRPr="00085B1A">
        <w:rPr>
          <w:color w:val="auto"/>
        </w:rPr>
        <w:t xml:space="preserve"> with the gambling [poker] machines don’t really capture that approach</w:t>
      </w:r>
      <w:r w:rsidR="001312C2" w:rsidRPr="00085B1A">
        <w:rPr>
          <w:color w:val="auto"/>
        </w:rPr>
        <w:t>.</w:t>
      </w:r>
      <w:r w:rsidRPr="00085B1A">
        <w:rPr>
          <w:color w:val="auto"/>
        </w:rPr>
        <w:t xml:space="preserve">’ </w:t>
      </w:r>
    </w:p>
    <w:p w14:paraId="0F0BC421" w14:textId="77777777" w:rsidR="006B6D15" w:rsidRPr="00664E64" w:rsidRDefault="006B6D15" w:rsidP="00F65855">
      <w:pPr>
        <w:pStyle w:val="BodyText"/>
        <w:rPr>
          <w:rFonts w:eastAsia="MS Mincho"/>
        </w:rPr>
      </w:pPr>
      <w:r w:rsidRPr="00664E64">
        <w:rPr>
          <w:rFonts w:eastAsia="MS Mincho"/>
        </w:rPr>
        <w:t>However, another jurisdiction noted the importance of the concept of ‘responsible’ gambling:</w:t>
      </w:r>
    </w:p>
    <w:p w14:paraId="4B6976BB" w14:textId="0796C817" w:rsidR="006B6D15" w:rsidRPr="00085B1A" w:rsidRDefault="006B6D15" w:rsidP="00F65855">
      <w:pPr>
        <w:pStyle w:val="Quote"/>
        <w:rPr>
          <w:color w:val="auto"/>
        </w:rPr>
      </w:pPr>
      <w:r w:rsidRPr="00085B1A">
        <w:rPr>
          <w:color w:val="auto"/>
        </w:rPr>
        <w:t>‘I think in [jurisdiction] we really think that the responsible gambling issue</w:t>
      </w:r>
      <w:r w:rsidR="001312C2" w:rsidRPr="00085B1A">
        <w:rPr>
          <w:color w:val="auto"/>
        </w:rPr>
        <w:t xml:space="preserve"> </w:t>
      </w:r>
      <w:r w:rsidRPr="00085B1A">
        <w:rPr>
          <w:color w:val="auto"/>
        </w:rPr>
        <w:t>… does strike that balance between</w:t>
      </w:r>
      <w:r w:rsidR="001312C2" w:rsidRPr="00085B1A">
        <w:rPr>
          <w:color w:val="auto"/>
        </w:rPr>
        <w:t xml:space="preserve"> </w:t>
      </w:r>
      <w:r w:rsidRPr="00085B1A">
        <w:rPr>
          <w:color w:val="auto"/>
        </w:rPr>
        <w:t>… the government’s commitment to preventing and minimising harm but then also acknowledging that gambling is a legitimate and lawful activity</w:t>
      </w:r>
      <w:r w:rsidR="001312C2" w:rsidRPr="00085B1A">
        <w:rPr>
          <w:color w:val="auto"/>
        </w:rPr>
        <w:t>.</w:t>
      </w:r>
      <w:r w:rsidRPr="00085B1A">
        <w:rPr>
          <w:color w:val="auto"/>
        </w:rPr>
        <w:t>’</w:t>
      </w:r>
    </w:p>
    <w:p w14:paraId="38A5609C" w14:textId="3E86D03B" w:rsidR="006B6D15" w:rsidRPr="00664E64" w:rsidRDefault="006B6D15" w:rsidP="00F65855">
      <w:pPr>
        <w:pStyle w:val="Heading4"/>
      </w:pPr>
      <w:r w:rsidRPr="00664E64">
        <w:t>Other measures</w:t>
      </w:r>
    </w:p>
    <w:p w14:paraId="3B78206E" w14:textId="54EF31E9" w:rsidR="006B6D15" w:rsidRPr="00664E64" w:rsidRDefault="006B6D15" w:rsidP="00F65855">
      <w:pPr>
        <w:pStyle w:val="BodyText"/>
        <w:rPr>
          <w:rFonts w:eastAsia="MS Mincho"/>
        </w:rPr>
      </w:pPr>
      <w:r w:rsidRPr="00664E64">
        <w:rPr>
          <w:rFonts w:eastAsia="MS Mincho"/>
        </w:rPr>
        <w:t xml:space="preserve">Some jurisdictions reported that other measures under the NCPF are already in place, in part or in full, in their respective jurisdictions. One such measure was voluntary pre-commitment limits (measure 6) although </w:t>
      </w:r>
      <w:r w:rsidR="001312C2" w:rsidRPr="00664E64">
        <w:rPr>
          <w:rFonts w:eastAsia="MS Mincho"/>
        </w:rPr>
        <w:t>up</w:t>
      </w:r>
      <w:r w:rsidRPr="00664E64">
        <w:rPr>
          <w:rFonts w:eastAsia="MS Mincho"/>
        </w:rPr>
        <w:t>take had been sporadic for wagering providers across the country:</w:t>
      </w:r>
    </w:p>
    <w:p w14:paraId="112BC218" w14:textId="775AA69C" w:rsidR="006B6D15" w:rsidRPr="00085B1A" w:rsidRDefault="006B6D15" w:rsidP="00F65855">
      <w:pPr>
        <w:pStyle w:val="Quote"/>
        <w:rPr>
          <w:color w:val="auto"/>
        </w:rPr>
      </w:pPr>
      <w:r w:rsidRPr="00085B1A">
        <w:rPr>
          <w:color w:val="auto"/>
        </w:rPr>
        <w:t>‘Most operators have some form of pre-commitment</w:t>
      </w:r>
      <w:r w:rsidR="001312C2" w:rsidRPr="00085B1A">
        <w:rPr>
          <w:color w:val="auto"/>
        </w:rPr>
        <w:t xml:space="preserve"> </w:t>
      </w:r>
      <w:r w:rsidRPr="00085B1A">
        <w:rPr>
          <w:color w:val="auto"/>
        </w:rPr>
        <w:t>… there’s a huge variance between operators on take up of these measures and part of the standardisation hopefully will see that we get significant changes in that</w:t>
      </w:r>
      <w:r w:rsidR="001312C2" w:rsidRPr="00085B1A">
        <w:rPr>
          <w:color w:val="auto"/>
        </w:rPr>
        <w:t>.</w:t>
      </w:r>
      <w:r w:rsidRPr="00085B1A">
        <w:rPr>
          <w:color w:val="auto"/>
        </w:rPr>
        <w:t xml:space="preserve">’ </w:t>
      </w:r>
    </w:p>
    <w:p w14:paraId="658F1ECC" w14:textId="77777777" w:rsidR="006B6D15" w:rsidRPr="00664E64" w:rsidRDefault="006B6D15" w:rsidP="00F65855">
      <w:pPr>
        <w:pStyle w:val="BodyText"/>
        <w:rPr>
          <w:rFonts w:eastAsia="MS Mincho"/>
          <w:i/>
        </w:rPr>
      </w:pPr>
      <w:r w:rsidRPr="00664E64">
        <w:rPr>
          <w:rFonts w:eastAsia="MS Mincho"/>
        </w:rPr>
        <w:t>Several jurisdictions noted the benefits of measures that are due to come into effect in 2020 given their reach across the country:</w:t>
      </w:r>
    </w:p>
    <w:p w14:paraId="358E5B3E" w14:textId="6BB6AF3F" w:rsidR="006B6D15" w:rsidRPr="00085B1A" w:rsidRDefault="006B6D15" w:rsidP="00F65855">
      <w:pPr>
        <w:pStyle w:val="Quote"/>
        <w:rPr>
          <w:color w:val="auto"/>
        </w:rPr>
      </w:pPr>
      <w:r w:rsidRPr="00085B1A">
        <w:rPr>
          <w:color w:val="auto"/>
        </w:rPr>
        <w:t>‘The national self-exclusion registry’s another one that I think should have particular benefits when it comes online</w:t>
      </w:r>
      <w:r w:rsidR="001312C2" w:rsidRPr="00085B1A">
        <w:rPr>
          <w:color w:val="auto"/>
        </w:rPr>
        <w:t>.</w:t>
      </w:r>
      <w:r w:rsidRPr="00085B1A">
        <w:rPr>
          <w:color w:val="auto"/>
        </w:rPr>
        <w:t>’</w:t>
      </w:r>
    </w:p>
    <w:p w14:paraId="49362833" w14:textId="7D4C5F4F" w:rsidR="006B6D15" w:rsidRPr="00085B1A" w:rsidRDefault="006B6D15" w:rsidP="00F65855">
      <w:pPr>
        <w:pStyle w:val="Heading3"/>
        <w:rPr>
          <w:color w:val="auto"/>
        </w:rPr>
      </w:pPr>
      <w:r w:rsidRPr="00085B1A">
        <w:rPr>
          <w:color w:val="auto"/>
        </w:rPr>
        <w:t>Perceived benefits of NCPF</w:t>
      </w:r>
    </w:p>
    <w:p w14:paraId="100952E8" w14:textId="4296DAB8" w:rsidR="0074290C" w:rsidRPr="00664E64" w:rsidRDefault="006B6D15" w:rsidP="00F65855">
      <w:pPr>
        <w:pStyle w:val="BodyText"/>
        <w:rPr>
          <w:rFonts w:eastAsia="MS Mincho"/>
        </w:rPr>
      </w:pPr>
      <w:r w:rsidRPr="00664E64">
        <w:rPr>
          <w:rFonts w:eastAsia="MS Mincho"/>
        </w:rPr>
        <w:t>Most jurisdictions reported that that the goal of harmonising standards for online wagering across the country was a primary benefit of the NCPF</w:t>
      </w:r>
      <w:r w:rsidR="0074290C" w:rsidRPr="00664E64">
        <w:rPr>
          <w:rFonts w:eastAsia="MS Mincho"/>
        </w:rPr>
        <w:t>, along with encouraging stronger consumer protection measures:</w:t>
      </w:r>
    </w:p>
    <w:p w14:paraId="6EA00DE6" w14:textId="05854FE4" w:rsidR="0074290C" w:rsidRPr="00085B1A" w:rsidRDefault="0074290C" w:rsidP="00F65855">
      <w:pPr>
        <w:pStyle w:val="Quote"/>
        <w:rPr>
          <w:color w:val="auto"/>
        </w:rPr>
      </w:pPr>
      <w:r w:rsidRPr="00085B1A">
        <w:rPr>
          <w:color w:val="auto"/>
        </w:rPr>
        <w:lastRenderedPageBreak/>
        <w:t xml:space="preserve">‘I think the idea of moving to a nationally consistent </w:t>
      </w:r>
      <w:r w:rsidR="00014A0D" w:rsidRPr="00085B1A">
        <w:rPr>
          <w:color w:val="auto"/>
        </w:rPr>
        <w:t>Framework</w:t>
      </w:r>
      <w:r w:rsidRPr="00085B1A">
        <w:rPr>
          <w:color w:val="auto"/>
        </w:rPr>
        <w:t xml:space="preserve"> is amazing but I think, you know, there are challenges ahead I’m sure for everyone involved. I’m sure there will be a number of benefits to consumers</w:t>
      </w:r>
      <w:r w:rsidR="001312C2" w:rsidRPr="00085B1A">
        <w:rPr>
          <w:color w:val="auto"/>
        </w:rPr>
        <w:t xml:space="preserve"> </w:t>
      </w:r>
      <w:r w:rsidRPr="00085B1A">
        <w:rPr>
          <w:color w:val="auto"/>
        </w:rPr>
        <w:t>… So I’m excited about it.’</w:t>
      </w:r>
    </w:p>
    <w:p w14:paraId="499C0959" w14:textId="5A6DF866" w:rsidR="006B6D15" w:rsidRPr="00664E64" w:rsidRDefault="0074290C" w:rsidP="00F65855">
      <w:pPr>
        <w:pStyle w:val="BodyText"/>
        <w:rPr>
          <w:rFonts w:eastAsia="MS Mincho"/>
        </w:rPr>
      </w:pPr>
      <w:r w:rsidRPr="00664E64">
        <w:rPr>
          <w:rFonts w:eastAsia="MS Mincho"/>
        </w:rPr>
        <w:t>Harmonising standards</w:t>
      </w:r>
      <w:r w:rsidR="006B6D15" w:rsidRPr="00664E64">
        <w:rPr>
          <w:rFonts w:eastAsia="MS Mincho"/>
        </w:rPr>
        <w:t xml:space="preserve"> would</w:t>
      </w:r>
      <w:r w:rsidRPr="00664E64">
        <w:rPr>
          <w:rFonts w:eastAsia="MS Mincho"/>
        </w:rPr>
        <w:t>,</w:t>
      </w:r>
      <w:r w:rsidR="006B6D15" w:rsidRPr="00664E64">
        <w:rPr>
          <w:rFonts w:eastAsia="MS Mincho"/>
        </w:rPr>
        <w:t xml:space="preserve"> in theory</w:t>
      </w:r>
      <w:r w:rsidRPr="00664E64">
        <w:rPr>
          <w:rFonts w:eastAsia="MS Mincho"/>
        </w:rPr>
        <w:t>,</w:t>
      </w:r>
      <w:r w:rsidR="006B6D15" w:rsidRPr="00664E64">
        <w:rPr>
          <w:rFonts w:eastAsia="MS Mincho"/>
        </w:rPr>
        <w:t xml:space="preserve"> eliminate discrepancies between state, territory and Commonwealth jurisdictions in measures to address online gambling, and provide clarity for wagering providers. It would also provide a baseline for minimum standards to promote certainty to wagering providers and an increased level of consumer protection.</w:t>
      </w:r>
    </w:p>
    <w:p w14:paraId="0D127CD2" w14:textId="47DF4C47" w:rsidR="006B6D15" w:rsidRPr="00085B1A" w:rsidRDefault="006B6D15" w:rsidP="00F65855">
      <w:pPr>
        <w:pStyle w:val="Quote"/>
        <w:rPr>
          <w:color w:val="auto"/>
        </w:rPr>
      </w:pPr>
      <w:r w:rsidRPr="00085B1A">
        <w:rPr>
          <w:color w:val="auto"/>
        </w:rPr>
        <w:t xml:space="preserve">‘[The NCPF] provides a clear </w:t>
      </w:r>
      <w:r w:rsidR="00014A0D" w:rsidRPr="00085B1A">
        <w:rPr>
          <w:color w:val="auto"/>
        </w:rPr>
        <w:t>Framework</w:t>
      </w:r>
      <w:r w:rsidRPr="00085B1A">
        <w:rPr>
          <w:color w:val="auto"/>
        </w:rPr>
        <w:t xml:space="preserve"> for nationally harmonising harm minimisation in the online wagering space</w:t>
      </w:r>
      <w:r w:rsidR="001312C2" w:rsidRPr="00085B1A">
        <w:rPr>
          <w:color w:val="auto"/>
        </w:rPr>
        <w:t>,</w:t>
      </w:r>
      <w:r w:rsidRPr="00085B1A">
        <w:rPr>
          <w:color w:val="auto"/>
        </w:rPr>
        <w:t xml:space="preserve"> which has not been specifically catered for to date</w:t>
      </w:r>
      <w:r w:rsidR="001312C2" w:rsidRPr="00085B1A">
        <w:rPr>
          <w:color w:val="auto"/>
        </w:rPr>
        <w:t>.</w:t>
      </w:r>
      <w:r w:rsidRPr="00085B1A">
        <w:rPr>
          <w:color w:val="auto"/>
        </w:rPr>
        <w:t>’</w:t>
      </w:r>
    </w:p>
    <w:p w14:paraId="2BF270A9" w14:textId="354EEAF5" w:rsidR="0074290C" w:rsidRPr="00085B1A" w:rsidRDefault="006B6D15" w:rsidP="00F65855">
      <w:pPr>
        <w:pStyle w:val="Quote"/>
        <w:rPr>
          <w:color w:val="auto"/>
        </w:rPr>
      </w:pPr>
      <w:r w:rsidRPr="00085B1A">
        <w:rPr>
          <w:color w:val="auto"/>
        </w:rPr>
        <w:t>‘From our perspective [the NCPF] is a pretty good thing, it brings other jurisdictions up to consistent harm minimisations, many of which we already have in [jurisdiction].</w:t>
      </w:r>
      <w:r w:rsidR="0074290C" w:rsidRPr="00085B1A">
        <w:rPr>
          <w:color w:val="auto"/>
        </w:rPr>
        <w:t>’</w:t>
      </w:r>
    </w:p>
    <w:p w14:paraId="6961462B" w14:textId="2FE7DA44" w:rsidR="000B08C6" w:rsidRPr="00664E64" w:rsidRDefault="000B08C6" w:rsidP="00F65855">
      <w:pPr>
        <w:pStyle w:val="BodyText"/>
        <w:rPr>
          <w:rFonts w:eastAsia="MS Mincho"/>
        </w:rPr>
      </w:pPr>
      <w:r w:rsidRPr="00664E64">
        <w:rPr>
          <w:rFonts w:eastAsia="MS Mincho"/>
        </w:rPr>
        <w:t xml:space="preserve">One regulator noted the different processes jurisdictions have to bring into effect the same NCPF measures: </w:t>
      </w:r>
    </w:p>
    <w:p w14:paraId="787E8225" w14:textId="3283D6BF" w:rsidR="006B6D15" w:rsidRPr="00085B1A" w:rsidRDefault="0074290C" w:rsidP="00F65855">
      <w:pPr>
        <w:pStyle w:val="Quote"/>
        <w:rPr>
          <w:color w:val="auto"/>
        </w:rPr>
      </w:pPr>
      <w:r w:rsidRPr="00085B1A">
        <w:rPr>
          <w:color w:val="auto"/>
        </w:rPr>
        <w:t>‘If we’re going from A to B to get to C, and when we get to C, we’re all actually – we might have different ways of getting there but as long as we’re all getting there.’</w:t>
      </w:r>
    </w:p>
    <w:p w14:paraId="2853CC6D" w14:textId="69108E98" w:rsidR="006B6D15" w:rsidRPr="00664E64" w:rsidRDefault="006B6D15" w:rsidP="00F65855">
      <w:pPr>
        <w:pStyle w:val="BodyText"/>
        <w:rPr>
          <w:rFonts w:eastAsia="MS Mincho"/>
        </w:rPr>
      </w:pPr>
      <w:r w:rsidRPr="00664E64">
        <w:rPr>
          <w:rFonts w:eastAsia="MS Mincho"/>
        </w:rPr>
        <w:t>Some jurisdictions noted the benefit of having mechanisms in place to engage in dialogue with other jurisdictions</w:t>
      </w:r>
      <w:r w:rsidR="001312C2" w:rsidRPr="00664E64">
        <w:rPr>
          <w:rFonts w:eastAsia="MS Mincho"/>
        </w:rPr>
        <w:t>,</w:t>
      </w:r>
      <w:r w:rsidRPr="00664E64">
        <w:rPr>
          <w:rFonts w:eastAsia="MS Mincho"/>
        </w:rPr>
        <w:t xml:space="preserve"> particularly around existing discrepancies in gambling regulation</w:t>
      </w:r>
      <w:r w:rsidR="00E30B20" w:rsidRPr="00664E64">
        <w:rPr>
          <w:rFonts w:eastAsia="MS Mincho"/>
        </w:rPr>
        <w:t>:</w:t>
      </w:r>
    </w:p>
    <w:p w14:paraId="03866B78" w14:textId="5C7E16DC" w:rsidR="006B6D15" w:rsidRPr="00085B1A" w:rsidRDefault="006B6D15" w:rsidP="00F65855">
      <w:pPr>
        <w:pStyle w:val="Quote"/>
        <w:rPr>
          <w:color w:val="auto"/>
        </w:rPr>
      </w:pPr>
      <w:r w:rsidRPr="00085B1A">
        <w:rPr>
          <w:color w:val="auto"/>
        </w:rPr>
        <w:t>‘There’s also a benefit just from having a template for us to work with the other states and territories on online wagering issues. I think the Governance Committee is seen as something that will be used going forward</w:t>
      </w:r>
      <w:r w:rsidR="001312C2" w:rsidRPr="00085B1A">
        <w:rPr>
          <w:color w:val="auto"/>
        </w:rPr>
        <w:t>.</w:t>
      </w:r>
      <w:r w:rsidRPr="00085B1A">
        <w:rPr>
          <w:color w:val="auto"/>
        </w:rPr>
        <w:t>’</w:t>
      </w:r>
    </w:p>
    <w:p w14:paraId="59E05866" w14:textId="77777777" w:rsidR="006B6D15" w:rsidRPr="00664E64" w:rsidRDefault="006B6D15" w:rsidP="00F65855">
      <w:pPr>
        <w:pStyle w:val="BodyText"/>
        <w:rPr>
          <w:rFonts w:eastAsia="MS Mincho"/>
        </w:rPr>
      </w:pPr>
      <w:r w:rsidRPr="00664E64">
        <w:rPr>
          <w:rFonts w:eastAsia="MS Mincho"/>
        </w:rPr>
        <w:t>One jurisdiction noted that NCPF measures would provide minimum standards that would provide a baseline for all wagering providers:</w:t>
      </w:r>
    </w:p>
    <w:p w14:paraId="7E5974C9" w14:textId="6C3FD24E" w:rsidR="006B6D15" w:rsidRPr="00664E64" w:rsidRDefault="006B6D15" w:rsidP="00F65855">
      <w:pPr>
        <w:pStyle w:val="Quote"/>
      </w:pPr>
      <w:r w:rsidRPr="00085B1A">
        <w:rPr>
          <w:color w:val="auto"/>
        </w:rPr>
        <w:t>‘Some of the feedback we’ve had from the [wagering] industry</w:t>
      </w:r>
      <w:r w:rsidR="001312C2" w:rsidRPr="00085B1A">
        <w:rPr>
          <w:color w:val="auto"/>
        </w:rPr>
        <w:t xml:space="preserve"> </w:t>
      </w:r>
      <w:r w:rsidRPr="00085B1A">
        <w:rPr>
          <w:color w:val="auto"/>
        </w:rPr>
        <w:t xml:space="preserve">… there is an argument around that [the NCPF] </w:t>
      </w:r>
      <w:r w:rsidRPr="00664E64">
        <w:t>doesn’t necessarily give national consistency but there is at least a minimum standard</w:t>
      </w:r>
      <w:r w:rsidR="001312C2" w:rsidRPr="00664E64">
        <w:t>.</w:t>
      </w:r>
      <w:r w:rsidRPr="00664E64">
        <w:t xml:space="preserve">’ </w:t>
      </w:r>
    </w:p>
    <w:p w14:paraId="2D395C6F" w14:textId="77777777" w:rsidR="006B6D15" w:rsidRPr="00664E64" w:rsidRDefault="006B6D15" w:rsidP="00F65855">
      <w:pPr>
        <w:pStyle w:val="BodyText"/>
        <w:rPr>
          <w:rFonts w:eastAsia="MS Mincho"/>
        </w:rPr>
      </w:pPr>
      <w:r w:rsidRPr="00664E64">
        <w:rPr>
          <w:rFonts w:eastAsia="MS Mincho"/>
        </w:rPr>
        <w:t>Other jurisdictions reported on the success of specific measures:</w:t>
      </w:r>
    </w:p>
    <w:p w14:paraId="5988638E" w14:textId="6728B443" w:rsidR="008D178F" w:rsidRPr="00085B1A" w:rsidRDefault="006B6D15" w:rsidP="00F65855">
      <w:pPr>
        <w:pStyle w:val="Quote"/>
        <w:rPr>
          <w:color w:val="auto"/>
        </w:rPr>
      </w:pPr>
      <w:r w:rsidRPr="00085B1A">
        <w:rPr>
          <w:color w:val="auto"/>
        </w:rPr>
        <w:t>‘Things around the inducements and the lines of credit</w:t>
      </w:r>
      <w:r w:rsidR="001312C2" w:rsidRPr="00085B1A">
        <w:rPr>
          <w:color w:val="auto"/>
        </w:rPr>
        <w:t xml:space="preserve"> </w:t>
      </w:r>
      <w:r w:rsidRPr="00085B1A">
        <w:rPr>
          <w:color w:val="auto"/>
        </w:rPr>
        <w:t>… with payday lenders, I think, are all great</w:t>
      </w:r>
      <w:r w:rsidR="001312C2" w:rsidRPr="00085B1A">
        <w:rPr>
          <w:color w:val="auto"/>
        </w:rPr>
        <w:t xml:space="preserve"> </w:t>
      </w:r>
      <w:r w:rsidRPr="00085B1A">
        <w:rPr>
          <w:color w:val="auto"/>
        </w:rPr>
        <w:t>… Making it easier for people to close their accounts I think is really important</w:t>
      </w:r>
      <w:r w:rsidR="001312C2" w:rsidRPr="00085B1A">
        <w:rPr>
          <w:color w:val="auto"/>
        </w:rPr>
        <w:t xml:space="preserve"> </w:t>
      </w:r>
      <w:r w:rsidRPr="00085B1A">
        <w:rPr>
          <w:color w:val="auto"/>
        </w:rPr>
        <w:t>… the exclusion register is really important to make sure people can quickly and easily bar themselves from being involved in gambling. So</w:t>
      </w:r>
      <w:r w:rsidR="001312C2" w:rsidRPr="00085B1A">
        <w:rPr>
          <w:color w:val="auto"/>
        </w:rPr>
        <w:t>,</w:t>
      </w:r>
      <w:r w:rsidRPr="00085B1A">
        <w:rPr>
          <w:color w:val="auto"/>
        </w:rPr>
        <w:t xml:space="preserve"> you know, there’s some good work that’s in [the NCPF]</w:t>
      </w:r>
      <w:r w:rsidR="001312C2" w:rsidRPr="00085B1A">
        <w:rPr>
          <w:color w:val="auto"/>
        </w:rPr>
        <w:t>.</w:t>
      </w:r>
      <w:r w:rsidRPr="00085B1A">
        <w:rPr>
          <w:color w:val="auto"/>
        </w:rPr>
        <w:t xml:space="preserve">’ </w:t>
      </w:r>
    </w:p>
    <w:p w14:paraId="07AB697E" w14:textId="18D08353" w:rsidR="006B6D15" w:rsidRPr="00664E64" w:rsidRDefault="006B6D15" w:rsidP="00F65855">
      <w:pPr>
        <w:pStyle w:val="Heading3"/>
      </w:pPr>
      <w:r w:rsidRPr="00085B1A">
        <w:rPr>
          <w:color w:val="auto"/>
        </w:rPr>
        <w:t xml:space="preserve">NCPF </w:t>
      </w:r>
      <w:r w:rsidR="00ED04E3" w:rsidRPr="00085B1A">
        <w:rPr>
          <w:color w:val="auto"/>
        </w:rPr>
        <w:t>c</w:t>
      </w:r>
      <w:r w:rsidR="00B31B52" w:rsidRPr="00085B1A">
        <w:rPr>
          <w:color w:val="auto"/>
        </w:rPr>
        <w:t>hallenges</w:t>
      </w:r>
      <w:r w:rsidRPr="00085B1A">
        <w:rPr>
          <w:color w:val="auto"/>
        </w:rPr>
        <w:t xml:space="preserve"> </w:t>
      </w:r>
    </w:p>
    <w:p w14:paraId="33B27B8F" w14:textId="77777777" w:rsidR="008D178F" w:rsidRPr="00664E64" w:rsidRDefault="006B6D15" w:rsidP="00F65855">
      <w:pPr>
        <w:pStyle w:val="Heading4"/>
      </w:pPr>
      <w:r w:rsidRPr="00664E64">
        <w:t>Point of supply and consumption approaches</w:t>
      </w:r>
    </w:p>
    <w:p w14:paraId="10B9448D" w14:textId="1F98494E" w:rsidR="006B6D15" w:rsidRPr="00664E64" w:rsidRDefault="006B6D15" w:rsidP="00F65855">
      <w:pPr>
        <w:pStyle w:val="BodyText"/>
        <w:rPr>
          <w:rFonts w:eastAsia="MS Mincho"/>
        </w:rPr>
      </w:pPr>
      <w:r w:rsidRPr="00664E64">
        <w:rPr>
          <w:rFonts w:eastAsia="MS Mincho"/>
        </w:rPr>
        <w:t>Several regulators reported on the difficulty of reconciling point of supply and point of consumption regulations across jurisdictions. There was some concern from point of supply jurisdictions (</w:t>
      </w:r>
      <w:r w:rsidR="009704D9" w:rsidRPr="00664E64">
        <w:rPr>
          <w:rFonts w:eastAsia="MS Mincho"/>
        </w:rPr>
        <w:t xml:space="preserve">who </w:t>
      </w:r>
      <w:r w:rsidRPr="00664E64">
        <w:rPr>
          <w:rFonts w:eastAsia="MS Mincho"/>
        </w:rPr>
        <w:t xml:space="preserve">regulate </w:t>
      </w:r>
      <w:r w:rsidRPr="00664E64">
        <w:rPr>
          <w:rFonts w:eastAsia="MS Mincho"/>
        </w:rPr>
        <w:lastRenderedPageBreak/>
        <w:t>only wagering providers licensed in their jurisdiction) as to the difficulty they would have in taking a</w:t>
      </w:r>
      <w:r w:rsidR="00AD2B47" w:rsidRPr="00664E64">
        <w:rPr>
          <w:rFonts w:eastAsia="MS Mincho"/>
        </w:rPr>
        <w:t xml:space="preserve"> </w:t>
      </w:r>
      <w:r w:rsidRPr="00664E64">
        <w:rPr>
          <w:rFonts w:eastAsia="MS Mincho"/>
        </w:rPr>
        <w:t>point of consumption approach (regulating wagering providers offering services in their jurisdiction):</w:t>
      </w:r>
    </w:p>
    <w:p w14:paraId="22E711EE" w14:textId="3040FC72" w:rsidR="006B6D15" w:rsidRPr="00664E64" w:rsidRDefault="006B6D15" w:rsidP="00F65855">
      <w:pPr>
        <w:pStyle w:val="Quote"/>
      </w:pPr>
      <w:r w:rsidRPr="00085B1A">
        <w:rPr>
          <w:color w:val="auto"/>
        </w:rPr>
        <w:t>‘That’s the tricky [issue] we are working though the implementation group at the moment because really, there’s nothing [the jurisdiction] can do</w:t>
      </w:r>
      <w:r w:rsidR="001312C2" w:rsidRPr="00085B1A">
        <w:rPr>
          <w:color w:val="auto"/>
        </w:rPr>
        <w:t xml:space="preserve"> </w:t>
      </w:r>
      <w:r w:rsidRPr="00085B1A">
        <w:rPr>
          <w:color w:val="auto"/>
        </w:rPr>
        <w:t>… you would have to change our Act to be able to do a point of consumption model, which even if we decide to do that, it would take a number of years probably</w:t>
      </w:r>
      <w:r w:rsidR="001312C2" w:rsidRPr="00085B1A">
        <w:rPr>
          <w:color w:val="auto"/>
        </w:rPr>
        <w:t xml:space="preserve"> </w:t>
      </w:r>
      <w:r w:rsidRPr="00085B1A">
        <w:rPr>
          <w:color w:val="auto"/>
        </w:rPr>
        <w:t xml:space="preserve">… so </w:t>
      </w:r>
      <w:r w:rsidRPr="00664E64">
        <w:t>we’re sort of at the mercy of other jurisdictions to see if they are going to go down that path</w:t>
      </w:r>
      <w:r w:rsidR="001312C2" w:rsidRPr="00664E64">
        <w:t>.</w:t>
      </w:r>
      <w:r w:rsidRPr="00664E64">
        <w:t>’</w:t>
      </w:r>
    </w:p>
    <w:p w14:paraId="5BDC9911" w14:textId="6285B725" w:rsidR="006B6D15" w:rsidRPr="00664E64" w:rsidRDefault="006B6D15" w:rsidP="00F65855">
      <w:pPr>
        <w:pStyle w:val="BodyText"/>
        <w:rPr>
          <w:rFonts w:eastAsia="MS Mincho"/>
        </w:rPr>
      </w:pPr>
      <w:r w:rsidRPr="00664E64">
        <w:rPr>
          <w:rFonts w:eastAsia="MS Mincho"/>
        </w:rPr>
        <w:t>However</w:t>
      </w:r>
      <w:r w:rsidR="001312C2" w:rsidRPr="00664E64">
        <w:rPr>
          <w:rFonts w:eastAsia="MS Mincho"/>
        </w:rPr>
        <w:t>,</w:t>
      </w:r>
      <w:r w:rsidRPr="00664E64">
        <w:rPr>
          <w:rFonts w:eastAsia="MS Mincho"/>
        </w:rPr>
        <w:t xml:space="preserve"> other regulators with existing point of consumption regulations have indicated they would not be reducing their level of regulation of wagering providers:</w:t>
      </w:r>
    </w:p>
    <w:p w14:paraId="38E91338" w14:textId="4821635A" w:rsidR="006B6D15" w:rsidRPr="00085B1A" w:rsidRDefault="006B6D15" w:rsidP="00F65855">
      <w:pPr>
        <w:pStyle w:val="Quote"/>
        <w:rPr>
          <w:color w:val="auto"/>
        </w:rPr>
      </w:pPr>
      <w:r w:rsidRPr="00085B1A">
        <w:rPr>
          <w:color w:val="auto"/>
        </w:rPr>
        <w:t>‘We really don’t care where the [wagering] operator is licensed. If the breach occurs in [jurisdiction] and it’s in breach of our regulation or our legislation</w:t>
      </w:r>
      <w:r w:rsidR="001312C2" w:rsidRPr="00085B1A">
        <w:rPr>
          <w:color w:val="auto"/>
        </w:rPr>
        <w:t xml:space="preserve"> </w:t>
      </w:r>
      <w:r w:rsidRPr="00085B1A">
        <w:rPr>
          <w:color w:val="auto"/>
        </w:rPr>
        <w:t>… we will go after that operator</w:t>
      </w:r>
      <w:r w:rsidR="001312C2" w:rsidRPr="00085B1A">
        <w:rPr>
          <w:color w:val="auto"/>
        </w:rPr>
        <w:t>.</w:t>
      </w:r>
      <w:r w:rsidRPr="00085B1A">
        <w:rPr>
          <w:color w:val="auto"/>
        </w:rPr>
        <w:t>’</w:t>
      </w:r>
    </w:p>
    <w:p w14:paraId="6093105A" w14:textId="77777777" w:rsidR="006B6D15" w:rsidRPr="00664E64" w:rsidRDefault="006B6D15" w:rsidP="00F65855">
      <w:pPr>
        <w:pStyle w:val="BodyText"/>
        <w:rPr>
          <w:rFonts w:eastAsia="MS Mincho"/>
        </w:rPr>
      </w:pPr>
      <w:r w:rsidRPr="00664E64">
        <w:rPr>
          <w:rFonts w:eastAsia="MS Mincho"/>
        </w:rPr>
        <w:t>When asked about the possibility of harmonising regulations across jurisdictions, one regulator noted:</w:t>
      </w:r>
    </w:p>
    <w:p w14:paraId="04E731B4" w14:textId="43ED478A" w:rsidR="006B6D15" w:rsidRPr="00664E64" w:rsidRDefault="006B6D15" w:rsidP="00F65855">
      <w:pPr>
        <w:pStyle w:val="Quote"/>
      </w:pPr>
      <w:r w:rsidRPr="00085B1A">
        <w:rPr>
          <w:color w:val="auto"/>
        </w:rPr>
        <w:t>‘I’ve always thought that if</w:t>
      </w:r>
      <w:r w:rsidR="001312C2" w:rsidRPr="00085B1A">
        <w:rPr>
          <w:color w:val="auto"/>
        </w:rPr>
        <w:t xml:space="preserve"> </w:t>
      </w:r>
      <w:r w:rsidRPr="00085B1A">
        <w:rPr>
          <w:color w:val="auto"/>
        </w:rPr>
        <w:t xml:space="preserve">… NSW and South Australia and Victoria all adopt the point of consumption </w:t>
      </w:r>
      <w:r w:rsidRPr="00664E64">
        <w:t>approach</w:t>
      </w:r>
      <w:r w:rsidR="001312C2" w:rsidRPr="00664E64">
        <w:t xml:space="preserve"> </w:t>
      </w:r>
      <w:r w:rsidRPr="00664E64">
        <w:t>… it kind of drives other jurisdictions to</w:t>
      </w:r>
      <w:r w:rsidR="001312C2" w:rsidRPr="00664E64">
        <w:t xml:space="preserve"> </w:t>
      </w:r>
      <w:r w:rsidRPr="00664E64">
        <w:t>… essentially adopt the same thing</w:t>
      </w:r>
      <w:r w:rsidR="001312C2" w:rsidRPr="00664E64">
        <w:t>.</w:t>
      </w:r>
      <w:r w:rsidRPr="00664E64">
        <w:t xml:space="preserve">’ </w:t>
      </w:r>
    </w:p>
    <w:p w14:paraId="346A742C" w14:textId="69F703CA" w:rsidR="006B6D15" w:rsidRPr="00664E64" w:rsidRDefault="006B6D15" w:rsidP="00F65855">
      <w:pPr>
        <w:pStyle w:val="BodyText"/>
        <w:rPr>
          <w:rFonts w:eastAsia="MS Mincho"/>
        </w:rPr>
      </w:pPr>
      <w:r w:rsidRPr="00664E64">
        <w:rPr>
          <w:rFonts w:eastAsia="MS Mincho"/>
        </w:rPr>
        <w:t>One regulator reported that they have the ability to regulate wagering providers operating in their jurisdiction even if they take a</w:t>
      </w:r>
      <w:r w:rsidR="00AD2B47" w:rsidRPr="00664E64">
        <w:rPr>
          <w:rFonts w:eastAsia="MS Mincho"/>
        </w:rPr>
        <w:t xml:space="preserve"> </w:t>
      </w:r>
      <w:r w:rsidRPr="00664E64">
        <w:rPr>
          <w:rFonts w:eastAsia="MS Mincho"/>
        </w:rPr>
        <w:t xml:space="preserve">point of supply approach: </w:t>
      </w:r>
    </w:p>
    <w:p w14:paraId="1F21B27E" w14:textId="00DE5CCB" w:rsidR="006B6D15" w:rsidRPr="00085B1A" w:rsidRDefault="006B6D15" w:rsidP="00F65855">
      <w:pPr>
        <w:pStyle w:val="Quote"/>
        <w:rPr>
          <w:color w:val="auto"/>
        </w:rPr>
      </w:pPr>
      <w:r w:rsidRPr="00085B1A">
        <w:rPr>
          <w:color w:val="auto"/>
        </w:rPr>
        <w:t>‘It’s kind of like we have a hybrid</w:t>
      </w:r>
      <w:r w:rsidR="001312C2" w:rsidRPr="00085B1A">
        <w:rPr>
          <w:color w:val="auto"/>
        </w:rPr>
        <w:t xml:space="preserve"> </w:t>
      </w:r>
      <w:r w:rsidRPr="00085B1A">
        <w:rPr>
          <w:color w:val="auto"/>
        </w:rPr>
        <w:t>… we will have a point of consumption approach to regulation where someone who is providing services to a [jurisdictional] resident we will deal with them under our codes and legislation because we have probably stricter requirements in [jurisdiction]</w:t>
      </w:r>
      <w:r w:rsidR="001312C2" w:rsidRPr="00085B1A">
        <w:rPr>
          <w:color w:val="auto"/>
        </w:rPr>
        <w:t xml:space="preserve"> </w:t>
      </w:r>
      <w:r w:rsidRPr="00085B1A">
        <w:rPr>
          <w:color w:val="auto"/>
        </w:rPr>
        <w:t>… But where there is a licensee who is a licensee in [jurisdiction] then we’ll obviously deal with them from a point of supply approach</w:t>
      </w:r>
      <w:r w:rsidR="001312C2" w:rsidRPr="00085B1A">
        <w:rPr>
          <w:color w:val="auto"/>
        </w:rPr>
        <w:t xml:space="preserve"> </w:t>
      </w:r>
      <w:r w:rsidRPr="00085B1A">
        <w:rPr>
          <w:color w:val="auto"/>
        </w:rPr>
        <w:t>… So it’s a bit complicated but we can do both effectively whereas some states are limited to one or the other</w:t>
      </w:r>
      <w:r w:rsidR="001312C2" w:rsidRPr="00085B1A">
        <w:rPr>
          <w:color w:val="auto"/>
        </w:rPr>
        <w:t>.</w:t>
      </w:r>
      <w:r w:rsidRPr="00085B1A">
        <w:rPr>
          <w:color w:val="auto"/>
        </w:rPr>
        <w:t xml:space="preserve">’ </w:t>
      </w:r>
    </w:p>
    <w:p w14:paraId="6AC93D99" w14:textId="4A632507" w:rsidR="006B6D15" w:rsidRPr="00664E64" w:rsidRDefault="006B6D15" w:rsidP="00F65855">
      <w:pPr>
        <w:pStyle w:val="BodyText"/>
        <w:rPr>
          <w:rFonts w:eastAsia="MS Mincho"/>
        </w:rPr>
      </w:pPr>
      <w:r w:rsidRPr="00664E64">
        <w:rPr>
          <w:rFonts w:eastAsia="MS Mincho"/>
        </w:rPr>
        <w:t>Another regulator noted a cooperative approach to regulating wagering providers not licensed in their jurisdiction:</w:t>
      </w:r>
    </w:p>
    <w:p w14:paraId="383C5C88" w14:textId="6D9A7B2F" w:rsidR="006B6D15" w:rsidRPr="00085B1A" w:rsidRDefault="006B6D15" w:rsidP="00F65855">
      <w:pPr>
        <w:pStyle w:val="Quote"/>
        <w:rPr>
          <w:color w:val="auto"/>
        </w:rPr>
      </w:pPr>
      <w:r w:rsidRPr="00085B1A">
        <w:rPr>
          <w:color w:val="auto"/>
        </w:rPr>
        <w:t>‘In terms of enforcement strategies</w:t>
      </w:r>
      <w:r w:rsidR="001312C2" w:rsidRPr="00085B1A">
        <w:rPr>
          <w:color w:val="auto"/>
        </w:rPr>
        <w:t xml:space="preserve"> </w:t>
      </w:r>
      <w:r w:rsidRPr="00085B1A">
        <w:rPr>
          <w:color w:val="auto"/>
        </w:rPr>
        <w:t>… we only regulate one wagering provider</w:t>
      </w:r>
      <w:r w:rsidR="001312C2" w:rsidRPr="00085B1A">
        <w:rPr>
          <w:color w:val="auto"/>
        </w:rPr>
        <w:t xml:space="preserve"> </w:t>
      </w:r>
      <w:r w:rsidRPr="00085B1A">
        <w:rPr>
          <w:color w:val="auto"/>
        </w:rPr>
        <w:t xml:space="preserve">… if [another] wagering service provider that is not regulated in this jurisdiction is in breach of the provisions of the </w:t>
      </w:r>
      <w:r w:rsidR="00AD2B47" w:rsidRPr="00085B1A">
        <w:rPr>
          <w:color w:val="auto"/>
        </w:rPr>
        <w:t>N</w:t>
      </w:r>
      <w:r w:rsidRPr="00085B1A">
        <w:rPr>
          <w:color w:val="auto"/>
        </w:rPr>
        <w:t xml:space="preserve">ational </w:t>
      </w:r>
      <w:r w:rsidR="00014A0D" w:rsidRPr="00085B1A">
        <w:rPr>
          <w:color w:val="auto"/>
        </w:rPr>
        <w:t>Framework</w:t>
      </w:r>
      <w:r w:rsidRPr="00085B1A">
        <w:rPr>
          <w:color w:val="auto"/>
        </w:rPr>
        <w:t>, then we would inform the relevant regulator and it’s presumed that regulator would take action because we have no statutory ability to take action against someone that’s not licensed here. And we did that with [wagering provider] as an example</w:t>
      </w:r>
      <w:r w:rsidR="009704D9" w:rsidRPr="00085B1A">
        <w:rPr>
          <w:color w:val="auto"/>
        </w:rPr>
        <w:t xml:space="preserve"> </w:t>
      </w:r>
      <w:r w:rsidRPr="00085B1A">
        <w:rPr>
          <w:color w:val="auto"/>
        </w:rPr>
        <w:t>… they were advertising in this jurisdiction in breach of our legislation and so, they were not licensed here, we couldn’t take action, but they were licensed in [other jurisdiction] so [we] informed [other jurisdiction] and they took action</w:t>
      </w:r>
      <w:r w:rsidR="009704D9" w:rsidRPr="00085B1A">
        <w:rPr>
          <w:color w:val="auto"/>
        </w:rPr>
        <w:t>.</w:t>
      </w:r>
      <w:r w:rsidRPr="00085B1A">
        <w:rPr>
          <w:color w:val="auto"/>
        </w:rPr>
        <w:t xml:space="preserve">’ </w:t>
      </w:r>
    </w:p>
    <w:p w14:paraId="366F9701" w14:textId="331C59D9" w:rsidR="008D178F" w:rsidRPr="00664E64" w:rsidRDefault="006625CF" w:rsidP="00F65855">
      <w:pPr>
        <w:pStyle w:val="Heading4"/>
      </w:pPr>
      <w:r w:rsidRPr="00085B1A">
        <w:rPr>
          <w:color w:val="auto"/>
        </w:rPr>
        <w:t>Consistency</w:t>
      </w:r>
      <w:r w:rsidR="006B6D15" w:rsidRPr="00085B1A">
        <w:rPr>
          <w:color w:val="auto"/>
        </w:rPr>
        <w:t xml:space="preserve"> of standards</w:t>
      </w:r>
    </w:p>
    <w:p w14:paraId="3D412FD5" w14:textId="61AF9C11" w:rsidR="006B6D15" w:rsidRPr="00664E64" w:rsidRDefault="006B6D15" w:rsidP="00F65855">
      <w:pPr>
        <w:pStyle w:val="BodyText"/>
        <w:rPr>
          <w:rFonts w:eastAsia="MS Mincho"/>
        </w:rPr>
      </w:pPr>
      <w:r w:rsidRPr="00664E64">
        <w:rPr>
          <w:rFonts w:eastAsia="MS Mincho"/>
        </w:rPr>
        <w:t xml:space="preserve">A number of regulators expressed reservations about implementing harmonised NCPF measures across jurisdictions. Several noted that measures under the NCPF were minimum standards, with jurisdictions </w:t>
      </w:r>
      <w:r w:rsidRPr="00664E64">
        <w:rPr>
          <w:rFonts w:eastAsia="MS Mincho"/>
        </w:rPr>
        <w:lastRenderedPageBreak/>
        <w:t xml:space="preserve">retaining the power to implement stricter existing regulations. This was particularly relevant to measure 4 (restrictions on inducements) where it is specifically written to be a minimum standard. </w:t>
      </w:r>
    </w:p>
    <w:p w14:paraId="655891F7" w14:textId="77777777" w:rsidR="006B6D15" w:rsidRPr="00664E64" w:rsidRDefault="006B6D15" w:rsidP="00F65855">
      <w:pPr>
        <w:pStyle w:val="BodyText"/>
        <w:rPr>
          <w:rFonts w:eastAsia="MS Mincho"/>
        </w:rPr>
      </w:pPr>
      <w:r w:rsidRPr="00664E64">
        <w:rPr>
          <w:rFonts w:eastAsia="MS Mincho"/>
        </w:rPr>
        <w:t>A number of regulators indicated that they would not be amending their existing regulatory requirements to reduce their standards:</w:t>
      </w:r>
    </w:p>
    <w:p w14:paraId="0C8A1C54" w14:textId="4A9F7891" w:rsidR="006B6D15" w:rsidRPr="00085B1A" w:rsidRDefault="006B6D15" w:rsidP="00F65855">
      <w:pPr>
        <w:pStyle w:val="Quote"/>
        <w:rPr>
          <w:color w:val="auto"/>
        </w:rPr>
      </w:pPr>
      <w:r w:rsidRPr="00085B1A">
        <w:rPr>
          <w:color w:val="auto"/>
        </w:rPr>
        <w:t>‘In the inducements space particularly</w:t>
      </w:r>
      <w:r w:rsidR="009704D9" w:rsidRPr="00085B1A">
        <w:rPr>
          <w:color w:val="auto"/>
        </w:rPr>
        <w:t xml:space="preserve"> </w:t>
      </w:r>
      <w:r w:rsidRPr="00085B1A">
        <w:rPr>
          <w:color w:val="auto"/>
        </w:rPr>
        <w:t>… So New South Wales won’t be weakening its requirements. Neither will South Australia</w:t>
      </w:r>
      <w:r w:rsidR="009704D9" w:rsidRPr="00085B1A">
        <w:rPr>
          <w:color w:val="auto"/>
        </w:rPr>
        <w:t>.</w:t>
      </w:r>
      <w:r w:rsidRPr="00085B1A">
        <w:rPr>
          <w:color w:val="auto"/>
        </w:rPr>
        <w:t>’</w:t>
      </w:r>
    </w:p>
    <w:p w14:paraId="683498DB" w14:textId="62E11C67" w:rsidR="006B6D15" w:rsidRPr="00085B1A" w:rsidRDefault="006B6D15" w:rsidP="00F65855">
      <w:pPr>
        <w:pStyle w:val="Quote"/>
        <w:rPr>
          <w:color w:val="auto"/>
        </w:rPr>
      </w:pPr>
      <w:r w:rsidRPr="00085B1A">
        <w:rPr>
          <w:color w:val="auto"/>
        </w:rPr>
        <w:t>‘Jurisdictions have been very firm in saying [inducements] is a minimum standard and no one will go beneath it but there’s nothing stopping jurisdictions going above the NCPF standards. So</w:t>
      </w:r>
      <w:r w:rsidR="009704D9" w:rsidRPr="00085B1A">
        <w:rPr>
          <w:color w:val="auto"/>
        </w:rPr>
        <w:t>,</w:t>
      </w:r>
      <w:r w:rsidRPr="00085B1A">
        <w:rPr>
          <w:color w:val="auto"/>
        </w:rPr>
        <w:t xml:space="preserve"> for example, in the space of inducements [jurisdiction]</w:t>
      </w:r>
      <w:r w:rsidR="009704D9" w:rsidRPr="00085B1A">
        <w:rPr>
          <w:color w:val="auto"/>
        </w:rPr>
        <w:t xml:space="preserve"> </w:t>
      </w:r>
      <w:r w:rsidRPr="00085B1A">
        <w:rPr>
          <w:color w:val="auto"/>
        </w:rPr>
        <w:t>… is already above the standard and</w:t>
      </w:r>
      <w:r w:rsidR="009704D9" w:rsidRPr="00085B1A">
        <w:rPr>
          <w:color w:val="auto"/>
        </w:rPr>
        <w:t xml:space="preserve"> </w:t>
      </w:r>
      <w:r w:rsidRPr="00085B1A">
        <w:rPr>
          <w:color w:val="auto"/>
        </w:rPr>
        <w:t>… we have no desire or intention of coming down to that national standard because we’ve been above it for some time</w:t>
      </w:r>
      <w:r w:rsidR="009704D9" w:rsidRPr="00085B1A">
        <w:rPr>
          <w:color w:val="auto"/>
        </w:rPr>
        <w:t>.</w:t>
      </w:r>
      <w:r w:rsidRPr="00085B1A">
        <w:rPr>
          <w:color w:val="auto"/>
        </w:rPr>
        <w:t xml:space="preserve">’ </w:t>
      </w:r>
    </w:p>
    <w:p w14:paraId="53196960" w14:textId="77777777" w:rsidR="006B6D15" w:rsidRPr="00664E64" w:rsidRDefault="006B6D15" w:rsidP="00F65855">
      <w:pPr>
        <w:pStyle w:val="BodyText"/>
        <w:rPr>
          <w:rFonts w:eastAsia="MS Mincho"/>
        </w:rPr>
      </w:pPr>
      <w:r w:rsidRPr="00664E64">
        <w:rPr>
          <w:rFonts w:eastAsia="MS Mincho"/>
        </w:rPr>
        <w:t>Some regulators reported on feedback from wagering providers about consistency across jurisdictions:</w:t>
      </w:r>
    </w:p>
    <w:p w14:paraId="5A251BDB" w14:textId="4B0EDEBC" w:rsidR="006B6D15" w:rsidRPr="00085B1A" w:rsidRDefault="006B6D15" w:rsidP="00F65855">
      <w:pPr>
        <w:pStyle w:val="Quote"/>
        <w:rPr>
          <w:color w:val="auto"/>
        </w:rPr>
      </w:pPr>
      <w:r w:rsidRPr="00085B1A">
        <w:rPr>
          <w:color w:val="auto"/>
        </w:rPr>
        <w:t xml:space="preserve">‘The </w:t>
      </w:r>
      <w:r w:rsidR="00014A0D" w:rsidRPr="00085B1A">
        <w:rPr>
          <w:color w:val="auto"/>
        </w:rPr>
        <w:t>Framework</w:t>
      </w:r>
      <w:r w:rsidRPr="00085B1A">
        <w:rPr>
          <w:color w:val="auto"/>
        </w:rPr>
        <w:t xml:space="preserve"> is not actually delivering a consistent set of regulations for [wagering providers] so</w:t>
      </w:r>
      <w:r w:rsidR="009704D9" w:rsidRPr="00085B1A">
        <w:rPr>
          <w:color w:val="auto"/>
        </w:rPr>
        <w:t xml:space="preserve"> </w:t>
      </w:r>
      <w:r w:rsidRPr="00085B1A">
        <w:rPr>
          <w:color w:val="auto"/>
        </w:rPr>
        <w:t xml:space="preserve">… for example, with inducements they still need to look at each </w:t>
      </w:r>
      <w:r w:rsidR="009704D9" w:rsidRPr="00085B1A">
        <w:rPr>
          <w:color w:val="auto"/>
        </w:rPr>
        <w:t xml:space="preserve">state </w:t>
      </w:r>
      <w:r w:rsidRPr="00085B1A">
        <w:rPr>
          <w:color w:val="auto"/>
        </w:rPr>
        <w:t xml:space="preserve">and </w:t>
      </w:r>
      <w:r w:rsidR="009704D9" w:rsidRPr="00085B1A">
        <w:rPr>
          <w:color w:val="auto"/>
        </w:rPr>
        <w:t xml:space="preserve">territory </w:t>
      </w:r>
      <w:r w:rsidRPr="00085B1A">
        <w:rPr>
          <w:color w:val="auto"/>
        </w:rPr>
        <w:t>requirements before they roll out a campaign. Whereas I think the hope was that there would be one set of regulations that they would need to look at</w:t>
      </w:r>
      <w:r w:rsidR="009704D9" w:rsidRPr="00085B1A">
        <w:rPr>
          <w:color w:val="auto"/>
        </w:rPr>
        <w:t>.</w:t>
      </w:r>
      <w:r w:rsidRPr="00085B1A">
        <w:rPr>
          <w:color w:val="auto"/>
        </w:rPr>
        <w:t>’</w:t>
      </w:r>
    </w:p>
    <w:p w14:paraId="131AED3F" w14:textId="18E5BE1B" w:rsidR="006B6D15" w:rsidRPr="00085B1A" w:rsidRDefault="006B6D15" w:rsidP="00F65855">
      <w:pPr>
        <w:pStyle w:val="Quote"/>
        <w:rPr>
          <w:color w:val="auto"/>
        </w:rPr>
      </w:pPr>
      <w:r w:rsidRPr="00085B1A">
        <w:rPr>
          <w:color w:val="auto"/>
        </w:rPr>
        <w:t>‘There was perhaps a hope or perhaps it started off as a perception</w:t>
      </w:r>
      <w:r w:rsidR="009704D9" w:rsidRPr="00085B1A">
        <w:rPr>
          <w:color w:val="auto"/>
        </w:rPr>
        <w:t xml:space="preserve"> </w:t>
      </w:r>
      <w:r w:rsidRPr="00085B1A">
        <w:rPr>
          <w:color w:val="auto"/>
        </w:rPr>
        <w:t>... which I think is now being dashed amongst industry</w:t>
      </w:r>
      <w:r w:rsidR="009704D9" w:rsidRPr="00085B1A">
        <w:rPr>
          <w:color w:val="auto"/>
        </w:rPr>
        <w:t xml:space="preserve"> </w:t>
      </w:r>
      <w:r w:rsidRPr="00085B1A">
        <w:rPr>
          <w:color w:val="auto"/>
        </w:rPr>
        <w:t>… that the NCPF would in fact be a blanket standard and that every jurisdiction would …</w:t>
      </w:r>
      <w:r w:rsidR="009704D9" w:rsidRPr="00085B1A">
        <w:rPr>
          <w:color w:val="auto"/>
        </w:rPr>
        <w:t xml:space="preserve"> </w:t>
      </w:r>
      <w:r w:rsidRPr="00085B1A">
        <w:rPr>
          <w:color w:val="auto"/>
        </w:rPr>
        <w:t>have exactly the same standard</w:t>
      </w:r>
      <w:r w:rsidR="009704D9" w:rsidRPr="00085B1A">
        <w:rPr>
          <w:color w:val="auto"/>
        </w:rPr>
        <w:t>.</w:t>
      </w:r>
      <w:r w:rsidRPr="00085B1A">
        <w:rPr>
          <w:color w:val="auto"/>
        </w:rPr>
        <w:t>’</w:t>
      </w:r>
    </w:p>
    <w:p w14:paraId="72020EC7" w14:textId="77777777" w:rsidR="006B6D15" w:rsidRPr="00664E64" w:rsidRDefault="006B6D15" w:rsidP="00F65855">
      <w:pPr>
        <w:pStyle w:val="BodyText"/>
        <w:rPr>
          <w:rFonts w:eastAsia="MS Mincho"/>
        </w:rPr>
      </w:pPr>
      <w:r w:rsidRPr="00664E64">
        <w:rPr>
          <w:rFonts w:eastAsia="MS Mincho"/>
        </w:rPr>
        <w:t xml:space="preserve">A few regulators said that they doubted full harmonisation of standards under the NCPF would be achieved: </w:t>
      </w:r>
    </w:p>
    <w:p w14:paraId="4ECD21E2" w14:textId="40BAE055" w:rsidR="006B6D15" w:rsidRPr="00085B1A" w:rsidRDefault="006B6D15" w:rsidP="00F65855">
      <w:pPr>
        <w:pStyle w:val="Quote"/>
        <w:rPr>
          <w:color w:val="auto"/>
        </w:rPr>
      </w:pPr>
      <w:r w:rsidRPr="00085B1A">
        <w:rPr>
          <w:color w:val="auto"/>
        </w:rPr>
        <w:t>‘You’ll have a baseline standardisation [after NCPF implementation] but then I think</w:t>
      </w:r>
      <w:r w:rsidR="009704D9" w:rsidRPr="00085B1A">
        <w:rPr>
          <w:color w:val="auto"/>
        </w:rPr>
        <w:t xml:space="preserve"> </w:t>
      </w:r>
      <w:r w:rsidRPr="00085B1A">
        <w:rPr>
          <w:color w:val="auto"/>
        </w:rPr>
        <w:t xml:space="preserve">... you’ll have a continuation of the current basic </w:t>
      </w:r>
      <w:r w:rsidR="00014A0D" w:rsidRPr="00085B1A">
        <w:rPr>
          <w:color w:val="auto"/>
        </w:rPr>
        <w:t>Framework</w:t>
      </w:r>
      <w:r w:rsidRPr="00085B1A">
        <w:rPr>
          <w:color w:val="auto"/>
        </w:rPr>
        <w:t xml:space="preserve"> where some jurisdictions go above and beyond the baseline</w:t>
      </w:r>
      <w:r w:rsidR="009704D9" w:rsidRPr="00085B1A">
        <w:rPr>
          <w:color w:val="auto"/>
        </w:rPr>
        <w:t xml:space="preserve"> </w:t>
      </w:r>
      <w:r w:rsidRPr="00085B1A">
        <w:rPr>
          <w:color w:val="auto"/>
        </w:rPr>
        <w:t>… and some</w:t>
      </w:r>
      <w:r w:rsidR="009704D9" w:rsidRPr="00085B1A">
        <w:rPr>
          <w:color w:val="auto"/>
        </w:rPr>
        <w:t xml:space="preserve"> </w:t>
      </w:r>
      <w:r w:rsidRPr="00085B1A">
        <w:rPr>
          <w:color w:val="auto"/>
        </w:rPr>
        <w:t>… just stick to the baseline requirement so I think you probably won’t get full harmonisation</w:t>
      </w:r>
      <w:r w:rsidR="009704D9" w:rsidRPr="00085B1A">
        <w:rPr>
          <w:color w:val="auto"/>
        </w:rPr>
        <w:t>.</w:t>
      </w:r>
      <w:r w:rsidRPr="00085B1A">
        <w:rPr>
          <w:color w:val="auto"/>
        </w:rPr>
        <w:t>’</w:t>
      </w:r>
    </w:p>
    <w:p w14:paraId="5AB967F8" w14:textId="5C3D0481" w:rsidR="006B6D15" w:rsidRPr="00085B1A" w:rsidRDefault="006B6D15" w:rsidP="00F65855">
      <w:pPr>
        <w:pStyle w:val="Quote"/>
        <w:rPr>
          <w:color w:val="auto"/>
        </w:rPr>
      </w:pPr>
      <w:r w:rsidRPr="00085B1A">
        <w:rPr>
          <w:color w:val="auto"/>
        </w:rPr>
        <w:t>‘Conceptually [harmonisation] is a great idea. But the problem you’ve got is Federation really</w:t>
      </w:r>
      <w:r w:rsidR="009704D9" w:rsidRPr="00085B1A">
        <w:rPr>
          <w:color w:val="auto"/>
        </w:rPr>
        <w:t>.</w:t>
      </w:r>
      <w:r w:rsidRPr="00085B1A">
        <w:rPr>
          <w:color w:val="auto"/>
        </w:rPr>
        <w:t>’</w:t>
      </w:r>
    </w:p>
    <w:p w14:paraId="79B0928D" w14:textId="77777777" w:rsidR="008D178F" w:rsidRPr="00664E64" w:rsidRDefault="006B6D15" w:rsidP="00F65855">
      <w:pPr>
        <w:pStyle w:val="Heading4"/>
      </w:pPr>
      <w:r w:rsidRPr="00664E64">
        <w:t>Business impacts</w:t>
      </w:r>
    </w:p>
    <w:p w14:paraId="621C4DF2" w14:textId="2BF539A1" w:rsidR="006B6D15" w:rsidRPr="00664E64" w:rsidRDefault="006B6D15" w:rsidP="00F65855">
      <w:pPr>
        <w:pStyle w:val="BodyText"/>
        <w:rPr>
          <w:rFonts w:eastAsia="MS Mincho"/>
        </w:rPr>
      </w:pPr>
      <w:r w:rsidRPr="00664E64">
        <w:rPr>
          <w:rFonts w:eastAsia="MS Mincho"/>
        </w:rPr>
        <w:t>Some regulators with a number of smaller wagering providers reported concerns about the business impacts on their licensees, particularly in trying to address different minimum standards across jurisdictions:</w:t>
      </w:r>
    </w:p>
    <w:p w14:paraId="2A1830FB" w14:textId="2BE2AAB9" w:rsidR="006B6D15" w:rsidRPr="00085B1A" w:rsidRDefault="006B6D15" w:rsidP="00F65855">
      <w:pPr>
        <w:pStyle w:val="Quote"/>
        <w:rPr>
          <w:color w:val="auto"/>
        </w:rPr>
      </w:pPr>
      <w:r w:rsidRPr="00085B1A">
        <w:rPr>
          <w:color w:val="auto"/>
        </w:rPr>
        <w:t>‘[Wagering providers] have a few concerns with being able to meet certain aspects</w:t>
      </w:r>
      <w:r w:rsidR="009704D9" w:rsidRPr="00085B1A">
        <w:rPr>
          <w:color w:val="auto"/>
        </w:rPr>
        <w:t xml:space="preserve"> </w:t>
      </w:r>
      <w:r w:rsidRPr="00085B1A">
        <w:rPr>
          <w:color w:val="auto"/>
        </w:rPr>
        <w:t>… in terms of changing their systems</w:t>
      </w:r>
      <w:r w:rsidR="009704D9" w:rsidRPr="00085B1A">
        <w:rPr>
          <w:color w:val="auto"/>
        </w:rPr>
        <w:t xml:space="preserve"> </w:t>
      </w:r>
      <w:r w:rsidRPr="00085B1A">
        <w:rPr>
          <w:color w:val="auto"/>
        </w:rPr>
        <w:t>… when you start drilling into exactly how they’re going to change their systems</w:t>
      </w:r>
      <w:r w:rsidR="009704D9" w:rsidRPr="00085B1A">
        <w:rPr>
          <w:color w:val="auto"/>
        </w:rPr>
        <w:t>,</w:t>
      </w:r>
      <w:r w:rsidRPr="00085B1A">
        <w:rPr>
          <w:color w:val="auto"/>
        </w:rPr>
        <w:t xml:space="preserve"> they are still unclear as to how each jurisdiction is going to implement the measures</w:t>
      </w:r>
      <w:r w:rsidR="009704D9" w:rsidRPr="00085B1A">
        <w:rPr>
          <w:color w:val="auto"/>
        </w:rPr>
        <w:t>.</w:t>
      </w:r>
      <w:r w:rsidRPr="00085B1A">
        <w:rPr>
          <w:color w:val="auto"/>
        </w:rPr>
        <w:t>’</w:t>
      </w:r>
    </w:p>
    <w:p w14:paraId="2F39085B" w14:textId="77777777" w:rsidR="006B6D15" w:rsidRPr="00664E64" w:rsidRDefault="006B6D15" w:rsidP="00F65855">
      <w:pPr>
        <w:pStyle w:val="BodyText"/>
        <w:rPr>
          <w:rFonts w:eastAsia="MS Mincho"/>
        </w:rPr>
      </w:pPr>
      <w:r w:rsidRPr="00664E64">
        <w:rPr>
          <w:rFonts w:eastAsia="MS Mincho"/>
        </w:rPr>
        <w:t xml:space="preserve">Other jurisdictions have played down the impact on wagering providers, particularly in relation to concerns from providers relating to inducements and advertising: </w:t>
      </w:r>
    </w:p>
    <w:p w14:paraId="09B493EB" w14:textId="1C9F7281" w:rsidR="006B6D15" w:rsidRPr="00085B1A" w:rsidRDefault="006B6D15" w:rsidP="00F65855">
      <w:pPr>
        <w:pStyle w:val="Quote"/>
        <w:rPr>
          <w:color w:val="auto"/>
        </w:rPr>
      </w:pPr>
      <w:r w:rsidRPr="00085B1A">
        <w:rPr>
          <w:color w:val="auto"/>
        </w:rPr>
        <w:lastRenderedPageBreak/>
        <w:t>‘The operators’ decided to put messaging on their advertising themselves, or because South Australia or the NT requires it, and they’ve just copied that ad for [jurisdiction]</w:t>
      </w:r>
      <w:r w:rsidR="009704D9" w:rsidRPr="00085B1A">
        <w:rPr>
          <w:color w:val="auto"/>
        </w:rPr>
        <w:t>.</w:t>
      </w:r>
      <w:r w:rsidRPr="00085B1A">
        <w:rPr>
          <w:color w:val="auto"/>
        </w:rPr>
        <w:t>’</w:t>
      </w:r>
    </w:p>
    <w:p w14:paraId="361572B1" w14:textId="77777777" w:rsidR="006B6D15" w:rsidRPr="00664E64" w:rsidRDefault="006B6D15" w:rsidP="00F65855">
      <w:pPr>
        <w:pStyle w:val="BodyText"/>
        <w:rPr>
          <w:rFonts w:eastAsia="MS Mincho"/>
        </w:rPr>
      </w:pPr>
      <w:r w:rsidRPr="00664E64">
        <w:rPr>
          <w:rFonts w:eastAsia="MS Mincho"/>
        </w:rPr>
        <w:t>One regulator highlighted the difference between larger corporate wagering providers and on-course bookmakers who also fall under the definition of online wagering through telephone betting:</w:t>
      </w:r>
    </w:p>
    <w:p w14:paraId="2AC31733" w14:textId="2BF88ED0" w:rsidR="006B6D15" w:rsidRPr="00085B1A" w:rsidRDefault="006B6D15" w:rsidP="00F65855">
      <w:pPr>
        <w:pStyle w:val="Quote"/>
        <w:rPr>
          <w:color w:val="auto"/>
        </w:rPr>
      </w:pPr>
      <w:r w:rsidRPr="00085B1A">
        <w:rPr>
          <w:color w:val="auto"/>
        </w:rPr>
        <w:t>‘So they’re quite technologically advanced</w:t>
      </w:r>
      <w:r w:rsidR="009704D9" w:rsidRPr="00085B1A">
        <w:rPr>
          <w:color w:val="auto"/>
        </w:rPr>
        <w:t xml:space="preserve"> </w:t>
      </w:r>
      <w:r w:rsidRPr="00085B1A">
        <w:rPr>
          <w:color w:val="auto"/>
        </w:rPr>
        <w:t>… the corporate bookmakers not the on-course bookmakers</w:t>
      </w:r>
      <w:r w:rsidR="009704D9" w:rsidRPr="00085B1A">
        <w:rPr>
          <w:color w:val="auto"/>
        </w:rPr>
        <w:t xml:space="preserve"> </w:t>
      </w:r>
      <w:r w:rsidRPr="00085B1A">
        <w:rPr>
          <w:color w:val="auto"/>
        </w:rPr>
        <w:t>… I think they’ll be fine with [NCPF measures]. The big issue is going to be your on-course bookmakers and even educating them in the first case that they need to do any of this, any of the provisions that come out of [the NCPF]</w:t>
      </w:r>
      <w:r w:rsidR="009704D9" w:rsidRPr="00085B1A">
        <w:rPr>
          <w:color w:val="auto"/>
        </w:rPr>
        <w:t>.</w:t>
      </w:r>
      <w:r w:rsidRPr="00085B1A">
        <w:rPr>
          <w:color w:val="auto"/>
        </w:rPr>
        <w:t>’</w:t>
      </w:r>
    </w:p>
    <w:p w14:paraId="1351BE4D" w14:textId="798B9421" w:rsidR="006B6D15" w:rsidRPr="00085B1A" w:rsidRDefault="006B6D15" w:rsidP="00F65855">
      <w:pPr>
        <w:pStyle w:val="Quote"/>
        <w:rPr>
          <w:color w:val="auto"/>
        </w:rPr>
      </w:pPr>
      <w:r w:rsidRPr="00085B1A">
        <w:rPr>
          <w:color w:val="auto"/>
        </w:rPr>
        <w:t>‘You know you look at the standard demographic of them: they’re older men with no online presence and have no willingness to comply with the things that government wants them to do</w:t>
      </w:r>
      <w:r w:rsidR="009704D9" w:rsidRPr="00085B1A">
        <w:rPr>
          <w:color w:val="auto"/>
        </w:rPr>
        <w:t xml:space="preserve"> </w:t>
      </w:r>
      <w:r w:rsidRPr="00085B1A">
        <w:rPr>
          <w:color w:val="auto"/>
        </w:rPr>
        <w:t>… very low turnover and the like</w:t>
      </w:r>
      <w:r w:rsidR="009704D9" w:rsidRPr="00085B1A">
        <w:rPr>
          <w:color w:val="auto"/>
        </w:rPr>
        <w:t xml:space="preserve"> </w:t>
      </w:r>
      <w:r w:rsidRPr="00085B1A">
        <w:rPr>
          <w:color w:val="auto"/>
        </w:rPr>
        <w:t>…</w:t>
      </w:r>
      <w:r w:rsidR="009704D9" w:rsidRPr="00085B1A">
        <w:rPr>
          <w:color w:val="auto"/>
        </w:rPr>
        <w:t xml:space="preserve"> </w:t>
      </w:r>
      <w:r w:rsidRPr="00085B1A">
        <w:rPr>
          <w:color w:val="auto"/>
        </w:rPr>
        <w:t>so it’s very hard to get them to comply and actually get the message [about NCPF measures] to them in the first instance</w:t>
      </w:r>
      <w:r w:rsidR="009704D9" w:rsidRPr="00085B1A">
        <w:rPr>
          <w:color w:val="auto"/>
        </w:rPr>
        <w:t>.</w:t>
      </w:r>
      <w:r w:rsidRPr="00085B1A">
        <w:rPr>
          <w:color w:val="auto"/>
        </w:rPr>
        <w:t xml:space="preserve">’ </w:t>
      </w:r>
    </w:p>
    <w:p w14:paraId="3F63BA1F" w14:textId="6FE8045C" w:rsidR="008D178F" w:rsidRPr="00085B1A" w:rsidRDefault="006B6D15" w:rsidP="00F65855">
      <w:pPr>
        <w:pStyle w:val="Heading4"/>
        <w:rPr>
          <w:color w:val="auto"/>
        </w:rPr>
      </w:pPr>
      <w:r w:rsidRPr="00085B1A">
        <w:rPr>
          <w:color w:val="auto"/>
        </w:rPr>
        <w:t>Other consequences of NCPF implementation</w:t>
      </w:r>
    </w:p>
    <w:p w14:paraId="568D5C75" w14:textId="7ABEBCA2" w:rsidR="00455333" w:rsidRPr="00085B1A" w:rsidRDefault="006B6D15" w:rsidP="00F65855">
      <w:pPr>
        <w:pStyle w:val="BodyText"/>
        <w:rPr>
          <w:rFonts w:eastAsia="MS Mincho"/>
          <w:color w:val="auto"/>
        </w:rPr>
      </w:pPr>
      <w:r w:rsidRPr="00085B1A">
        <w:rPr>
          <w:rFonts w:eastAsia="MS Mincho"/>
          <w:color w:val="auto"/>
        </w:rPr>
        <w:t xml:space="preserve">Some regulators have reported on the possibility of wagering providers moving offshore and enforcement of illegal offshore betting (not covered by the NCPF </w:t>
      </w:r>
      <w:r w:rsidR="00014A0D" w:rsidRPr="00085B1A">
        <w:rPr>
          <w:rFonts w:eastAsia="MS Mincho"/>
          <w:color w:val="auto"/>
        </w:rPr>
        <w:t>Framework</w:t>
      </w:r>
      <w:r w:rsidRPr="00085B1A">
        <w:rPr>
          <w:rFonts w:eastAsia="MS Mincho"/>
          <w:color w:val="auto"/>
        </w:rPr>
        <w:t>):</w:t>
      </w:r>
    </w:p>
    <w:p w14:paraId="106857CF" w14:textId="3A8C4DC2" w:rsidR="006B6D15" w:rsidRPr="00085B1A" w:rsidRDefault="006B6D15" w:rsidP="00F65855">
      <w:pPr>
        <w:pStyle w:val="Quote"/>
        <w:rPr>
          <w:color w:val="auto"/>
        </w:rPr>
      </w:pPr>
      <w:r w:rsidRPr="00085B1A">
        <w:rPr>
          <w:color w:val="auto"/>
        </w:rPr>
        <w:t>‘I think when the first Commonwealth measures were put in place and ACMA were given new powers</w:t>
      </w:r>
      <w:r w:rsidR="009704D9" w:rsidRPr="00085B1A">
        <w:rPr>
          <w:color w:val="auto"/>
        </w:rPr>
        <w:t xml:space="preserve"> </w:t>
      </w:r>
      <w:r w:rsidRPr="00085B1A">
        <w:rPr>
          <w:color w:val="auto"/>
        </w:rPr>
        <w:t>… I personally held a fear</w:t>
      </w:r>
      <w:r w:rsidR="009704D9" w:rsidRPr="00085B1A">
        <w:rPr>
          <w:color w:val="auto"/>
        </w:rPr>
        <w:t xml:space="preserve"> </w:t>
      </w:r>
      <w:r w:rsidRPr="00085B1A">
        <w:rPr>
          <w:color w:val="auto"/>
        </w:rPr>
        <w:t>… lots of others held as well around you know pushing people offshore</w:t>
      </w:r>
      <w:r w:rsidR="009704D9" w:rsidRPr="00085B1A">
        <w:rPr>
          <w:color w:val="auto"/>
        </w:rPr>
        <w:t xml:space="preserve"> </w:t>
      </w:r>
      <w:r w:rsidRPr="00085B1A">
        <w:rPr>
          <w:color w:val="auto"/>
        </w:rPr>
        <w:t>… It’s worth noting that some of the big players have already exited the Australian market</w:t>
      </w:r>
      <w:r w:rsidR="009704D9" w:rsidRPr="00085B1A">
        <w:rPr>
          <w:color w:val="auto"/>
        </w:rPr>
        <w:t>.</w:t>
      </w:r>
      <w:r w:rsidRPr="00085B1A">
        <w:rPr>
          <w:color w:val="auto"/>
        </w:rPr>
        <w:t>’</w:t>
      </w:r>
    </w:p>
    <w:p w14:paraId="0DFD5746" w14:textId="22C3D23C" w:rsidR="006B6D15" w:rsidRPr="00085B1A" w:rsidRDefault="006B6D15" w:rsidP="00F65855">
      <w:pPr>
        <w:pStyle w:val="BodyText"/>
        <w:rPr>
          <w:rFonts w:eastAsia="MS Mincho"/>
          <w:color w:val="auto"/>
        </w:rPr>
      </w:pPr>
      <w:r w:rsidRPr="00085B1A">
        <w:rPr>
          <w:rFonts w:eastAsia="MS Mincho"/>
          <w:color w:val="auto"/>
        </w:rPr>
        <w:t>However</w:t>
      </w:r>
      <w:r w:rsidR="00D22333" w:rsidRPr="00085B1A">
        <w:rPr>
          <w:rFonts w:eastAsia="MS Mincho"/>
          <w:color w:val="auto"/>
        </w:rPr>
        <w:t>,</w:t>
      </w:r>
      <w:r w:rsidRPr="00085B1A">
        <w:rPr>
          <w:rFonts w:eastAsia="MS Mincho"/>
          <w:color w:val="auto"/>
        </w:rPr>
        <w:t xml:space="preserve"> this fear has been alleviated to some extent following the implementation of national measures under the NCPF:</w:t>
      </w:r>
    </w:p>
    <w:p w14:paraId="54C8D375" w14:textId="338FEE9C" w:rsidR="006B6D15" w:rsidRPr="00085B1A" w:rsidRDefault="006B6D15" w:rsidP="00F65855">
      <w:pPr>
        <w:pStyle w:val="Quote"/>
        <w:rPr>
          <w:color w:val="auto"/>
        </w:rPr>
      </w:pPr>
      <w:r w:rsidRPr="00085B1A">
        <w:rPr>
          <w:color w:val="auto"/>
        </w:rPr>
        <w:t xml:space="preserve">‘Because of the work that ACMA and the Commonwealth </w:t>
      </w:r>
      <w:r w:rsidR="00E30B20" w:rsidRPr="00085B1A">
        <w:rPr>
          <w:color w:val="auto"/>
        </w:rPr>
        <w:t>h</w:t>
      </w:r>
      <w:r w:rsidRPr="00085B1A">
        <w:rPr>
          <w:color w:val="auto"/>
        </w:rPr>
        <w:t>ave done around</w:t>
      </w:r>
      <w:r w:rsidR="009704D9" w:rsidRPr="00085B1A">
        <w:rPr>
          <w:color w:val="auto"/>
        </w:rPr>
        <w:t xml:space="preserve"> </w:t>
      </w:r>
      <w:r w:rsidRPr="00085B1A">
        <w:rPr>
          <w:color w:val="auto"/>
        </w:rPr>
        <w:t>… clarifying the law and actually going out and being proactive in talking to regulators in other jurisdictions</w:t>
      </w:r>
      <w:r w:rsidR="009704D9" w:rsidRPr="00085B1A">
        <w:rPr>
          <w:color w:val="auto"/>
        </w:rPr>
        <w:t xml:space="preserve"> </w:t>
      </w:r>
      <w:r w:rsidRPr="00085B1A">
        <w:rPr>
          <w:color w:val="auto"/>
        </w:rPr>
        <w:t>… it’s probably allayed some of those fears</w:t>
      </w:r>
      <w:r w:rsidR="009704D9" w:rsidRPr="00085B1A">
        <w:rPr>
          <w:color w:val="auto"/>
        </w:rPr>
        <w:t>,</w:t>
      </w:r>
      <w:r w:rsidRPr="00085B1A">
        <w:rPr>
          <w:color w:val="auto"/>
        </w:rPr>
        <w:t xml:space="preserve"> although I still note that some people are being pushed off for whatever reason</w:t>
      </w:r>
      <w:r w:rsidR="009704D9" w:rsidRPr="00085B1A">
        <w:rPr>
          <w:color w:val="auto"/>
        </w:rPr>
        <w:t>.</w:t>
      </w:r>
      <w:r w:rsidRPr="00085B1A">
        <w:rPr>
          <w:color w:val="auto"/>
        </w:rPr>
        <w:t>’</w:t>
      </w:r>
    </w:p>
    <w:p w14:paraId="37650FB6" w14:textId="77777777" w:rsidR="006B6D15" w:rsidRPr="00085B1A" w:rsidRDefault="006B6D15" w:rsidP="00F65855">
      <w:pPr>
        <w:pStyle w:val="BodyText"/>
        <w:rPr>
          <w:rFonts w:eastAsia="MS Mincho"/>
          <w:color w:val="auto"/>
        </w:rPr>
      </w:pPr>
      <w:r w:rsidRPr="00085B1A">
        <w:rPr>
          <w:rFonts w:eastAsia="MS Mincho"/>
          <w:color w:val="auto"/>
        </w:rPr>
        <w:t xml:space="preserve">Another regulator noted the self-interest that some wagering providers have in implementing consumer protection measures under the NCPF sooner rather than later to open other topics of discussion with jurisdictions: </w:t>
      </w:r>
    </w:p>
    <w:p w14:paraId="3B189BA6" w14:textId="33C19610" w:rsidR="006B6D15" w:rsidRPr="00085B1A" w:rsidRDefault="006B6D15" w:rsidP="00F65855">
      <w:pPr>
        <w:pStyle w:val="Quote"/>
        <w:rPr>
          <w:color w:val="auto"/>
        </w:rPr>
      </w:pPr>
      <w:r w:rsidRPr="00085B1A">
        <w:rPr>
          <w:color w:val="auto"/>
        </w:rPr>
        <w:t xml:space="preserve">‘What I think they would like to do is to start the conversation about in-play betting and they know that’s </w:t>
      </w:r>
      <w:r w:rsidR="00662706" w:rsidRPr="00085B1A">
        <w:rPr>
          <w:color w:val="auto"/>
        </w:rPr>
        <w:t xml:space="preserve">not </w:t>
      </w:r>
      <w:r w:rsidRPr="00085B1A">
        <w:rPr>
          <w:color w:val="auto"/>
        </w:rPr>
        <w:t xml:space="preserve">going to happen until this </w:t>
      </w:r>
      <w:r w:rsidR="00014A0D" w:rsidRPr="00085B1A">
        <w:rPr>
          <w:color w:val="auto"/>
        </w:rPr>
        <w:t>Framework</w:t>
      </w:r>
      <w:r w:rsidRPr="00085B1A">
        <w:rPr>
          <w:color w:val="auto"/>
        </w:rPr>
        <w:t>’s in place, and so they’re keen to have it in place sooner rather than later</w:t>
      </w:r>
      <w:r w:rsidR="009704D9" w:rsidRPr="00085B1A">
        <w:rPr>
          <w:color w:val="auto"/>
        </w:rPr>
        <w:t>.</w:t>
      </w:r>
      <w:r w:rsidRPr="00085B1A">
        <w:rPr>
          <w:color w:val="auto"/>
        </w:rPr>
        <w:t>’</w:t>
      </w:r>
    </w:p>
    <w:p w14:paraId="3A1803AD" w14:textId="4007B138" w:rsidR="006B6D15" w:rsidRPr="00085B1A" w:rsidRDefault="006B6D15" w:rsidP="00F65855">
      <w:pPr>
        <w:pStyle w:val="Quote"/>
        <w:rPr>
          <w:color w:val="auto"/>
        </w:rPr>
      </w:pPr>
      <w:r w:rsidRPr="00085B1A">
        <w:rPr>
          <w:color w:val="auto"/>
        </w:rPr>
        <w:t xml:space="preserve">‘So, from the wagering operator’s perspective, they’re saying “Let’s get this </w:t>
      </w:r>
      <w:r w:rsidR="00014A0D" w:rsidRPr="00085B1A">
        <w:rPr>
          <w:color w:val="auto"/>
        </w:rPr>
        <w:t>Framework</w:t>
      </w:r>
      <w:r w:rsidRPr="00085B1A">
        <w:rPr>
          <w:color w:val="auto"/>
        </w:rPr>
        <w:t xml:space="preserve"> in place, and then we can go back to talk to the government about relaxing the in-play betting restrictions”.’</w:t>
      </w:r>
    </w:p>
    <w:p w14:paraId="4651CB8E" w14:textId="5D328E22" w:rsidR="006B6D15" w:rsidRPr="00085B1A" w:rsidRDefault="006B6D15" w:rsidP="00F65855">
      <w:pPr>
        <w:pStyle w:val="Heading3"/>
        <w:rPr>
          <w:color w:val="auto"/>
        </w:rPr>
      </w:pPr>
      <w:r w:rsidRPr="00085B1A">
        <w:rPr>
          <w:color w:val="auto"/>
        </w:rPr>
        <w:lastRenderedPageBreak/>
        <w:t>Future amendments</w:t>
      </w:r>
      <w:r w:rsidRPr="00085B1A">
        <w:rPr>
          <w:color w:val="auto"/>
        </w:rPr>
        <w:tab/>
      </w:r>
    </w:p>
    <w:p w14:paraId="4AFAD9E8" w14:textId="77777777" w:rsidR="006B6D15" w:rsidRPr="00085B1A" w:rsidRDefault="006B6D15" w:rsidP="00F65855">
      <w:pPr>
        <w:pStyle w:val="BodyText"/>
        <w:rPr>
          <w:rFonts w:eastAsia="MS Mincho"/>
          <w:color w:val="auto"/>
        </w:rPr>
      </w:pPr>
      <w:r w:rsidRPr="00085B1A">
        <w:rPr>
          <w:rFonts w:eastAsia="MS Mincho"/>
          <w:color w:val="auto"/>
        </w:rPr>
        <w:t>A few regulators thought there may be scope for future changes to the NCPF. These could include the option of making measure 6 (voluntary pre-commitment) a mandatory commitment, and reducing age verification requirements down to zero days:</w:t>
      </w:r>
    </w:p>
    <w:p w14:paraId="14867286" w14:textId="24A6B0EA" w:rsidR="006B6D15" w:rsidRPr="00085B1A" w:rsidRDefault="006B6D15" w:rsidP="00F65855">
      <w:pPr>
        <w:pStyle w:val="Quote"/>
        <w:rPr>
          <w:color w:val="auto"/>
        </w:rPr>
      </w:pPr>
      <w:r w:rsidRPr="00085B1A">
        <w:rPr>
          <w:color w:val="auto"/>
        </w:rPr>
        <w:t>‘You can’t play a poker machine, you can’t buy a drink until you’ve satisfied the vendor that you are 18. I don’t see why, with technology these days, we shouldn’t make [online verification] zero days but that’s my view of the world</w:t>
      </w:r>
      <w:r w:rsidR="009704D9" w:rsidRPr="00085B1A">
        <w:rPr>
          <w:color w:val="auto"/>
        </w:rPr>
        <w:t>.</w:t>
      </w:r>
      <w:r w:rsidRPr="00085B1A">
        <w:rPr>
          <w:color w:val="auto"/>
        </w:rPr>
        <w:t>’</w:t>
      </w:r>
    </w:p>
    <w:p w14:paraId="04E43EF9" w14:textId="77777777" w:rsidR="006B6D15" w:rsidRPr="00085B1A" w:rsidRDefault="006B6D15" w:rsidP="00F65855">
      <w:pPr>
        <w:pStyle w:val="BodyText"/>
        <w:rPr>
          <w:rFonts w:eastAsia="MS Mincho"/>
          <w:color w:val="auto"/>
        </w:rPr>
      </w:pPr>
      <w:r w:rsidRPr="00085B1A">
        <w:rPr>
          <w:rFonts w:eastAsia="MS Mincho"/>
          <w:color w:val="auto"/>
        </w:rPr>
        <w:t>Another area for consideration was in relation to gambling advertising:</w:t>
      </w:r>
    </w:p>
    <w:p w14:paraId="43508417" w14:textId="29DDD754" w:rsidR="006B6D15" w:rsidRPr="00085B1A" w:rsidRDefault="006B6D15" w:rsidP="00F65855">
      <w:pPr>
        <w:pStyle w:val="Quote"/>
        <w:rPr>
          <w:color w:val="auto"/>
        </w:rPr>
      </w:pPr>
      <w:r w:rsidRPr="00085B1A">
        <w:rPr>
          <w:color w:val="auto"/>
        </w:rPr>
        <w:t>‘I think there’s more that we can do</w:t>
      </w:r>
      <w:r w:rsidR="009704D9" w:rsidRPr="00085B1A">
        <w:rPr>
          <w:color w:val="auto"/>
        </w:rPr>
        <w:t xml:space="preserve"> </w:t>
      </w:r>
      <w:r w:rsidRPr="00085B1A">
        <w:rPr>
          <w:color w:val="auto"/>
        </w:rPr>
        <w:t>… nationally from an advertising point of view. One of the big issues that people have in relation to wagering is advertising and attraction to children</w:t>
      </w:r>
      <w:r w:rsidR="009704D9" w:rsidRPr="00085B1A">
        <w:rPr>
          <w:color w:val="auto"/>
        </w:rPr>
        <w:t xml:space="preserve"> </w:t>
      </w:r>
      <w:r w:rsidRPr="00085B1A">
        <w:rPr>
          <w:color w:val="auto"/>
        </w:rPr>
        <w:t>… we have you know 15 and 16 year</w:t>
      </w:r>
      <w:r w:rsidR="009704D9" w:rsidRPr="00085B1A">
        <w:rPr>
          <w:color w:val="auto"/>
        </w:rPr>
        <w:t xml:space="preserve"> </w:t>
      </w:r>
      <w:r w:rsidRPr="00085B1A">
        <w:rPr>
          <w:color w:val="auto"/>
        </w:rPr>
        <w:t>olds</w:t>
      </w:r>
      <w:r w:rsidR="009704D9" w:rsidRPr="00085B1A">
        <w:rPr>
          <w:color w:val="auto"/>
        </w:rPr>
        <w:t xml:space="preserve"> </w:t>
      </w:r>
      <w:r w:rsidRPr="00085B1A">
        <w:rPr>
          <w:color w:val="auto"/>
        </w:rPr>
        <w:t>… rather than talking about football or who’s going to win, they’re talking about the odds of who’s going to win</w:t>
      </w:r>
      <w:r w:rsidR="009704D9" w:rsidRPr="00085B1A">
        <w:rPr>
          <w:color w:val="auto"/>
        </w:rPr>
        <w:t>,</w:t>
      </w:r>
      <w:r w:rsidRPr="00085B1A">
        <w:rPr>
          <w:color w:val="auto"/>
        </w:rPr>
        <w:t xml:space="preserve"> and that’s probably a bit of a concern for the community generally.’</w:t>
      </w:r>
    </w:p>
    <w:p w14:paraId="3E67147D" w14:textId="061F1967" w:rsidR="003B4E97" w:rsidRPr="00085B1A" w:rsidRDefault="003B4E97" w:rsidP="004D024D">
      <w:pPr>
        <w:pStyle w:val="Heading2"/>
        <w:rPr>
          <w:color w:val="auto"/>
        </w:rPr>
      </w:pPr>
      <w:bookmarkStart w:id="20" w:name="_Toc12022548"/>
      <w:bookmarkStart w:id="21" w:name="_Toc6493155"/>
      <w:r w:rsidRPr="00085B1A">
        <w:rPr>
          <w:color w:val="auto"/>
        </w:rPr>
        <w:t>Online wagering providers</w:t>
      </w:r>
      <w:bookmarkEnd w:id="20"/>
    </w:p>
    <w:p w14:paraId="1389E730" w14:textId="77777777" w:rsidR="003B4E97" w:rsidRPr="00085B1A" w:rsidRDefault="003B4E97" w:rsidP="00F65855">
      <w:pPr>
        <w:pStyle w:val="Heading3"/>
        <w:rPr>
          <w:color w:val="auto"/>
        </w:rPr>
      </w:pPr>
      <w:r w:rsidRPr="00085B1A">
        <w:rPr>
          <w:color w:val="auto"/>
        </w:rPr>
        <w:t xml:space="preserve">NCPF development and support </w:t>
      </w:r>
    </w:p>
    <w:p w14:paraId="2C76E5DE" w14:textId="283CEF0A" w:rsidR="003B4E97" w:rsidRPr="00085B1A" w:rsidRDefault="003B4E97" w:rsidP="00F65855">
      <w:pPr>
        <w:pStyle w:val="BodyText"/>
        <w:rPr>
          <w:color w:val="auto"/>
        </w:rPr>
      </w:pPr>
      <w:r w:rsidRPr="00085B1A">
        <w:rPr>
          <w:color w:val="auto"/>
        </w:rPr>
        <w:t xml:space="preserve">All of the providers interviewed as part of this research reported being supportive of the National </w:t>
      </w:r>
      <w:r w:rsidR="00014A0D" w:rsidRPr="00085B1A">
        <w:rPr>
          <w:color w:val="auto"/>
        </w:rPr>
        <w:t>Framework</w:t>
      </w:r>
      <w:r w:rsidRPr="00085B1A">
        <w:rPr>
          <w:color w:val="auto"/>
        </w:rPr>
        <w:t xml:space="preserve">’s intent and key measures. The main benefits identified by providers related to improving consumer protection features and developing harmonisation across the online wagering industry. The strength of these benefits was perceived by providers as underpinned by, and reliant on, a nationally consistent </w:t>
      </w:r>
      <w:r w:rsidR="00014A0D" w:rsidRPr="00085B1A">
        <w:rPr>
          <w:color w:val="auto"/>
        </w:rPr>
        <w:t>Framework</w:t>
      </w:r>
      <w:r w:rsidRPr="00085B1A">
        <w:rPr>
          <w:color w:val="auto"/>
        </w:rPr>
        <w:t>:</w:t>
      </w:r>
    </w:p>
    <w:p w14:paraId="3A01005C" w14:textId="3E9A6E95" w:rsidR="00BA7E23" w:rsidRPr="00085B1A" w:rsidRDefault="003B4E97" w:rsidP="00F65855">
      <w:pPr>
        <w:pStyle w:val="Quote"/>
        <w:rPr>
          <w:color w:val="auto"/>
        </w:rPr>
      </w:pPr>
      <w:r w:rsidRPr="00085B1A">
        <w:rPr>
          <w:color w:val="auto"/>
        </w:rPr>
        <w:t>‘I think it's something that had to be done. I think the industry is probably focussed too heavily on growth in certain circumstances and not putting customer's wellbeing first. And I think it, you know, it's not just in Australia it's happening globally, I think. It's important that we start thinking about customers and their behaviours. That should be at the forefront of our mind.’</w:t>
      </w:r>
    </w:p>
    <w:p w14:paraId="2CD3B4A3" w14:textId="45912564" w:rsidR="00BA7E23" w:rsidRPr="00085B1A" w:rsidRDefault="003B4E97" w:rsidP="00F65855">
      <w:pPr>
        <w:pStyle w:val="Quote"/>
        <w:rPr>
          <w:color w:val="auto"/>
        </w:rPr>
      </w:pPr>
      <w:r w:rsidRPr="00085B1A">
        <w:rPr>
          <w:color w:val="auto"/>
        </w:rPr>
        <w:t xml:space="preserve">‘It's been quite a herculean task to get to this point, but I think we've landed on – and while we might want a slight change to one or two of the things – we are wholly supportive </w:t>
      </w:r>
      <w:r w:rsidR="00CE0E67" w:rsidRPr="00085B1A">
        <w:rPr>
          <w:color w:val="auto"/>
        </w:rPr>
        <w:t>o</w:t>
      </w:r>
      <w:r w:rsidRPr="00085B1A">
        <w:rPr>
          <w:color w:val="auto"/>
        </w:rPr>
        <w:t xml:space="preserve">f the NCPF. We think it will improve consumer protection outcomes. We think it will harmonise some really good quality mechanisms that we already had in place for some time and add some more. So on the whole, very supportive.’ </w:t>
      </w:r>
    </w:p>
    <w:p w14:paraId="49C74F30" w14:textId="73C321CE" w:rsidR="00BA7E23" w:rsidRPr="00085B1A" w:rsidRDefault="003B4E97" w:rsidP="00F65855">
      <w:pPr>
        <w:pStyle w:val="Quote"/>
        <w:rPr>
          <w:color w:val="auto"/>
        </w:rPr>
      </w:pPr>
      <w:r w:rsidRPr="00085B1A">
        <w:rPr>
          <w:color w:val="auto"/>
        </w:rPr>
        <w:t>‘I think there will be a much safer environment for users of online gambling apps. I think the standardisation as much as it's been achieved, and we've obviously had lengthy discussions about where it's not been achieved, but there's still a greater degree of harmonisation than previously so that's welcome. I fundamentally think that the reforms in there in general will provide a more responsible gaming environment for the users.’</w:t>
      </w:r>
    </w:p>
    <w:p w14:paraId="71B15A5B" w14:textId="6C54504E" w:rsidR="00BA7E23" w:rsidRPr="00085B1A" w:rsidRDefault="003B4E97" w:rsidP="00F65855">
      <w:pPr>
        <w:pStyle w:val="Quote"/>
        <w:rPr>
          <w:color w:val="auto"/>
        </w:rPr>
      </w:pPr>
      <w:r w:rsidRPr="00085B1A">
        <w:rPr>
          <w:color w:val="auto"/>
        </w:rPr>
        <w:t>‘I think it's important we look after the customers so that they can enjoy the product responsibly and over a much longer period of time.’</w:t>
      </w:r>
    </w:p>
    <w:p w14:paraId="6020DC39" w14:textId="6AC939E2" w:rsidR="003B4E97" w:rsidRPr="00085B1A" w:rsidRDefault="003B4E97" w:rsidP="00F65855">
      <w:pPr>
        <w:pStyle w:val="Quote"/>
        <w:rPr>
          <w:color w:val="auto"/>
        </w:rPr>
      </w:pPr>
      <w:r w:rsidRPr="00085B1A">
        <w:rPr>
          <w:color w:val="auto"/>
        </w:rPr>
        <w:lastRenderedPageBreak/>
        <w:t xml:space="preserve">‘The really important value I think the </w:t>
      </w:r>
      <w:r w:rsidR="00014A0D" w:rsidRPr="00085B1A">
        <w:rPr>
          <w:color w:val="auto"/>
        </w:rPr>
        <w:t>Framework</w:t>
      </w:r>
      <w:r w:rsidRPr="00085B1A">
        <w:rPr>
          <w:color w:val="auto"/>
        </w:rPr>
        <w:t xml:space="preserve"> brings is consistency</w:t>
      </w:r>
      <w:r w:rsidR="009704D9" w:rsidRPr="00085B1A">
        <w:rPr>
          <w:color w:val="auto"/>
        </w:rPr>
        <w:t xml:space="preserve"> </w:t>
      </w:r>
      <w:r w:rsidRPr="00085B1A">
        <w:rPr>
          <w:color w:val="auto"/>
        </w:rPr>
        <w:t>...</w:t>
      </w:r>
      <w:r w:rsidRPr="00085B1A">
        <w:rPr>
          <w:color w:val="auto"/>
          <w:sz w:val="24"/>
        </w:rPr>
        <w:t xml:space="preserve"> </w:t>
      </w:r>
      <w:r w:rsidRPr="00085B1A">
        <w:rPr>
          <w:color w:val="auto"/>
        </w:rPr>
        <w:t xml:space="preserve">I think it's entirely appropriate that there be a level playing field for online wagering given the fact that it is, you know, accessible by all people in Australia.’  </w:t>
      </w:r>
    </w:p>
    <w:p w14:paraId="67AD635A" w14:textId="2DB82A14" w:rsidR="003B4E97" w:rsidRPr="00085B1A" w:rsidRDefault="003B4E97" w:rsidP="00F65855">
      <w:pPr>
        <w:pStyle w:val="BodyText"/>
        <w:rPr>
          <w:rFonts w:eastAsia="MS Mincho"/>
          <w:color w:val="auto"/>
        </w:rPr>
      </w:pPr>
      <w:r w:rsidRPr="00085B1A">
        <w:rPr>
          <w:rFonts w:eastAsia="MS Mincho"/>
          <w:color w:val="auto"/>
        </w:rPr>
        <w:t xml:space="preserve">Most providers reported that they felt that there had been sufficient consultation during the </w:t>
      </w:r>
      <w:r w:rsidR="00014A0D" w:rsidRPr="00085B1A">
        <w:rPr>
          <w:rFonts w:eastAsia="MS Mincho"/>
          <w:color w:val="auto"/>
        </w:rPr>
        <w:t>Framework</w:t>
      </w:r>
      <w:r w:rsidRPr="00085B1A">
        <w:rPr>
          <w:rFonts w:eastAsia="MS Mincho"/>
          <w:color w:val="auto"/>
        </w:rPr>
        <w:t xml:space="preserve">’s planning and development phase. Those who had been directly involved in its development were grateful for that opportunity; they described the enormity of the project and the achievements in getting to this point: </w:t>
      </w:r>
    </w:p>
    <w:p w14:paraId="13D158E2" w14:textId="7999BE83" w:rsidR="00455333" w:rsidRPr="00085B1A" w:rsidRDefault="003B4E97" w:rsidP="00F65855">
      <w:pPr>
        <w:pStyle w:val="Quote"/>
        <w:rPr>
          <w:color w:val="auto"/>
        </w:rPr>
      </w:pPr>
      <w:r w:rsidRPr="00085B1A">
        <w:rPr>
          <w:color w:val="auto"/>
        </w:rPr>
        <w:t xml:space="preserve">‘It's been a massive project. When you consider that there's </w:t>
      </w:r>
      <w:r w:rsidR="00F65855" w:rsidRPr="00085B1A">
        <w:rPr>
          <w:color w:val="auto"/>
        </w:rPr>
        <w:t xml:space="preserve">10 </w:t>
      </w:r>
      <w:r w:rsidRPr="00085B1A">
        <w:rPr>
          <w:color w:val="auto"/>
        </w:rPr>
        <w:t>measures that have, you know, degrees of intricacies that you can't see at first blush, that have then been fleshed out in tremendous detail over a number of years with every jurisdiction.’</w:t>
      </w:r>
    </w:p>
    <w:p w14:paraId="24DDF95B" w14:textId="1A2EA34D" w:rsidR="003B4E97" w:rsidRPr="00085B1A" w:rsidRDefault="003B4E97" w:rsidP="00F65855">
      <w:pPr>
        <w:pStyle w:val="Quote"/>
        <w:rPr>
          <w:color w:val="auto"/>
        </w:rPr>
      </w:pPr>
      <w:r w:rsidRPr="00085B1A">
        <w:rPr>
          <w:color w:val="auto"/>
        </w:rPr>
        <w:t xml:space="preserve">‘There was a lengthy but healthy process to try and narrow it down to the areas people could agree. There will still unfortunately be significant differences across </w:t>
      </w:r>
      <w:r w:rsidR="00F65855" w:rsidRPr="00085B1A">
        <w:rPr>
          <w:color w:val="auto"/>
        </w:rPr>
        <w:t>s</w:t>
      </w:r>
      <w:r w:rsidRPr="00085B1A">
        <w:rPr>
          <w:color w:val="auto"/>
        </w:rPr>
        <w:t>tates. But that's not through people trying to see where they could bring things together.’</w:t>
      </w:r>
    </w:p>
    <w:p w14:paraId="72B3D13A" w14:textId="77777777" w:rsidR="003B4E97" w:rsidRPr="00085B1A" w:rsidRDefault="003B4E97" w:rsidP="00F65855">
      <w:pPr>
        <w:pStyle w:val="Heading3"/>
        <w:rPr>
          <w:color w:val="auto"/>
        </w:rPr>
      </w:pPr>
      <w:r w:rsidRPr="00085B1A">
        <w:rPr>
          <w:color w:val="auto"/>
        </w:rPr>
        <w:t>NCPF implementation</w:t>
      </w:r>
    </w:p>
    <w:p w14:paraId="1603FE44" w14:textId="69F574DB" w:rsidR="00455333" w:rsidRPr="00085B1A" w:rsidRDefault="003B4E97" w:rsidP="00F65855">
      <w:pPr>
        <w:pStyle w:val="Heading4"/>
        <w:rPr>
          <w:color w:val="auto"/>
        </w:rPr>
      </w:pPr>
      <w:r w:rsidRPr="00085B1A">
        <w:rPr>
          <w:color w:val="auto"/>
        </w:rPr>
        <w:t xml:space="preserve">Communication with Commonwealth </w:t>
      </w:r>
      <w:r w:rsidR="00F65855" w:rsidRPr="00085B1A">
        <w:rPr>
          <w:color w:val="auto"/>
        </w:rPr>
        <w:t>and state and territory governments</w:t>
      </w:r>
    </w:p>
    <w:p w14:paraId="56654147" w14:textId="77777777" w:rsidR="00455333" w:rsidRPr="00085B1A" w:rsidRDefault="003B4E97" w:rsidP="00F65855">
      <w:pPr>
        <w:pStyle w:val="BodyText"/>
        <w:rPr>
          <w:rFonts w:eastAsia="MS Mincho"/>
          <w:color w:val="auto"/>
          <w:sz w:val="22"/>
          <w:szCs w:val="22"/>
        </w:rPr>
      </w:pPr>
      <w:r w:rsidRPr="00085B1A">
        <w:rPr>
          <w:rFonts w:eastAsia="MS Mincho"/>
          <w:color w:val="auto"/>
        </w:rPr>
        <w:t>On the whole, providers reported that their communication with Commonwealth agencies had been quite positive and informative, but many providers expressed frustration that there had been limited or no communication from states and territories (at the time of interview):</w:t>
      </w:r>
    </w:p>
    <w:p w14:paraId="7AFED0D9" w14:textId="040001D6" w:rsidR="00455333" w:rsidRPr="00085B1A" w:rsidRDefault="003B4E97" w:rsidP="00F65855">
      <w:pPr>
        <w:pStyle w:val="Quote"/>
        <w:rPr>
          <w:color w:val="auto"/>
        </w:rPr>
      </w:pPr>
      <w:r w:rsidRPr="00085B1A">
        <w:rPr>
          <w:color w:val="auto"/>
        </w:rPr>
        <w:t xml:space="preserve">‘The actual detail of taking the high-level principles and putting them into whether it's legislation or licensing conditions or codes of conduct, it varies depending on the jurisdiction. We don't have great visibility in terms of how that process will be resolved because although several of the </w:t>
      </w:r>
      <w:r w:rsidR="00F65855" w:rsidRPr="00085B1A">
        <w:rPr>
          <w:color w:val="auto"/>
        </w:rPr>
        <w:t xml:space="preserve">state and territory </w:t>
      </w:r>
      <w:r w:rsidRPr="00085B1A">
        <w:rPr>
          <w:color w:val="auto"/>
        </w:rPr>
        <w:t>jurisdictions have been quite open with industry about their plans in terms of implementation, others have been less forthcoming.’</w:t>
      </w:r>
    </w:p>
    <w:p w14:paraId="042F00AE" w14:textId="241955D7" w:rsidR="003B4E97" w:rsidRPr="00085B1A" w:rsidRDefault="003B4E97" w:rsidP="00F65855">
      <w:pPr>
        <w:pStyle w:val="Quote"/>
        <w:rPr>
          <w:color w:val="auto"/>
          <w:sz w:val="22"/>
          <w:szCs w:val="22"/>
        </w:rPr>
      </w:pPr>
      <w:r w:rsidRPr="00085B1A">
        <w:rPr>
          <w:color w:val="auto"/>
        </w:rPr>
        <w:t xml:space="preserve">‘I don't really want to push any boundary; I just want to know what the boundary is.’ </w:t>
      </w:r>
    </w:p>
    <w:p w14:paraId="1A39BC0D" w14:textId="77777777" w:rsidR="003B4E97" w:rsidRPr="00085B1A" w:rsidRDefault="003B4E97" w:rsidP="00F65855">
      <w:pPr>
        <w:pStyle w:val="BodyText"/>
        <w:rPr>
          <w:rFonts w:eastAsia="MS Mincho" w:cs="Arial"/>
          <w:color w:val="auto"/>
          <w:kern w:val="32"/>
          <w:szCs w:val="20"/>
        </w:rPr>
      </w:pPr>
      <w:r w:rsidRPr="00085B1A">
        <w:rPr>
          <w:color w:val="auto"/>
        </w:rPr>
        <w:t>A number of providers expressed appreciation that [one jurisdiction] had made their documentation available in late 2018 and had shared it with all parties:</w:t>
      </w:r>
    </w:p>
    <w:p w14:paraId="33EFF1FA" w14:textId="0A3B7042" w:rsidR="003B4E97" w:rsidRPr="00085B1A" w:rsidRDefault="003B4E97" w:rsidP="00F65855">
      <w:pPr>
        <w:pStyle w:val="Quote"/>
        <w:rPr>
          <w:color w:val="auto"/>
        </w:rPr>
      </w:pPr>
      <w:r w:rsidRPr="00085B1A">
        <w:rPr>
          <w:color w:val="auto"/>
        </w:rPr>
        <w:t>‘It's fair to say that [jurisdiction] has been by far the leading jurisdiction when it's come to implementation arrangements. They've been highly consultative</w:t>
      </w:r>
      <w:r w:rsidR="00F65855" w:rsidRPr="00085B1A">
        <w:rPr>
          <w:color w:val="auto"/>
        </w:rPr>
        <w:t>,</w:t>
      </w:r>
      <w:r w:rsidRPr="00085B1A">
        <w:rPr>
          <w:color w:val="auto"/>
        </w:rPr>
        <w:t xml:space="preserve"> which has been I think very welcome from the industry, and I'm aware that broadly speaking other Australian jurisdictions have agreed that they will model their implementation arrangements on [jurisdiction’s] approach which is a </w:t>
      </w:r>
      <w:r w:rsidR="00F65855" w:rsidRPr="00085B1A">
        <w:rPr>
          <w:color w:val="auto"/>
        </w:rPr>
        <w:t xml:space="preserve">– </w:t>
      </w:r>
      <w:r w:rsidRPr="00085B1A">
        <w:rPr>
          <w:color w:val="auto"/>
        </w:rPr>
        <w:t>I think a very sensible way to do things given the time constraints and the fact that [jurisdiction] has done the heavy lifting for all of the other jurisdictions.’</w:t>
      </w:r>
    </w:p>
    <w:p w14:paraId="1722C097" w14:textId="0A0E2796" w:rsidR="003B4E97" w:rsidRPr="00085B1A" w:rsidRDefault="003B4E97" w:rsidP="00F65855">
      <w:pPr>
        <w:pStyle w:val="Quote"/>
        <w:rPr>
          <w:color w:val="auto"/>
        </w:rPr>
      </w:pPr>
      <w:r w:rsidRPr="00085B1A">
        <w:rPr>
          <w:color w:val="auto"/>
        </w:rPr>
        <w:t>‘Well [jurisdiction] has been the only jurisdiction that has had a consultation process. And that's been going on for six months. There's been sort of several rounds of consultation, so</w:t>
      </w:r>
      <w:r w:rsidR="00E24D5D" w:rsidRPr="00085B1A">
        <w:rPr>
          <w:color w:val="auto"/>
        </w:rPr>
        <w:t>,</w:t>
      </w:r>
      <w:r w:rsidRPr="00085B1A">
        <w:rPr>
          <w:color w:val="auto"/>
        </w:rPr>
        <w:t xml:space="preserve"> I mean, [the jurisdiction], you know, need to be congratulated here.’</w:t>
      </w:r>
    </w:p>
    <w:p w14:paraId="2B43203F" w14:textId="254E38B2" w:rsidR="003B4E97" w:rsidRPr="00085B1A" w:rsidRDefault="003B4E97" w:rsidP="00F65855">
      <w:pPr>
        <w:pStyle w:val="BodyText"/>
        <w:rPr>
          <w:color w:val="auto"/>
          <w:lang w:bidi="ar-SA"/>
        </w:rPr>
      </w:pPr>
      <w:r w:rsidRPr="00085B1A">
        <w:rPr>
          <w:color w:val="auto"/>
          <w:lang w:bidi="ar-SA"/>
        </w:rPr>
        <w:lastRenderedPageBreak/>
        <w:t xml:space="preserve">Some providers – particularly smaller providers </w:t>
      </w:r>
      <w:r w:rsidR="00F65855" w:rsidRPr="00085B1A">
        <w:rPr>
          <w:color w:val="auto"/>
          <w:lang w:bidi="ar-SA"/>
        </w:rPr>
        <w:t xml:space="preserve">– </w:t>
      </w:r>
      <w:r w:rsidRPr="00085B1A">
        <w:rPr>
          <w:color w:val="auto"/>
          <w:lang w:bidi="ar-SA"/>
        </w:rPr>
        <w:t xml:space="preserve">felt that while they were broadly aware of the </w:t>
      </w:r>
      <w:r w:rsidR="00014A0D" w:rsidRPr="00085B1A">
        <w:rPr>
          <w:color w:val="auto"/>
          <w:lang w:bidi="ar-SA"/>
        </w:rPr>
        <w:t>Framework</w:t>
      </w:r>
      <w:r w:rsidRPr="00085B1A">
        <w:rPr>
          <w:color w:val="auto"/>
          <w:lang w:bidi="ar-SA"/>
        </w:rPr>
        <w:t xml:space="preserve"> and the individual measures and it was on their ‘radar’, they were not fully prepared </w:t>
      </w:r>
      <w:r w:rsidR="00F65855" w:rsidRPr="00085B1A">
        <w:rPr>
          <w:color w:val="auto"/>
          <w:lang w:bidi="ar-SA"/>
        </w:rPr>
        <w:t xml:space="preserve">for </w:t>
      </w:r>
      <w:r w:rsidRPr="00085B1A">
        <w:rPr>
          <w:color w:val="auto"/>
          <w:lang w:bidi="ar-SA"/>
        </w:rPr>
        <w:t xml:space="preserve">when some measures had come into </w:t>
      </w:r>
      <w:r w:rsidRPr="00085B1A">
        <w:rPr>
          <w:color w:val="auto"/>
        </w:rPr>
        <w:t>effect</w:t>
      </w:r>
      <w:r w:rsidRPr="00085B1A">
        <w:rPr>
          <w:color w:val="auto"/>
          <w:lang w:bidi="ar-SA"/>
        </w:rPr>
        <w:t xml:space="preserve">: </w:t>
      </w:r>
    </w:p>
    <w:p w14:paraId="4938DDFD" w14:textId="44E1B84A" w:rsidR="003B4E97" w:rsidRPr="00085B1A" w:rsidRDefault="003B4E97" w:rsidP="00F65855">
      <w:pPr>
        <w:pStyle w:val="Quote"/>
        <w:rPr>
          <w:color w:val="auto"/>
        </w:rPr>
      </w:pPr>
      <w:r w:rsidRPr="00085B1A">
        <w:rPr>
          <w:color w:val="auto"/>
          <w:lang w:bidi="en-US"/>
        </w:rPr>
        <w:t>‘That one I only found out about literally the day it was meant to be implemented.</w:t>
      </w:r>
      <w:r w:rsidRPr="00085B1A">
        <w:rPr>
          <w:color w:val="auto"/>
        </w:rPr>
        <w:t xml:space="preserve"> Our IT provider just basically emailed us that we were – we've got to change this – change the way that this is – you know, like the way the system handles it. So that was sort of the only – the only information that I sort of was provided with regards to that.’</w:t>
      </w:r>
    </w:p>
    <w:p w14:paraId="25A9093B" w14:textId="036988ED" w:rsidR="003B4E97" w:rsidRPr="00085B1A" w:rsidRDefault="003B4E97" w:rsidP="00F65855">
      <w:pPr>
        <w:pStyle w:val="Quote"/>
        <w:rPr>
          <w:color w:val="auto"/>
        </w:rPr>
      </w:pPr>
      <w:r w:rsidRPr="00085B1A">
        <w:rPr>
          <w:color w:val="auto"/>
        </w:rPr>
        <w:t xml:space="preserve">‘A little better communication there around implementation date might've been helpful. It's just, it just required us to act pretty quickly on that. And I know other operators brought – put those changes into effect when they were flagged in the </w:t>
      </w:r>
      <w:r w:rsidR="00014A0D" w:rsidRPr="00085B1A">
        <w:rPr>
          <w:color w:val="auto"/>
        </w:rPr>
        <w:t>Framework</w:t>
      </w:r>
      <w:r w:rsidRPr="00085B1A">
        <w:rPr>
          <w:color w:val="auto"/>
        </w:rPr>
        <w:t>, some didn't, so we were in the count there. But it did seem to come a little bit out of the blue.’</w:t>
      </w:r>
    </w:p>
    <w:p w14:paraId="60D3D980" w14:textId="02B694B6" w:rsidR="003B4E97" w:rsidRPr="00085B1A" w:rsidRDefault="003B4E97" w:rsidP="00F65855">
      <w:pPr>
        <w:pStyle w:val="BodyText"/>
        <w:rPr>
          <w:color w:val="auto"/>
        </w:rPr>
      </w:pPr>
      <w:bookmarkStart w:id="22" w:name="_Toc6493168"/>
      <w:r w:rsidRPr="00085B1A">
        <w:rPr>
          <w:color w:val="auto"/>
        </w:rPr>
        <w:t xml:space="preserve">Other smaller providers described having had little </w:t>
      </w:r>
      <w:r w:rsidR="00ED6AFA" w:rsidRPr="00085B1A">
        <w:rPr>
          <w:color w:val="auto"/>
        </w:rPr>
        <w:t xml:space="preserve">direct </w:t>
      </w:r>
      <w:r w:rsidRPr="00085B1A">
        <w:rPr>
          <w:color w:val="auto"/>
        </w:rPr>
        <w:t xml:space="preserve">engagement with government departments and were uncertain as to the elements of the </w:t>
      </w:r>
      <w:r w:rsidR="00014A0D" w:rsidRPr="00085B1A">
        <w:rPr>
          <w:color w:val="auto"/>
        </w:rPr>
        <w:t>Framework</w:t>
      </w:r>
      <w:r w:rsidRPr="00085B1A">
        <w:rPr>
          <w:color w:val="auto"/>
        </w:rPr>
        <w:t xml:space="preserve"> that related to them, with one stating that they were ‘</w:t>
      </w:r>
      <w:r w:rsidR="00F65855" w:rsidRPr="00085B1A">
        <w:rPr>
          <w:color w:val="auto"/>
        </w:rPr>
        <w:t>p</w:t>
      </w:r>
      <w:r w:rsidRPr="00085B1A">
        <w:rPr>
          <w:color w:val="auto"/>
        </w:rPr>
        <w:t xml:space="preserve">robably too out of the loop’. This was especially the case for smaller bookmakers with little or no online presence, but a telephone market. </w:t>
      </w:r>
      <w:bookmarkEnd w:id="22"/>
    </w:p>
    <w:p w14:paraId="6A2DDE47" w14:textId="77777777" w:rsidR="00455333" w:rsidRPr="00085B1A" w:rsidRDefault="00455333" w:rsidP="00455333">
      <w:pPr>
        <w:snapToGrid w:val="0"/>
        <w:rPr>
          <w:rFonts w:eastAsia="MS Mincho" w:cs="Arial"/>
          <w:kern w:val="32"/>
          <w:sz w:val="4"/>
          <w:szCs w:val="4"/>
        </w:rPr>
      </w:pPr>
    </w:p>
    <w:p w14:paraId="3A4BDEC3" w14:textId="2DB3EA3C" w:rsidR="003B4E97" w:rsidRPr="00085B1A" w:rsidRDefault="003B4E97" w:rsidP="00F65855">
      <w:pPr>
        <w:pStyle w:val="Heading4"/>
        <w:rPr>
          <w:color w:val="auto"/>
        </w:rPr>
      </w:pPr>
      <w:r w:rsidRPr="00085B1A">
        <w:rPr>
          <w:color w:val="auto"/>
        </w:rPr>
        <w:t>National consistency</w:t>
      </w:r>
    </w:p>
    <w:p w14:paraId="0BADC1D3" w14:textId="0143863D" w:rsidR="003B4E97" w:rsidRPr="00085B1A" w:rsidRDefault="003B4E97" w:rsidP="00F65855">
      <w:pPr>
        <w:pStyle w:val="BodyText"/>
        <w:rPr>
          <w:color w:val="auto"/>
          <w:lang w:bidi="ar-SA"/>
        </w:rPr>
      </w:pPr>
      <w:bookmarkStart w:id="23" w:name="_Toc6493158"/>
      <w:r w:rsidRPr="00085B1A">
        <w:rPr>
          <w:color w:val="auto"/>
        </w:rPr>
        <w:t xml:space="preserve">National consistency was widely acknowledged by providers as being integral to the success of the </w:t>
      </w:r>
      <w:r w:rsidR="00014A0D" w:rsidRPr="00085B1A">
        <w:rPr>
          <w:color w:val="auto"/>
        </w:rPr>
        <w:t>Framework</w:t>
      </w:r>
      <w:r w:rsidRPr="00085B1A">
        <w:rPr>
          <w:color w:val="auto"/>
        </w:rPr>
        <w:t>, but also one of the main current challenges facing its implementation. Nearly all providers mentioned having concerns around jurisdictional differences, and most providers</w:t>
      </w:r>
      <w:r w:rsidRPr="00085B1A">
        <w:rPr>
          <w:color w:val="auto"/>
          <w:lang w:bidi="ar-SA"/>
        </w:rPr>
        <w:t xml:space="preserve"> expressed doubt that national consistency across the </w:t>
      </w:r>
      <w:r w:rsidR="00014A0D" w:rsidRPr="00085B1A">
        <w:rPr>
          <w:color w:val="auto"/>
          <w:lang w:bidi="ar-SA"/>
        </w:rPr>
        <w:t>Framework</w:t>
      </w:r>
      <w:r w:rsidRPr="00085B1A">
        <w:rPr>
          <w:color w:val="auto"/>
          <w:lang w:bidi="ar-SA"/>
        </w:rPr>
        <w:t xml:space="preserve"> will be achieved:</w:t>
      </w:r>
    </w:p>
    <w:p w14:paraId="23F16D1B" w14:textId="3173CED4" w:rsidR="003B4E97" w:rsidRPr="00085B1A" w:rsidRDefault="003B4E97" w:rsidP="00F65855">
      <w:pPr>
        <w:pStyle w:val="Quote"/>
        <w:rPr>
          <w:color w:val="auto"/>
        </w:rPr>
      </w:pPr>
      <w:r w:rsidRPr="00085B1A">
        <w:rPr>
          <w:color w:val="auto"/>
        </w:rPr>
        <w:t xml:space="preserve">‘There was such a wide variance in the standards applied across the country in different </w:t>
      </w:r>
      <w:r w:rsidR="00AB2782" w:rsidRPr="00085B1A">
        <w:rPr>
          <w:color w:val="auto"/>
        </w:rPr>
        <w:t>s</w:t>
      </w:r>
      <w:r w:rsidRPr="00085B1A">
        <w:rPr>
          <w:color w:val="auto"/>
        </w:rPr>
        <w:t>tates that it was probably courageous to think that we could harmonise them completely, but we thought we could get a minimum set of standards. But even then at times some [jurisdictions] have been just unwilling to bargain and negotiate so we've still got a bit of a patchwork across the country.’</w:t>
      </w:r>
    </w:p>
    <w:p w14:paraId="7FF37A26" w14:textId="390016E0" w:rsidR="003B4E97" w:rsidRPr="00085B1A" w:rsidRDefault="003B4E97" w:rsidP="00F65855">
      <w:pPr>
        <w:pStyle w:val="Quote"/>
        <w:rPr>
          <w:color w:val="auto"/>
        </w:rPr>
      </w:pPr>
      <w:r w:rsidRPr="00085B1A">
        <w:rPr>
          <w:color w:val="auto"/>
        </w:rPr>
        <w:t>‘We've had draft implementation arrangements provided by two jurisdictions but until we see implementation arrangements from all relevant jurisdictions, it will be extremely difficult for us to form a judg</w:t>
      </w:r>
      <w:r w:rsidR="00AB2782" w:rsidRPr="00085B1A">
        <w:rPr>
          <w:color w:val="auto"/>
        </w:rPr>
        <w:t>e</w:t>
      </w:r>
      <w:r w:rsidRPr="00085B1A">
        <w:rPr>
          <w:color w:val="auto"/>
        </w:rPr>
        <w:t>ment about whether or not consistency in implementation will be achieved.’</w:t>
      </w:r>
    </w:p>
    <w:p w14:paraId="3AA1FFBD" w14:textId="537A5D3A" w:rsidR="003B4E97" w:rsidRPr="00085B1A" w:rsidRDefault="003B4E97" w:rsidP="00F65855">
      <w:pPr>
        <w:pStyle w:val="Quote"/>
        <w:rPr>
          <w:color w:val="auto"/>
        </w:rPr>
      </w:pPr>
      <w:r w:rsidRPr="00085B1A">
        <w:rPr>
          <w:color w:val="auto"/>
        </w:rPr>
        <w:t xml:space="preserve">‘There's obviously a key challenge there, where the federal government is seeking to implement the </w:t>
      </w:r>
      <w:r w:rsidR="00014A0D" w:rsidRPr="00085B1A">
        <w:rPr>
          <w:color w:val="auto"/>
        </w:rPr>
        <w:t>Framework</w:t>
      </w:r>
      <w:r w:rsidRPr="00085B1A">
        <w:rPr>
          <w:color w:val="auto"/>
        </w:rPr>
        <w:t xml:space="preserve"> on a national basis</w:t>
      </w:r>
      <w:r w:rsidR="00AB2782" w:rsidRPr="00085B1A">
        <w:rPr>
          <w:color w:val="auto"/>
        </w:rPr>
        <w:t xml:space="preserve"> </w:t>
      </w:r>
      <w:r w:rsidRPr="00085B1A">
        <w:rPr>
          <w:color w:val="auto"/>
        </w:rPr>
        <w:t>... But are reliant on the states to implement that for them.’</w:t>
      </w:r>
    </w:p>
    <w:p w14:paraId="73DCB9EB" w14:textId="77777777" w:rsidR="003B4E97" w:rsidRPr="00085B1A" w:rsidRDefault="003B4E97" w:rsidP="00F65855">
      <w:pPr>
        <w:pStyle w:val="Quote"/>
        <w:rPr>
          <w:color w:val="auto"/>
        </w:rPr>
      </w:pPr>
      <w:r w:rsidRPr="00085B1A">
        <w:rPr>
          <w:color w:val="auto"/>
        </w:rPr>
        <w:t>‘Whilst it's called a nationally harmonised policy, I don't think that's the practical outcome.’</w:t>
      </w:r>
    </w:p>
    <w:p w14:paraId="75D5586A" w14:textId="4AE1686A" w:rsidR="003B4E97" w:rsidRPr="00085B1A" w:rsidRDefault="003B4E97" w:rsidP="00F65855">
      <w:pPr>
        <w:pStyle w:val="BodyText"/>
        <w:rPr>
          <w:color w:val="auto"/>
          <w:lang w:bidi="ar-SA"/>
        </w:rPr>
      </w:pPr>
      <w:r w:rsidRPr="00085B1A">
        <w:rPr>
          <w:color w:val="auto"/>
          <w:lang w:bidi="ar-SA"/>
        </w:rPr>
        <w:t xml:space="preserve">Even when there was broad agreement and support for individual measures, providers described how details and interpretations may </w:t>
      </w:r>
      <w:r w:rsidRPr="00085B1A">
        <w:rPr>
          <w:color w:val="auto"/>
        </w:rPr>
        <w:t>differ</w:t>
      </w:r>
      <w:r w:rsidRPr="00085B1A">
        <w:rPr>
          <w:color w:val="auto"/>
          <w:lang w:bidi="ar-SA"/>
        </w:rPr>
        <w:t xml:space="preserve"> by jurisdiction, which</w:t>
      </w:r>
      <w:r w:rsidR="004566A3" w:rsidRPr="00085B1A">
        <w:rPr>
          <w:color w:val="auto"/>
          <w:lang w:bidi="ar-SA"/>
        </w:rPr>
        <w:t>,</w:t>
      </w:r>
      <w:r w:rsidRPr="00085B1A">
        <w:rPr>
          <w:color w:val="auto"/>
          <w:lang w:bidi="ar-SA"/>
        </w:rPr>
        <w:t xml:space="preserve"> in turn</w:t>
      </w:r>
      <w:r w:rsidR="004566A3" w:rsidRPr="00085B1A">
        <w:rPr>
          <w:color w:val="auto"/>
          <w:lang w:bidi="ar-SA"/>
        </w:rPr>
        <w:t>,</w:t>
      </w:r>
      <w:r w:rsidRPr="00085B1A">
        <w:rPr>
          <w:color w:val="auto"/>
          <w:lang w:bidi="ar-SA"/>
        </w:rPr>
        <w:t xml:space="preserve"> will lead to inconsistencies in implementation. A number of providers felt the resulting lack of consistency will undermine the goal of best possible consumer protection and a level playing field for business:</w:t>
      </w:r>
    </w:p>
    <w:p w14:paraId="14ADD804" w14:textId="77777777" w:rsidR="003B4E97" w:rsidRPr="00085B1A" w:rsidRDefault="003B4E97" w:rsidP="00F65855">
      <w:pPr>
        <w:pStyle w:val="Quote"/>
        <w:rPr>
          <w:color w:val="auto"/>
        </w:rPr>
      </w:pPr>
      <w:r w:rsidRPr="00085B1A">
        <w:rPr>
          <w:color w:val="auto"/>
        </w:rPr>
        <w:lastRenderedPageBreak/>
        <w:t>‘The concern is that minor variations in language could lead to substantive differences in outcomes and inconsistencies in implementation.’</w:t>
      </w:r>
    </w:p>
    <w:p w14:paraId="6C44CE84" w14:textId="42D26426" w:rsidR="003B4E97" w:rsidRPr="00085B1A" w:rsidRDefault="003B4E97" w:rsidP="00F65855">
      <w:pPr>
        <w:pStyle w:val="Quote"/>
        <w:rPr>
          <w:color w:val="auto"/>
        </w:rPr>
      </w:pPr>
      <w:r w:rsidRPr="00085B1A">
        <w:rPr>
          <w:color w:val="auto"/>
        </w:rPr>
        <w:t>‘It's hard to see how [providers are] going to meet the 26 May time</w:t>
      </w:r>
      <w:r w:rsidR="004566A3" w:rsidRPr="00085B1A">
        <w:rPr>
          <w:color w:val="auto"/>
        </w:rPr>
        <w:t xml:space="preserve"> </w:t>
      </w:r>
      <w:r w:rsidRPr="00085B1A">
        <w:rPr>
          <w:color w:val="auto"/>
        </w:rPr>
        <w:t>frame. And if they do it's going to be a huge impost on industry because, as we've tried to work through what we think the measures look like, there's actually a number of little intricacies that have emerged</w:t>
      </w:r>
      <w:r w:rsidR="004566A3" w:rsidRPr="00085B1A">
        <w:rPr>
          <w:color w:val="auto"/>
        </w:rPr>
        <w:t xml:space="preserve"> </w:t>
      </w:r>
      <w:r w:rsidRPr="00085B1A">
        <w:rPr>
          <w:color w:val="auto"/>
        </w:rPr>
        <w:t>… So we just don't know whether we're going to have consistency, inconsistency.’</w:t>
      </w:r>
      <w:bookmarkEnd w:id="23"/>
    </w:p>
    <w:p w14:paraId="26B39F95" w14:textId="77777777" w:rsidR="003B4E97" w:rsidRPr="00085B1A" w:rsidRDefault="003B4E97" w:rsidP="00F65855">
      <w:pPr>
        <w:pStyle w:val="Quote"/>
        <w:rPr>
          <w:color w:val="auto"/>
        </w:rPr>
      </w:pPr>
      <w:r w:rsidRPr="00085B1A">
        <w:rPr>
          <w:color w:val="auto"/>
        </w:rPr>
        <w:t xml:space="preserve">‘I think at a high level what [providers are] trying to do is work on the basis of the [jurisdiction] ministerial directive where possible. But there is risk involved and a fundamental issue for a private entity is obviously that they are having to expend funds and assign resources to develop solutions without actually knowing what target they're ultimately going to be required to hit in each jurisdiction.’  </w:t>
      </w:r>
    </w:p>
    <w:p w14:paraId="53FDD3E5" w14:textId="77777777" w:rsidR="003B4E97" w:rsidRPr="00085B1A" w:rsidRDefault="003B4E97" w:rsidP="00F65855">
      <w:pPr>
        <w:pStyle w:val="BodyText"/>
        <w:rPr>
          <w:rFonts w:eastAsia="MS Mincho"/>
          <w:color w:val="auto"/>
        </w:rPr>
      </w:pPr>
      <w:r w:rsidRPr="00085B1A">
        <w:rPr>
          <w:rFonts w:eastAsia="MS Mincho"/>
          <w:color w:val="auto"/>
        </w:rPr>
        <w:t xml:space="preserve">While some providers noted that they were currently making resourcing decisions based on the </w:t>
      </w:r>
      <w:r w:rsidRPr="00085B1A">
        <w:rPr>
          <w:rFonts w:eastAsia="MS Mincho"/>
          <w:i/>
          <w:color w:val="auto"/>
        </w:rPr>
        <w:t xml:space="preserve">[jurisdiction described above] </w:t>
      </w:r>
      <w:r w:rsidRPr="00085B1A">
        <w:rPr>
          <w:rFonts w:eastAsia="MS Mincho"/>
          <w:color w:val="auto"/>
        </w:rPr>
        <w:t>model, there were concerns that jurisdictional differences would impact on implementation timelines and procedures:</w:t>
      </w:r>
    </w:p>
    <w:p w14:paraId="4BB6DDF2" w14:textId="77777777" w:rsidR="003B4E97" w:rsidRPr="00085B1A" w:rsidRDefault="003B4E97" w:rsidP="00F65855">
      <w:pPr>
        <w:pStyle w:val="Quote"/>
        <w:rPr>
          <w:color w:val="auto"/>
        </w:rPr>
      </w:pPr>
      <w:r w:rsidRPr="00085B1A">
        <w:rPr>
          <w:color w:val="auto"/>
        </w:rPr>
        <w:t>‘But as soon as you take, you know, the wording in one jurisdiction and you start to put it into the wording of another jurisdiction, as soon as different words are used, it can have quite the impact.’</w:t>
      </w:r>
    </w:p>
    <w:p w14:paraId="56C90D61" w14:textId="264811AD" w:rsidR="00455333" w:rsidRPr="00085B1A" w:rsidRDefault="003B4E97" w:rsidP="00F65855">
      <w:pPr>
        <w:pStyle w:val="Quote"/>
        <w:rPr>
          <w:color w:val="auto"/>
        </w:rPr>
      </w:pPr>
      <w:r w:rsidRPr="00085B1A">
        <w:rPr>
          <w:color w:val="auto"/>
        </w:rPr>
        <w:t>‘Every – every additional difference is obviously – there is a higher factor of difficulty. A higher cost. And also just naturally a higher risk of – of us getting it wrong.’</w:t>
      </w:r>
    </w:p>
    <w:p w14:paraId="1B2321C6" w14:textId="4E950A57" w:rsidR="003B4E97" w:rsidRPr="00085B1A" w:rsidRDefault="003B4E97" w:rsidP="00F65855">
      <w:pPr>
        <w:pStyle w:val="Heading4"/>
        <w:rPr>
          <w:color w:val="auto"/>
        </w:rPr>
      </w:pPr>
      <w:r w:rsidRPr="00085B1A">
        <w:rPr>
          <w:color w:val="auto"/>
        </w:rPr>
        <w:t>Timelines and readiness</w:t>
      </w:r>
    </w:p>
    <w:p w14:paraId="2DD365FF" w14:textId="4C90157C" w:rsidR="003B4E97" w:rsidRPr="00085B1A" w:rsidRDefault="003B4E97" w:rsidP="00F65855">
      <w:pPr>
        <w:pStyle w:val="BodyText"/>
        <w:rPr>
          <w:color w:val="auto"/>
        </w:rPr>
      </w:pPr>
      <w:r w:rsidRPr="00085B1A">
        <w:rPr>
          <w:color w:val="auto"/>
          <w:lang w:bidi="ar-SA"/>
        </w:rPr>
        <w:t xml:space="preserve">In addition to concerns around consistency across jurisdictions, a number of providers expressed frustration with the pace at which states and territories were developing and disseminating their implementation documentation. Of particular concern for providers was </w:t>
      </w:r>
      <w:r w:rsidRPr="00085B1A">
        <w:rPr>
          <w:color w:val="auto"/>
        </w:rPr>
        <w:t>meeting the 26 May 2019 deadline for the next three measures, given that, once relevant documentation is provided, there will be a lag while providers undertake the development, building, trialling, testing and approval processes required to implement each measure:</w:t>
      </w:r>
    </w:p>
    <w:p w14:paraId="21FCC2E7" w14:textId="18AAB03E" w:rsidR="003B4E97" w:rsidRPr="00085B1A" w:rsidRDefault="003B4E97" w:rsidP="00F65855">
      <w:pPr>
        <w:pStyle w:val="Quote"/>
        <w:rPr>
          <w:color w:val="auto"/>
        </w:rPr>
      </w:pPr>
      <w:r w:rsidRPr="00085B1A">
        <w:rPr>
          <w:color w:val="auto"/>
        </w:rPr>
        <w:t>‘So we're now five weeks away from these measures being – or meant to be implemented according to the ministerially agreed time</w:t>
      </w:r>
      <w:r w:rsidR="00DF1526" w:rsidRPr="00085B1A">
        <w:rPr>
          <w:color w:val="auto"/>
        </w:rPr>
        <w:t xml:space="preserve"> </w:t>
      </w:r>
      <w:r w:rsidRPr="00085B1A">
        <w:rPr>
          <w:color w:val="auto"/>
        </w:rPr>
        <w:t xml:space="preserve">frame. And yet we don't have from some of the </w:t>
      </w:r>
      <w:r w:rsidR="00DF1526" w:rsidRPr="00085B1A">
        <w:rPr>
          <w:color w:val="auto"/>
        </w:rPr>
        <w:t xml:space="preserve">states and territories </w:t>
      </w:r>
      <w:r w:rsidRPr="00085B1A">
        <w:rPr>
          <w:color w:val="auto"/>
        </w:rPr>
        <w:t>any indication of how they're intending to actually implement these measures. So it's extremely difficult as you might imagine for industry to develop technology for solutions to some of these policy goals.’</w:t>
      </w:r>
    </w:p>
    <w:p w14:paraId="78CDD488" w14:textId="77777777" w:rsidR="003B4E97" w:rsidRPr="00085B1A" w:rsidRDefault="003B4E97" w:rsidP="00F65855">
      <w:pPr>
        <w:pStyle w:val="Quote"/>
        <w:rPr>
          <w:color w:val="auto"/>
        </w:rPr>
      </w:pPr>
      <w:r w:rsidRPr="00085B1A">
        <w:rPr>
          <w:color w:val="auto"/>
        </w:rPr>
        <w:t>‘We're less than two months out from the start date for a number of measures that require technical work and we don't even have documents that we can look at, you know, so that I can brief into our tech teams what we need to do.’</w:t>
      </w:r>
    </w:p>
    <w:p w14:paraId="0B5F6397" w14:textId="77777777" w:rsidR="003B4E97" w:rsidRPr="00085B1A" w:rsidRDefault="003B4E97" w:rsidP="00F65855">
      <w:pPr>
        <w:pStyle w:val="Quote"/>
        <w:rPr>
          <w:color w:val="auto"/>
        </w:rPr>
      </w:pPr>
      <w:r w:rsidRPr="00085B1A">
        <w:rPr>
          <w:color w:val="auto"/>
        </w:rPr>
        <w:t>‘It is difficult to feel prepared when, for a 26 May deadline we – we don't have final confirmation of requirements.’</w:t>
      </w:r>
    </w:p>
    <w:p w14:paraId="657C46D5" w14:textId="77777777" w:rsidR="003B4E97" w:rsidRPr="0014668B" w:rsidRDefault="003B4E97" w:rsidP="00F65855">
      <w:pPr>
        <w:pStyle w:val="Quote"/>
        <w:rPr>
          <w:color w:val="auto"/>
        </w:rPr>
      </w:pPr>
      <w:r w:rsidRPr="00085B1A">
        <w:rPr>
          <w:color w:val="auto"/>
        </w:rPr>
        <w:lastRenderedPageBreak/>
        <w:t xml:space="preserve">‘The federal government has obviously issued their policy statement, but we have to wait for the state governments to confirm the detail of their approach and then we have to do the tech – well, get the approval, do the tech build. Get them signed </w:t>
      </w:r>
      <w:r w:rsidRPr="0014668B">
        <w:rPr>
          <w:color w:val="auto"/>
        </w:rPr>
        <w:t>off by an independent tester and then and only then can we actually implement.’</w:t>
      </w:r>
    </w:p>
    <w:p w14:paraId="6BB6554F" w14:textId="1C58DB13" w:rsidR="003B4E97" w:rsidRPr="0014668B" w:rsidRDefault="003B4E97" w:rsidP="00F65855">
      <w:pPr>
        <w:pStyle w:val="BodyText"/>
        <w:rPr>
          <w:color w:val="auto"/>
          <w:lang w:bidi="ar-SA"/>
        </w:rPr>
      </w:pPr>
      <w:r w:rsidRPr="0014668B">
        <w:rPr>
          <w:color w:val="auto"/>
          <w:lang w:bidi="ar-SA"/>
        </w:rPr>
        <w:t xml:space="preserve">However, most providers did recognise and describe reasons for potential delays, including acknowledgement of the various state elections and the accompanying interruption to activities during the current Commonwealth </w:t>
      </w:r>
      <w:r w:rsidR="00DF1526" w:rsidRPr="0014668B">
        <w:rPr>
          <w:color w:val="auto"/>
          <w:lang w:bidi="ar-SA"/>
        </w:rPr>
        <w:t>G</w:t>
      </w:r>
      <w:r w:rsidRPr="0014668B">
        <w:rPr>
          <w:color w:val="auto"/>
          <w:lang w:bidi="ar-SA"/>
        </w:rPr>
        <w:t>overnment caretaker period:</w:t>
      </w:r>
    </w:p>
    <w:p w14:paraId="4CF3A22C" w14:textId="030CBB19" w:rsidR="003B4E97" w:rsidRPr="0014668B" w:rsidRDefault="003B4E97" w:rsidP="00F65855">
      <w:pPr>
        <w:pStyle w:val="Quote"/>
        <w:rPr>
          <w:color w:val="auto"/>
        </w:rPr>
      </w:pPr>
      <w:r w:rsidRPr="0014668B">
        <w:rPr>
          <w:rFonts w:eastAsia="MS Mincho" w:cs="Arial"/>
          <w:color w:val="auto"/>
          <w:kern w:val="32"/>
          <w:szCs w:val="20"/>
        </w:rPr>
        <w:t>‘</w:t>
      </w:r>
      <w:r w:rsidRPr="0014668B">
        <w:rPr>
          <w:color w:val="auto"/>
        </w:rPr>
        <w:t xml:space="preserve">I just think the timelines unfortunately due to a bunch of state elections and now combined with the federal election have seen the timelines that have been proposed probably </w:t>
      </w:r>
      <w:r w:rsidR="00DF1526" w:rsidRPr="0014668B">
        <w:rPr>
          <w:color w:val="auto"/>
        </w:rPr>
        <w:t xml:space="preserve">– </w:t>
      </w:r>
      <w:r w:rsidRPr="0014668B">
        <w:rPr>
          <w:color w:val="auto"/>
        </w:rPr>
        <w:t>I would consider them optimistic</w:t>
      </w:r>
      <w:r w:rsidR="00DF1526" w:rsidRPr="0014668B">
        <w:rPr>
          <w:color w:val="auto"/>
        </w:rPr>
        <w:t xml:space="preserve"> </w:t>
      </w:r>
      <w:r w:rsidRPr="0014668B">
        <w:rPr>
          <w:color w:val="auto"/>
        </w:rPr>
        <w:t>… So what would've been reasonable time</w:t>
      </w:r>
      <w:r w:rsidR="00DF1526" w:rsidRPr="0014668B">
        <w:rPr>
          <w:color w:val="auto"/>
        </w:rPr>
        <w:t xml:space="preserve"> </w:t>
      </w:r>
      <w:r w:rsidRPr="0014668B">
        <w:rPr>
          <w:color w:val="auto"/>
        </w:rPr>
        <w:t>frames have been blown out</w:t>
      </w:r>
      <w:r w:rsidR="00DF1526" w:rsidRPr="0014668B">
        <w:rPr>
          <w:color w:val="auto"/>
        </w:rPr>
        <w:t>.</w:t>
      </w:r>
      <w:r w:rsidRPr="0014668B">
        <w:rPr>
          <w:color w:val="auto"/>
        </w:rPr>
        <w:t xml:space="preserve">’ </w:t>
      </w:r>
    </w:p>
    <w:p w14:paraId="39A1502C" w14:textId="1A726575" w:rsidR="003B4E97" w:rsidRPr="0014668B" w:rsidRDefault="003B4E97" w:rsidP="00F65855">
      <w:pPr>
        <w:pStyle w:val="Quote"/>
        <w:rPr>
          <w:rFonts w:eastAsia="MS Mincho" w:cs="Arial"/>
          <w:color w:val="auto"/>
          <w:kern w:val="32"/>
          <w:szCs w:val="20"/>
        </w:rPr>
      </w:pPr>
      <w:r w:rsidRPr="0014668B">
        <w:rPr>
          <w:color w:val="auto"/>
        </w:rPr>
        <w:t>‘There have been a range of circumstances and events that have</w:t>
      </w:r>
      <w:r w:rsidR="00DF1526" w:rsidRPr="0014668B">
        <w:rPr>
          <w:color w:val="auto"/>
        </w:rPr>
        <w:t>,</w:t>
      </w:r>
      <w:r w:rsidRPr="0014668B">
        <w:rPr>
          <w:color w:val="auto"/>
        </w:rPr>
        <w:t xml:space="preserve"> I think</w:t>
      </w:r>
      <w:r w:rsidR="00DF1526" w:rsidRPr="0014668B">
        <w:rPr>
          <w:color w:val="auto"/>
        </w:rPr>
        <w:t>,</w:t>
      </w:r>
      <w:r w:rsidRPr="0014668B">
        <w:rPr>
          <w:color w:val="auto"/>
        </w:rPr>
        <w:t xml:space="preserve"> made the implementation process difficult to achieve</w:t>
      </w:r>
      <w:r w:rsidRPr="0014668B">
        <w:rPr>
          <w:rFonts w:eastAsia="MS Mincho" w:cs="Arial"/>
          <w:color w:val="auto"/>
          <w:kern w:val="32"/>
          <w:szCs w:val="20"/>
        </w:rPr>
        <w:t xml:space="preserve"> in a timely fashion</w:t>
      </w:r>
      <w:r w:rsidR="00DF1526" w:rsidRPr="0014668B">
        <w:rPr>
          <w:rFonts w:eastAsia="MS Mincho" w:cs="Arial"/>
          <w:color w:val="auto"/>
          <w:kern w:val="32"/>
          <w:szCs w:val="20"/>
        </w:rPr>
        <w:t xml:space="preserve"> </w:t>
      </w:r>
      <w:r w:rsidRPr="0014668B">
        <w:rPr>
          <w:rFonts w:eastAsia="MS Mincho" w:cs="Arial"/>
          <w:color w:val="auto"/>
          <w:kern w:val="32"/>
          <w:szCs w:val="20"/>
        </w:rPr>
        <w:t>... I think everyone has got good will to make this happen, it's just an unfortunate set of circumstances means that we're flying somewhat blind I think in terms of implementation, and there are risks associated with this next suite of measures [measures 4</w:t>
      </w:r>
      <w:r w:rsidR="00DF1526" w:rsidRPr="0014668B">
        <w:rPr>
          <w:rFonts w:eastAsia="MS Mincho" w:cs="Arial"/>
          <w:color w:val="auto"/>
          <w:kern w:val="32"/>
          <w:szCs w:val="20"/>
        </w:rPr>
        <w:t>–</w:t>
      </w:r>
      <w:r w:rsidRPr="0014668B">
        <w:rPr>
          <w:rFonts w:eastAsia="MS Mincho" w:cs="Arial"/>
          <w:color w:val="auto"/>
          <w:kern w:val="32"/>
          <w:szCs w:val="20"/>
        </w:rPr>
        <w:t>6].’</w:t>
      </w:r>
    </w:p>
    <w:p w14:paraId="7C8D67D2" w14:textId="77777777" w:rsidR="003B4E97" w:rsidRPr="0014668B" w:rsidRDefault="003B4E97" w:rsidP="00F65855">
      <w:pPr>
        <w:pStyle w:val="Heading3"/>
        <w:rPr>
          <w:color w:val="auto"/>
        </w:rPr>
      </w:pPr>
      <w:r w:rsidRPr="0014668B">
        <w:rPr>
          <w:color w:val="auto"/>
        </w:rPr>
        <w:t>Resourcing and impacts on business operations</w:t>
      </w:r>
    </w:p>
    <w:p w14:paraId="57D4DA33" w14:textId="0951A7EB" w:rsidR="003B4E97" w:rsidRPr="0014668B" w:rsidRDefault="003B4E97" w:rsidP="00F65855">
      <w:pPr>
        <w:pStyle w:val="BodyText"/>
        <w:rPr>
          <w:color w:val="auto"/>
          <w:lang w:bidi="ar-SA"/>
        </w:rPr>
      </w:pPr>
      <w:r w:rsidRPr="0014668B">
        <w:rPr>
          <w:color w:val="auto"/>
          <w:lang w:bidi="ar-SA"/>
        </w:rPr>
        <w:t xml:space="preserve">Many wagering providers described the cost and resourcing impact of implementing the </w:t>
      </w:r>
      <w:r w:rsidR="00014A0D" w:rsidRPr="0014668B">
        <w:rPr>
          <w:color w:val="auto"/>
          <w:lang w:bidi="ar-SA"/>
        </w:rPr>
        <w:t>Framework</w:t>
      </w:r>
      <w:r w:rsidRPr="0014668B">
        <w:rPr>
          <w:color w:val="auto"/>
          <w:lang w:bidi="ar-SA"/>
        </w:rPr>
        <w:t xml:space="preserve"> measures within their business operations. For some providers, resourcing concerns were heightened by uncertainty as to how jurisdictions would be monitoring compliance with some measures, and the possible need to develop different IT systems to meet different regulatory requirements:</w:t>
      </w:r>
    </w:p>
    <w:p w14:paraId="1BC3BA8F" w14:textId="31AAF5E6" w:rsidR="003B4E97" w:rsidRPr="0014668B" w:rsidRDefault="003B4E97" w:rsidP="00F65855">
      <w:pPr>
        <w:pStyle w:val="Quote"/>
        <w:rPr>
          <w:color w:val="auto"/>
        </w:rPr>
      </w:pPr>
      <w:r w:rsidRPr="0014668B">
        <w:rPr>
          <w:color w:val="auto"/>
        </w:rPr>
        <w:t>‘[Wagering providers] are having to expend funds and assign resources to develop solutions without actually knowing what target they’re ultimately going to be required to hit in each jurisdiction. And when you’re asking businesses to expend hundreds of thousands, if not millions of dollars, to develop solutions and they don’t know with any certainty what they’re actually meant to be implementing, it’s obviously a very difficult environment for them</w:t>
      </w:r>
      <w:r w:rsidR="004156F9" w:rsidRPr="0014668B">
        <w:rPr>
          <w:color w:val="auto"/>
        </w:rPr>
        <w:t>.</w:t>
      </w:r>
      <w:r w:rsidRPr="0014668B">
        <w:rPr>
          <w:color w:val="auto"/>
        </w:rPr>
        <w:t>’</w:t>
      </w:r>
    </w:p>
    <w:p w14:paraId="3ED8C63B" w14:textId="77777777" w:rsidR="003B4E97" w:rsidRPr="0014668B" w:rsidRDefault="003B4E97" w:rsidP="00F65855">
      <w:pPr>
        <w:pStyle w:val="Quote"/>
        <w:rPr>
          <w:color w:val="auto"/>
        </w:rPr>
      </w:pPr>
      <w:r w:rsidRPr="0014668B">
        <w:rPr>
          <w:color w:val="auto"/>
        </w:rPr>
        <w:t>‘None of these things are as easy as I think they're going to be. They all end up being more complex internally than I would've thought, involving lots of different teams from tech and customer service and operations to make the changes.’</w:t>
      </w:r>
    </w:p>
    <w:p w14:paraId="1D39ADD0" w14:textId="77777777" w:rsidR="003B4E97" w:rsidRPr="0014668B" w:rsidRDefault="003B4E97" w:rsidP="00F65855">
      <w:pPr>
        <w:pStyle w:val="BodyText"/>
        <w:rPr>
          <w:color w:val="auto"/>
        </w:rPr>
      </w:pPr>
      <w:r w:rsidRPr="0014668B">
        <w:rPr>
          <w:color w:val="auto"/>
        </w:rPr>
        <w:t>Other wagering providers noted that regulatory changes and resulting costs to internal business mechanisms were ‘the cost of doing business’ and that technical and IT changes could be absorbed relatively easily, particularly if existing software and systems were already generating products such as account statements:</w:t>
      </w:r>
    </w:p>
    <w:p w14:paraId="48CDB903" w14:textId="77777777" w:rsidR="003B4E97" w:rsidRPr="0014668B" w:rsidRDefault="003B4E97" w:rsidP="00F65855">
      <w:pPr>
        <w:pStyle w:val="Quote"/>
        <w:rPr>
          <w:color w:val="auto"/>
        </w:rPr>
      </w:pPr>
      <w:r w:rsidRPr="0014668B">
        <w:rPr>
          <w:color w:val="auto"/>
        </w:rPr>
        <w:t>‘We've got, yeah, many consumer protection measures or responsible gambling tools in place already, so many of the measures will just be an adjustment to that existing tool to reflect a requirement under the, you know, NCPF and whatever comes out of each state.’</w:t>
      </w:r>
    </w:p>
    <w:p w14:paraId="7B42CF4D" w14:textId="06A85279" w:rsidR="003B4E97" w:rsidRPr="0014668B" w:rsidRDefault="003B4E97" w:rsidP="00F65855">
      <w:pPr>
        <w:pStyle w:val="Quote"/>
        <w:rPr>
          <w:color w:val="auto"/>
        </w:rPr>
      </w:pPr>
      <w:r w:rsidRPr="0014668B">
        <w:rPr>
          <w:color w:val="auto"/>
        </w:rPr>
        <w:lastRenderedPageBreak/>
        <w:t>‘There will be work that's required to be done but it's obviously not impossible and we'd planned this kind of thing. So you know it'll get done. There'll be a – yeah probably a little bit of IT development that needs to be done</w:t>
      </w:r>
      <w:r w:rsidR="004156F9" w:rsidRPr="0014668B">
        <w:rPr>
          <w:color w:val="auto"/>
        </w:rPr>
        <w:t xml:space="preserve"> </w:t>
      </w:r>
      <w:r w:rsidRPr="0014668B">
        <w:rPr>
          <w:color w:val="auto"/>
        </w:rPr>
        <w:t>… But then on an ongoing basis, pretty minimal costs.’</w:t>
      </w:r>
    </w:p>
    <w:p w14:paraId="21BE84BC" w14:textId="02709E3D" w:rsidR="003B4E97" w:rsidRPr="0014668B" w:rsidRDefault="003B4E97" w:rsidP="00F65855">
      <w:pPr>
        <w:pStyle w:val="Quote"/>
        <w:rPr>
          <w:color w:val="auto"/>
        </w:rPr>
      </w:pPr>
      <w:r w:rsidRPr="0014668B">
        <w:rPr>
          <w:color w:val="auto"/>
        </w:rPr>
        <w:t xml:space="preserve">‘So you know, everyone's got the ability to implement stuff if they prioritise it correctly. And I think, the National Consumer Protection </w:t>
      </w:r>
      <w:r w:rsidR="00014A0D" w:rsidRPr="0014668B">
        <w:rPr>
          <w:color w:val="auto"/>
        </w:rPr>
        <w:t>Framework</w:t>
      </w:r>
      <w:r w:rsidRPr="0014668B">
        <w:rPr>
          <w:color w:val="auto"/>
        </w:rPr>
        <w:t xml:space="preserve"> is something that should be prioritised.’</w:t>
      </w:r>
    </w:p>
    <w:p w14:paraId="24F6F3EB" w14:textId="4FDF9455" w:rsidR="003B4E97" w:rsidRPr="0014668B" w:rsidRDefault="003B4E97" w:rsidP="00F65855">
      <w:pPr>
        <w:pStyle w:val="BodyText"/>
        <w:rPr>
          <w:color w:val="auto"/>
          <w:lang w:bidi="ar-SA"/>
        </w:rPr>
      </w:pPr>
      <w:r w:rsidRPr="0014668B">
        <w:rPr>
          <w:color w:val="auto"/>
          <w:lang w:bidi="ar-SA"/>
        </w:rPr>
        <w:t xml:space="preserve">Specific resourcing impacts for smaller providers were also described. These generally related to additional financial and labour costs, but the possibility of small businesses needing to amalgamate or close was also mentioned: </w:t>
      </w:r>
    </w:p>
    <w:p w14:paraId="30F84D1F" w14:textId="66ABA3B1" w:rsidR="003B4E97" w:rsidRPr="0014668B" w:rsidRDefault="003B4E97" w:rsidP="00F65855">
      <w:pPr>
        <w:pStyle w:val="Quote"/>
        <w:rPr>
          <w:color w:val="auto"/>
        </w:rPr>
      </w:pPr>
      <w:r w:rsidRPr="0014668B">
        <w:rPr>
          <w:color w:val="auto"/>
        </w:rPr>
        <w:t>‘Commercially we've been squeezed by a lot of new taxes and product fees and everything so it's not really viable to put extra staff on. You know, it's just another expense to do these things. So in terms of sending out additional statements and everything, it just needs to be done in a way that isn't unnecessarily sort of labour intensive.’</w:t>
      </w:r>
    </w:p>
    <w:p w14:paraId="40B3746E" w14:textId="35733911" w:rsidR="003B4E97" w:rsidRPr="0014668B" w:rsidRDefault="003B4E97" w:rsidP="00F65855">
      <w:pPr>
        <w:pStyle w:val="Quote"/>
        <w:rPr>
          <w:color w:val="auto"/>
        </w:rPr>
      </w:pPr>
      <w:r w:rsidRPr="0014668B">
        <w:rPr>
          <w:color w:val="auto"/>
        </w:rPr>
        <w:t>‘If</w:t>
      </w:r>
      <w:r w:rsidR="004156F9" w:rsidRPr="0014668B">
        <w:rPr>
          <w:color w:val="auto"/>
        </w:rPr>
        <w:t xml:space="preserve"> </w:t>
      </w:r>
      <w:r w:rsidRPr="0014668B">
        <w:rPr>
          <w:color w:val="auto"/>
        </w:rPr>
        <w:t>… jurisdictions bring out something that’s a little bit different, it’s going to result in a whole bunch of extra tech work. And these are things that will cost thousands of dollars in time and resources to deploy if what I’ve guessed is not what other jurisdictions implement</w:t>
      </w:r>
      <w:r w:rsidR="004156F9" w:rsidRPr="0014668B">
        <w:rPr>
          <w:color w:val="auto"/>
        </w:rPr>
        <w:t>.</w:t>
      </w:r>
      <w:r w:rsidRPr="0014668B">
        <w:rPr>
          <w:color w:val="auto"/>
        </w:rPr>
        <w:t>’</w:t>
      </w:r>
    </w:p>
    <w:p w14:paraId="3F867574" w14:textId="20610FC8" w:rsidR="003B4E97" w:rsidRPr="0014668B" w:rsidRDefault="003B4E97" w:rsidP="00F65855">
      <w:pPr>
        <w:pStyle w:val="Quote"/>
        <w:rPr>
          <w:color w:val="auto"/>
        </w:rPr>
      </w:pPr>
      <w:r w:rsidRPr="0014668B">
        <w:rPr>
          <w:color w:val="auto"/>
        </w:rPr>
        <w:t>‘Jurisdictions need to recognise they are small businesses, sometimes sole traders, and require concise and simple information and sufficient time to implement</w:t>
      </w:r>
      <w:r w:rsidR="004156F9" w:rsidRPr="0014668B">
        <w:rPr>
          <w:color w:val="auto"/>
        </w:rPr>
        <w:t>.</w:t>
      </w:r>
      <w:r w:rsidRPr="0014668B">
        <w:rPr>
          <w:color w:val="auto"/>
        </w:rPr>
        <w:t>’</w:t>
      </w:r>
    </w:p>
    <w:p w14:paraId="2454C6A6" w14:textId="38B7EE68" w:rsidR="003B4E97" w:rsidRPr="00664E64" w:rsidRDefault="003B4E97" w:rsidP="00F65855">
      <w:pPr>
        <w:pStyle w:val="BodyText"/>
        <w:rPr>
          <w:lang w:bidi="ar-SA"/>
        </w:rPr>
      </w:pPr>
      <w:r w:rsidRPr="00664E64">
        <w:rPr>
          <w:lang w:bidi="ar-SA"/>
        </w:rPr>
        <w:t>In terms of other unintended impacts on</w:t>
      </w:r>
      <w:r w:rsidRPr="00664E64">
        <w:t xml:space="preserve"> business operations, a few of the larger providers described the competitive nature of the online wagering market and the potential for customers to move offshore. While they were supportive of the </w:t>
      </w:r>
      <w:r w:rsidR="00014A0D" w:rsidRPr="00664E64">
        <w:t>Framework</w:t>
      </w:r>
      <w:r w:rsidRPr="00664E64">
        <w:t xml:space="preserve"> overall, they noted that it was imperative that customer experience and value was not negatively impacted:</w:t>
      </w:r>
    </w:p>
    <w:p w14:paraId="63558A2C" w14:textId="70F7887D" w:rsidR="003B4E97" w:rsidRPr="0014668B" w:rsidRDefault="003B4E97" w:rsidP="00F65855">
      <w:pPr>
        <w:pStyle w:val="Quote"/>
        <w:rPr>
          <w:color w:val="auto"/>
        </w:rPr>
      </w:pPr>
      <w:r w:rsidRPr="0014668B">
        <w:rPr>
          <w:color w:val="auto"/>
        </w:rPr>
        <w:t>‘If you don't allow wagering operators to provide value, then customers are far less inclined to wager domestically, and all the international research supports this very point.’</w:t>
      </w:r>
    </w:p>
    <w:p w14:paraId="63A298D7" w14:textId="14B9352A" w:rsidR="003B4E97" w:rsidRPr="0014668B" w:rsidRDefault="003B4E97" w:rsidP="00F65855">
      <w:pPr>
        <w:pStyle w:val="Quote"/>
        <w:rPr>
          <w:color w:val="auto"/>
        </w:rPr>
      </w:pPr>
      <w:r w:rsidRPr="0014668B">
        <w:rPr>
          <w:color w:val="auto"/>
        </w:rPr>
        <w:t>‘Anything that slows us down [customer experience when betting] is just a no go, because then they will go offshore where they can get a better experience; where those operators don't pay tax, don't have sports integrity links, don't have any consumer protection issues.’</w:t>
      </w:r>
    </w:p>
    <w:p w14:paraId="6FCE6EA8" w14:textId="77777777" w:rsidR="003B4E97" w:rsidRPr="0014668B" w:rsidRDefault="003B4E97" w:rsidP="00F65855">
      <w:pPr>
        <w:pStyle w:val="BodyText"/>
        <w:rPr>
          <w:rFonts w:eastAsia="MS Mincho"/>
          <w:color w:val="auto"/>
        </w:rPr>
      </w:pPr>
      <w:r w:rsidRPr="0014668B">
        <w:rPr>
          <w:rFonts w:eastAsia="MS Mincho"/>
          <w:color w:val="auto"/>
        </w:rPr>
        <w:t>The competitive nature of the wagering market and the importance of transparency and fairness across the Australian online wagering industry was further articulated by some:</w:t>
      </w:r>
    </w:p>
    <w:p w14:paraId="5D781B37" w14:textId="77777777" w:rsidR="003B4E97" w:rsidRPr="0014668B" w:rsidRDefault="003B4E97" w:rsidP="00F65855">
      <w:pPr>
        <w:pStyle w:val="Quote"/>
        <w:rPr>
          <w:color w:val="auto"/>
        </w:rPr>
      </w:pPr>
      <w:r w:rsidRPr="0014668B">
        <w:rPr>
          <w:color w:val="auto"/>
        </w:rPr>
        <w:t>‘It's really important for me in this space, that we're all taking this responsibly and seriously, and we're not looking to outgun a competitor by, you know, interpreting the spirit of the NCPF in a way that's convenient, but rather in a way that's practical.’</w:t>
      </w:r>
    </w:p>
    <w:p w14:paraId="63B8F44E" w14:textId="77777777" w:rsidR="003B4E97" w:rsidRPr="0014668B" w:rsidRDefault="003B4E97" w:rsidP="00F65855">
      <w:pPr>
        <w:pStyle w:val="Heading3"/>
        <w:rPr>
          <w:color w:val="auto"/>
        </w:rPr>
      </w:pPr>
      <w:r w:rsidRPr="0014668B">
        <w:rPr>
          <w:color w:val="auto"/>
        </w:rPr>
        <w:t>Monitoring and compliance</w:t>
      </w:r>
    </w:p>
    <w:p w14:paraId="498140AF" w14:textId="575D6B22" w:rsidR="003B4E97" w:rsidRPr="00664E64" w:rsidRDefault="003B4E97" w:rsidP="00F65855">
      <w:pPr>
        <w:pStyle w:val="BodyText"/>
        <w:rPr>
          <w:lang w:bidi="ar-SA"/>
        </w:rPr>
      </w:pPr>
      <w:r w:rsidRPr="00664E64">
        <w:rPr>
          <w:lang w:bidi="ar-SA"/>
        </w:rPr>
        <w:t xml:space="preserve">A number of wagering providers reported their frustration at trying to ensure compliance with the </w:t>
      </w:r>
      <w:r w:rsidR="00014A0D" w:rsidRPr="00664E64">
        <w:rPr>
          <w:lang w:bidi="ar-SA"/>
        </w:rPr>
        <w:t>Framework</w:t>
      </w:r>
      <w:r w:rsidRPr="00664E64">
        <w:rPr>
          <w:lang w:bidi="ar-SA"/>
        </w:rPr>
        <w:t xml:space="preserve"> measures given the lack of detail from some jurisdictions as to how measures would be regulated. In the absence of any clear directives </w:t>
      </w:r>
      <w:r w:rsidRPr="00664E64">
        <w:t>from some</w:t>
      </w:r>
      <w:r w:rsidRPr="00664E64">
        <w:rPr>
          <w:lang w:bidi="ar-SA"/>
        </w:rPr>
        <w:t xml:space="preserve"> states and territories, many providers indicated they were working to implement the next suite of measures as laid out in the [jurisdiction described above] document</w:t>
      </w:r>
      <w:r w:rsidRPr="00664E64">
        <w:t>,</w:t>
      </w:r>
      <w:r w:rsidRPr="00664E64">
        <w:rPr>
          <w:lang w:bidi="ar-SA"/>
        </w:rPr>
        <w:t xml:space="preserve"> </w:t>
      </w:r>
      <w:r w:rsidRPr="00664E64">
        <w:rPr>
          <w:lang w:bidi="ar-SA"/>
        </w:rPr>
        <w:lastRenderedPageBreak/>
        <w:t xml:space="preserve">and will compare and adjust when other state and territory documentation become available. While noting that this was not ideal, providers were keen to continue working as constructively as possible to support and implement the </w:t>
      </w:r>
      <w:r w:rsidR="00014A0D" w:rsidRPr="00664E64">
        <w:rPr>
          <w:lang w:bidi="ar-SA"/>
        </w:rPr>
        <w:t>Framework</w:t>
      </w:r>
      <w:r w:rsidRPr="00664E64">
        <w:rPr>
          <w:lang w:bidi="ar-SA"/>
        </w:rPr>
        <w:t xml:space="preserve"> and meet proposed timelines</w:t>
      </w:r>
      <w:r w:rsidRPr="00664E64">
        <w:t>:</w:t>
      </w:r>
    </w:p>
    <w:p w14:paraId="7E9B4613" w14:textId="77777777" w:rsidR="003B4E97" w:rsidRPr="0036418A" w:rsidRDefault="003B4E97" w:rsidP="00F65855">
      <w:pPr>
        <w:pStyle w:val="Quote"/>
        <w:rPr>
          <w:color w:val="auto"/>
        </w:rPr>
      </w:pPr>
      <w:r w:rsidRPr="0036418A">
        <w:rPr>
          <w:color w:val="auto"/>
        </w:rPr>
        <w:t>‘So what I am doing is basically guessing where I think [regulation’s] going to land. So I've taken the Commonwealth position. I've tried to as closely align that to the [jurisdiction described above] position as I can. And come up with where I think, you know, the jurisdictions will land.’</w:t>
      </w:r>
    </w:p>
    <w:p w14:paraId="25DC3234" w14:textId="153123B7" w:rsidR="003B4E97" w:rsidRPr="0036418A" w:rsidRDefault="003B4E97" w:rsidP="00F65855">
      <w:pPr>
        <w:pStyle w:val="Quote"/>
        <w:rPr>
          <w:color w:val="auto"/>
        </w:rPr>
      </w:pPr>
      <w:r w:rsidRPr="0036418A">
        <w:rPr>
          <w:color w:val="auto"/>
        </w:rPr>
        <w:t>‘We aren’t worried about one set of rules at a national level, we’re worried about the various interpretations of that at a lower level, as well as not just interpretations from their regulatory bodies, but interpretations having different legislation itself</w:t>
      </w:r>
      <w:r w:rsidR="002D55E6" w:rsidRPr="0036418A">
        <w:rPr>
          <w:color w:val="auto"/>
        </w:rPr>
        <w:t>.</w:t>
      </w:r>
      <w:r w:rsidRPr="0036418A">
        <w:rPr>
          <w:color w:val="auto"/>
        </w:rPr>
        <w:t>’</w:t>
      </w:r>
    </w:p>
    <w:p w14:paraId="0B7EAC91" w14:textId="77777777" w:rsidR="003B4E97" w:rsidRPr="0036418A" w:rsidRDefault="003B4E97" w:rsidP="00F65855">
      <w:pPr>
        <w:pStyle w:val="Quote"/>
        <w:rPr>
          <w:color w:val="auto"/>
        </w:rPr>
      </w:pPr>
      <w:r w:rsidRPr="0036418A">
        <w:rPr>
          <w:color w:val="auto"/>
        </w:rPr>
        <w:t>‘If we've got any issues meeting the deadlines for some of the measures or we've got any technical challenge that we've like to talk through with a regulator. You know, typically you'd be talking through with one jurisdiction on something, perhaps that's bringing in something new, but in this instance we'd have to speak to, if not all, the vast majority of states and territories, which makes it a very complicated exercise.’</w:t>
      </w:r>
    </w:p>
    <w:p w14:paraId="15AEE895" w14:textId="053D2EAE" w:rsidR="003B4E97" w:rsidRPr="0036418A" w:rsidRDefault="003B4E97" w:rsidP="00F65855">
      <w:pPr>
        <w:pStyle w:val="Quote"/>
        <w:rPr>
          <w:color w:val="auto"/>
        </w:rPr>
      </w:pPr>
      <w:r w:rsidRPr="0036418A">
        <w:rPr>
          <w:color w:val="auto"/>
        </w:rPr>
        <w:t>‘The difficulty that you have</w:t>
      </w:r>
      <w:r w:rsidR="002D55E6" w:rsidRPr="0036418A">
        <w:rPr>
          <w:color w:val="auto"/>
        </w:rPr>
        <w:t xml:space="preserve"> </w:t>
      </w:r>
      <w:r w:rsidRPr="0036418A">
        <w:rPr>
          <w:color w:val="auto"/>
        </w:rPr>
        <w:t>…</w:t>
      </w:r>
      <w:r w:rsidRPr="0036418A">
        <w:rPr>
          <w:rFonts w:eastAsia="Times New Roman"/>
          <w:color w:val="auto"/>
          <w:sz w:val="24"/>
        </w:rPr>
        <w:t xml:space="preserve"> </w:t>
      </w:r>
      <w:r w:rsidRPr="0036418A">
        <w:rPr>
          <w:color w:val="auto"/>
        </w:rPr>
        <w:t>is that not all states apply the same methodology in their approach to regulation. So, there's a mix of point of supply versus point of consumption.’</w:t>
      </w:r>
    </w:p>
    <w:p w14:paraId="721D4E8E" w14:textId="7F2DBE5C" w:rsidR="003B4E97" w:rsidRPr="0036418A" w:rsidRDefault="003B4E97" w:rsidP="00F65855">
      <w:pPr>
        <w:pStyle w:val="BodyText"/>
        <w:rPr>
          <w:color w:val="auto"/>
        </w:rPr>
      </w:pPr>
      <w:r w:rsidRPr="0036418A">
        <w:rPr>
          <w:color w:val="auto"/>
        </w:rPr>
        <w:t xml:space="preserve">In discussing the potential burden of monitoring and compliance on their business activities, a number of providers discussed the potential benefits of having a national regulator overseeing the whole </w:t>
      </w:r>
      <w:r w:rsidR="00014A0D" w:rsidRPr="0036418A">
        <w:rPr>
          <w:color w:val="auto"/>
        </w:rPr>
        <w:t>Framework</w:t>
      </w:r>
      <w:r w:rsidRPr="0036418A">
        <w:rPr>
          <w:color w:val="auto"/>
        </w:rPr>
        <w:t>:</w:t>
      </w:r>
    </w:p>
    <w:p w14:paraId="695B80CA" w14:textId="1933E0B3" w:rsidR="003B4E97" w:rsidRPr="0036418A" w:rsidRDefault="003B4E97" w:rsidP="00F65855">
      <w:pPr>
        <w:pStyle w:val="Quote"/>
        <w:rPr>
          <w:color w:val="auto"/>
        </w:rPr>
      </w:pPr>
      <w:r w:rsidRPr="0036418A">
        <w:rPr>
          <w:color w:val="auto"/>
        </w:rPr>
        <w:t xml:space="preserve">‘Nine different potential product implementations. Um, you know, nine compliance checks. It just obviously adds to the burden of a small operator. Ideally there'd be federally mandated laws around all of this and we'd apply it across all the </w:t>
      </w:r>
      <w:r w:rsidR="002D55E6" w:rsidRPr="0036418A">
        <w:rPr>
          <w:color w:val="auto"/>
        </w:rPr>
        <w:t>s</w:t>
      </w:r>
      <w:r w:rsidRPr="0036418A">
        <w:rPr>
          <w:color w:val="auto"/>
        </w:rPr>
        <w:t>tates consistently.’</w:t>
      </w:r>
    </w:p>
    <w:p w14:paraId="7668B21A" w14:textId="51DFD1C9" w:rsidR="003B4E97" w:rsidRPr="0036418A" w:rsidRDefault="003B4E97" w:rsidP="00F65855">
      <w:pPr>
        <w:pStyle w:val="Quote"/>
        <w:rPr>
          <w:color w:val="auto"/>
        </w:rPr>
      </w:pPr>
      <w:r w:rsidRPr="0036418A">
        <w:rPr>
          <w:color w:val="auto"/>
        </w:rPr>
        <w:t>‘There would be some measure in having a national regulator, and there's some downsides to that too. But a national regulator of wagering, considering that we're all fundamentally regulated by the Interactive Gambling Act at a federal level</w:t>
      </w:r>
      <w:r w:rsidR="002D55E6" w:rsidRPr="0036418A">
        <w:rPr>
          <w:color w:val="auto"/>
        </w:rPr>
        <w:t xml:space="preserve"> </w:t>
      </w:r>
      <w:r w:rsidR="00CE0E67" w:rsidRPr="0036418A">
        <w:rPr>
          <w:color w:val="auto"/>
        </w:rPr>
        <w:t>…</w:t>
      </w:r>
      <w:r w:rsidRPr="0036418A">
        <w:rPr>
          <w:color w:val="auto"/>
        </w:rPr>
        <w:t xml:space="preserve"> you would have one regulator that would regulate wagering.’  </w:t>
      </w:r>
    </w:p>
    <w:p w14:paraId="29857ECA" w14:textId="77777777" w:rsidR="003B4E97" w:rsidRPr="00664E64" w:rsidRDefault="003B4E97" w:rsidP="00F65855">
      <w:pPr>
        <w:pStyle w:val="BodyText"/>
        <w:rPr>
          <w:lang w:bidi="ar-SA"/>
        </w:rPr>
      </w:pPr>
      <w:r w:rsidRPr="0036418A">
        <w:rPr>
          <w:color w:val="auto"/>
          <w:lang w:bidi="ar-SA"/>
        </w:rPr>
        <w:t xml:space="preserve">For other small providers </w:t>
      </w:r>
      <w:r w:rsidRPr="0036418A">
        <w:rPr>
          <w:color w:val="auto"/>
        </w:rPr>
        <w:t>there</w:t>
      </w:r>
      <w:r w:rsidRPr="0036418A">
        <w:rPr>
          <w:color w:val="auto"/>
          <w:lang w:bidi="ar-SA"/>
        </w:rPr>
        <w:t xml:space="preserve"> appeared to be a level of misunderstanding that a </w:t>
      </w:r>
      <w:r w:rsidRPr="00664E64">
        <w:rPr>
          <w:lang w:bidi="ar-SA"/>
        </w:rPr>
        <w:t xml:space="preserve">consistent national system would be achieved through the states introducing federal legislation, which would then also be federally monitored: </w:t>
      </w:r>
    </w:p>
    <w:p w14:paraId="015DE23B" w14:textId="77777777" w:rsidR="003B4E97" w:rsidRPr="0036418A" w:rsidRDefault="003B4E97" w:rsidP="00F65855">
      <w:pPr>
        <w:pStyle w:val="Quote"/>
        <w:rPr>
          <w:color w:val="auto"/>
        </w:rPr>
      </w:pPr>
      <w:r w:rsidRPr="0036418A">
        <w:rPr>
          <w:color w:val="auto"/>
        </w:rPr>
        <w:t>‘My understanding is that the states will have to introduce federal legislation. So until that's all finalised and everything, you're trying to balance various different parts of legislation.’</w:t>
      </w:r>
    </w:p>
    <w:p w14:paraId="09BC928E" w14:textId="77777777" w:rsidR="003B4E97" w:rsidRPr="0036418A" w:rsidRDefault="003B4E97" w:rsidP="00F65855">
      <w:pPr>
        <w:pStyle w:val="BodyText"/>
        <w:rPr>
          <w:color w:val="auto"/>
        </w:rPr>
      </w:pPr>
      <w:r w:rsidRPr="0036418A">
        <w:rPr>
          <w:color w:val="auto"/>
        </w:rPr>
        <w:t>Other issues that were raised included the difficulty of providing compliance in an online environment:</w:t>
      </w:r>
    </w:p>
    <w:p w14:paraId="224F1001" w14:textId="3DF39D8F" w:rsidR="003B4E97" w:rsidRPr="0036418A" w:rsidRDefault="003B4E97" w:rsidP="00F65855">
      <w:pPr>
        <w:pStyle w:val="Quote"/>
        <w:rPr>
          <w:color w:val="auto"/>
        </w:rPr>
      </w:pPr>
      <w:r w:rsidRPr="0036418A">
        <w:rPr>
          <w:color w:val="auto"/>
        </w:rPr>
        <w:t xml:space="preserve">‘Even things like having a pop-up that comes up on an app to remind customers [of annual deposit limit reminder] … should there be a button for them to click that says </w:t>
      </w:r>
      <w:r w:rsidR="002D55E6" w:rsidRPr="0036418A">
        <w:rPr>
          <w:color w:val="auto"/>
        </w:rPr>
        <w:t>“</w:t>
      </w:r>
      <w:r w:rsidRPr="0036418A">
        <w:rPr>
          <w:color w:val="auto"/>
        </w:rPr>
        <w:t>yes</w:t>
      </w:r>
      <w:r w:rsidR="002D55E6" w:rsidRPr="0036418A">
        <w:rPr>
          <w:color w:val="auto"/>
        </w:rPr>
        <w:t>”</w:t>
      </w:r>
      <w:r w:rsidRPr="0036418A">
        <w:rPr>
          <w:color w:val="auto"/>
        </w:rPr>
        <w:t xml:space="preserve"> you’ve registered it? What kind of compliance measures, what kind of audit trail do we need to put in </w:t>
      </w:r>
      <w:r w:rsidRPr="0036418A">
        <w:rPr>
          <w:color w:val="auto"/>
        </w:rPr>
        <w:lastRenderedPageBreak/>
        <w:t>place so we can demonstrate to regulators that we have done this? For those customers that call up on the telephone, what’s the most appropriate way of advising them?</w:t>
      </w:r>
      <w:bookmarkStart w:id="24" w:name="_Toc6493160"/>
      <w:r w:rsidRPr="0036418A">
        <w:rPr>
          <w:color w:val="auto"/>
        </w:rPr>
        <w:t>’</w:t>
      </w:r>
      <w:bookmarkEnd w:id="24"/>
    </w:p>
    <w:p w14:paraId="4E25C11B" w14:textId="45F0458D" w:rsidR="003B4E97" w:rsidRPr="00664E64" w:rsidRDefault="003B4E97" w:rsidP="00F65855">
      <w:pPr>
        <w:pStyle w:val="BodyText"/>
        <w:rPr>
          <w:i/>
          <w:lang w:bidi="ar-SA"/>
        </w:rPr>
      </w:pPr>
      <w:r w:rsidRPr="00664E64">
        <w:rPr>
          <w:rFonts w:eastAsia="MS Mincho"/>
        </w:rPr>
        <w:t>Concerns about implementing the next suite of measures satisfactorily and on time (given some of the issues raised above) were also expressed, and providers were hopeful – at least initially</w:t>
      </w:r>
      <w:r w:rsidR="002D55E6" w:rsidRPr="00664E64">
        <w:rPr>
          <w:rFonts w:eastAsia="MS Mincho"/>
        </w:rPr>
        <w:t xml:space="preserve"> –</w:t>
      </w:r>
      <w:r w:rsidRPr="00664E64">
        <w:rPr>
          <w:rFonts w:eastAsia="MS Mincho"/>
        </w:rPr>
        <w:t xml:space="preserve"> that there would be some flexibility in how regulators monitored compliance with these measures:</w:t>
      </w:r>
    </w:p>
    <w:p w14:paraId="196DF6A0" w14:textId="469D11E0" w:rsidR="003B4E97" w:rsidRPr="0036418A" w:rsidRDefault="003B4E97" w:rsidP="00F65855">
      <w:pPr>
        <w:pStyle w:val="Quote"/>
        <w:rPr>
          <w:color w:val="auto"/>
        </w:rPr>
      </w:pPr>
      <w:r w:rsidRPr="0036418A">
        <w:rPr>
          <w:color w:val="auto"/>
        </w:rPr>
        <w:t>‘We're doing everything we can to ensure that we're putting these things in place, both because that's what we do in terms of compliance, because we care for our customers and we want them to have the right tools, and also because that's just good, respectful business practice to do what you said you were gonna do. But we are all running into our own complexities and challenges and interpretations, and so we would hope that regulators would be very accepting and listening and interested in some of those challenges as we work through them. And provided that we can demonstrate that we are – that they are exceptionally legitimate, that we would be given the appropriate space, I suppose, to both interpret and introduce them in a way that is frankly possible.’</w:t>
      </w:r>
    </w:p>
    <w:p w14:paraId="2A9B10C6" w14:textId="28BB4211" w:rsidR="003B4E97" w:rsidRPr="0036418A" w:rsidRDefault="003B4E97" w:rsidP="00F65855">
      <w:pPr>
        <w:pStyle w:val="Quote"/>
        <w:rPr>
          <w:color w:val="auto"/>
        </w:rPr>
      </w:pPr>
      <w:r w:rsidRPr="0036418A">
        <w:rPr>
          <w:color w:val="auto"/>
        </w:rPr>
        <w:t>‘It would be nice to be able to have that flexibility in implementation in order to accommodate the sort of operational challenges</w:t>
      </w:r>
      <w:r w:rsidR="002D55E6" w:rsidRPr="0036418A">
        <w:rPr>
          <w:color w:val="auto"/>
        </w:rPr>
        <w:t xml:space="preserve"> </w:t>
      </w:r>
      <w:r w:rsidRPr="0036418A">
        <w:rPr>
          <w:color w:val="auto"/>
        </w:rPr>
        <w:t>… So it'd be having that – you know, that pragmatic and collaborative discussion [with regulators] around, you know, are we comfortable that that could be an acceptable approach.’</w:t>
      </w:r>
    </w:p>
    <w:p w14:paraId="19DF3BB2" w14:textId="32E25B4C" w:rsidR="003B4E97" w:rsidRPr="0036418A" w:rsidRDefault="003B4E97" w:rsidP="00F65855">
      <w:pPr>
        <w:pStyle w:val="Quote"/>
        <w:rPr>
          <w:color w:val="auto"/>
        </w:rPr>
      </w:pPr>
      <w:r w:rsidRPr="0036418A">
        <w:rPr>
          <w:color w:val="auto"/>
        </w:rPr>
        <w:t>‘My biggest callout would be just a subtle degree of flexibility around our introduction time</w:t>
      </w:r>
      <w:r w:rsidR="002D55E6" w:rsidRPr="0036418A">
        <w:rPr>
          <w:color w:val="auto"/>
        </w:rPr>
        <w:t xml:space="preserve"> </w:t>
      </w:r>
      <w:r w:rsidRPr="0036418A">
        <w:rPr>
          <w:color w:val="auto"/>
        </w:rPr>
        <w:t xml:space="preserve">frame and – and an expectation that we're probably not all gonna get it perfect in a first go, but that we will work over time; where we find that other operators are interpreting it slightly different than us, to ensure that we're all doing right by the </w:t>
      </w:r>
      <w:r w:rsidR="00014A0D" w:rsidRPr="0036418A">
        <w:rPr>
          <w:color w:val="auto"/>
        </w:rPr>
        <w:t>Framework</w:t>
      </w:r>
      <w:r w:rsidRPr="0036418A">
        <w:rPr>
          <w:color w:val="auto"/>
        </w:rPr>
        <w:t>.’</w:t>
      </w:r>
    </w:p>
    <w:p w14:paraId="2401E53F" w14:textId="77777777" w:rsidR="003B4E97" w:rsidRPr="0036418A" w:rsidRDefault="003B4E97" w:rsidP="00F65855">
      <w:pPr>
        <w:pStyle w:val="BodyText"/>
        <w:rPr>
          <w:rFonts w:eastAsia="MS Mincho" w:cs="Arial"/>
          <w:color w:val="auto"/>
          <w:kern w:val="32"/>
          <w:sz w:val="24"/>
        </w:rPr>
      </w:pPr>
      <w:r w:rsidRPr="0036418A">
        <w:rPr>
          <w:color w:val="auto"/>
        </w:rPr>
        <w:t xml:space="preserve">A small number of providers described a more laissez-faire approach where they were undertaking some preparatory work but would wait to see what was specifically required in their business when relevant documentation was made available by the different states and territories. </w:t>
      </w:r>
    </w:p>
    <w:p w14:paraId="77C46399" w14:textId="6ED4AA13" w:rsidR="003B4E97" w:rsidRPr="0036418A" w:rsidRDefault="003B4E97" w:rsidP="00F65855">
      <w:pPr>
        <w:pStyle w:val="Heading3"/>
        <w:rPr>
          <w:color w:val="auto"/>
        </w:rPr>
      </w:pPr>
      <w:r w:rsidRPr="0036418A">
        <w:rPr>
          <w:color w:val="auto"/>
        </w:rPr>
        <w:t xml:space="preserve">Individual </w:t>
      </w:r>
      <w:r w:rsidR="00014A0D" w:rsidRPr="0036418A">
        <w:rPr>
          <w:color w:val="auto"/>
        </w:rPr>
        <w:t>Framework</w:t>
      </w:r>
      <w:r w:rsidRPr="0036418A">
        <w:rPr>
          <w:color w:val="auto"/>
        </w:rPr>
        <w:t xml:space="preserve"> measures</w:t>
      </w:r>
    </w:p>
    <w:p w14:paraId="442DC9E3" w14:textId="21F2411E" w:rsidR="003B4E97" w:rsidRPr="0036418A" w:rsidRDefault="003B4E97" w:rsidP="00F65855">
      <w:pPr>
        <w:pStyle w:val="BodyText"/>
        <w:rPr>
          <w:rFonts w:eastAsiaTheme="minorEastAsia"/>
          <w:color w:val="auto"/>
          <w:lang w:bidi="ar-SA"/>
        </w:rPr>
      </w:pPr>
      <w:r w:rsidRPr="0036418A">
        <w:rPr>
          <w:rFonts w:eastAsiaTheme="minorEastAsia"/>
          <w:color w:val="auto"/>
          <w:lang w:bidi="ar-SA"/>
        </w:rPr>
        <w:t xml:space="preserve">Most providers </w:t>
      </w:r>
      <w:r w:rsidRPr="0036418A">
        <w:rPr>
          <w:rFonts w:eastAsiaTheme="minorEastAsia"/>
          <w:color w:val="auto"/>
        </w:rPr>
        <w:t>reported</w:t>
      </w:r>
      <w:r w:rsidRPr="0036418A">
        <w:rPr>
          <w:rFonts w:eastAsiaTheme="minorEastAsia"/>
          <w:color w:val="auto"/>
          <w:lang w:bidi="ar-SA"/>
        </w:rPr>
        <w:t xml:space="preserve"> overall support for the suite of 10 </w:t>
      </w:r>
      <w:r w:rsidR="00014A0D" w:rsidRPr="0036418A">
        <w:rPr>
          <w:rFonts w:eastAsiaTheme="minorEastAsia"/>
          <w:color w:val="auto"/>
          <w:lang w:bidi="ar-SA"/>
        </w:rPr>
        <w:t>Framework</w:t>
      </w:r>
      <w:r w:rsidRPr="0036418A">
        <w:rPr>
          <w:rFonts w:eastAsiaTheme="minorEastAsia"/>
          <w:color w:val="auto"/>
          <w:lang w:bidi="ar-SA"/>
        </w:rPr>
        <w:t xml:space="preserve"> measures:</w:t>
      </w:r>
    </w:p>
    <w:p w14:paraId="2BA6D31F" w14:textId="77777777" w:rsidR="003B4E97" w:rsidRPr="0036418A" w:rsidRDefault="003B4E97" w:rsidP="00F65855">
      <w:pPr>
        <w:pStyle w:val="Quote"/>
        <w:rPr>
          <w:color w:val="auto"/>
        </w:rPr>
      </w:pPr>
      <w:r w:rsidRPr="0036418A">
        <w:rPr>
          <w:color w:val="auto"/>
        </w:rPr>
        <w:t>‘I tend to think all of the measures are reasonable and proportionate. And, you know, we support them from a consumer protection perspective. And we're looking forward to this becoming the law so that all operators are operating to the same standards, so that we can, you know, essentially give protection to those consumers who are vulnerable to harm.’</w:t>
      </w:r>
    </w:p>
    <w:p w14:paraId="39FE14F1" w14:textId="77777777" w:rsidR="003B4E97" w:rsidRPr="0036418A" w:rsidRDefault="003B4E97" w:rsidP="00F65855">
      <w:pPr>
        <w:pStyle w:val="Quote"/>
        <w:rPr>
          <w:color w:val="auto"/>
        </w:rPr>
      </w:pPr>
      <w:r w:rsidRPr="0036418A">
        <w:rPr>
          <w:color w:val="auto"/>
        </w:rPr>
        <w:t xml:space="preserve">‘We were consulted on the actual measures themselves. And we had opportunities to make various submissions. And, look, we're broadly comfortable with the measures.’ </w:t>
      </w:r>
    </w:p>
    <w:p w14:paraId="637642BB" w14:textId="5F8BE40B" w:rsidR="003B4E97" w:rsidRPr="00664E64" w:rsidRDefault="003B4E97" w:rsidP="00F65855">
      <w:pPr>
        <w:pStyle w:val="BodyText"/>
      </w:pPr>
      <w:r w:rsidRPr="00664E64">
        <w:t xml:space="preserve">Providers generally commented that implementation of </w:t>
      </w:r>
      <w:r w:rsidR="002D55E6" w:rsidRPr="00664E64">
        <w:t>measures</w:t>
      </w:r>
      <w:r w:rsidRPr="00664E64">
        <w:t xml:space="preserve"> 1</w:t>
      </w:r>
      <w:r w:rsidR="002D55E6" w:rsidRPr="00664E64">
        <w:t>–</w:t>
      </w:r>
      <w:r w:rsidRPr="00664E64">
        <w:t>3 had been a relatively smooth process and they were appreciative of the Commonwealth’s approach to these initial measures:</w:t>
      </w:r>
    </w:p>
    <w:p w14:paraId="4AEAF053" w14:textId="77777777" w:rsidR="003B4E97" w:rsidRPr="0036418A" w:rsidRDefault="003B4E97" w:rsidP="00F65855">
      <w:pPr>
        <w:pStyle w:val="Quote"/>
        <w:rPr>
          <w:color w:val="auto"/>
        </w:rPr>
      </w:pPr>
      <w:r w:rsidRPr="0036418A">
        <w:rPr>
          <w:color w:val="auto"/>
        </w:rPr>
        <w:lastRenderedPageBreak/>
        <w:t xml:space="preserve">‘From our perspective, those first three measures that you've listed are ones that we're very supportive of and we're very pleased to see are now standard across the industry.’  </w:t>
      </w:r>
    </w:p>
    <w:p w14:paraId="32128BAD" w14:textId="68670231" w:rsidR="003B4E97" w:rsidRPr="0036418A" w:rsidRDefault="003B4E97" w:rsidP="00F65855">
      <w:pPr>
        <w:pStyle w:val="Quote"/>
        <w:rPr>
          <w:color w:val="auto"/>
        </w:rPr>
      </w:pPr>
      <w:r w:rsidRPr="0036418A">
        <w:rPr>
          <w:color w:val="auto"/>
        </w:rPr>
        <w:t>‘We've had a couple of measures that have already come into effect at the Commonwealth level and that's been quite smooth</w:t>
      </w:r>
      <w:r w:rsidR="002D55E6" w:rsidRPr="0036418A">
        <w:rPr>
          <w:color w:val="auto"/>
        </w:rPr>
        <w:t xml:space="preserve"> </w:t>
      </w:r>
      <w:r w:rsidRPr="0036418A">
        <w:rPr>
          <w:color w:val="auto"/>
        </w:rPr>
        <w:t>… There was consultation. A completely smooth process.’</w:t>
      </w:r>
    </w:p>
    <w:p w14:paraId="0C85386E" w14:textId="020EB87A" w:rsidR="003B4E97" w:rsidRPr="0036418A" w:rsidRDefault="003B4E97" w:rsidP="00F65855">
      <w:pPr>
        <w:pStyle w:val="BodyText"/>
        <w:rPr>
          <w:color w:val="auto"/>
        </w:rPr>
      </w:pPr>
      <w:r w:rsidRPr="0036418A">
        <w:rPr>
          <w:color w:val="auto"/>
        </w:rPr>
        <w:t xml:space="preserve">However, with the roll-out of the next three measures due for implementation in May 2019, providers reported that (at the time of interview) details and documentation were lacking from most states and territories. They were concerned about the potential effects this may have on the implementation process and the </w:t>
      </w:r>
      <w:r w:rsidR="00014A0D" w:rsidRPr="0036418A">
        <w:rPr>
          <w:color w:val="auto"/>
        </w:rPr>
        <w:t>Framework</w:t>
      </w:r>
      <w:r w:rsidRPr="0036418A">
        <w:rPr>
          <w:color w:val="auto"/>
        </w:rPr>
        <w:t xml:space="preserve">’s outcomes. </w:t>
      </w:r>
    </w:p>
    <w:p w14:paraId="6DD2797F" w14:textId="77777777" w:rsidR="003B4E97" w:rsidRPr="0036418A" w:rsidRDefault="003B4E97" w:rsidP="00F65855">
      <w:pPr>
        <w:pStyle w:val="BodyText"/>
        <w:rPr>
          <w:color w:val="auto"/>
        </w:rPr>
      </w:pPr>
      <w:r w:rsidRPr="0036418A">
        <w:rPr>
          <w:color w:val="auto"/>
        </w:rPr>
        <w:t>Specific issues regarding some of the measures are outlined below.</w:t>
      </w:r>
    </w:p>
    <w:p w14:paraId="3E8BFD6A" w14:textId="14B874CE" w:rsidR="003B4E97" w:rsidRPr="0036418A" w:rsidRDefault="003B4E97" w:rsidP="00F65855">
      <w:pPr>
        <w:pStyle w:val="Heading4"/>
        <w:rPr>
          <w:color w:val="auto"/>
        </w:rPr>
      </w:pPr>
      <w:r w:rsidRPr="0036418A">
        <w:rPr>
          <w:color w:val="auto"/>
        </w:rPr>
        <w:t>Restrictions on inducements (</w:t>
      </w:r>
      <w:r w:rsidR="002D55E6" w:rsidRPr="0036418A">
        <w:rPr>
          <w:color w:val="auto"/>
        </w:rPr>
        <w:t xml:space="preserve">measure </w:t>
      </w:r>
      <w:r w:rsidRPr="0036418A">
        <w:rPr>
          <w:color w:val="auto"/>
        </w:rPr>
        <w:t>4)</w:t>
      </w:r>
    </w:p>
    <w:p w14:paraId="1B85A427" w14:textId="77777777" w:rsidR="003B4E97" w:rsidRPr="0036418A" w:rsidRDefault="003B4E97" w:rsidP="00F65855">
      <w:pPr>
        <w:pStyle w:val="BodyText"/>
        <w:rPr>
          <w:color w:val="auto"/>
          <w:lang w:bidi="ar-SA"/>
        </w:rPr>
      </w:pPr>
      <w:r w:rsidRPr="0036418A">
        <w:rPr>
          <w:color w:val="auto"/>
          <w:lang w:bidi="ar-SA"/>
        </w:rPr>
        <w:t xml:space="preserve">Measure 4, ‘Restrictions on inducements’, due to come into effect in May 2019, was a concern for many wagering providers, </w:t>
      </w:r>
      <w:r w:rsidRPr="0036418A">
        <w:rPr>
          <w:color w:val="auto"/>
        </w:rPr>
        <w:t>particularly</w:t>
      </w:r>
      <w:r w:rsidRPr="0036418A">
        <w:rPr>
          <w:color w:val="auto"/>
          <w:lang w:bidi="ar-SA"/>
        </w:rPr>
        <w:t xml:space="preserve"> in relation to compliance with different regulatory regimes across jurisdictions:</w:t>
      </w:r>
    </w:p>
    <w:p w14:paraId="70F71B12" w14:textId="0365D184" w:rsidR="003B4E97" w:rsidRPr="0036418A" w:rsidRDefault="003B4E97" w:rsidP="00F65855">
      <w:pPr>
        <w:pStyle w:val="Quote"/>
        <w:rPr>
          <w:color w:val="auto"/>
        </w:rPr>
      </w:pPr>
      <w:r w:rsidRPr="0036418A">
        <w:rPr>
          <w:color w:val="auto"/>
        </w:rPr>
        <w:t xml:space="preserve">‘Every state and territory, despite a [national] </w:t>
      </w:r>
      <w:r w:rsidR="00014A0D" w:rsidRPr="0036418A">
        <w:rPr>
          <w:color w:val="auto"/>
        </w:rPr>
        <w:t>Framework</w:t>
      </w:r>
      <w:r w:rsidRPr="0036418A">
        <w:rPr>
          <w:color w:val="auto"/>
        </w:rPr>
        <w:t xml:space="preserve"> of this type, is going to have nuances. Particularly around inducements, which was expressly called out in the document because</w:t>
      </w:r>
      <w:r w:rsidR="00596E84" w:rsidRPr="0036418A">
        <w:rPr>
          <w:color w:val="auto"/>
        </w:rPr>
        <w:t xml:space="preserve"> </w:t>
      </w:r>
      <w:r w:rsidRPr="0036418A">
        <w:rPr>
          <w:color w:val="auto"/>
        </w:rPr>
        <w:t>… states weren’t able to land on a harmonised view. It’s deeply challenging</w:t>
      </w:r>
      <w:r w:rsidR="00596E84" w:rsidRPr="0036418A">
        <w:rPr>
          <w:color w:val="auto"/>
        </w:rPr>
        <w:t xml:space="preserve"> </w:t>
      </w:r>
      <w:r w:rsidRPr="0036418A">
        <w:rPr>
          <w:color w:val="auto"/>
        </w:rPr>
        <w:t>… That’s sort of the political and regulatory landscape that we have to manage</w:t>
      </w:r>
      <w:r w:rsidR="00596E84" w:rsidRPr="0036418A">
        <w:rPr>
          <w:color w:val="auto"/>
        </w:rPr>
        <w:t xml:space="preserve"> </w:t>
      </w:r>
      <w:r w:rsidRPr="0036418A">
        <w:rPr>
          <w:color w:val="auto"/>
        </w:rPr>
        <w:t>… inducements are a hard spot.’</w:t>
      </w:r>
    </w:p>
    <w:p w14:paraId="52D67680" w14:textId="77777777" w:rsidR="003B4E97" w:rsidRPr="0036418A" w:rsidRDefault="003B4E97" w:rsidP="00596E84">
      <w:pPr>
        <w:pStyle w:val="Quote"/>
        <w:rPr>
          <w:color w:val="auto"/>
        </w:rPr>
      </w:pPr>
      <w:r w:rsidRPr="0036418A">
        <w:rPr>
          <w:color w:val="auto"/>
        </w:rPr>
        <w:t>‘[The inducements] it's tricky, we have an uneven playing field at the moment. There's no indication that we're going to have a level playing field.’</w:t>
      </w:r>
    </w:p>
    <w:p w14:paraId="088CFB2C" w14:textId="54FA639D" w:rsidR="003B4E97" w:rsidRPr="0036418A" w:rsidRDefault="003B4E97" w:rsidP="00F65855">
      <w:pPr>
        <w:pStyle w:val="Quote"/>
        <w:rPr>
          <w:color w:val="auto"/>
        </w:rPr>
      </w:pPr>
      <w:r w:rsidRPr="0036418A">
        <w:rPr>
          <w:color w:val="auto"/>
        </w:rPr>
        <w:t>‘So even though there is a baseline requirement in terms of inducements, our expectation is that jurisdictions will continually impose additional requirements above and beyond and separate to the NCPF, which for wagering providers</w:t>
      </w:r>
      <w:r w:rsidR="00596E84" w:rsidRPr="0036418A">
        <w:rPr>
          <w:color w:val="auto"/>
        </w:rPr>
        <w:t xml:space="preserve"> </w:t>
      </w:r>
      <w:r w:rsidRPr="0036418A">
        <w:rPr>
          <w:color w:val="auto"/>
        </w:rPr>
        <w:t>… who are operating nationally, not on a per jurisdiction basis, obviously continues to add to the complexity associated with consumer protection.’</w:t>
      </w:r>
    </w:p>
    <w:p w14:paraId="238C8554" w14:textId="77777777" w:rsidR="003B4E97" w:rsidRPr="0036418A" w:rsidRDefault="003B4E97" w:rsidP="00F65855">
      <w:pPr>
        <w:pStyle w:val="BodyText"/>
        <w:rPr>
          <w:color w:val="auto"/>
          <w:lang w:bidi="ar-SA"/>
        </w:rPr>
      </w:pPr>
      <w:r w:rsidRPr="0036418A">
        <w:rPr>
          <w:color w:val="auto"/>
          <w:lang w:bidi="ar-SA"/>
        </w:rPr>
        <w:t xml:space="preserve">In addition to different compliance requirements across jurisdictions, some providers suggested there might be different </w:t>
      </w:r>
      <w:r w:rsidRPr="0036418A">
        <w:rPr>
          <w:color w:val="auto"/>
        </w:rPr>
        <w:t>interpretations</w:t>
      </w:r>
      <w:r w:rsidRPr="0036418A">
        <w:rPr>
          <w:color w:val="auto"/>
          <w:lang w:bidi="ar-SA"/>
        </w:rPr>
        <w:t xml:space="preserve"> of the measure itself; either it related to a restriction on advertising the inducement, or a restriction on offering the inducement/promotion itself:</w:t>
      </w:r>
    </w:p>
    <w:p w14:paraId="60E39FC9" w14:textId="77777777" w:rsidR="003B4E97" w:rsidRPr="0036418A" w:rsidRDefault="003B4E97" w:rsidP="00F65855">
      <w:pPr>
        <w:pStyle w:val="Quote"/>
        <w:rPr>
          <w:color w:val="auto"/>
        </w:rPr>
      </w:pPr>
      <w:r w:rsidRPr="0036418A">
        <w:rPr>
          <w:color w:val="auto"/>
        </w:rPr>
        <w:t>‘[Restrictions on inducements] doesn’t actually reduce the volume or intensity of advertising, it just reduces them by type.’</w:t>
      </w:r>
    </w:p>
    <w:p w14:paraId="1775CBAC" w14:textId="24CC5E65" w:rsidR="003B4E97" w:rsidRPr="0036418A" w:rsidRDefault="003B4E97" w:rsidP="00F65855">
      <w:pPr>
        <w:pStyle w:val="Quote"/>
        <w:rPr>
          <w:color w:val="auto"/>
        </w:rPr>
      </w:pPr>
      <w:r w:rsidRPr="0036418A">
        <w:rPr>
          <w:color w:val="auto"/>
        </w:rPr>
        <w:t>‘[Jurisdiction’s] prohibition on inducements is a prohibition on advertising inducements</w:t>
      </w:r>
      <w:r w:rsidR="00596E84" w:rsidRPr="0036418A">
        <w:rPr>
          <w:color w:val="auto"/>
        </w:rPr>
        <w:t xml:space="preserve"> </w:t>
      </w:r>
      <w:r w:rsidRPr="0036418A">
        <w:rPr>
          <w:color w:val="auto"/>
        </w:rPr>
        <w:t>… the prohibition in the Commonwealth document is a prohibition on offering or providing inducements. And they’re quite different things.’</w:t>
      </w:r>
    </w:p>
    <w:p w14:paraId="1D133D4F" w14:textId="74235DC9" w:rsidR="003B4E97" w:rsidRPr="00664E64" w:rsidRDefault="003B4E97" w:rsidP="00F65855">
      <w:pPr>
        <w:pStyle w:val="Heading4"/>
      </w:pPr>
      <w:r w:rsidRPr="00664E64">
        <w:t>Consistent gambling messag</w:t>
      </w:r>
      <w:r w:rsidR="00ED1FD7" w:rsidRPr="00664E64">
        <w:t>ing</w:t>
      </w:r>
      <w:r w:rsidRPr="00664E64">
        <w:t xml:space="preserve"> (</w:t>
      </w:r>
      <w:r w:rsidR="00596E84" w:rsidRPr="00664E64">
        <w:t>m</w:t>
      </w:r>
      <w:r w:rsidRPr="00664E64">
        <w:t>easure 8)</w:t>
      </w:r>
    </w:p>
    <w:p w14:paraId="0623BF8B" w14:textId="0BD1E800" w:rsidR="003B4E97" w:rsidRPr="00664E64" w:rsidRDefault="003B4E97" w:rsidP="00F65855">
      <w:pPr>
        <w:pStyle w:val="BodyText"/>
        <w:rPr>
          <w:lang w:bidi="ar-SA"/>
        </w:rPr>
      </w:pPr>
      <w:r w:rsidRPr="00664E64">
        <w:rPr>
          <w:lang w:bidi="ar-SA"/>
        </w:rPr>
        <w:t>A number of providers described the need for consistent gambling messaging (</w:t>
      </w:r>
      <w:r w:rsidR="00596E84" w:rsidRPr="00664E64">
        <w:rPr>
          <w:lang w:bidi="ar-SA"/>
        </w:rPr>
        <w:t>m</w:t>
      </w:r>
      <w:r w:rsidRPr="00664E64">
        <w:rPr>
          <w:lang w:bidi="ar-SA"/>
        </w:rPr>
        <w:t xml:space="preserve">easure 8; due to come into effect May 2020). It was agreed that this messaging needs to be evidence-based and proven effective </w:t>
      </w:r>
      <w:r w:rsidRPr="00664E64">
        <w:rPr>
          <w:lang w:bidi="ar-SA"/>
        </w:rPr>
        <w:lastRenderedPageBreak/>
        <w:t xml:space="preserve">for the measure to be successful. Some providers mentioned that the upcoming trial will be an important opportunity to develop messaging that can be applied consistently across jurisdictions and providers. </w:t>
      </w:r>
    </w:p>
    <w:p w14:paraId="2477E1AF" w14:textId="77777777" w:rsidR="003B4E97" w:rsidRPr="00664E64" w:rsidRDefault="003B4E97" w:rsidP="008A2CBD">
      <w:pPr>
        <w:pStyle w:val="BodyText"/>
        <w:snapToGrid w:val="0"/>
        <w:spacing w:after="120"/>
        <w:rPr>
          <w:lang w:bidi="ar-SA"/>
        </w:rPr>
      </w:pPr>
      <w:r w:rsidRPr="00664E64">
        <w:rPr>
          <w:lang w:bidi="ar-SA"/>
        </w:rPr>
        <w:t xml:space="preserve">Several providers noted that their current messaging was quite lengthy because of the need to cover all jurisdictions with varying standards, which they thought might minimise its effectiveness: </w:t>
      </w:r>
    </w:p>
    <w:p w14:paraId="2619B42B" w14:textId="17C95C1C" w:rsidR="003B4E97" w:rsidRPr="0036418A" w:rsidRDefault="003B4E97" w:rsidP="00F65855">
      <w:pPr>
        <w:pStyle w:val="Quote"/>
        <w:rPr>
          <w:color w:val="auto"/>
        </w:rPr>
      </w:pPr>
      <w:r w:rsidRPr="0036418A">
        <w:rPr>
          <w:color w:val="auto"/>
        </w:rPr>
        <w:t>‘Most jurisdictions have different messaging requirements, and the net effect of that is small disclaimers at the bottom of advertising that try to pick up all of the required responsible gambling messaging</w:t>
      </w:r>
      <w:r w:rsidR="00596E84" w:rsidRPr="0036418A">
        <w:rPr>
          <w:color w:val="auto"/>
        </w:rPr>
        <w:t xml:space="preserve"> </w:t>
      </w:r>
      <w:r w:rsidRPr="0036418A">
        <w:rPr>
          <w:color w:val="auto"/>
        </w:rPr>
        <w:t xml:space="preserve">… and I think the combination of all those jurisdictional messages actually decreases the impact of possibly a larger </w:t>
      </w:r>
      <w:r w:rsidR="00596E84" w:rsidRPr="0036418A">
        <w:rPr>
          <w:color w:val="auto"/>
        </w:rPr>
        <w:t>“</w:t>
      </w:r>
      <w:r w:rsidRPr="0036418A">
        <w:rPr>
          <w:color w:val="auto"/>
        </w:rPr>
        <w:t>responsible gambling</w:t>
      </w:r>
      <w:r w:rsidR="00596E84" w:rsidRPr="0036418A">
        <w:rPr>
          <w:color w:val="auto"/>
        </w:rPr>
        <w:t>”</w:t>
      </w:r>
      <w:r w:rsidRPr="0036418A">
        <w:rPr>
          <w:color w:val="auto"/>
        </w:rPr>
        <w:t xml:space="preserve"> message that’s more succinct and targeted</w:t>
      </w:r>
      <w:r w:rsidR="00596E84" w:rsidRPr="0036418A">
        <w:rPr>
          <w:color w:val="auto"/>
        </w:rPr>
        <w:t>.</w:t>
      </w:r>
      <w:r w:rsidRPr="0036418A">
        <w:rPr>
          <w:color w:val="auto"/>
        </w:rPr>
        <w:t xml:space="preserve">’ </w:t>
      </w:r>
    </w:p>
    <w:p w14:paraId="432194F0" w14:textId="6BC5050D" w:rsidR="003B4E97" w:rsidRPr="0036418A" w:rsidRDefault="003B4E97" w:rsidP="00F65855">
      <w:pPr>
        <w:pStyle w:val="Quote"/>
        <w:rPr>
          <w:color w:val="auto"/>
        </w:rPr>
      </w:pPr>
      <w:r w:rsidRPr="0036418A">
        <w:rPr>
          <w:color w:val="auto"/>
        </w:rPr>
        <w:t>‘At the moment we have, for example, a national message that we use on national materials</w:t>
      </w:r>
      <w:r w:rsidR="00596E84" w:rsidRPr="0036418A">
        <w:rPr>
          <w:color w:val="auto"/>
        </w:rPr>
        <w:t xml:space="preserve"> </w:t>
      </w:r>
      <w:r w:rsidRPr="0036418A">
        <w:rPr>
          <w:color w:val="auto"/>
        </w:rPr>
        <w:t>… that’s quite a lengthy message in order to accommodate state-based differences</w:t>
      </w:r>
      <w:r w:rsidR="00596E84" w:rsidRPr="0036418A">
        <w:rPr>
          <w:color w:val="auto"/>
        </w:rPr>
        <w:t xml:space="preserve"> </w:t>
      </w:r>
      <w:r w:rsidRPr="0036418A">
        <w:rPr>
          <w:color w:val="auto"/>
        </w:rPr>
        <w:t>… There’s an interesting discussion to be had if research is telling us a shorter message is more powerful</w:t>
      </w:r>
      <w:r w:rsidR="00596E84" w:rsidRPr="0036418A">
        <w:rPr>
          <w:color w:val="auto"/>
        </w:rPr>
        <w:t>.</w:t>
      </w:r>
      <w:r w:rsidRPr="0036418A">
        <w:rPr>
          <w:color w:val="auto"/>
        </w:rPr>
        <w:t>’</w:t>
      </w:r>
    </w:p>
    <w:p w14:paraId="7A5B8151" w14:textId="77777777" w:rsidR="003B4E97" w:rsidRPr="0036418A" w:rsidRDefault="003B4E97" w:rsidP="00F65855">
      <w:pPr>
        <w:pStyle w:val="BodyText"/>
        <w:rPr>
          <w:color w:val="auto"/>
          <w:lang w:bidi="ar-SA"/>
        </w:rPr>
      </w:pPr>
      <w:r w:rsidRPr="0036418A">
        <w:rPr>
          <w:color w:val="auto"/>
          <w:lang w:bidi="ar-SA"/>
        </w:rPr>
        <w:t xml:space="preserve">Another provider suggested rotating messages that could be updated every six or 12 months to ensure consumer engagement, while also not </w:t>
      </w:r>
      <w:r w:rsidRPr="0036418A">
        <w:rPr>
          <w:color w:val="auto"/>
        </w:rPr>
        <w:t>unduly</w:t>
      </w:r>
      <w:r w:rsidRPr="0036418A">
        <w:rPr>
          <w:color w:val="auto"/>
          <w:lang w:bidi="ar-SA"/>
        </w:rPr>
        <w:t xml:space="preserve"> burdening operators. </w:t>
      </w:r>
    </w:p>
    <w:p w14:paraId="237D013B" w14:textId="52BDF69F" w:rsidR="003B4E97" w:rsidRPr="0036418A" w:rsidRDefault="003B4E97" w:rsidP="00F65855">
      <w:pPr>
        <w:pStyle w:val="Quote"/>
        <w:rPr>
          <w:color w:val="auto"/>
        </w:rPr>
      </w:pPr>
      <w:r w:rsidRPr="0036418A">
        <w:rPr>
          <w:color w:val="auto"/>
        </w:rPr>
        <w:t>‘It seems to me the most responsible course of action here is for a group to decide on – with academics and researchers and councils and so on, to agree on what are the four or five messages that translate, that work, that make sense to people</w:t>
      </w:r>
      <w:r w:rsidR="00596E84" w:rsidRPr="0036418A">
        <w:rPr>
          <w:color w:val="auto"/>
        </w:rPr>
        <w:t xml:space="preserve"> </w:t>
      </w:r>
      <w:r w:rsidRPr="0036418A">
        <w:rPr>
          <w:color w:val="auto"/>
        </w:rPr>
        <w:t xml:space="preserve">… as being a powerful message as opposed to potentially just </w:t>
      </w:r>
      <w:r w:rsidR="00596E84" w:rsidRPr="0036418A">
        <w:rPr>
          <w:color w:val="auto"/>
        </w:rPr>
        <w:t>“</w:t>
      </w:r>
      <w:r w:rsidRPr="0036418A">
        <w:rPr>
          <w:color w:val="auto"/>
        </w:rPr>
        <w:t>Gamble Responsibly</w:t>
      </w:r>
      <w:r w:rsidR="00596E84" w:rsidRPr="0036418A">
        <w:rPr>
          <w:color w:val="auto"/>
        </w:rPr>
        <w:t>”</w:t>
      </w:r>
      <w:r w:rsidRPr="0036418A">
        <w:rPr>
          <w:color w:val="auto"/>
        </w:rPr>
        <w:t xml:space="preserve"> which is kind of a bit nebulous and vague</w:t>
      </w:r>
      <w:r w:rsidR="00596E84" w:rsidRPr="0036418A">
        <w:rPr>
          <w:color w:val="auto"/>
        </w:rPr>
        <w:t>.</w:t>
      </w:r>
      <w:r w:rsidRPr="0036418A">
        <w:rPr>
          <w:color w:val="auto"/>
        </w:rPr>
        <w:t>’</w:t>
      </w:r>
    </w:p>
    <w:p w14:paraId="0DA4F134" w14:textId="77777777" w:rsidR="003B4E97" w:rsidRPr="00664E64" w:rsidRDefault="003B4E97" w:rsidP="00F65855">
      <w:pPr>
        <w:pStyle w:val="BodyText"/>
      </w:pPr>
      <w:r w:rsidRPr="00664E64">
        <w:t xml:space="preserve">One provider suggested that messaging for consumers could be designed for different sub-populations of people who wager online, such as younger men, while another said, ‘just have one message for everybody’. Another noted that consistent gambling messaging was of less relevance to on-course bookmakers, given their small online or telephone customer base and the nature of their wagering. </w:t>
      </w:r>
    </w:p>
    <w:p w14:paraId="0BC61749" w14:textId="23A84F65" w:rsidR="003B4E97" w:rsidRPr="00664E64" w:rsidRDefault="003B4E97" w:rsidP="00F65855">
      <w:pPr>
        <w:pStyle w:val="Heading4"/>
      </w:pPr>
      <w:r w:rsidRPr="00664E64">
        <w:t xml:space="preserve">National </w:t>
      </w:r>
      <w:r w:rsidR="007971B1">
        <w:t>S</w:t>
      </w:r>
      <w:r w:rsidRPr="00664E64">
        <w:t>elf-</w:t>
      </w:r>
      <w:r w:rsidR="007971B1">
        <w:t>E</w:t>
      </w:r>
      <w:r w:rsidRPr="00664E64">
        <w:t xml:space="preserve">xclusion </w:t>
      </w:r>
      <w:r w:rsidR="007971B1">
        <w:t>R</w:t>
      </w:r>
      <w:r w:rsidRPr="00664E64">
        <w:t>egister</w:t>
      </w:r>
      <w:bookmarkStart w:id="25" w:name="_Toc6493161"/>
      <w:r w:rsidRPr="00664E64">
        <w:t xml:space="preserve"> (</w:t>
      </w:r>
      <w:r w:rsidR="00596E84" w:rsidRPr="00664E64">
        <w:t>m</w:t>
      </w:r>
      <w:r w:rsidRPr="00664E64">
        <w:t>easure 10)</w:t>
      </w:r>
    </w:p>
    <w:p w14:paraId="4977F242" w14:textId="292821C6" w:rsidR="003B4E97" w:rsidRPr="00664E64" w:rsidRDefault="003B4E97" w:rsidP="00F65855">
      <w:pPr>
        <w:pStyle w:val="BodyText"/>
        <w:rPr>
          <w:lang w:bidi="ar-SA"/>
        </w:rPr>
      </w:pPr>
      <w:r w:rsidRPr="00664E64">
        <w:rPr>
          <w:lang w:bidi="ar-SA"/>
        </w:rPr>
        <w:t>Wagering providers reported broad support for a national self-exclusion register (</w:t>
      </w:r>
      <w:r w:rsidR="00596E84" w:rsidRPr="00664E64">
        <w:rPr>
          <w:lang w:bidi="ar-SA"/>
        </w:rPr>
        <w:t>m</w:t>
      </w:r>
      <w:r w:rsidRPr="00664E64">
        <w:rPr>
          <w:lang w:bidi="ar-SA"/>
        </w:rPr>
        <w:t xml:space="preserve">easure 10; due to come into effect </w:t>
      </w:r>
      <w:r w:rsidRPr="00664E64">
        <w:t>in</w:t>
      </w:r>
      <w:r w:rsidRPr="00664E64">
        <w:rPr>
          <w:lang w:bidi="ar-SA"/>
        </w:rPr>
        <w:t xml:space="preserve"> May 2020):</w:t>
      </w:r>
    </w:p>
    <w:p w14:paraId="1995A44C" w14:textId="5F3B0DE1" w:rsidR="003B4E97" w:rsidRPr="0036418A" w:rsidRDefault="003B4E97" w:rsidP="00F65855">
      <w:pPr>
        <w:pStyle w:val="Quote"/>
        <w:rPr>
          <w:color w:val="auto"/>
        </w:rPr>
      </w:pPr>
      <w:r w:rsidRPr="0036418A">
        <w:rPr>
          <w:color w:val="auto"/>
        </w:rPr>
        <w:t>‘We think this is a really key consumer protection measure. And some of the most tragic cases we see of people who’ve experienced harm from problem gambling, they’ve actually, you know, moved from provider to provider. So we think this measure is just the complete no-brainer for everyone to give those really vulnerable people who have</w:t>
      </w:r>
      <w:r w:rsidR="00596E84" w:rsidRPr="0036418A">
        <w:rPr>
          <w:color w:val="auto"/>
        </w:rPr>
        <w:t xml:space="preserve"> </w:t>
      </w:r>
      <w:r w:rsidRPr="0036418A">
        <w:rPr>
          <w:color w:val="auto"/>
        </w:rPr>
        <w:t>… chronic gambling addictions the protection that they need.’</w:t>
      </w:r>
    </w:p>
    <w:p w14:paraId="1CCCB4AE" w14:textId="03A47463" w:rsidR="003B4E97" w:rsidRPr="0036418A" w:rsidRDefault="003B4E97" w:rsidP="00F65855">
      <w:pPr>
        <w:pStyle w:val="Quote"/>
        <w:rPr>
          <w:color w:val="auto"/>
        </w:rPr>
      </w:pPr>
      <w:r w:rsidRPr="0036418A">
        <w:rPr>
          <w:color w:val="auto"/>
        </w:rPr>
        <w:t>‘If you consider that one of the core reasons this has come about in the first place is to provide harmonised tools and protection for customers, you'd have to argue that one of the key benefits for a customer, one of the key things – issues of protection for a customer whose put their hand up and said, "Hey, I'm having some trouble with my wagering, I need to take a genuine break", is to be able to go to an external site and for three months completely exclude themselves from all operators</w:t>
      </w:r>
      <w:r w:rsidR="00596E84" w:rsidRPr="0036418A">
        <w:rPr>
          <w:color w:val="auto"/>
        </w:rPr>
        <w:t>.</w:t>
      </w:r>
      <w:r w:rsidRPr="0036418A">
        <w:rPr>
          <w:color w:val="auto"/>
        </w:rPr>
        <w:t>’</w:t>
      </w:r>
    </w:p>
    <w:p w14:paraId="743C2C1C" w14:textId="77777777" w:rsidR="003B4E97" w:rsidRPr="00664E64" w:rsidRDefault="003B4E97" w:rsidP="00F65855">
      <w:pPr>
        <w:pStyle w:val="BodyText"/>
        <w:rPr>
          <w:lang w:bidi="ar-SA"/>
        </w:rPr>
      </w:pPr>
      <w:r w:rsidRPr="00664E64">
        <w:rPr>
          <w:lang w:bidi="ar-SA"/>
        </w:rPr>
        <w:lastRenderedPageBreak/>
        <w:t xml:space="preserve">However, a number of </w:t>
      </w:r>
      <w:r w:rsidRPr="00664E64">
        <w:t>providers</w:t>
      </w:r>
      <w:r w:rsidRPr="00664E64">
        <w:rPr>
          <w:lang w:bidi="ar-SA"/>
        </w:rPr>
        <w:t xml:space="preserve"> expressed frustration at the likelihood of delays in implementation of the register:</w:t>
      </w:r>
    </w:p>
    <w:p w14:paraId="43751127" w14:textId="5711AA11" w:rsidR="003B4E97" w:rsidRPr="0036418A" w:rsidRDefault="003B4E97" w:rsidP="00F65855">
      <w:pPr>
        <w:pStyle w:val="Quote"/>
        <w:rPr>
          <w:color w:val="auto"/>
        </w:rPr>
      </w:pPr>
      <w:r w:rsidRPr="0036418A">
        <w:rPr>
          <w:color w:val="auto"/>
        </w:rPr>
        <w:t>‘[The self-exclusion measure] is the absolute no-brainer of the consumer protection measures, that industry wants, consumers need, consumer advocates want as well. But it's – at the current rate of progress, it's basically a certainty that it won't be delivered by 26 May 2020.’</w:t>
      </w:r>
    </w:p>
    <w:p w14:paraId="7D1FDD0E" w14:textId="5BB63F8A" w:rsidR="003B4E97" w:rsidRPr="0036418A" w:rsidRDefault="003B4E97" w:rsidP="00F65855">
      <w:pPr>
        <w:pStyle w:val="Quote"/>
        <w:rPr>
          <w:color w:val="auto"/>
        </w:rPr>
      </w:pPr>
      <w:r w:rsidRPr="0036418A">
        <w:rPr>
          <w:color w:val="auto"/>
        </w:rPr>
        <w:t>‘My main frustration at the moment is that, for instance, the national self-exclusion register unfortunately is now going to go down a rabbit hole and I suspect it will be over two years, if ever, before we’ll see it ever come to play. And I think it is one of the most significant reforms out of this process, but it now has to be managed through a tender process</w:t>
      </w:r>
      <w:r w:rsidR="00596E84" w:rsidRPr="0036418A">
        <w:rPr>
          <w:color w:val="auto"/>
        </w:rPr>
        <w:t xml:space="preserve"> </w:t>
      </w:r>
      <w:r w:rsidRPr="0036418A">
        <w:rPr>
          <w:color w:val="auto"/>
        </w:rPr>
        <w:t>… so I have a frustration that through no fault of anyone, other than the rules, one of the most significant reforms is still a couple of years away</w:t>
      </w:r>
      <w:r w:rsidR="00596E84" w:rsidRPr="0036418A">
        <w:rPr>
          <w:color w:val="auto"/>
        </w:rPr>
        <w:t>.</w:t>
      </w:r>
      <w:r w:rsidRPr="0036418A">
        <w:rPr>
          <w:color w:val="auto"/>
        </w:rPr>
        <w:t>’</w:t>
      </w:r>
    </w:p>
    <w:p w14:paraId="4A7064C3" w14:textId="79B08A83" w:rsidR="003B4E97" w:rsidRPr="0036418A" w:rsidRDefault="003B4E97" w:rsidP="00F65855">
      <w:pPr>
        <w:pStyle w:val="Quote"/>
        <w:rPr>
          <w:color w:val="auto"/>
        </w:rPr>
      </w:pPr>
      <w:r w:rsidRPr="0036418A">
        <w:rPr>
          <w:color w:val="auto"/>
        </w:rPr>
        <w:t>‘So the overseas experience with developing and implementing any multi-provider self-exclusion scheme, and I’m talking in every single overseas jurisdiction where they’ve implemented one, has been that it’s taken longer, been more complex, and cost more than initially anticipated</w:t>
      </w:r>
      <w:r w:rsidR="00596E84" w:rsidRPr="0036418A">
        <w:rPr>
          <w:color w:val="auto"/>
        </w:rPr>
        <w:t>.</w:t>
      </w:r>
      <w:r w:rsidRPr="0036418A">
        <w:rPr>
          <w:color w:val="auto"/>
        </w:rPr>
        <w:t xml:space="preserve">’ </w:t>
      </w:r>
    </w:p>
    <w:p w14:paraId="54D65E49" w14:textId="77777777" w:rsidR="003B4E97" w:rsidRPr="00664E64" w:rsidRDefault="003B4E97" w:rsidP="00F65855">
      <w:pPr>
        <w:pStyle w:val="BodyText"/>
        <w:rPr>
          <w:lang w:bidi="ar-SA"/>
        </w:rPr>
      </w:pPr>
      <w:r w:rsidRPr="00664E64">
        <w:rPr>
          <w:lang w:bidi="ar-SA"/>
        </w:rPr>
        <w:t>Other providers noted that there were questions as to how a national self-exclusion register would operate in practice and what impact it might have on gambling behaviour:</w:t>
      </w:r>
    </w:p>
    <w:p w14:paraId="3EEC015E" w14:textId="67A4997C" w:rsidR="003B4E97" w:rsidRPr="0036418A" w:rsidRDefault="003B4E97" w:rsidP="00F65855">
      <w:pPr>
        <w:pStyle w:val="Quote"/>
        <w:rPr>
          <w:color w:val="auto"/>
        </w:rPr>
      </w:pPr>
      <w:r w:rsidRPr="0036418A">
        <w:rPr>
          <w:color w:val="auto"/>
        </w:rPr>
        <w:t>‘If somebody has a gambling problem and they exclude through a register, yes then every provider can close down that customer’s account. But there are a couple of follow-on issues. Number one, if that customer still wants to gamble, they can open up another account using different credentials. And yes, we can capture that through the [verification] process but it’s not entirely a flawless process. And secondly, where does the protection start with regards a customer who may be self-excluded online but then</w:t>
      </w:r>
      <w:r w:rsidR="00596E84" w:rsidRPr="0036418A">
        <w:rPr>
          <w:color w:val="auto"/>
        </w:rPr>
        <w:t xml:space="preserve"> </w:t>
      </w:r>
      <w:r w:rsidRPr="0036418A">
        <w:rPr>
          <w:color w:val="auto"/>
        </w:rPr>
        <w:t>…</w:t>
      </w:r>
      <w:r w:rsidR="00596E84" w:rsidRPr="0036418A">
        <w:rPr>
          <w:color w:val="auto"/>
        </w:rPr>
        <w:t xml:space="preserve"> </w:t>
      </w:r>
      <w:r w:rsidRPr="0036418A">
        <w:rPr>
          <w:color w:val="auto"/>
        </w:rPr>
        <w:t>goes down to the local TAB or goes down to their local pub and feeds in cash to a pokie machine?’</w:t>
      </w:r>
    </w:p>
    <w:p w14:paraId="7EFD4DBC" w14:textId="04BECDB0" w:rsidR="003B4E97" w:rsidRPr="0036418A" w:rsidRDefault="003B4E97" w:rsidP="00F65855">
      <w:pPr>
        <w:pStyle w:val="Quote"/>
        <w:rPr>
          <w:color w:val="auto"/>
        </w:rPr>
      </w:pPr>
      <w:r w:rsidRPr="0036418A">
        <w:rPr>
          <w:color w:val="auto"/>
        </w:rPr>
        <w:t>‘I don’t think it’s even been decided yet who will be the provider</w:t>
      </w:r>
      <w:r w:rsidR="00596E84" w:rsidRPr="0036418A">
        <w:rPr>
          <w:color w:val="auto"/>
        </w:rPr>
        <w:t xml:space="preserve"> </w:t>
      </w:r>
      <w:r w:rsidRPr="0036418A">
        <w:rPr>
          <w:color w:val="auto"/>
        </w:rPr>
        <w:t>… you know whether customers will be expected to self-exclude [through] a provider, or self-exclude within the register itself</w:t>
      </w:r>
      <w:r w:rsidR="00596E84" w:rsidRPr="0036418A">
        <w:rPr>
          <w:color w:val="auto"/>
        </w:rPr>
        <w:t>.</w:t>
      </w:r>
      <w:r w:rsidRPr="0036418A">
        <w:rPr>
          <w:color w:val="auto"/>
        </w:rPr>
        <w:t>’</w:t>
      </w:r>
    </w:p>
    <w:p w14:paraId="003AA4A7" w14:textId="24DCF69D" w:rsidR="00A35876" w:rsidRPr="0036418A" w:rsidRDefault="003B4E97" w:rsidP="00F65855">
      <w:pPr>
        <w:pStyle w:val="Quote"/>
        <w:rPr>
          <w:color w:val="auto"/>
        </w:rPr>
      </w:pPr>
      <w:r w:rsidRPr="0036418A">
        <w:rPr>
          <w:color w:val="auto"/>
        </w:rPr>
        <w:t xml:space="preserve">‘There's a lot of different views on National Self-Exclusion. Some see it as the sort of hallmark of the NCPF, and others see it as just a big pie in the sky that would never ever be done because it's all seemingly too complex.’ </w:t>
      </w:r>
    </w:p>
    <w:p w14:paraId="712B4AAE" w14:textId="64EDCF46" w:rsidR="00A35876" w:rsidRPr="00664E64" w:rsidRDefault="00A35876" w:rsidP="00415C73">
      <w:pPr>
        <w:rPr>
          <w:iCs/>
          <w:color w:val="ED0C64"/>
        </w:rPr>
      </w:pPr>
      <w:r w:rsidRPr="00664E64">
        <w:br w:type="page"/>
      </w:r>
    </w:p>
    <w:p w14:paraId="7A011F7A" w14:textId="77777777" w:rsidR="00A35876" w:rsidRPr="0036418A" w:rsidRDefault="00A35876" w:rsidP="00A35876">
      <w:pPr>
        <w:pStyle w:val="BoxHeading1"/>
        <w:snapToGrid w:val="0"/>
        <w:spacing w:before="240" w:after="120"/>
        <w:rPr>
          <w:color w:val="auto"/>
        </w:rPr>
      </w:pPr>
      <w:r w:rsidRPr="0036418A">
        <w:rPr>
          <w:color w:val="auto"/>
        </w:rPr>
        <w:lastRenderedPageBreak/>
        <w:t>Box 4.1: Summary of findings from stakeholder interviews</w:t>
      </w:r>
    </w:p>
    <w:p w14:paraId="1821786B" w14:textId="77777777" w:rsidR="00A35876" w:rsidRPr="00664E64" w:rsidRDefault="00A35876" w:rsidP="00A35876">
      <w:pPr>
        <w:pStyle w:val="BoxBulletList"/>
      </w:pPr>
      <w:r w:rsidRPr="00664E64">
        <w:t>Overall, regulators viewed the National Framework as a positive development in encouraging stronger consumer protection measures and promoting the regulation of online wagering in Australia.</w:t>
      </w:r>
    </w:p>
    <w:p w14:paraId="57156654" w14:textId="77777777" w:rsidR="00A35876" w:rsidRPr="00664E64" w:rsidRDefault="00A35876" w:rsidP="00A35876">
      <w:pPr>
        <w:pStyle w:val="BoxBulletList"/>
      </w:pPr>
      <w:r w:rsidRPr="00664E64">
        <w:t xml:space="preserve">Regulators acknowledged there were still challenges in implementing measures consistently across jurisdictions, and in reconciling harmonisation of standards across borders. </w:t>
      </w:r>
    </w:p>
    <w:p w14:paraId="6B038CF7" w14:textId="77777777" w:rsidR="00A35876" w:rsidRPr="00664E64" w:rsidRDefault="00A35876" w:rsidP="00A35876">
      <w:pPr>
        <w:pStyle w:val="BoxBulletList"/>
      </w:pPr>
      <w:r w:rsidRPr="00664E64">
        <w:t xml:space="preserve">Providers were generally very supportive of the Framework and perceived the main benefits to be improved consumer protection and greater harmonisation across the online wagering industry in Australia. </w:t>
      </w:r>
    </w:p>
    <w:p w14:paraId="0243C184" w14:textId="77777777" w:rsidR="00A35876" w:rsidRPr="00664E64" w:rsidRDefault="00A35876" w:rsidP="00A35876">
      <w:pPr>
        <w:pStyle w:val="BoxBulletList"/>
      </w:pPr>
      <w:r w:rsidRPr="00664E64">
        <w:t>Providers reported developing internal systems and protocols to ensure efficient and effective implementation of the Framework, but expressed some frustration that (at the time of interview) there had been limited communication with state and territory regulators, which created some uncertainties regarding implementation requirements.</w:t>
      </w:r>
    </w:p>
    <w:p w14:paraId="7C639A13" w14:textId="77777777" w:rsidR="00A35876" w:rsidRPr="00664E64" w:rsidRDefault="00A35876" w:rsidP="00A35876">
      <w:pPr>
        <w:pStyle w:val="BoxBulletList"/>
      </w:pPr>
      <w:r w:rsidRPr="00664E64">
        <w:t>Current concerns for providers most often related to timelines and readiness, impacts on resources and business operations, and achieving national consistency.</w:t>
      </w:r>
    </w:p>
    <w:p w14:paraId="141AC2CB" w14:textId="77777777" w:rsidR="00A35876" w:rsidRPr="00664E64" w:rsidRDefault="00A35876" w:rsidP="00A35876">
      <w:pPr>
        <w:pStyle w:val="BoxBulletList"/>
        <w:rPr>
          <w:rFonts w:eastAsia="MS Mincho" w:cs="Arial"/>
          <w:kern w:val="32"/>
          <w:szCs w:val="20"/>
        </w:rPr>
      </w:pPr>
      <w:r w:rsidRPr="00664E64">
        <w:rPr>
          <w:rFonts w:eastAsia="MS Mincho" w:cs="Arial"/>
          <w:kern w:val="32"/>
          <w:szCs w:val="20"/>
        </w:rPr>
        <w:t xml:space="preserve">Providers described that they were wanting to ensure they were compliant with the measures, but were also seeking some flexibility and understanding from regulators as the Framework is rolled out (particularly with regard to the next suite of measures).  </w:t>
      </w:r>
    </w:p>
    <w:p w14:paraId="61AFA1E9" w14:textId="77777777" w:rsidR="00A35876" w:rsidRPr="00664E64" w:rsidRDefault="00A35876" w:rsidP="00A35876">
      <w:pPr>
        <w:pStyle w:val="BoxBulletList"/>
      </w:pPr>
      <w:r w:rsidRPr="00664E64">
        <w:t xml:space="preserve">Going forward, providers wanted more transparency and better communication from regulators about any further impacts or changes to their operations, and adequate support to interpret and implement the Framework’s measures. </w:t>
      </w:r>
    </w:p>
    <w:p w14:paraId="3D0FEB6D" w14:textId="5EB156FA" w:rsidR="003B4E97" w:rsidRPr="00664E64" w:rsidRDefault="00A35876" w:rsidP="00415C73">
      <w:pPr>
        <w:pStyle w:val="BoxBulletList"/>
      </w:pPr>
      <w:r w:rsidRPr="00664E64">
        <w:t>Smaller wagering providers/bookmakers may need additional support and engagement to ensure compliance with NCPF measures</w:t>
      </w:r>
      <w:r w:rsidR="00CE0F11" w:rsidRPr="00664E64">
        <w:t>.</w:t>
      </w:r>
      <w:r w:rsidR="003B4E97" w:rsidRPr="00664E64">
        <w:t xml:space="preserve"> </w:t>
      </w:r>
      <w:bookmarkEnd w:id="21"/>
      <w:bookmarkEnd w:id="25"/>
    </w:p>
    <w:p w14:paraId="59ED51C0" w14:textId="015DF59B" w:rsidR="004F27B4" w:rsidRPr="00664E64" w:rsidRDefault="004A4812" w:rsidP="004A4812">
      <w:r w:rsidRPr="00664E64">
        <w:br w:type="page"/>
      </w:r>
    </w:p>
    <w:p w14:paraId="4995C7C1" w14:textId="6F81FCDC" w:rsidR="004919B6" w:rsidRPr="00664E64" w:rsidRDefault="00044B95" w:rsidP="00BE3CD8">
      <w:pPr>
        <w:pStyle w:val="Heading1Outline"/>
      </w:pPr>
      <w:bookmarkStart w:id="26" w:name="_Toc12022549"/>
      <w:r w:rsidRPr="00664E64">
        <w:lastRenderedPageBreak/>
        <w:t>Consumer survey: k</w:t>
      </w:r>
      <w:r w:rsidR="00A60A19" w:rsidRPr="00664E64">
        <w:t>ey findings</w:t>
      </w:r>
      <w:bookmarkEnd w:id="26"/>
    </w:p>
    <w:p w14:paraId="6D171F05" w14:textId="31A544AB" w:rsidR="00D161F4" w:rsidRPr="0036418A" w:rsidRDefault="00044B95" w:rsidP="008D178F">
      <w:pPr>
        <w:pStyle w:val="Heading2"/>
        <w:rPr>
          <w:color w:val="auto"/>
        </w:rPr>
      </w:pPr>
      <w:bookmarkStart w:id="27" w:name="_Toc12022550"/>
      <w:r w:rsidRPr="0036418A">
        <w:rPr>
          <w:color w:val="auto"/>
        </w:rPr>
        <w:t>Participant characteristics</w:t>
      </w:r>
      <w:bookmarkEnd w:id="27"/>
    </w:p>
    <w:p w14:paraId="1D8857B9" w14:textId="5AB48FF6" w:rsidR="00044B95" w:rsidRPr="00664E64" w:rsidRDefault="00395628" w:rsidP="00A55CD9">
      <w:pPr>
        <w:pStyle w:val="BodyText"/>
      </w:pPr>
      <w:r w:rsidRPr="00664E64">
        <w:t xml:space="preserve">The consumer survey was conducted between </w:t>
      </w:r>
      <w:r w:rsidR="00357014" w:rsidRPr="00664E64">
        <w:t>6 March</w:t>
      </w:r>
      <w:r w:rsidRPr="00664E64">
        <w:t xml:space="preserve"> </w:t>
      </w:r>
      <w:r w:rsidR="00907197" w:rsidRPr="00664E64">
        <w:t xml:space="preserve">and </w:t>
      </w:r>
      <w:r w:rsidR="00357014" w:rsidRPr="00664E64">
        <w:t xml:space="preserve">1 April 2019. </w:t>
      </w:r>
      <w:r w:rsidR="00D161F4" w:rsidRPr="00664E64">
        <w:t xml:space="preserve">A total of 5,076 people aged 18 and over participated in the </w:t>
      </w:r>
      <w:r w:rsidR="00044B95" w:rsidRPr="00664E64">
        <w:t xml:space="preserve">online consumer </w:t>
      </w:r>
      <w:r w:rsidR="00D161F4" w:rsidRPr="00664E64">
        <w:t xml:space="preserve">survey. Age, gender and other demographic characteristics of these respondents are </w:t>
      </w:r>
      <w:r w:rsidR="00044B95" w:rsidRPr="00664E64">
        <w:t>provided</w:t>
      </w:r>
      <w:r w:rsidR="00D161F4" w:rsidRPr="00664E64">
        <w:t xml:space="preserve"> in Table</w:t>
      </w:r>
      <w:r w:rsidR="00044B95" w:rsidRPr="00664E64">
        <w:t>s</w:t>
      </w:r>
      <w:r w:rsidR="00D161F4" w:rsidRPr="00664E64">
        <w:t xml:space="preserve"> </w:t>
      </w:r>
      <w:r w:rsidR="00044B95" w:rsidRPr="00664E64">
        <w:t>5.</w:t>
      </w:r>
      <w:r w:rsidR="00D161F4" w:rsidRPr="00664E64">
        <w:t xml:space="preserve">1 and </w:t>
      </w:r>
      <w:r w:rsidR="00044B95" w:rsidRPr="00664E64">
        <w:t>5.</w:t>
      </w:r>
      <w:r w:rsidR="00D161F4" w:rsidRPr="00664E64">
        <w:t xml:space="preserve">2. </w:t>
      </w:r>
    </w:p>
    <w:p w14:paraId="667A0FFE" w14:textId="46305641" w:rsidR="00D161F4" w:rsidRPr="00664E64" w:rsidRDefault="00D161F4" w:rsidP="00A55CD9">
      <w:pPr>
        <w:pStyle w:val="BodyText"/>
      </w:pPr>
      <w:r w:rsidRPr="00664E64">
        <w:t>Survey participants were mainly male (77%)</w:t>
      </w:r>
      <w:r w:rsidR="00E358CE" w:rsidRPr="00664E64">
        <w:t>, with m</w:t>
      </w:r>
      <w:r w:rsidRPr="00664E64">
        <w:t xml:space="preserve">ean and median ages </w:t>
      </w:r>
      <w:r w:rsidR="00E358CE" w:rsidRPr="00664E64">
        <w:t>of</w:t>
      </w:r>
      <w:r w:rsidRPr="00664E64">
        <w:t xml:space="preserve"> 47.7 (SD = 14.5) and 47 years, respectively. </w:t>
      </w:r>
      <w:r w:rsidR="00E358CE" w:rsidRPr="00664E64">
        <w:t xml:space="preserve">Most reported being Australian-born (81%), </w:t>
      </w:r>
      <w:r w:rsidRPr="00664E64">
        <w:t>non-</w:t>
      </w:r>
      <w:r w:rsidR="00E358CE" w:rsidRPr="00664E64">
        <w:t>I</w:t>
      </w:r>
      <w:r w:rsidRPr="00664E64">
        <w:t xml:space="preserve">ndigenous (95%), </w:t>
      </w:r>
      <w:r w:rsidR="00E358CE" w:rsidRPr="00664E64">
        <w:t xml:space="preserve">and speaking only English at home (88%). Over half were </w:t>
      </w:r>
      <w:r w:rsidRPr="00664E64">
        <w:t>married or in a de-facto relationship (57%)</w:t>
      </w:r>
      <w:r w:rsidR="00E358CE" w:rsidRPr="00664E64">
        <w:t xml:space="preserve"> and around a third reported </w:t>
      </w:r>
      <w:r w:rsidRPr="00664E64">
        <w:t>liv</w:t>
      </w:r>
      <w:r w:rsidR="00E358CE" w:rsidRPr="00664E64">
        <w:t>ing</w:t>
      </w:r>
      <w:r w:rsidRPr="00664E64">
        <w:t xml:space="preserve"> with </w:t>
      </w:r>
      <w:r w:rsidR="00907197" w:rsidRPr="00664E64">
        <w:t xml:space="preserve">a </w:t>
      </w:r>
      <w:r w:rsidRPr="00664E64">
        <w:t>partner and at least one dependent child (35%)</w:t>
      </w:r>
      <w:r w:rsidR="00E358CE" w:rsidRPr="00664E64">
        <w:t xml:space="preserve">. Just under two-thirds reported post-secondary education (60%), a similar proportion reported being in full-time employment (59%) and around 10% were currently studying. </w:t>
      </w:r>
      <w:r w:rsidRPr="00664E64">
        <w:t xml:space="preserve"> </w:t>
      </w:r>
    </w:p>
    <w:p w14:paraId="73C46BCC" w14:textId="592B1C47" w:rsidR="00D161F4" w:rsidRPr="0036418A" w:rsidRDefault="00D161F4" w:rsidP="00415C73">
      <w:pPr>
        <w:pStyle w:val="FigureCaption"/>
        <w:rPr>
          <w:color w:val="auto"/>
          <w:lang w:val="en-AU"/>
        </w:rPr>
      </w:pPr>
      <w:bookmarkStart w:id="28" w:name="_Toc11864564"/>
      <w:bookmarkStart w:id="29" w:name="_Toc12549561"/>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w:t>
      </w:r>
      <w:r w:rsidR="00777624" w:rsidRPr="0036418A">
        <w:rPr>
          <w:noProof/>
          <w:color w:val="auto"/>
          <w:lang w:val="en-AU"/>
        </w:rPr>
        <w:fldChar w:fldCharType="end"/>
      </w:r>
      <w:r w:rsidR="00907197" w:rsidRPr="0036418A">
        <w:rPr>
          <w:color w:val="auto"/>
          <w:lang w:val="en-AU"/>
        </w:rPr>
        <w:t>:</w:t>
      </w:r>
      <w:r w:rsidRPr="0036418A">
        <w:rPr>
          <w:color w:val="auto"/>
          <w:lang w:val="en-AU"/>
        </w:rPr>
        <w:t xml:space="preserve"> Sociodemographic profile of the </w:t>
      </w:r>
      <w:r w:rsidR="00907197" w:rsidRPr="0036418A">
        <w:rPr>
          <w:color w:val="auto"/>
          <w:lang w:val="en-AU"/>
        </w:rPr>
        <w:t xml:space="preserve">baseline survey </w:t>
      </w:r>
      <w:r w:rsidRPr="0036418A">
        <w:rPr>
          <w:color w:val="auto"/>
          <w:lang w:val="en-AU"/>
        </w:rPr>
        <w:t>participants (</w:t>
      </w:r>
      <w:r w:rsidRPr="0036418A">
        <w:rPr>
          <w:i/>
          <w:color w:val="auto"/>
          <w:lang w:val="en-AU"/>
        </w:rPr>
        <w:t>N</w:t>
      </w:r>
      <w:r w:rsidR="00907197" w:rsidRPr="0036418A">
        <w:rPr>
          <w:color w:val="auto"/>
          <w:lang w:val="en-AU"/>
        </w:rPr>
        <w:t xml:space="preserve"> </w:t>
      </w:r>
      <w:r w:rsidRPr="0036418A">
        <w:rPr>
          <w:color w:val="auto"/>
          <w:lang w:val="en-AU"/>
        </w:rPr>
        <w:t>=</w:t>
      </w:r>
      <w:r w:rsidR="00907197" w:rsidRPr="0036418A">
        <w:rPr>
          <w:color w:val="auto"/>
          <w:lang w:val="en-AU"/>
        </w:rPr>
        <w:t xml:space="preserve"> </w:t>
      </w:r>
      <w:r w:rsidRPr="0036418A">
        <w:rPr>
          <w:color w:val="auto"/>
          <w:lang w:val="en-AU"/>
        </w:rPr>
        <w:t>5,076)</w:t>
      </w:r>
      <w:bookmarkEnd w:id="28"/>
      <w:bookmarkEnd w:id="29"/>
    </w:p>
    <w:tbl>
      <w:tblPr>
        <w:tblStyle w:val="TableGrid"/>
        <w:tblpPr w:leftFromText="180" w:rightFromText="180" w:vertAnchor="text" w:tblpY="1"/>
        <w:tblOverlap w:val="never"/>
        <w:tblW w:w="9360" w:type="dxa"/>
        <w:tblLook w:val="04A0" w:firstRow="1" w:lastRow="0" w:firstColumn="1" w:lastColumn="0" w:noHBand="0" w:noVBand="1"/>
        <w:tblCaption w:val="Sociodemographic profile of the baseline survey participants (N = 5.076)"/>
        <w:tblDescription w:val="Outlines the profiles of all participants, their sex, age, whether Australian-born, whether Indigeneous, marital status, number of children, education level and emplyment status."/>
      </w:tblPr>
      <w:tblGrid>
        <w:gridCol w:w="3986"/>
        <w:gridCol w:w="2519"/>
        <w:gridCol w:w="2855"/>
      </w:tblGrid>
      <w:tr w:rsidR="00D161F4" w:rsidRPr="00664E64" w14:paraId="7EECB679" w14:textId="77777777" w:rsidTr="00A6211D">
        <w:trPr>
          <w:cnfStyle w:val="100000000000" w:firstRow="1" w:lastRow="0" w:firstColumn="0" w:lastColumn="0" w:oddVBand="0" w:evenVBand="0" w:oddHBand="0" w:evenHBand="0" w:firstRowFirstColumn="0" w:firstRowLastColumn="0" w:lastRowFirstColumn="0" w:lastRowLastColumn="0"/>
          <w:trHeight w:val="320"/>
          <w:tblHeader/>
        </w:trPr>
        <w:tc>
          <w:tcPr>
            <w:tcW w:w="0" w:type="dxa"/>
            <w:hideMark/>
          </w:tcPr>
          <w:p w14:paraId="516859DC" w14:textId="77777777" w:rsidR="00D161F4" w:rsidRPr="00664E64" w:rsidRDefault="00D161F4" w:rsidP="00A55CD9">
            <w:pPr>
              <w:pStyle w:val="TableColHeadLeft"/>
              <w:rPr>
                <w:lang w:val="en-AU"/>
              </w:rPr>
            </w:pPr>
            <w:r w:rsidRPr="00664E64">
              <w:rPr>
                <w:lang w:val="en-AU"/>
              </w:rPr>
              <w:t>Categories</w:t>
            </w:r>
          </w:p>
        </w:tc>
        <w:tc>
          <w:tcPr>
            <w:tcW w:w="0" w:type="dxa"/>
          </w:tcPr>
          <w:p w14:paraId="2B4C245D" w14:textId="77777777" w:rsidR="00D161F4" w:rsidRPr="00664E64" w:rsidRDefault="00D161F4" w:rsidP="00A55CD9">
            <w:pPr>
              <w:pStyle w:val="TableColHeadCentre"/>
              <w:rPr>
                <w:lang w:val="en-AU"/>
              </w:rPr>
            </w:pPr>
            <w:r w:rsidRPr="00664E64">
              <w:rPr>
                <w:lang w:val="en-AU"/>
              </w:rPr>
              <w:t>Number</w:t>
            </w:r>
          </w:p>
        </w:tc>
        <w:tc>
          <w:tcPr>
            <w:tcW w:w="0" w:type="dxa"/>
            <w:hideMark/>
          </w:tcPr>
          <w:p w14:paraId="231BDCA7" w14:textId="77777777" w:rsidR="00D161F4" w:rsidRPr="00664E64" w:rsidRDefault="00D161F4" w:rsidP="00A55CD9">
            <w:pPr>
              <w:pStyle w:val="TableColHeadCentre"/>
              <w:rPr>
                <w:lang w:val="en-AU"/>
              </w:rPr>
            </w:pPr>
            <w:r w:rsidRPr="00664E64">
              <w:rPr>
                <w:lang w:val="en-AU"/>
              </w:rPr>
              <w:t>% of total</w:t>
            </w:r>
          </w:p>
        </w:tc>
      </w:tr>
      <w:tr w:rsidR="00D161F4" w:rsidRPr="00664E64" w14:paraId="6A783C58" w14:textId="77777777" w:rsidTr="00A6211D">
        <w:trPr>
          <w:trHeight w:val="320"/>
        </w:trPr>
        <w:tc>
          <w:tcPr>
            <w:tcW w:w="0" w:type="dxa"/>
            <w:hideMark/>
          </w:tcPr>
          <w:p w14:paraId="5A214EEB" w14:textId="35D08358" w:rsidR="00D161F4" w:rsidRPr="0036418A" w:rsidRDefault="00D161F4" w:rsidP="00A55CD9">
            <w:pPr>
              <w:pStyle w:val="TableHeading"/>
              <w:rPr>
                <w:b/>
                <w:lang w:val="en-AU"/>
              </w:rPr>
            </w:pPr>
            <w:r w:rsidRPr="0036418A">
              <w:rPr>
                <w:b/>
                <w:color w:val="auto"/>
                <w:lang w:val="en-AU"/>
              </w:rPr>
              <w:t>Sex</w:t>
            </w:r>
          </w:p>
        </w:tc>
        <w:tc>
          <w:tcPr>
            <w:tcW w:w="0" w:type="dxa"/>
          </w:tcPr>
          <w:p w14:paraId="4ADD7D17" w14:textId="77777777" w:rsidR="00D161F4" w:rsidRPr="00664E64" w:rsidRDefault="00D161F4" w:rsidP="00907197">
            <w:pPr>
              <w:rPr>
                <w:rFonts w:cs="Arial"/>
                <w:szCs w:val="20"/>
              </w:rPr>
            </w:pPr>
          </w:p>
        </w:tc>
        <w:tc>
          <w:tcPr>
            <w:tcW w:w="0" w:type="dxa"/>
            <w:noWrap/>
            <w:hideMark/>
          </w:tcPr>
          <w:p w14:paraId="2E14AE87" w14:textId="77777777" w:rsidR="00D161F4" w:rsidRPr="00664E64" w:rsidRDefault="00D161F4" w:rsidP="00907197">
            <w:pPr>
              <w:rPr>
                <w:rFonts w:cs="Arial"/>
                <w:szCs w:val="20"/>
              </w:rPr>
            </w:pPr>
          </w:p>
        </w:tc>
      </w:tr>
      <w:tr w:rsidR="00D161F4" w:rsidRPr="00664E64" w14:paraId="6A0729C5" w14:textId="77777777" w:rsidTr="00A6211D">
        <w:trPr>
          <w:trHeight w:val="320"/>
        </w:trPr>
        <w:tc>
          <w:tcPr>
            <w:tcW w:w="0" w:type="dxa"/>
            <w:hideMark/>
          </w:tcPr>
          <w:p w14:paraId="21AFEADD" w14:textId="77777777" w:rsidR="00D161F4" w:rsidRPr="00664E64" w:rsidRDefault="00D161F4" w:rsidP="00A55CD9">
            <w:pPr>
              <w:pStyle w:val="TableText"/>
              <w:rPr>
                <w:lang w:val="en-AU"/>
              </w:rPr>
            </w:pPr>
            <w:r w:rsidRPr="00664E64">
              <w:rPr>
                <w:lang w:val="en-AU"/>
              </w:rPr>
              <w:t>Male</w:t>
            </w:r>
          </w:p>
        </w:tc>
        <w:tc>
          <w:tcPr>
            <w:tcW w:w="0" w:type="dxa"/>
          </w:tcPr>
          <w:p w14:paraId="74D1F387" w14:textId="4B9A63F8" w:rsidR="00D161F4" w:rsidRPr="00664E64" w:rsidRDefault="00D161F4" w:rsidP="00A55CD9">
            <w:pPr>
              <w:pStyle w:val="TableTextAligned"/>
              <w:rPr>
                <w:lang w:val="en-AU"/>
              </w:rPr>
            </w:pPr>
            <w:r w:rsidRPr="00664E64">
              <w:rPr>
                <w:lang w:val="en-AU"/>
              </w:rPr>
              <w:t>3</w:t>
            </w:r>
            <w:r w:rsidR="00907197" w:rsidRPr="00664E64">
              <w:rPr>
                <w:lang w:val="en-AU"/>
              </w:rPr>
              <w:t>,</w:t>
            </w:r>
            <w:r w:rsidRPr="00664E64">
              <w:rPr>
                <w:lang w:val="en-AU"/>
              </w:rPr>
              <w:t>898</w:t>
            </w:r>
          </w:p>
        </w:tc>
        <w:tc>
          <w:tcPr>
            <w:tcW w:w="0" w:type="dxa"/>
            <w:noWrap/>
            <w:hideMark/>
          </w:tcPr>
          <w:p w14:paraId="35787AAE" w14:textId="77777777" w:rsidR="00D161F4" w:rsidRPr="00664E64" w:rsidRDefault="00D161F4" w:rsidP="00A55CD9">
            <w:pPr>
              <w:pStyle w:val="TableTextAligned"/>
              <w:rPr>
                <w:lang w:val="en-AU"/>
              </w:rPr>
            </w:pPr>
            <w:r w:rsidRPr="00664E64">
              <w:rPr>
                <w:lang w:val="en-AU"/>
              </w:rPr>
              <w:t>76.8</w:t>
            </w:r>
          </w:p>
        </w:tc>
      </w:tr>
      <w:tr w:rsidR="00D161F4" w:rsidRPr="00664E64" w14:paraId="604E1684" w14:textId="77777777" w:rsidTr="00A6211D">
        <w:trPr>
          <w:trHeight w:val="320"/>
        </w:trPr>
        <w:tc>
          <w:tcPr>
            <w:tcW w:w="0" w:type="dxa"/>
            <w:hideMark/>
          </w:tcPr>
          <w:p w14:paraId="2FDA4C20" w14:textId="77777777" w:rsidR="00D161F4" w:rsidRPr="00664E64" w:rsidRDefault="00D161F4" w:rsidP="00A55CD9">
            <w:pPr>
              <w:pStyle w:val="TableText"/>
              <w:rPr>
                <w:lang w:val="en-AU"/>
              </w:rPr>
            </w:pPr>
            <w:r w:rsidRPr="00664E64">
              <w:rPr>
                <w:lang w:val="en-AU"/>
              </w:rPr>
              <w:t>Female</w:t>
            </w:r>
          </w:p>
        </w:tc>
        <w:tc>
          <w:tcPr>
            <w:tcW w:w="0" w:type="dxa"/>
          </w:tcPr>
          <w:p w14:paraId="64A72E21" w14:textId="7CF9EF2A"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170</w:t>
            </w:r>
          </w:p>
        </w:tc>
        <w:tc>
          <w:tcPr>
            <w:tcW w:w="0" w:type="dxa"/>
            <w:noWrap/>
            <w:hideMark/>
          </w:tcPr>
          <w:p w14:paraId="7CA1A544" w14:textId="77777777" w:rsidR="00D161F4" w:rsidRPr="00664E64" w:rsidRDefault="00D161F4" w:rsidP="00A55CD9">
            <w:pPr>
              <w:pStyle w:val="TableTextAligned"/>
              <w:rPr>
                <w:lang w:val="en-AU"/>
              </w:rPr>
            </w:pPr>
            <w:r w:rsidRPr="00664E64">
              <w:rPr>
                <w:lang w:val="en-AU"/>
              </w:rPr>
              <w:t>23.0</w:t>
            </w:r>
          </w:p>
        </w:tc>
      </w:tr>
      <w:tr w:rsidR="00D161F4" w:rsidRPr="00664E64" w14:paraId="348EC54C" w14:textId="77777777" w:rsidTr="00A6211D">
        <w:trPr>
          <w:trHeight w:val="320"/>
        </w:trPr>
        <w:tc>
          <w:tcPr>
            <w:tcW w:w="0" w:type="dxa"/>
          </w:tcPr>
          <w:p w14:paraId="2EC2A6B0" w14:textId="77777777" w:rsidR="00D161F4" w:rsidRPr="00664E64" w:rsidRDefault="00D161F4" w:rsidP="00A55CD9">
            <w:pPr>
              <w:pStyle w:val="TableText"/>
              <w:rPr>
                <w:lang w:val="en-AU"/>
              </w:rPr>
            </w:pPr>
            <w:r w:rsidRPr="00664E64">
              <w:rPr>
                <w:lang w:val="en-AU"/>
              </w:rPr>
              <w:t>Other</w:t>
            </w:r>
          </w:p>
        </w:tc>
        <w:tc>
          <w:tcPr>
            <w:tcW w:w="0" w:type="dxa"/>
          </w:tcPr>
          <w:p w14:paraId="7C817484" w14:textId="77777777" w:rsidR="00D161F4" w:rsidRPr="00664E64" w:rsidRDefault="00D161F4" w:rsidP="00A55CD9">
            <w:pPr>
              <w:pStyle w:val="TableTextAligned"/>
              <w:rPr>
                <w:lang w:val="en-AU"/>
              </w:rPr>
            </w:pPr>
            <w:r w:rsidRPr="00664E64">
              <w:rPr>
                <w:lang w:val="en-AU"/>
              </w:rPr>
              <w:t>8</w:t>
            </w:r>
          </w:p>
        </w:tc>
        <w:tc>
          <w:tcPr>
            <w:tcW w:w="0" w:type="dxa"/>
            <w:noWrap/>
          </w:tcPr>
          <w:p w14:paraId="0D5FF034" w14:textId="77777777" w:rsidR="00D161F4" w:rsidRPr="00664E64" w:rsidRDefault="00D161F4" w:rsidP="00A55CD9">
            <w:pPr>
              <w:pStyle w:val="TableTextAligned"/>
              <w:rPr>
                <w:lang w:val="en-AU"/>
              </w:rPr>
            </w:pPr>
            <w:r w:rsidRPr="00664E64">
              <w:rPr>
                <w:lang w:val="en-AU"/>
              </w:rPr>
              <w:t>0.2</w:t>
            </w:r>
          </w:p>
        </w:tc>
      </w:tr>
      <w:tr w:rsidR="00D161F4" w:rsidRPr="00664E64" w14:paraId="27F9EA5B" w14:textId="77777777" w:rsidTr="00A6211D">
        <w:trPr>
          <w:trHeight w:val="320"/>
        </w:trPr>
        <w:tc>
          <w:tcPr>
            <w:tcW w:w="0" w:type="dxa"/>
            <w:hideMark/>
          </w:tcPr>
          <w:p w14:paraId="6433B63F" w14:textId="77777777" w:rsidR="00D161F4" w:rsidRPr="00664E64" w:rsidRDefault="00D161F4" w:rsidP="00A55CD9">
            <w:pPr>
              <w:pStyle w:val="TableHeading"/>
              <w:rPr>
                <w:lang w:val="en-AU"/>
              </w:rPr>
            </w:pPr>
            <w:r w:rsidRPr="0036418A">
              <w:rPr>
                <w:b/>
                <w:color w:val="auto"/>
                <w:lang w:val="en-AU"/>
              </w:rPr>
              <w:t>Age group</w:t>
            </w:r>
          </w:p>
        </w:tc>
        <w:tc>
          <w:tcPr>
            <w:tcW w:w="0" w:type="dxa"/>
          </w:tcPr>
          <w:p w14:paraId="2EE36D39" w14:textId="77777777" w:rsidR="00D161F4" w:rsidRPr="00664E64" w:rsidRDefault="00D161F4" w:rsidP="00A55CD9">
            <w:pPr>
              <w:pStyle w:val="TableTextAligned"/>
              <w:rPr>
                <w:lang w:val="en-AU"/>
              </w:rPr>
            </w:pPr>
          </w:p>
        </w:tc>
        <w:tc>
          <w:tcPr>
            <w:tcW w:w="0" w:type="dxa"/>
            <w:noWrap/>
            <w:hideMark/>
          </w:tcPr>
          <w:p w14:paraId="65E1F17B" w14:textId="77777777" w:rsidR="00D161F4" w:rsidRPr="00664E64" w:rsidRDefault="00D161F4" w:rsidP="00A55CD9">
            <w:pPr>
              <w:pStyle w:val="TableTextAligned"/>
              <w:rPr>
                <w:lang w:val="en-AU"/>
              </w:rPr>
            </w:pPr>
          </w:p>
        </w:tc>
      </w:tr>
      <w:tr w:rsidR="00D161F4" w:rsidRPr="00664E64" w14:paraId="7E9E6BAC" w14:textId="77777777" w:rsidTr="00A6211D">
        <w:trPr>
          <w:trHeight w:val="357"/>
        </w:trPr>
        <w:tc>
          <w:tcPr>
            <w:tcW w:w="0" w:type="dxa"/>
            <w:hideMark/>
          </w:tcPr>
          <w:p w14:paraId="39A06366" w14:textId="1B4B9772" w:rsidR="00D161F4" w:rsidRPr="00664E64" w:rsidRDefault="00D161F4" w:rsidP="00A55CD9">
            <w:pPr>
              <w:pStyle w:val="TableText"/>
              <w:rPr>
                <w:lang w:val="en-AU"/>
              </w:rPr>
            </w:pPr>
            <w:r w:rsidRPr="00664E64">
              <w:rPr>
                <w:lang w:val="en-AU"/>
              </w:rPr>
              <w:t>18</w:t>
            </w:r>
            <w:r w:rsidR="00907197" w:rsidRPr="00664E64">
              <w:rPr>
                <w:lang w:val="en-AU"/>
              </w:rPr>
              <w:t>–</w:t>
            </w:r>
            <w:r w:rsidRPr="00664E64">
              <w:rPr>
                <w:lang w:val="en-AU"/>
              </w:rPr>
              <w:t>34</w:t>
            </w:r>
          </w:p>
        </w:tc>
        <w:tc>
          <w:tcPr>
            <w:tcW w:w="0" w:type="dxa"/>
          </w:tcPr>
          <w:p w14:paraId="59121EB0" w14:textId="467F14C4" w:rsidR="00D161F4" w:rsidRPr="00664E64" w:rsidRDefault="00D161F4" w:rsidP="00A55CD9">
            <w:pPr>
              <w:pStyle w:val="TableTextAligned"/>
              <w:rPr>
                <w:lang w:val="en-AU"/>
              </w:rPr>
            </w:pPr>
            <w:r w:rsidRPr="00664E64">
              <w:rPr>
                <w:lang w:val="en-AU"/>
              </w:rPr>
              <w:t>937</w:t>
            </w:r>
          </w:p>
        </w:tc>
        <w:tc>
          <w:tcPr>
            <w:tcW w:w="0" w:type="dxa"/>
            <w:noWrap/>
            <w:hideMark/>
          </w:tcPr>
          <w:p w14:paraId="27302F97" w14:textId="77777777" w:rsidR="00D161F4" w:rsidRPr="00664E64" w:rsidRDefault="00D161F4" w:rsidP="00A55CD9">
            <w:pPr>
              <w:pStyle w:val="TableTextAligned"/>
              <w:rPr>
                <w:lang w:val="en-AU"/>
              </w:rPr>
            </w:pPr>
            <w:r w:rsidRPr="00664E64">
              <w:rPr>
                <w:lang w:val="en-AU"/>
              </w:rPr>
              <w:t>18.5</w:t>
            </w:r>
          </w:p>
        </w:tc>
      </w:tr>
      <w:tr w:rsidR="00D161F4" w:rsidRPr="00664E64" w14:paraId="48CAA9A5" w14:textId="77777777" w:rsidTr="00A6211D">
        <w:trPr>
          <w:trHeight w:val="320"/>
        </w:trPr>
        <w:tc>
          <w:tcPr>
            <w:tcW w:w="0" w:type="dxa"/>
            <w:hideMark/>
          </w:tcPr>
          <w:p w14:paraId="1E95B20D" w14:textId="3DFDA70A" w:rsidR="00D161F4" w:rsidRPr="00664E64" w:rsidRDefault="00D161F4" w:rsidP="00A55CD9">
            <w:pPr>
              <w:pStyle w:val="TableText"/>
              <w:rPr>
                <w:lang w:val="en-AU"/>
              </w:rPr>
            </w:pPr>
            <w:r w:rsidRPr="00664E64">
              <w:rPr>
                <w:lang w:val="en-AU"/>
              </w:rPr>
              <w:t>35</w:t>
            </w:r>
            <w:r w:rsidR="00907197" w:rsidRPr="00664E64">
              <w:rPr>
                <w:lang w:val="en-AU"/>
              </w:rPr>
              <w:t>–</w:t>
            </w:r>
            <w:r w:rsidRPr="00664E64">
              <w:rPr>
                <w:lang w:val="en-AU"/>
              </w:rPr>
              <w:t>49</w:t>
            </w:r>
          </w:p>
        </w:tc>
        <w:tc>
          <w:tcPr>
            <w:tcW w:w="0" w:type="dxa"/>
          </w:tcPr>
          <w:p w14:paraId="6FDC6D45" w14:textId="144C8A4F"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639</w:t>
            </w:r>
          </w:p>
        </w:tc>
        <w:tc>
          <w:tcPr>
            <w:tcW w:w="0" w:type="dxa"/>
            <w:noWrap/>
            <w:hideMark/>
          </w:tcPr>
          <w:p w14:paraId="7658D405" w14:textId="77777777" w:rsidR="00D161F4" w:rsidRPr="00664E64" w:rsidRDefault="00D161F4" w:rsidP="00A55CD9">
            <w:pPr>
              <w:pStyle w:val="TableTextAligned"/>
              <w:rPr>
                <w:lang w:val="en-AU"/>
              </w:rPr>
            </w:pPr>
            <w:r w:rsidRPr="00664E64">
              <w:rPr>
                <w:lang w:val="en-AU"/>
              </w:rPr>
              <w:t>32.3</w:t>
            </w:r>
          </w:p>
        </w:tc>
      </w:tr>
      <w:tr w:rsidR="00D161F4" w:rsidRPr="00664E64" w14:paraId="0400881A" w14:textId="77777777" w:rsidTr="00A6211D">
        <w:trPr>
          <w:trHeight w:val="320"/>
        </w:trPr>
        <w:tc>
          <w:tcPr>
            <w:tcW w:w="0" w:type="dxa"/>
            <w:hideMark/>
          </w:tcPr>
          <w:p w14:paraId="21DAF317" w14:textId="46FDEE11" w:rsidR="00D161F4" w:rsidRPr="00664E64" w:rsidRDefault="00D161F4" w:rsidP="00A55CD9">
            <w:pPr>
              <w:pStyle w:val="TableText"/>
              <w:rPr>
                <w:lang w:val="en-AU"/>
              </w:rPr>
            </w:pPr>
            <w:r w:rsidRPr="00664E64">
              <w:rPr>
                <w:lang w:val="en-AU"/>
              </w:rPr>
              <w:t>50</w:t>
            </w:r>
            <w:r w:rsidR="00907197" w:rsidRPr="00664E64">
              <w:rPr>
                <w:lang w:val="en-AU"/>
              </w:rPr>
              <w:t>–</w:t>
            </w:r>
            <w:r w:rsidRPr="00664E64">
              <w:rPr>
                <w:lang w:val="en-AU"/>
              </w:rPr>
              <w:t>64</w:t>
            </w:r>
          </w:p>
        </w:tc>
        <w:tc>
          <w:tcPr>
            <w:tcW w:w="0" w:type="dxa"/>
          </w:tcPr>
          <w:p w14:paraId="67AC6C28" w14:textId="5762A9C7"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275</w:t>
            </w:r>
          </w:p>
        </w:tc>
        <w:tc>
          <w:tcPr>
            <w:tcW w:w="0" w:type="dxa"/>
            <w:noWrap/>
            <w:hideMark/>
          </w:tcPr>
          <w:p w14:paraId="5CBE1A37" w14:textId="77777777" w:rsidR="00D161F4" w:rsidRPr="00664E64" w:rsidRDefault="00D161F4" w:rsidP="00A55CD9">
            <w:pPr>
              <w:pStyle w:val="TableTextAligned"/>
              <w:rPr>
                <w:lang w:val="en-AU"/>
              </w:rPr>
            </w:pPr>
            <w:r w:rsidRPr="00664E64">
              <w:rPr>
                <w:lang w:val="en-AU"/>
              </w:rPr>
              <w:t>25.1</w:t>
            </w:r>
          </w:p>
        </w:tc>
      </w:tr>
      <w:tr w:rsidR="00D161F4" w:rsidRPr="00664E64" w14:paraId="5704F7A8" w14:textId="77777777" w:rsidTr="00A6211D">
        <w:trPr>
          <w:trHeight w:val="320"/>
        </w:trPr>
        <w:tc>
          <w:tcPr>
            <w:tcW w:w="0" w:type="dxa"/>
            <w:hideMark/>
          </w:tcPr>
          <w:p w14:paraId="2371F1F0" w14:textId="77777777" w:rsidR="00D161F4" w:rsidRPr="00664E64" w:rsidRDefault="00D161F4" w:rsidP="00A55CD9">
            <w:pPr>
              <w:pStyle w:val="TableText"/>
              <w:rPr>
                <w:lang w:val="en-AU"/>
              </w:rPr>
            </w:pPr>
            <w:r w:rsidRPr="00664E64">
              <w:rPr>
                <w:lang w:val="en-AU"/>
              </w:rPr>
              <w:t>65+</w:t>
            </w:r>
          </w:p>
        </w:tc>
        <w:tc>
          <w:tcPr>
            <w:tcW w:w="0" w:type="dxa"/>
          </w:tcPr>
          <w:p w14:paraId="655B4945" w14:textId="77777777" w:rsidR="00D161F4" w:rsidRPr="00664E64" w:rsidRDefault="00D161F4" w:rsidP="00A55CD9">
            <w:pPr>
              <w:pStyle w:val="TableTextAligned"/>
              <w:rPr>
                <w:lang w:val="en-AU"/>
              </w:rPr>
            </w:pPr>
            <w:r w:rsidRPr="00664E64">
              <w:rPr>
                <w:lang w:val="en-AU"/>
              </w:rPr>
              <w:t>666</w:t>
            </w:r>
          </w:p>
        </w:tc>
        <w:tc>
          <w:tcPr>
            <w:tcW w:w="0" w:type="dxa"/>
            <w:noWrap/>
            <w:hideMark/>
          </w:tcPr>
          <w:p w14:paraId="7A16C809" w14:textId="77777777" w:rsidR="00D161F4" w:rsidRPr="00664E64" w:rsidRDefault="00D161F4" w:rsidP="00A55CD9">
            <w:pPr>
              <w:pStyle w:val="TableTextAligned"/>
              <w:rPr>
                <w:lang w:val="en-AU"/>
              </w:rPr>
            </w:pPr>
            <w:r w:rsidRPr="00664E64">
              <w:rPr>
                <w:lang w:val="en-AU"/>
              </w:rPr>
              <w:t>13.1</w:t>
            </w:r>
          </w:p>
        </w:tc>
      </w:tr>
      <w:tr w:rsidR="00D161F4" w:rsidRPr="00664E64" w14:paraId="0E59BBE4" w14:textId="77777777" w:rsidTr="00A6211D">
        <w:trPr>
          <w:trHeight w:val="320"/>
        </w:trPr>
        <w:tc>
          <w:tcPr>
            <w:tcW w:w="0" w:type="dxa"/>
          </w:tcPr>
          <w:p w14:paraId="749DC191" w14:textId="77777777" w:rsidR="00D161F4" w:rsidRPr="00664E64" w:rsidRDefault="00D161F4" w:rsidP="00A55CD9">
            <w:pPr>
              <w:pStyle w:val="TableText"/>
              <w:rPr>
                <w:lang w:val="en-AU"/>
              </w:rPr>
            </w:pPr>
            <w:r w:rsidRPr="00664E64">
              <w:rPr>
                <w:lang w:val="en-AU"/>
              </w:rPr>
              <w:t>Rather not say/Don’t know</w:t>
            </w:r>
          </w:p>
        </w:tc>
        <w:tc>
          <w:tcPr>
            <w:tcW w:w="0" w:type="dxa"/>
          </w:tcPr>
          <w:p w14:paraId="6317DA33" w14:textId="77777777" w:rsidR="00D161F4" w:rsidRPr="00664E64" w:rsidRDefault="00D161F4" w:rsidP="00A55CD9">
            <w:pPr>
              <w:pStyle w:val="TableTextAligned"/>
              <w:rPr>
                <w:lang w:val="en-AU"/>
              </w:rPr>
            </w:pPr>
            <w:r w:rsidRPr="00664E64">
              <w:rPr>
                <w:lang w:val="en-AU"/>
              </w:rPr>
              <w:t>559</w:t>
            </w:r>
          </w:p>
        </w:tc>
        <w:tc>
          <w:tcPr>
            <w:tcW w:w="0" w:type="dxa"/>
            <w:noWrap/>
          </w:tcPr>
          <w:p w14:paraId="251AC08E" w14:textId="77777777" w:rsidR="00D161F4" w:rsidRPr="00664E64" w:rsidRDefault="00D161F4" w:rsidP="00A55CD9">
            <w:pPr>
              <w:pStyle w:val="TableTextAligned"/>
              <w:rPr>
                <w:lang w:val="en-AU"/>
              </w:rPr>
            </w:pPr>
            <w:r w:rsidRPr="00664E64">
              <w:rPr>
                <w:lang w:val="en-AU"/>
              </w:rPr>
              <w:t>11.0</w:t>
            </w:r>
          </w:p>
        </w:tc>
      </w:tr>
      <w:tr w:rsidR="00D161F4" w:rsidRPr="00664E64" w14:paraId="24C2B7E5" w14:textId="77777777" w:rsidTr="00A6211D">
        <w:trPr>
          <w:trHeight w:val="320"/>
        </w:trPr>
        <w:tc>
          <w:tcPr>
            <w:tcW w:w="0" w:type="dxa"/>
            <w:hideMark/>
          </w:tcPr>
          <w:p w14:paraId="2389C510" w14:textId="16A2EE4D" w:rsidR="00D161F4" w:rsidRPr="0036418A" w:rsidRDefault="00D161F4" w:rsidP="00A55CD9">
            <w:pPr>
              <w:pStyle w:val="TableHeading"/>
              <w:rPr>
                <w:color w:val="auto"/>
                <w:lang w:val="en-AU"/>
              </w:rPr>
            </w:pPr>
            <w:r w:rsidRPr="0036418A">
              <w:rPr>
                <w:b/>
                <w:color w:val="auto"/>
                <w:lang w:val="en-AU"/>
              </w:rPr>
              <w:t xml:space="preserve">Indigenous </w:t>
            </w:r>
            <w:r w:rsidR="00907197" w:rsidRPr="0036418A">
              <w:rPr>
                <w:b/>
                <w:color w:val="auto"/>
                <w:lang w:val="en-AU"/>
              </w:rPr>
              <w:t>s</w:t>
            </w:r>
            <w:r w:rsidRPr="0036418A">
              <w:rPr>
                <w:b/>
                <w:color w:val="auto"/>
                <w:lang w:val="en-AU"/>
              </w:rPr>
              <w:t>tatus</w:t>
            </w:r>
          </w:p>
        </w:tc>
        <w:tc>
          <w:tcPr>
            <w:tcW w:w="0" w:type="dxa"/>
          </w:tcPr>
          <w:p w14:paraId="7759C93B" w14:textId="77777777" w:rsidR="00D161F4" w:rsidRPr="00664E64" w:rsidRDefault="00D161F4" w:rsidP="00A55CD9">
            <w:pPr>
              <w:pStyle w:val="TableTextAligned"/>
              <w:rPr>
                <w:lang w:val="en-AU"/>
              </w:rPr>
            </w:pPr>
          </w:p>
        </w:tc>
        <w:tc>
          <w:tcPr>
            <w:tcW w:w="0" w:type="dxa"/>
            <w:noWrap/>
            <w:hideMark/>
          </w:tcPr>
          <w:p w14:paraId="4A89D525" w14:textId="77777777" w:rsidR="00D161F4" w:rsidRPr="00664E64" w:rsidRDefault="00D161F4" w:rsidP="00A55CD9">
            <w:pPr>
              <w:pStyle w:val="TableTextAligned"/>
              <w:rPr>
                <w:lang w:val="en-AU"/>
              </w:rPr>
            </w:pPr>
          </w:p>
        </w:tc>
      </w:tr>
      <w:tr w:rsidR="00D161F4" w:rsidRPr="00664E64" w14:paraId="357DA0A2" w14:textId="77777777" w:rsidTr="00A6211D">
        <w:trPr>
          <w:trHeight w:val="320"/>
        </w:trPr>
        <w:tc>
          <w:tcPr>
            <w:tcW w:w="0" w:type="dxa"/>
            <w:hideMark/>
          </w:tcPr>
          <w:p w14:paraId="5D15A2A8" w14:textId="77777777" w:rsidR="00D161F4" w:rsidRPr="00664E64" w:rsidRDefault="00D161F4" w:rsidP="00A55CD9">
            <w:pPr>
              <w:pStyle w:val="TableText"/>
              <w:rPr>
                <w:lang w:val="en-AU"/>
              </w:rPr>
            </w:pPr>
            <w:r w:rsidRPr="00664E64">
              <w:rPr>
                <w:lang w:val="en-AU"/>
              </w:rPr>
              <w:t>Non-Indigenous</w:t>
            </w:r>
          </w:p>
        </w:tc>
        <w:tc>
          <w:tcPr>
            <w:tcW w:w="0" w:type="dxa"/>
          </w:tcPr>
          <w:p w14:paraId="220DF866" w14:textId="7F181028" w:rsidR="00D161F4" w:rsidRPr="00664E64" w:rsidRDefault="00D161F4" w:rsidP="00A55CD9">
            <w:pPr>
              <w:pStyle w:val="TableTextAligned"/>
              <w:rPr>
                <w:lang w:val="en-AU"/>
              </w:rPr>
            </w:pPr>
            <w:r w:rsidRPr="00664E64">
              <w:rPr>
                <w:lang w:val="en-AU"/>
              </w:rPr>
              <w:t>4</w:t>
            </w:r>
            <w:r w:rsidR="00907197" w:rsidRPr="00664E64">
              <w:rPr>
                <w:lang w:val="en-AU"/>
              </w:rPr>
              <w:t>,</w:t>
            </w:r>
            <w:r w:rsidRPr="00664E64">
              <w:rPr>
                <w:lang w:val="en-AU"/>
              </w:rPr>
              <w:t>828</w:t>
            </w:r>
          </w:p>
        </w:tc>
        <w:tc>
          <w:tcPr>
            <w:tcW w:w="0" w:type="dxa"/>
            <w:noWrap/>
          </w:tcPr>
          <w:p w14:paraId="0CFF3414" w14:textId="77777777" w:rsidR="00D161F4" w:rsidRPr="00664E64" w:rsidRDefault="00D161F4" w:rsidP="00A55CD9">
            <w:pPr>
              <w:pStyle w:val="TableTextAligned"/>
              <w:rPr>
                <w:lang w:val="en-AU"/>
              </w:rPr>
            </w:pPr>
            <w:r w:rsidRPr="00664E64">
              <w:rPr>
                <w:lang w:val="en-AU"/>
              </w:rPr>
              <w:t>95.1</w:t>
            </w:r>
          </w:p>
        </w:tc>
      </w:tr>
      <w:tr w:rsidR="00D161F4" w:rsidRPr="00664E64" w14:paraId="4531DE86" w14:textId="77777777" w:rsidTr="00A6211D">
        <w:trPr>
          <w:trHeight w:val="320"/>
        </w:trPr>
        <w:tc>
          <w:tcPr>
            <w:tcW w:w="0" w:type="dxa"/>
            <w:hideMark/>
          </w:tcPr>
          <w:p w14:paraId="2F8837A0" w14:textId="77777777" w:rsidR="00D161F4" w:rsidRPr="00664E64" w:rsidRDefault="00D161F4" w:rsidP="00A55CD9">
            <w:pPr>
              <w:pStyle w:val="TableText"/>
              <w:rPr>
                <w:lang w:val="en-AU"/>
              </w:rPr>
            </w:pPr>
            <w:r w:rsidRPr="00664E64">
              <w:rPr>
                <w:lang w:val="en-AU"/>
              </w:rPr>
              <w:t>Indigenous</w:t>
            </w:r>
          </w:p>
        </w:tc>
        <w:tc>
          <w:tcPr>
            <w:tcW w:w="0" w:type="dxa"/>
          </w:tcPr>
          <w:p w14:paraId="17CAC7A0" w14:textId="77777777" w:rsidR="00D161F4" w:rsidRPr="00664E64" w:rsidRDefault="00D161F4" w:rsidP="00A55CD9">
            <w:pPr>
              <w:pStyle w:val="TableTextAligned"/>
              <w:rPr>
                <w:lang w:val="en-AU"/>
              </w:rPr>
            </w:pPr>
            <w:r w:rsidRPr="00664E64">
              <w:rPr>
                <w:lang w:val="en-AU"/>
              </w:rPr>
              <w:t>141</w:t>
            </w:r>
          </w:p>
        </w:tc>
        <w:tc>
          <w:tcPr>
            <w:tcW w:w="0" w:type="dxa"/>
            <w:noWrap/>
          </w:tcPr>
          <w:p w14:paraId="5958F813" w14:textId="77777777" w:rsidR="00D161F4" w:rsidRPr="00664E64" w:rsidRDefault="00D161F4" w:rsidP="00A55CD9">
            <w:pPr>
              <w:pStyle w:val="TableTextAligned"/>
              <w:rPr>
                <w:lang w:val="en-AU"/>
              </w:rPr>
            </w:pPr>
            <w:r w:rsidRPr="00664E64">
              <w:rPr>
                <w:lang w:val="en-AU"/>
              </w:rPr>
              <w:t>2.8</w:t>
            </w:r>
          </w:p>
        </w:tc>
      </w:tr>
      <w:tr w:rsidR="00D161F4" w:rsidRPr="00664E64" w14:paraId="032B5F3C" w14:textId="77777777" w:rsidTr="00A6211D">
        <w:trPr>
          <w:trHeight w:val="320"/>
        </w:trPr>
        <w:tc>
          <w:tcPr>
            <w:tcW w:w="0" w:type="dxa"/>
          </w:tcPr>
          <w:p w14:paraId="25328A8E" w14:textId="77777777" w:rsidR="00D161F4" w:rsidRPr="00664E64" w:rsidRDefault="00D161F4" w:rsidP="00A55CD9">
            <w:pPr>
              <w:pStyle w:val="TableText"/>
              <w:rPr>
                <w:lang w:val="en-AU"/>
              </w:rPr>
            </w:pPr>
            <w:r w:rsidRPr="00664E64">
              <w:rPr>
                <w:lang w:val="en-AU"/>
              </w:rPr>
              <w:t>Prefer not to say</w:t>
            </w:r>
          </w:p>
        </w:tc>
        <w:tc>
          <w:tcPr>
            <w:tcW w:w="0" w:type="dxa"/>
          </w:tcPr>
          <w:p w14:paraId="1EFA3531" w14:textId="77777777" w:rsidR="00D161F4" w:rsidRPr="00664E64" w:rsidRDefault="00D161F4" w:rsidP="00A55CD9">
            <w:pPr>
              <w:pStyle w:val="TableTextAligned"/>
              <w:rPr>
                <w:lang w:val="en-AU"/>
              </w:rPr>
            </w:pPr>
            <w:r w:rsidRPr="00664E64">
              <w:rPr>
                <w:lang w:val="en-AU"/>
              </w:rPr>
              <w:t>107</w:t>
            </w:r>
          </w:p>
        </w:tc>
        <w:tc>
          <w:tcPr>
            <w:tcW w:w="0" w:type="dxa"/>
            <w:noWrap/>
          </w:tcPr>
          <w:p w14:paraId="7FD756D6" w14:textId="77777777" w:rsidR="00D161F4" w:rsidRPr="00664E64" w:rsidRDefault="00D161F4" w:rsidP="00A55CD9">
            <w:pPr>
              <w:pStyle w:val="TableTextAligned"/>
              <w:rPr>
                <w:lang w:val="en-AU"/>
              </w:rPr>
            </w:pPr>
            <w:r w:rsidRPr="00664E64">
              <w:rPr>
                <w:lang w:val="en-AU"/>
              </w:rPr>
              <w:t>2.1</w:t>
            </w:r>
          </w:p>
        </w:tc>
      </w:tr>
      <w:tr w:rsidR="00D161F4" w:rsidRPr="00664E64" w14:paraId="1A05590C" w14:textId="77777777" w:rsidTr="00A6211D">
        <w:trPr>
          <w:trHeight w:val="320"/>
        </w:trPr>
        <w:tc>
          <w:tcPr>
            <w:tcW w:w="0" w:type="dxa"/>
            <w:hideMark/>
          </w:tcPr>
          <w:p w14:paraId="31F12E48" w14:textId="77777777" w:rsidR="00D161F4" w:rsidRPr="00664E64" w:rsidRDefault="00D161F4" w:rsidP="00A55CD9">
            <w:pPr>
              <w:pStyle w:val="TableHeading"/>
              <w:rPr>
                <w:lang w:val="en-AU"/>
              </w:rPr>
            </w:pPr>
            <w:r w:rsidRPr="0036418A">
              <w:rPr>
                <w:color w:val="auto"/>
                <w:lang w:val="en-AU"/>
              </w:rPr>
              <w:t>Region of birth</w:t>
            </w:r>
          </w:p>
        </w:tc>
        <w:tc>
          <w:tcPr>
            <w:tcW w:w="0" w:type="dxa"/>
          </w:tcPr>
          <w:p w14:paraId="0C893D74" w14:textId="77777777" w:rsidR="00D161F4" w:rsidRPr="00664E64" w:rsidRDefault="00D161F4" w:rsidP="00A55CD9">
            <w:pPr>
              <w:pStyle w:val="TableTextAligned"/>
              <w:rPr>
                <w:lang w:val="en-AU"/>
              </w:rPr>
            </w:pPr>
          </w:p>
        </w:tc>
        <w:tc>
          <w:tcPr>
            <w:tcW w:w="0" w:type="dxa"/>
            <w:noWrap/>
            <w:hideMark/>
          </w:tcPr>
          <w:p w14:paraId="08074597" w14:textId="77777777" w:rsidR="00D161F4" w:rsidRPr="00664E64" w:rsidRDefault="00D161F4" w:rsidP="00A55CD9">
            <w:pPr>
              <w:pStyle w:val="TableTextAligned"/>
              <w:rPr>
                <w:lang w:val="en-AU"/>
              </w:rPr>
            </w:pPr>
          </w:p>
        </w:tc>
      </w:tr>
      <w:tr w:rsidR="00D161F4" w:rsidRPr="00664E64" w14:paraId="18974394" w14:textId="77777777" w:rsidTr="00A6211D">
        <w:trPr>
          <w:trHeight w:val="320"/>
        </w:trPr>
        <w:tc>
          <w:tcPr>
            <w:tcW w:w="0" w:type="dxa"/>
            <w:hideMark/>
          </w:tcPr>
          <w:p w14:paraId="5A35D4C2" w14:textId="77777777" w:rsidR="00D161F4" w:rsidRPr="00664E64" w:rsidRDefault="00D161F4" w:rsidP="00A55CD9">
            <w:pPr>
              <w:pStyle w:val="TableText"/>
              <w:rPr>
                <w:lang w:val="en-AU"/>
              </w:rPr>
            </w:pPr>
            <w:r w:rsidRPr="00664E64">
              <w:rPr>
                <w:lang w:val="en-AU"/>
              </w:rPr>
              <w:t>Australia</w:t>
            </w:r>
          </w:p>
        </w:tc>
        <w:tc>
          <w:tcPr>
            <w:tcW w:w="0" w:type="dxa"/>
          </w:tcPr>
          <w:p w14:paraId="5E30078B" w14:textId="5930B8B4" w:rsidR="00D161F4" w:rsidRPr="00664E64" w:rsidRDefault="00D161F4" w:rsidP="00A55CD9">
            <w:pPr>
              <w:pStyle w:val="TableTextAligned"/>
              <w:rPr>
                <w:lang w:val="en-AU"/>
              </w:rPr>
            </w:pPr>
            <w:r w:rsidRPr="00664E64">
              <w:rPr>
                <w:lang w:val="en-AU"/>
              </w:rPr>
              <w:t>4</w:t>
            </w:r>
            <w:r w:rsidR="00907197" w:rsidRPr="00664E64">
              <w:rPr>
                <w:lang w:val="en-AU"/>
              </w:rPr>
              <w:t>,</w:t>
            </w:r>
            <w:r w:rsidRPr="00664E64">
              <w:rPr>
                <w:lang w:val="en-AU"/>
              </w:rPr>
              <w:t>117</w:t>
            </w:r>
          </w:p>
        </w:tc>
        <w:tc>
          <w:tcPr>
            <w:tcW w:w="0" w:type="dxa"/>
            <w:noWrap/>
          </w:tcPr>
          <w:p w14:paraId="739E3D01" w14:textId="77777777" w:rsidR="00D161F4" w:rsidRPr="00664E64" w:rsidRDefault="00D161F4" w:rsidP="00A55CD9">
            <w:pPr>
              <w:pStyle w:val="TableTextAligned"/>
              <w:rPr>
                <w:lang w:val="en-AU"/>
              </w:rPr>
            </w:pPr>
            <w:r w:rsidRPr="00664E64">
              <w:rPr>
                <w:lang w:val="en-AU"/>
              </w:rPr>
              <w:t>81.1</w:t>
            </w:r>
          </w:p>
        </w:tc>
      </w:tr>
      <w:tr w:rsidR="00D161F4" w:rsidRPr="00664E64" w14:paraId="464B0FFB" w14:textId="77777777" w:rsidTr="00A6211D">
        <w:trPr>
          <w:trHeight w:val="320"/>
        </w:trPr>
        <w:tc>
          <w:tcPr>
            <w:tcW w:w="0" w:type="dxa"/>
          </w:tcPr>
          <w:p w14:paraId="7E08541C" w14:textId="77777777" w:rsidR="00D161F4" w:rsidRPr="00664E64" w:rsidRDefault="00D161F4" w:rsidP="00A55CD9">
            <w:pPr>
              <w:pStyle w:val="TableText"/>
              <w:rPr>
                <w:lang w:val="en-AU"/>
              </w:rPr>
            </w:pPr>
            <w:r w:rsidRPr="00664E64">
              <w:rPr>
                <w:lang w:val="en-AU"/>
              </w:rPr>
              <w:t>Other</w:t>
            </w:r>
          </w:p>
        </w:tc>
        <w:tc>
          <w:tcPr>
            <w:tcW w:w="0" w:type="dxa"/>
          </w:tcPr>
          <w:p w14:paraId="208FC417" w14:textId="77777777" w:rsidR="00D161F4" w:rsidRPr="00664E64" w:rsidRDefault="00D161F4" w:rsidP="00A55CD9">
            <w:pPr>
              <w:pStyle w:val="TableTextAligned"/>
              <w:rPr>
                <w:lang w:val="en-AU"/>
              </w:rPr>
            </w:pPr>
            <w:r w:rsidRPr="00664E64">
              <w:rPr>
                <w:lang w:val="en-AU"/>
              </w:rPr>
              <w:t>959</w:t>
            </w:r>
          </w:p>
        </w:tc>
        <w:tc>
          <w:tcPr>
            <w:tcW w:w="0" w:type="dxa"/>
            <w:noWrap/>
          </w:tcPr>
          <w:p w14:paraId="46625B08" w14:textId="77777777" w:rsidR="00D161F4" w:rsidRPr="00664E64" w:rsidRDefault="00D161F4" w:rsidP="00A55CD9">
            <w:pPr>
              <w:pStyle w:val="TableTextAligned"/>
              <w:rPr>
                <w:lang w:val="en-AU"/>
              </w:rPr>
            </w:pPr>
            <w:r w:rsidRPr="00664E64">
              <w:rPr>
                <w:lang w:val="en-AU"/>
              </w:rPr>
              <w:t>18.9</w:t>
            </w:r>
          </w:p>
        </w:tc>
      </w:tr>
      <w:tr w:rsidR="00D161F4" w:rsidRPr="00664E64" w14:paraId="6A8BB9B2" w14:textId="77777777" w:rsidTr="00A6211D">
        <w:trPr>
          <w:trHeight w:val="320"/>
        </w:trPr>
        <w:tc>
          <w:tcPr>
            <w:tcW w:w="0" w:type="dxa"/>
            <w:hideMark/>
          </w:tcPr>
          <w:p w14:paraId="48B0F45D" w14:textId="77777777" w:rsidR="00D161F4" w:rsidRPr="00664E64" w:rsidRDefault="00D161F4" w:rsidP="00A55CD9">
            <w:pPr>
              <w:pStyle w:val="TableHeading"/>
              <w:rPr>
                <w:lang w:val="en-AU"/>
              </w:rPr>
            </w:pPr>
            <w:r w:rsidRPr="0036418A">
              <w:rPr>
                <w:b/>
                <w:color w:val="auto"/>
                <w:lang w:val="en-AU"/>
              </w:rPr>
              <w:t>Languages spoken at home</w:t>
            </w:r>
          </w:p>
        </w:tc>
        <w:tc>
          <w:tcPr>
            <w:tcW w:w="0" w:type="dxa"/>
          </w:tcPr>
          <w:p w14:paraId="479B6801" w14:textId="77777777" w:rsidR="00D161F4" w:rsidRPr="00664E64" w:rsidRDefault="00D161F4" w:rsidP="00A55CD9">
            <w:pPr>
              <w:pStyle w:val="TableTextAligned"/>
              <w:rPr>
                <w:lang w:val="en-AU"/>
              </w:rPr>
            </w:pPr>
          </w:p>
        </w:tc>
        <w:tc>
          <w:tcPr>
            <w:tcW w:w="0" w:type="dxa"/>
            <w:noWrap/>
          </w:tcPr>
          <w:p w14:paraId="2FF1CE7F" w14:textId="77777777" w:rsidR="00D161F4" w:rsidRPr="00664E64" w:rsidRDefault="00D161F4" w:rsidP="00A55CD9">
            <w:pPr>
              <w:pStyle w:val="TableTextAligned"/>
              <w:rPr>
                <w:lang w:val="en-AU"/>
              </w:rPr>
            </w:pPr>
          </w:p>
        </w:tc>
      </w:tr>
      <w:tr w:rsidR="00D161F4" w:rsidRPr="00664E64" w14:paraId="581E7149" w14:textId="77777777" w:rsidTr="00A6211D">
        <w:trPr>
          <w:trHeight w:val="320"/>
        </w:trPr>
        <w:tc>
          <w:tcPr>
            <w:tcW w:w="0" w:type="dxa"/>
            <w:hideMark/>
          </w:tcPr>
          <w:p w14:paraId="0D5FE085" w14:textId="77777777" w:rsidR="00D161F4" w:rsidRPr="00664E64" w:rsidRDefault="00D161F4" w:rsidP="00A55CD9">
            <w:pPr>
              <w:pStyle w:val="TableText"/>
              <w:rPr>
                <w:lang w:val="en-AU"/>
              </w:rPr>
            </w:pPr>
            <w:r w:rsidRPr="00664E64">
              <w:rPr>
                <w:lang w:val="en-AU"/>
              </w:rPr>
              <w:t>English only</w:t>
            </w:r>
          </w:p>
        </w:tc>
        <w:tc>
          <w:tcPr>
            <w:tcW w:w="0" w:type="dxa"/>
          </w:tcPr>
          <w:p w14:paraId="323515A6" w14:textId="3D2ABA11" w:rsidR="00D161F4" w:rsidRPr="00664E64" w:rsidRDefault="00D161F4" w:rsidP="00A55CD9">
            <w:pPr>
              <w:pStyle w:val="TableTextAligned"/>
              <w:rPr>
                <w:lang w:val="en-AU"/>
              </w:rPr>
            </w:pPr>
            <w:r w:rsidRPr="00664E64">
              <w:rPr>
                <w:lang w:val="en-AU"/>
              </w:rPr>
              <w:t>4</w:t>
            </w:r>
            <w:r w:rsidR="00907197" w:rsidRPr="00664E64">
              <w:rPr>
                <w:lang w:val="en-AU"/>
              </w:rPr>
              <w:t>,</w:t>
            </w:r>
            <w:r w:rsidRPr="00664E64">
              <w:rPr>
                <w:lang w:val="en-AU"/>
              </w:rPr>
              <w:t>453</w:t>
            </w:r>
          </w:p>
        </w:tc>
        <w:tc>
          <w:tcPr>
            <w:tcW w:w="0" w:type="dxa"/>
            <w:noWrap/>
          </w:tcPr>
          <w:p w14:paraId="398C5826" w14:textId="77777777" w:rsidR="00D161F4" w:rsidRPr="00664E64" w:rsidRDefault="00D161F4" w:rsidP="00A55CD9">
            <w:pPr>
              <w:pStyle w:val="TableTextAligned"/>
              <w:rPr>
                <w:lang w:val="en-AU"/>
              </w:rPr>
            </w:pPr>
            <w:r w:rsidRPr="00664E64">
              <w:rPr>
                <w:lang w:val="en-AU"/>
              </w:rPr>
              <w:t>87.7</w:t>
            </w:r>
          </w:p>
        </w:tc>
      </w:tr>
      <w:tr w:rsidR="00D161F4" w:rsidRPr="00664E64" w14:paraId="3F670E14" w14:textId="77777777" w:rsidTr="00A6211D">
        <w:trPr>
          <w:trHeight w:val="320"/>
        </w:trPr>
        <w:tc>
          <w:tcPr>
            <w:tcW w:w="0" w:type="dxa"/>
            <w:hideMark/>
          </w:tcPr>
          <w:p w14:paraId="22ECE24D" w14:textId="77777777" w:rsidR="00D161F4" w:rsidRPr="00664E64" w:rsidRDefault="00D161F4" w:rsidP="00A55CD9">
            <w:pPr>
              <w:pStyle w:val="TableText"/>
              <w:rPr>
                <w:lang w:val="en-AU"/>
              </w:rPr>
            </w:pPr>
            <w:r w:rsidRPr="00664E64">
              <w:rPr>
                <w:lang w:val="en-AU"/>
              </w:rPr>
              <w:t>English and other</w:t>
            </w:r>
          </w:p>
        </w:tc>
        <w:tc>
          <w:tcPr>
            <w:tcW w:w="0" w:type="dxa"/>
          </w:tcPr>
          <w:p w14:paraId="74B26336" w14:textId="77777777" w:rsidR="00D161F4" w:rsidRPr="00664E64" w:rsidRDefault="00D161F4" w:rsidP="00A55CD9">
            <w:pPr>
              <w:pStyle w:val="TableTextAligned"/>
              <w:rPr>
                <w:lang w:val="en-AU"/>
              </w:rPr>
            </w:pPr>
            <w:r w:rsidRPr="00664E64">
              <w:rPr>
                <w:lang w:val="en-AU"/>
              </w:rPr>
              <w:t>578</w:t>
            </w:r>
          </w:p>
        </w:tc>
        <w:tc>
          <w:tcPr>
            <w:tcW w:w="0" w:type="dxa"/>
            <w:noWrap/>
          </w:tcPr>
          <w:p w14:paraId="7A94F424" w14:textId="77777777" w:rsidR="00D161F4" w:rsidRPr="00664E64" w:rsidRDefault="00D161F4" w:rsidP="00A55CD9">
            <w:pPr>
              <w:pStyle w:val="TableTextAligned"/>
              <w:rPr>
                <w:lang w:val="en-AU"/>
              </w:rPr>
            </w:pPr>
            <w:r w:rsidRPr="00664E64">
              <w:rPr>
                <w:lang w:val="en-AU"/>
              </w:rPr>
              <w:t>11.4</w:t>
            </w:r>
          </w:p>
        </w:tc>
      </w:tr>
      <w:tr w:rsidR="00D161F4" w:rsidRPr="00664E64" w14:paraId="10B6C20B" w14:textId="77777777" w:rsidTr="00A6211D">
        <w:trPr>
          <w:trHeight w:val="320"/>
        </w:trPr>
        <w:tc>
          <w:tcPr>
            <w:tcW w:w="0" w:type="dxa"/>
          </w:tcPr>
          <w:p w14:paraId="6F93D8A0" w14:textId="77777777" w:rsidR="00D161F4" w:rsidRPr="00664E64" w:rsidRDefault="00D161F4" w:rsidP="00A55CD9">
            <w:pPr>
              <w:pStyle w:val="TableText"/>
              <w:rPr>
                <w:lang w:val="en-AU"/>
              </w:rPr>
            </w:pPr>
            <w:r w:rsidRPr="00664E64">
              <w:rPr>
                <w:lang w:val="en-AU"/>
              </w:rPr>
              <w:t>Other only</w:t>
            </w:r>
          </w:p>
        </w:tc>
        <w:tc>
          <w:tcPr>
            <w:tcW w:w="0" w:type="dxa"/>
          </w:tcPr>
          <w:p w14:paraId="15EA5748" w14:textId="77777777" w:rsidR="00D161F4" w:rsidRPr="00664E64" w:rsidRDefault="00D161F4" w:rsidP="00A55CD9">
            <w:pPr>
              <w:pStyle w:val="TableTextAligned"/>
              <w:rPr>
                <w:lang w:val="en-AU"/>
              </w:rPr>
            </w:pPr>
            <w:r w:rsidRPr="00664E64">
              <w:rPr>
                <w:lang w:val="en-AU"/>
              </w:rPr>
              <w:t>45</w:t>
            </w:r>
          </w:p>
        </w:tc>
        <w:tc>
          <w:tcPr>
            <w:tcW w:w="0" w:type="dxa"/>
            <w:noWrap/>
          </w:tcPr>
          <w:p w14:paraId="5A232106" w14:textId="77777777" w:rsidR="00D161F4" w:rsidRPr="00664E64" w:rsidRDefault="00D161F4" w:rsidP="00A55CD9">
            <w:pPr>
              <w:pStyle w:val="TableTextAligned"/>
              <w:rPr>
                <w:lang w:val="en-AU"/>
              </w:rPr>
            </w:pPr>
            <w:r w:rsidRPr="00664E64">
              <w:rPr>
                <w:lang w:val="en-AU"/>
              </w:rPr>
              <w:t>0.9</w:t>
            </w:r>
          </w:p>
        </w:tc>
      </w:tr>
      <w:tr w:rsidR="00D161F4" w:rsidRPr="00664E64" w14:paraId="22CA0081" w14:textId="77777777" w:rsidTr="00A6211D">
        <w:trPr>
          <w:trHeight w:val="320"/>
        </w:trPr>
        <w:tc>
          <w:tcPr>
            <w:tcW w:w="0" w:type="dxa"/>
            <w:hideMark/>
          </w:tcPr>
          <w:p w14:paraId="4E3ED1D3" w14:textId="039CB793" w:rsidR="00D161F4" w:rsidRPr="00664E64" w:rsidRDefault="00D161F4" w:rsidP="00A55CD9">
            <w:pPr>
              <w:pStyle w:val="TableHeading"/>
              <w:rPr>
                <w:lang w:val="en-AU"/>
              </w:rPr>
            </w:pPr>
            <w:r w:rsidRPr="0036418A">
              <w:rPr>
                <w:b/>
                <w:color w:val="auto"/>
                <w:lang w:val="en-AU"/>
              </w:rPr>
              <w:t xml:space="preserve">Highest education </w:t>
            </w:r>
            <w:r w:rsidR="00907197" w:rsidRPr="0036418A">
              <w:rPr>
                <w:b/>
                <w:color w:val="auto"/>
                <w:lang w:val="en-AU"/>
              </w:rPr>
              <w:t>l</w:t>
            </w:r>
            <w:r w:rsidRPr="0036418A">
              <w:rPr>
                <w:b/>
                <w:color w:val="auto"/>
                <w:lang w:val="en-AU"/>
              </w:rPr>
              <w:t>evel</w:t>
            </w:r>
          </w:p>
        </w:tc>
        <w:tc>
          <w:tcPr>
            <w:tcW w:w="0" w:type="dxa"/>
          </w:tcPr>
          <w:p w14:paraId="5B045D79" w14:textId="77777777" w:rsidR="00D161F4" w:rsidRPr="00664E64" w:rsidRDefault="00D161F4" w:rsidP="00A55CD9">
            <w:pPr>
              <w:pStyle w:val="TableTextAligned"/>
              <w:rPr>
                <w:lang w:val="en-AU"/>
              </w:rPr>
            </w:pPr>
          </w:p>
        </w:tc>
        <w:tc>
          <w:tcPr>
            <w:tcW w:w="0" w:type="dxa"/>
            <w:noWrap/>
          </w:tcPr>
          <w:p w14:paraId="5182D248" w14:textId="77777777" w:rsidR="00D161F4" w:rsidRPr="00664E64" w:rsidRDefault="00D161F4" w:rsidP="00A55CD9">
            <w:pPr>
              <w:pStyle w:val="TableTextAligned"/>
              <w:rPr>
                <w:lang w:val="en-AU"/>
              </w:rPr>
            </w:pPr>
          </w:p>
        </w:tc>
      </w:tr>
      <w:tr w:rsidR="00D161F4" w:rsidRPr="00664E64" w14:paraId="52810106" w14:textId="77777777" w:rsidTr="00A6211D">
        <w:trPr>
          <w:trHeight w:val="320"/>
        </w:trPr>
        <w:tc>
          <w:tcPr>
            <w:tcW w:w="0" w:type="dxa"/>
            <w:hideMark/>
          </w:tcPr>
          <w:p w14:paraId="3A82215E" w14:textId="77777777" w:rsidR="00D161F4" w:rsidRPr="00664E64" w:rsidRDefault="00D161F4" w:rsidP="00A55CD9">
            <w:pPr>
              <w:pStyle w:val="TableText"/>
              <w:rPr>
                <w:lang w:val="en-AU"/>
              </w:rPr>
            </w:pPr>
            <w:r w:rsidRPr="00664E64">
              <w:rPr>
                <w:lang w:val="en-AU"/>
              </w:rPr>
              <w:lastRenderedPageBreak/>
              <w:t>Year 10 or below</w:t>
            </w:r>
          </w:p>
        </w:tc>
        <w:tc>
          <w:tcPr>
            <w:tcW w:w="0" w:type="dxa"/>
          </w:tcPr>
          <w:p w14:paraId="2D46D815" w14:textId="77777777" w:rsidR="00D161F4" w:rsidRPr="00664E64" w:rsidRDefault="00D161F4" w:rsidP="00A55CD9">
            <w:pPr>
              <w:pStyle w:val="TableTextAligned"/>
              <w:rPr>
                <w:lang w:val="en-AU"/>
              </w:rPr>
            </w:pPr>
            <w:r w:rsidRPr="00664E64">
              <w:rPr>
                <w:lang w:val="en-AU"/>
              </w:rPr>
              <w:t>687</w:t>
            </w:r>
          </w:p>
        </w:tc>
        <w:tc>
          <w:tcPr>
            <w:tcW w:w="0" w:type="dxa"/>
            <w:noWrap/>
          </w:tcPr>
          <w:p w14:paraId="11DC7BAB" w14:textId="77777777" w:rsidR="00D161F4" w:rsidRPr="00664E64" w:rsidRDefault="00D161F4" w:rsidP="00A55CD9">
            <w:pPr>
              <w:pStyle w:val="TableTextAligned"/>
              <w:rPr>
                <w:lang w:val="en-AU"/>
              </w:rPr>
            </w:pPr>
            <w:r w:rsidRPr="00664E64">
              <w:rPr>
                <w:lang w:val="en-AU"/>
              </w:rPr>
              <w:t>13.5</w:t>
            </w:r>
          </w:p>
        </w:tc>
      </w:tr>
      <w:tr w:rsidR="00D161F4" w:rsidRPr="00664E64" w14:paraId="502151DC" w14:textId="77777777" w:rsidTr="00A6211D">
        <w:trPr>
          <w:trHeight w:val="320"/>
        </w:trPr>
        <w:tc>
          <w:tcPr>
            <w:tcW w:w="0" w:type="dxa"/>
            <w:hideMark/>
          </w:tcPr>
          <w:p w14:paraId="3A111BF8" w14:textId="2E3B2D56" w:rsidR="00D161F4" w:rsidRPr="00664E64" w:rsidRDefault="00D161F4" w:rsidP="00A55CD9">
            <w:pPr>
              <w:pStyle w:val="TableText"/>
              <w:rPr>
                <w:lang w:val="en-AU"/>
              </w:rPr>
            </w:pPr>
            <w:r w:rsidRPr="00664E64">
              <w:rPr>
                <w:lang w:val="en-AU"/>
              </w:rPr>
              <w:t xml:space="preserve">Completed </w:t>
            </w:r>
            <w:r w:rsidR="00907197" w:rsidRPr="00664E64">
              <w:rPr>
                <w:lang w:val="en-AU"/>
              </w:rPr>
              <w:t>Y</w:t>
            </w:r>
            <w:r w:rsidRPr="00664E64">
              <w:rPr>
                <w:lang w:val="en-AU"/>
              </w:rPr>
              <w:t>ear 11</w:t>
            </w:r>
          </w:p>
        </w:tc>
        <w:tc>
          <w:tcPr>
            <w:tcW w:w="0" w:type="dxa"/>
          </w:tcPr>
          <w:p w14:paraId="3D6ADC4D" w14:textId="77777777" w:rsidR="00D161F4" w:rsidRPr="00664E64" w:rsidRDefault="00D161F4" w:rsidP="00A55CD9">
            <w:pPr>
              <w:pStyle w:val="TableTextAligned"/>
              <w:rPr>
                <w:lang w:val="en-AU"/>
              </w:rPr>
            </w:pPr>
            <w:r w:rsidRPr="00664E64">
              <w:rPr>
                <w:lang w:val="en-AU"/>
              </w:rPr>
              <w:t>330</w:t>
            </w:r>
          </w:p>
        </w:tc>
        <w:tc>
          <w:tcPr>
            <w:tcW w:w="0" w:type="dxa"/>
            <w:noWrap/>
          </w:tcPr>
          <w:p w14:paraId="47923C55" w14:textId="77777777" w:rsidR="00D161F4" w:rsidRPr="00664E64" w:rsidRDefault="00D161F4" w:rsidP="00A55CD9">
            <w:pPr>
              <w:pStyle w:val="TableTextAligned"/>
              <w:rPr>
                <w:lang w:val="en-AU"/>
              </w:rPr>
            </w:pPr>
            <w:r w:rsidRPr="00664E64">
              <w:rPr>
                <w:lang w:val="en-AU"/>
              </w:rPr>
              <w:t>6.5</w:t>
            </w:r>
          </w:p>
        </w:tc>
      </w:tr>
      <w:tr w:rsidR="00D161F4" w:rsidRPr="00664E64" w14:paraId="19F0A4E5" w14:textId="77777777" w:rsidTr="00A6211D">
        <w:trPr>
          <w:trHeight w:val="320"/>
        </w:trPr>
        <w:tc>
          <w:tcPr>
            <w:tcW w:w="0" w:type="dxa"/>
            <w:hideMark/>
          </w:tcPr>
          <w:p w14:paraId="294E3B9E" w14:textId="2F471928" w:rsidR="00D161F4" w:rsidRPr="00664E64" w:rsidRDefault="00D161F4" w:rsidP="00A55CD9">
            <w:pPr>
              <w:pStyle w:val="TableText"/>
              <w:rPr>
                <w:lang w:val="en-AU"/>
              </w:rPr>
            </w:pPr>
            <w:r w:rsidRPr="00664E64">
              <w:rPr>
                <w:lang w:val="en-AU"/>
              </w:rPr>
              <w:t xml:space="preserve">Completed </w:t>
            </w:r>
            <w:r w:rsidR="00907197" w:rsidRPr="00664E64">
              <w:rPr>
                <w:lang w:val="en-AU"/>
              </w:rPr>
              <w:t>Y</w:t>
            </w:r>
            <w:r w:rsidRPr="00664E64">
              <w:rPr>
                <w:lang w:val="en-AU"/>
              </w:rPr>
              <w:t>ear 12</w:t>
            </w:r>
          </w:p>
        </w:tc>
        <w:tc>
          <w:tcPr>
            <w:tcW w:w="0" w:type="dxa"/>
          </w:tcPr>
          <w:p w14:paraId="3951D5F2" w14:textId="77777777" w:rsidR="00D161F4" w:rsidRPr="00664E64" w:rsidRDefault="00D161F4" w:rsidP="00A55CD9">
            <w:pPr>
              <w:pStyle w:val="TableTextAligned"/>
              <w:rPr>
                <w:lang w:val="en-AU"/>
              </w:rPr>
            </w:pPr>
            <w:r w:rsidRPr="00664E64">
              <w:rPr>
                <w:lang w:val="en-AU"/>
              </w:rPr>
              <w:t>957</w:t>
            </w:r>
          </w:p>
        </w:tc>
        <w:tc>
          <w:tcPr>
            <w:tcW w:w="0" w:type="dxa"/>
            <w:noWrap/>
          </w:tcPr>
          <w:p w14:paraId="13896B93" w14:textId="77777777" w:rsidR="00D161F4" w:rsidRPr="00664E64" w:rsidRDefault="00D161F4" w:rsidP="00A55CD9">
            <w:pPr>
              <w:pStyle w:val="TableTextAligned"/>
              <w:rPr>
                <w:lang w:val="en-AU"/>
              </w:rPr>
            </w:pPr>
            <w:r w:rsidRPr="00664E64">
              <w:rPr>
                <w:lang w:val="en-AU"/>
              </w:rPr>
              <w:t>18.9</w:t>
            </w:r>
          </w:p>
        </w:tc>
      </w:tr>
      <w:tr w:rsidR="00D161F4" w:rsidRPr="00664E64" w14:paraId="2EA721A2" w14:textId="77777777" w:rsidTr="00A6211D">
        <w:trPr>
          <w:trHeight w:val="320"/>
        </w:trPr>
        <w:tc>
          <w:tcPr>
            <w:tcW w:w="0" w:type="dxa"/>
            <w:hideMark/>
          </w:tcPr>
          <w:p w14:paraId="3FF2AB66" w14:textId="559CCFFF" w:rsidR="00D161F4" w:rsidRPr="00664E64" w:rsidRDefault="00D161F4" w:rsidP="00A55CD9">
            <w:pPr>
              <w:pStyle w:val="TableText"/>
              <w:rPr>
                <w:lang w:val="en-AU"/>
              </w:rPr>
            </w:pPr>
            <w:r w:rsidRPr="00664E64">
              <w:rPr>
                <w:lang w:val="en-AU"/>
              </w:rPr>
              <w:t xml:space="preserve">Certificate or </w:t>
            </w:r>
            <w:r w:rsidR="00907197" w:rsidRPr="00664E64">
              <w:rPr>
                <w:lang w:val="en-AU"/>
              </w:rPr>
              <w:t>d</w:t>
            </w:r>
            <w:r w:rsidRPr="00664E64">
              <w:rPr>
                <w:lang w:val="en-AU"/>
              </w:rPr>
              <w:t>iploma</w:t>
            </w:r>
          </w:p>
        </w:tc>
        <w:tc>
          <w:tcPr>
            <w:tcW w:w="0" w:type="dxa"/>
          </w:tcPr>
          <w:p w14:paraId="5BA64976" w14:textId="2B30EE80"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255</w:t>
            </w:r>
          </w:p>
        </w:tc>
        <w:tc>
          <w:tcPr>
            <w:tcW w:w="0" w:type="dxa"/>
            <w:noWrap/>
          </w:tcPr>
          <w:p w14:paraId="155D12CE" w14:textId="77777777" w:rsidR="00D161F4" w:rsidRPr="00664E64" w:rsidRDefault="00D161F4" w:rsidP="00A55CD9">
            <w:pPr>
              <w:pStyle w:val="TableTextAligned"/>
              <w:rPr>
                <w:lang w:val="en-AU"/>
              </w:rPr>
            </w:pPr>
            <w:r w:rsidRPr="00664E64">
              <w:rPr>
                <w:lang w:val="en-AU"/>
              </w:rPr>
              <w:t>24.7</w:t>
            </w:r>
          </w:p>
        </w:tc>
      </w:tr>
      <w:tr w:rsidR="00D161F4" w:rsidRPr="00664E64" w14:paraId="7BC25735" w14:textId="77777777" w:rsidTr="00A6211D">
        <w:trPr>
          <w:trHeight w:val="320"/>
        </w:trPr>
        <w:tc>
          <w:tcPr>
            <w:tcW w:w="0" w:type="dxa"/>
            <w:hideMark/>
          </w:tcPr>
          <w:p w14:paraId="5CC2118D" w14:textId="77777777" w:rsidR="00D161F4" w:rsidRPr="00664E64" w:rsidRDefault="00D161F4" w:rsidP="00A55CD9">
            <w:pPr>
              <w:pStyle w:val="TableText"/>
              <w:rPr>
                <w:lang w:val="en-AU"/>
              </w:rPr>
            </w:pPr>
            <w:r w:rsidRPr="00664E64">
              <w:rPr>
                <w:lang w:val="en-AU"/>
              </w:rPr>
              <w:t xml:space="preserve">Bachelors </w:t>
            </w:r>
          </w:p>
        </w:tc>
        <w:tc>
          <w:tcPr>
            <w:tcW w:w="0" w:type="dxa"/>
          </w:tcPr>
          <w:p w14:paraId="1C2835ED" w14:textId="0F3A738D"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143</w:t>
            </w:r>
          </w:p>
        </w:tc>
        <w:tc>
          <w:tcPr>
            <w:tcW w:w="0" w:type="dxa"/>
            <w:noWrap/>
          </w:tcPr>
          <w:p w14:paraId="4DA9878F" w14:textId="77777777" w:rsidR="00D161F4" w:rsidRPr="00664E64" w:rsidRDefault="00D161F4" w:rsidP="00A55CD9">
            <w:pPr>
              <w:pStyle w:val="TableTextAligned"/>
              <w:rPr>
                <w:lang w:val="en-AU"/>
              </w:rPr>
            </w:pPr>
            <w:r w:rsidRPr="00664E64">
              <w:rPr>
                <w:lang w:val="en-AU"/>
              </w:rPr>
              <w:t>22.5</w:t>
            </w:r>
          </w:p>
        </w:tc>
      </w:tr>
      <w:tr w:rsidR="00D161F4" w:rsidRPr="00664E64" w14:paraId="7CE13845" w14:textId="77777777" w:rsidTr="00A6211D">
        <w:trPr>
          <w:trHeight w:val="320"/>
        </w:trPr>
        <w:tc>
          <w:tcPr>
            <w:tcW w:w="0" w:type="dxa"/>
          </w:tcPr>
          <w:p w14:paraId="6998796C" w14:textId="77777777" w:rsidR="00D161F4" w:rsidRPr="00664E64" w:rsidRDefault="00D161F4" w:rsidP="00A55CD9">
            <w:pPr>
              <w:pStyle w:val="TableText"/>
              <w:rPr>
                <w:lang w:val="en-AU"/>
              </w:rPr>
            </w:pPr>
            <w:r w:rsidRPr="00664E64">
              <w:rPr>
                <w:lang w:val="en-AU"/>
              </w:rPr>
              <w:t>Postgraduate</w:t>
            </w:r>
          </w:p>
        </w:tc>
        <w:tc>
          <w:tcPr>
            <w:tcW w:w="0" w:type="dxa"/>
          </w:tcPr>
          <w:p w14:paraId="1977171A" w14:textId="77777777" w:rsidR="00D161F4" w:rsidRPr="00664E64" w:rsidRDefault="00D161F4" w:rsidP="00A55CD9">
            <w:pPr>
              <w:pStyle w:val="TableTextAligned"/>
              <w:rPr>
                <w:lang w:val="en-AU"/>
              </w:rPr>
            </w:pPr>
            <w:r w:rsidRPr="00664E64">
              <w:rPr>
                <w:lang w:val="en-AU"/>
              </w:rPr>
              <w:t>666</w:t>
            </w:r>
          </w:p>
        </w:tc>
        <w:tc>
          <w:tcPr>
            <w:tcW w:w="0" w:type="dxa"/>
            <w:noWrap/>
          </w:tcPr>
          <w:p w14:paraId="08BE0562" w14:textId="77777777" w:rsidR="00D161F4" w:rsidRPr="00664E64" w:rsidRDefault="00D161F4" w:rsidP="00A55CD9">
            <w:pPr>
              <w:pStyle w:val="TableTextAligned"/>
              <w:rPr>
                <w:lang w:val="en-AU"/>
              </w:rPr>
            </w:pPr>
            <w:r w:rsidRPr="00664E64">
              <w:rPr>
                <w:lang w:val="en-AU"/>
              </w:rPr>
              <w:t>13.1</w:t>
            </w:r>
          </w:p>
        </w:tc>
      </w:tr>
      <w:tr w:rsidR="00D161F4" w:rsidRPr="00664E64" w14:paraId="6C5FCF78" w14:textId="77777777" w:rsidTr="00A6211D">
        <w:trPr>
          <w:trHeight w:val="320"/>
        </w:trPr>
        <w:tc>
          <w:tcPr>
            <w:tcW w:w="0" w:type="dxa"/>
          </w:tcPr>
          <w:p w14:paraId="6738ADB1" w14:textId="77777777" w:rsidR="00D161F4" w:rsidRPr="00664E64" w:rsidRDefault="00D161F4" w:rsidP="00A55CD9">
            <w:pPr>
              <w:pStyle w:val="TableText"/>
              <w:rPr>
                <w:lang w:val="en-AU"/>
              </w:rPr>
            </w:pPr>
            <w:r w:rsidRPr="00664E64">
              <w:rPr>
                <w:lang w:val="en-AU"/>
              </w:rPr>
              <w:t>Other</w:t>
            </w:r>
          </w:p>
        </w:tc>
        <w:tc>
          <w:tcPr>
            <w:tcW w:w="0" w:type="dxa"/>
          </w:tcPr>
          <w:p w14:paraId="046C5E9C" w14:textId="77777777" w:rsidR="00D161F4" w:rsidRPr="00664E64" w:rsidRDefault="00D161F4" w:rsidP="00A55CD9">
            <w:pPr>
              <w:pStyle w:val="TableTextAligned"/>
              <w:rPr>
                <w:lang w:val="en-AU"/>
              </w:rPr>
            </w:pPr>
            <w:r w:rsidRPr="00664E64">
              <w:rPr>
                <w:lang w:val="en-AU"/>
              </w:rPr>
              <w:t>38</w:t>
            </w:r>
          </w:p>
        </w:tc>
        <w:tc>
          <w:tcPr>
            <w:tcW w:w="0" w:type="dxa"/>
            <w:noWrap/>
          </w:tcPr>
          <w:p w14:paraId="4C762B16" w14:textId="77777777" w:rsidR="00D161F4" w:rsidRPr="00664E64" w:rsidRDefault="00D161F4" w:rsidP="00A55CD9">
            <w:pPr>
              <w:pStyle w:val="TableTextAligned"/>
              <w:rPr>
                <w:lang w:val="en-AU"/>
              </w:rPr>
            </w:pPr>
            <w:r w:rsidRPr="00664E64">
              <w:rPr>
                <w:lang w:val="en-AU"/>
              </w:rPr>
              <w:t>0.7</w:t>
            </w:r>
          </w:p>
        </w:tc>
      </w:tr>
      <w:tr w:rsidR="00D161F4" w:rsidRPr="00664E64" w14:paraId="4D0D29FD" w14:textId="77777777" w:rsidTr="00A6211D">
        <w:trPr>
          <w:trHeight w:val="320"/>
        </w:trPr>
        <w:tc>
          <w:tcPr>
            <w:tcW w:w="0" w:type="dxa"/>
            <w:hideMark/>
          </w:tcPr>
          <w:p w14:paraId="32A71EB0" w14:textId="77777777" w:rsidR="00D161F4" w:rsidRPr="0036418A" w:rsidRDefault="00D161F4" w:rsidP="00A55CD9">
            <w:pPr>
              <w:pStyle w:val="TableHeading"/>
              <w:rPr>
                <w:b/>
                <w:lang w:val="en-AU"/>
              </w:rPr>
            </w:pPr>
            <w:r w:rsidRPr="0036418A">
              <w:rPr>
                <w:b/>
                <w:color w:val="auto"/>
                <w:lang w:val="en-AU"/>
              </w:rPr>
              <w:t>Employmen</w:t>
            </w:r>
            <w:r w:rsidRPr="0036418A">
              <w:rPr>
                <w:b/>
                <w:lang w:val="en-AU"/>
              </w:rPr>
              <w:t>t</w:t>
            </w:r>
          </w:p>
        </w:tc>
        <w:tc>
          <w:tcPr>
            <w:tcW w:w="0" w:type="dxa"/>
          </w:tcPr>
          <w:p w14:paraId="50511596" w14:textId="77777777" w:rsidR="00D161F4" w:rsidRPr="00664E64" w:rsidRDefault="00D161F4" w:rsidP="00A55CD9">
            <w:pPr>
              <w:pStyle w:val="TableTextAligned"/>
              <w:rPr>
                <w:lang w:val="en-AU"/>
              </w:rPr>
            </w:pPr>
          </w:p>
        </w:tc>
        <w:tc>
          <w:tcPr>
            <w:tcW w:w="0" w:type="dxa"/>
            <w:noWrap/>
          </w:tcPr>
          <w:p w14:paraId="51B5F88D" w14:textId="77777777" w:rsidR="00D161F4" w:rsidRPr="00664E64" w:rsidRDefault="00D161F4" w:rsidP="00A55CD9">
            <w:pPr>
              <w:pStyle w:val="TableTextAligned"/>
              <w:rPr>
                <w:lang w:val="en-AU"/>
              </w:rPr>
            </w:pPr>
          </w:p>
        </w:tc>
      </w:tr>
      <w:tr w:rsidR="00D161F4" w:rsidRPr="00664E64" w14:paraId="20EDBDAD" w14:textId="77777777" w:rsidTr="00A6211D">
        <w:trPr>
          <w:trHeight w:val="320"/>
        </w:trPr>
        <w:tc>
          <w:tcPr>
            <w:tcW w:w="0" w:type="dxa"/>
            <w:hideMark/>
          </w:tcPr>
          <w:p w14:paraId="0D10B6EA" w14:textId="77777777" w:rsidR="00D161F4" w:rsidRPr="00664E64" w:rsidRDefault="00D161F4" w:rsidP="00A55CD9">
            <w:pPr>
              <w:pStyle w:val="TableText"/>
              <w:rPr>
                <w:lang w:val="en-AU"/>
              </w:rPr>
            </w:pPr>
            <w:r w:rsidRPr="00664E64">
              <w:rPr>
                <w:lang w:val="en-AU"/>
              </w:rPr>
              <w:t>Employed full-time</w:t>
            </w:r>
          </w:p>
        </w:tc>
        <w:tc>
          <w:tcPr>
            <w:tcW w:w="0" w:type="dxa"/>
          </w:tcPr>
          <w:p w14:paraId="5545E6FA" w14:textId="506FB3E6" w:rsidR="00D161F4" w:rsidRPr="00664E64" w:rsidRDefault="00D161F4" w:rsidP="00A55CD9">
            <w:pPr>
              <w:pStyle w:val="TableTextAligned"/>
              <w:rPr>
                <w:lang w:val="en-AU"/>
              </w:rPr>
            </w:pPr>
            <w:r w:rsidRPr="00664E64">
              <w:rPr>
                <w:lang w:val="en-AU"/>
              </w:rPr>
              <w:t>3</w:t>
            </w:r>
            <w:r w:rsidR="00907197" w:rsidRPr="00664E64">
              <w:rPr>
                <w:lang w:val="en-AU"/>
              </w:rPr>
              <w:t>,</w:t>
            </w:r>
            <w:r w:rsidRPr="00664E64">
              <w:rPr>
                <w:lang w:val="en-AU"/>
              </w:rPr>
              <w:t>017</w:t>
            </w:r>
          </w:p>
        </w:tc>
        <w:tc>
          <w:tcPr>
            <w:tcW w:w="0" w:type="dxa"/>
            <w:noWrap/>
          </w:tcPr>
          <w:p w14:paraId="75BAF8F5" w14:textId="77777777" w:rsidR="00D161F4" w:rsidRPr="00664E64" w:rsidRDefault="00D161F4" w:rsidP="00A55CD9">
            <w:pPr>
              <w:pStyle w:val="TableTextAligned"/>
              <w:rPr>
                <w:lang w:val="en-AU"/>
              </w:rPr>
            </w:pPr>
            <w:r w:rsidRPr="00664E64">
              <w:rPr>
                <w:lang w:val="en-AU"/>
              </w:rPr>
              <w:t>59.4</w:t>
            </w:r>
          </w:p>
        </w:tc>
      </w:tr>
      <w:tr w:rsidR="00D161F4" w:rsidRPr="00664E64" w14:paraId="1E403FD4" w14:textId="77777777" w:rsidTr="00A6211D">
        <w:trPr>
          <w:trHeight w:val="320"/>
        </w:trPr>
        <w:tc>
          <w:tcPr>
            <w:tcW w:w="0" w:type="dxa"/>
            <w:hideMark/>
          </w:tcPr>
          <w:p w14:paraId="5B925443" w14:textId="77777777" w:rsidR="00D161F4" w:rsidRPr="00664E64" w:rsidRDefault="00D161F4" w:rsidP="00A55CD9">
            <w:pPr>
              <w:pStyle w:val="TableText"/>
              <w:rPr>
                <w:lang w:val="en-AU"/>
              </w:rPr>
            </w:pPr>
            <w:r w:rsidRPr="00664E64">
              <w:rPr>
                <w:lang w:val="en-AU"/>
              </w:rPr>
              <w:t>Employed part-time</w:t>
            </w:r>
          </w:p>
        </w:tc>
        <w:tc>
          <w:tcPr>
            <w:tcW w:w="0" w:type="dxa"/>
          </w:tcPr>
          <w:p w14:paraId="17B773F2" w14:textId="77777777" w:rsidR="00D161F4" w:rsidRPr="00664E64" w:rsidRDefault="00D161F4" w:rsidP="00A55CD9">
            <w:pPr>
              <w:pStyle w:val="TableTextAligned"/>
              <w:rPr>
                <w:lang w:val="en-AU"/>
              </w:rPr>
            </w:pPr>
            <w:r w:rsidRPr="00664E64">
              <w:rPr>
                <w:lang w:val="en-AU"/>
              </w:rPr>
              <w:t>470</w:t>
            </w:r>
          </w:p>
        </w:tc>
        <w:tc>
          <w:tcPr>
            <w:tcW w:w="0" w:type="dxa"/>
            <w:noWrap/>
          </w:tcPr>
          <w:p w14:paraId="73E7CA13" w14:textId="77777777" w:rsidR="00D161F4" w:rsidRPr="00664E64" w:rsidRDefault="00D161F4" w:rsidP="00A55CD9">
            <w:pPr>
              <w:pStyle w:val="TableTextAligned"/>
              <w:rPr>
                <w:lang w:val="en-AU"/>
              </w:rPr>
            </w:pPr>
            <w:r w:rsidRPr="00664E64">
              <w:rPr>
                <w:lang w:val="en-AU"/>
              </w:rPr>
              <w:t>9.3</w:t>
            </w:r>
          </w:p>
        </w:tc>
      </w:tr>
      <w:tr w:rsidR="00D161F4" w:rsidRPr="00664E64" w14:paraId="4B9A0D65" w14:textId="77777777" w:rsidTr="00A6211D">
        <w:trPr>
          <w:trHeight w:val="320"/>
        </w:trPr>
        <w:tc>
          <w:tcPr>
            <w:tcW w:w="0" w:type="dxa"/>
          </w:tcPr>
          <w:p w14:paraId="21DD647C" w14:textId="77777777" w:rsidR="00D161F4" w:rsidRPr="00664E64" w:rsidRDefault="00D161F4" w:rsidP="00A55CD9">
            <w:pPr>
              <w:pStyle w:val="TableText"/>
              <w:rPr>
                <w:lang w:val="en-AU"/>
              </w:rPr>
            </w:pPr>
            <w:r w:rsidRPr="00664E64">
              <w:rPr>
                <w:lang w:val="en-AU"/>
              </w:rPr>
              <w:t>Casual employment</w:t>
            </w:r>
          </w:p>
        </w:tc>
        <w:tc>
          <w:tcPr>
            <w:tcW w:w="0" w:type="dxa"/>
          </w:tcPr>
          <w:p w14:paraId="4564B2ED" w14:textId="77777777" w:rsidR="00D161F4" w:rsidRPr="00664E64" w:rsidRDefault="00D161F4" w:rsidP="00A55CD9">
            <w:pPr>
              <w:pStyle w:val="TableTextAligned"/>
              <w:rPr>
                <w:lang w:val="en-AU"/>
              </w:rPr>
            </w:pPr>
            <w:r w:rsidRPr="00664E64">
              <w:rPr>
                <w:lang w:val="en-AU"/>
              </w:rPr>
              <w:t>370</w:t>
            </w:r>
          </w:p>
        </w:tc>
        <w:tc>
          <w:tcPr>
            <w:tcW w:w="0" w:type="dxa"/>
            <w:noWrap/>
          </w:tcPr>
          <w:p w14:paraId="43310BAF" w14:textId="77777777" w:rsidR="00D161F4" w:rsidRPr="00664E64" w:rsidRDefault="00D161F4" w:rsidP="00A55CD9">
            <w:pPr>
              <w:pStyle w:val="TableTextAligned"/>
              <w:rPr>
                <w:lang w:val="en-AU"/>
              </w:rPr>
            </w:pPr>
            <w:r w:rsidRPr="00664E64">
              <w:rPr>
                <w:lang w:val="en-AU"/>
              </w:rPr>
              <w:t>7.3</w:t>
            </w:r>
          </w:p>
        </w:tc>
      </w:tr>
      <w:tr w:rsidR="00D161F4" w:rsidRPr="00664E64" w14:paraId="0CB35F42" w14:textId="77777777" w:rsidTr="00A6211D">
        <w:trPr>
          <w:trHeight w:val="320"/>
        </w:trPr>
        <w:tc>
          <w:tcPr>
            <w:tcW w:w="0" w:type="dxa"/>
            <w:hideMark/>
          </w:tcPr>
          <w:p w14:paraId="7000A6D8" w14:textId="77777777" w:rsidR="00D161F4" w:rsidRPr="00664E64" w:rsidRDefault="00D161F4" w:rsidP="00A55CD9">
            <w:pPr>
              <w:pStyle w:val="TableText"/>
              <w:rPr>
                <w:lang w:val="en-AU"/>
              </w:rPr>
            </w:pPr>
            <w:r w:rsidRPr="00664E64">
              <w:rPr>
                <w:lang w:val="en-AU"/>
              </w:rPr>
              <w:t>Unemployed – looking for work</w:t>
            </w:r>
          </w:p>
        </w:tc>
        <w:tc>
          <w:tcPr>
            <w:tcW w:w="0" w:type="dxa"/>
          </w:tcPr>
          <w:p w14:paraId="640D8D6D" w14:textId="77777777" w:rsidR="00D161F4" w:rsidRPr="00664E64" w:rsidRDefault="00D161F4" w:rsidP="00A55CD9">
            <w:pPr>
              <w:pStyle w:val="TableTextAligned"/>
              <w:rPr>
                <w:lang w:val="en-AU"/>
              </w:rPr>
            </w:pPr>
            <w:r w:rsidRPr="00664E64">
              <w:rPr>
                <w:lang w:val="en-AU"/>
              </w:rPr>
              <w:t>236</w:t>
            </w:r>
          </w:p>
        </w:tc>
        <w:tc>
          <w:tcPr>
            <w:tcW w:w="0" w:type="dxa"/>
            <w:noWrap/>
          </w:tcPr>
          <w:p w14:paraId="76F76A3B" w14:textId="77777777" w:rsidR="00D161F4" w:rsidRPr="00664E64" w:rsidRDefault="00D161F4" w:rsidP="00A55CD9">
            <w:pPr>
              <w:pStyle w:val="TableTextAligned"/>
              <w:rPr>
                <w:lang w:val="en-AU"/>
              </w:rPr>
            </w:pPr>
            <w:r w:rsidRPr="00664E64">
              <w:rPr>
                <w:lang w:val="en-AU"/>
              </w:rPr>
              <w:t>4.6</w:t>
            </w:r>
          </w:p>
        </w:tc>
      </w:tr>
      <w:tr w:rsidR="00D161F4" w:rsidRPr="00664E64" w14:paraId="6D68CADA" w14:textId="77777777" w:rsidTr="00A6211D">
        <w:trPr>
          <w:trHeight w:val="320"/>
        </w:trPr>
        <w:tc>
          <w:tcPr>
            <w:tcW w:w="0" w:type="dxa"/>
            <w:hideMark/>
          </w:tcPr>
          <w:p w14:paraId="585A2A56" w14:textId="77777777" w:rsidR="00D161F4" w:rsidRPr="00664E64" w:rsidRDefault="00D161F4" w:rsidP="00A55CD9">
            <w:pPr>
              <w:pStyle w:val="TableText"/>
              <w:rPr>
                <w:lang w:val="en-AU"/>
              </w:rPr>
            </w:pPr>
            <w:r w:rsidRPr="00664E64">
              <w:rPr>
                <w:lang w:val="en-AU"/>
              </w:rPr>
              <w:t>Unemployed – not looking for work</w:t>
            </w:r>
          </w:p>
        </w:tc>
        <w:tc>
          <w:tcPr>
            <w:tcW w:w="0" w:type="dxa"/>
          </w:tcPr>
          <w:p w14:paraId="16170A66" w14:textId="77777777" w:rsidR="00D161F4" w:rsidRPr="00664E64" w:rsidRDefault="00D161F4" w:rsidP="00A55CD9">
            <w:pPr>
              <w:pStyle w:val="TableTextAligned"/>
              <w:rPr>
                <w:lang w:val="en-AU"/>
              </w:rPr>
            </w:pPr>
            <w:r w:rsidRPr="00664E64">
              <w:rPr>
                <w:lang w:val="en-AU"/>
              </w:rPr>
              <w:t>428</w:t>
            </w:r>
          </w:p>
        </w:tc>
        <w:tc>
          <w:tcPr>
            <w:tcW w:w="0" w:type="dxa"/>
            <w:noWrap/>
          </w:tcPr>
          <w:p w14:paraId="0CF6A6C7" w14:textId="77777777" w:rsidR="00D161F4" w:rsidRPr="00664E64" w:rsidRDefault="00D161F4" w:rsidP="00A55CD9">
            <w:pPr>
              <w:pStyle w:val="TableTextAligned"/>
              <w:rPr>
                <w:lang w:val="en-AU"/>
              </w:rPr>
            </w:pPr>
            <w:r w:rsidRPr="00664E64">
              <w:rPr>
                <w:lang w:val="en-AU"/>
              </w:rPr>
              <w:t>8.4</w:t>
            </w:r>
          </w:p>
        </w:tc>
      </w:tr>
      <w:tr w:rsidR="00D161F4" w:rsidRPr="00664E64" w14:paraId="4CBFC282" w14:textId="77777777" w:rsidTr="00A6211D">
        <w:trPr>
          <w:trHeight w:val="320"/>
        </w:trPr>
        <w:tc>
          <w:tcPr>
            <w:tcW w:w="0" w:type="dxa"/>
          </w:tcPr>
          <w:p w14:paraId="683AEDA0" w14:textId="77777777" w:rsidR="00D161F4" w:rsidRPr="00664E64" w:rsidRDefault="00D161F4" w:rsidP="00A55CD9">
            <w:pPr>
              <w:pStyle w:val="TableText"/>
              <w:rPr>
                <w:lang w:val="en-AU"/>
              </w:rPr>
            </w:pPr>
            <w:r w:rsidRPr="00664E64">
              <w:rPr>
                <w:lang w:val="en-AU"/>
              </w:rPr>
              <w:t>Other</w:t>
            </w:r>
          </w:p>
        </w:tc>
        <w:tc>
          <w:tcPr>
            <w:tcW w:w="0" w:type="dxa"/>
          </w:tcPr>
          <w:p w14:paraId="37BB0AA3" w14:textId="77777777" w:rsidR="00D161F4" w:rsidRPr="00664E64" w:rsidRDefault="00D161F4" w:rsidP="00A55CD9">
            <w:pPr>
              <w:pStyle w:val="TableTextAligned"/>
              <w:rPr>
                <w:lang w:val="en-AU"/>
              </w:rPr>
            </w:pPr>
            <w:r w:rsidRPr="00664E64">
              <w:rPr>
                <w:lang w:val="en-AU"/>
              </w:rPr>
              <w:t>555</w:t>
            </w:r>
          </w:p>
        </w:tc>
        <w:tc>
          <w:tcPr>
            <w:tcW w:w="0" w:type="dxa"/>
            <w:noWrap/>
          </w:tcPr>
          <w:p w14:paraId="1D93DE31" w14:textId="77777777" w:rsidR="00D161F4" w:rsidRPr="00664E64" w:rsidRDefault="00D161F4" w:rsidP="00A55CD9">
            <w:pPr>
              <w:pStyle w:val="TableTextAligned"/>
              <w:rPr>
                <w:lang w:val="en-AU"/>
              </w:rPr>
            </w:pPr>
            <w:r w:rsidRPr="00664E64">
              <w:rPr>
                <w:lang w:val="en-AU"/>
              </w:rPr>
              <w:t>10.9</w:t>
            </w:r>
          </w:p>
        </w:tc>
      </w:tr>
      <w:tr w:rsidR="00D161F4" w:rsidRPr="00664E64" w14:paraId="520BF967" w14:textId="77777777" w:rsidTr="00A6211D">
        <w:trPr>
          <w:trHeight w:val="320"/>
        </w:trPr>
        <w:tc>
          <w:tcPr>
            <w:tcW w:w="0" w:type="dxa"/>
          </w:tcPr>
          <w:p w14:paraId="7395E4B8" w14:textId="77777777" w:rsidR="00D161F4" w:rsidRPr="00664E64" w:rsidRDefault="00D161F4" w:rsidP="00A55CD9">
            <w:pPr>
              <w:pStyle w:val="TableHeading"/>
              <w:rPr>
                <w:lang w:val="en-AU"/>
              </w:rPr>
            </w:pPr>
            <w:r w:rsidRPr="0036418A">
              <w:rPr>
                <w:b/>
                <w:color w:val="auto"/>
                <w:lang w:val="en-AU"/>
              </w:rPr>
              <w:t>Current student status</w:t>
            </w:r>
          </w:p>
        </w:tc>
        <w:tc>
          <w:tcPr>
            <w:tcW w:w="0" w:type="dxa"/>
          </w:tcPr>
          <w:p w14:paraId="58744B79" w14:textId="77777777" w:rsidR="00D161F4" w:rsidRPr="00664E64" w:rsidRDefault="00D161F4" w:rsidP="00A55CD9">
            <w:pPr>
              <w:pStyle w:val="TableTextAligned"/>
              <w:rPr>
                <w:lang w:val="en-AU"/>
              </w:rPr>
            </w:pPr>
          </w:p>
        </w:tc>
        <w:tc>
          <w:tcPr>
            <w:tcW w:w="0" w:type="dxa"/>
            <w:noWrap/>
          </w:tcPr>
          <w:p w14:paraId="008038B4" w14:textId="77777777" w:rsidR="00D161F4" w:rsidRPr="00664E64" w:rsidRDefault="00D161F4" w:rsidP="00A55CD9">
            <w:pPr>
              <w:pStyle w:val="TableTextAligned"/>
              <w:rPr>
                <w:lang w:val="en-AU"/>
              </w:rPr>
            </w:pPr>
          </w:p>
        </w:tc>
      </w:tr>
      <w:tr w:rsidR="00D161F4" w:rsidRPr="00664E64" w14:paraId="3ECE2BC1" w14:textId="77777777" w:rsidTr="00A6211D">
        <w:trPr>
          <w:trHeight w:val="320"/>
        </w:trPr>
        <w:tc>
          <w:tcPr>
            <w:tcW w:w="0" w:type="dxa"/>
          </w:tcPr>
          <w:p w14:paraId="306BBE1C" w14:textId="77777777" w:rsidR="00D161F4" w:rsidRPr="00664E64" w:rsidRDefault="00D161F4" w:rsidP="00A55CD9">
            <w:pPr>
              <w:pStyle w:val="TableText"/>
              <w:rPr>
                <w:lang w:val="en-AU"/>
              </w:rPr>
            </w:pPr>
            <w:r w:rsidRPr="00664E64">
              <w:rPr>
                <w:lang w:val="en-AU"/>
              </w:rPr>
              <w:t>Not studying</w:t>
            </w:r>
          </w:p>
        </w:tc>
        <w:tc>
          <w:tcPr>
            <w:tcW w:w="0" w:type="dxa"/>
          </w:tcPr>
          <w:p w14:paraId="3069075F" w14:textId="685569ED" w:rsidR="00D161F4" w:rsidRPr="00664E64" w:rsidRDefault="00D161F4" w:rsidP="00A55CD9">
            <w:pPr>
              <w:pStyle w:val="TableTextAligned"/>
              <w:rPr>
                <w:lang w:val="en-AU"/>
              </w:rPr>
            </w:pPr>
            <w:r w:rsidRPr="00664E64">
              <w:rPr>
                <w:lang w:val="en-AU"/>
              </w:rPr>
              <w:t>4</w:t>
            </w:r>
            <w:r w:rsidR="00907197" w:rsidRPr="00664E64">
              <w:rPr>
                <w:lang w:val="en-AU"/>
              </w:rPr>
              <w:t>,</w:t>
            </w:r>
            <w:r w:rsidRPr="00664E64">
              <w:rPr>
                <w:lang w:val="en-AU"/>
              </w:rPr>
              <w:t>535</w:t>
            </w:r>
          </w:p>
        </w:tc>
        <w:tc>
          <w:tcPr>
            <w:tcW w:w="0" w:type="dxa"/>
            <w:noWrap/>
          </w:tcPr>
          <w:p w14:paraId="484CA120" w14:textId="77777777" w:rsidR="00D161F4" w:rsidRPr="00664E64" w:rsidRDefault="00D161F4" w:rsidP="00A55CD9">
            <w:pPr>
              <w:pStyle w:val="TableTextAligned"/>
              <w:rPr>
                <w:lang w:val="en-AU"/>
              </w:rPr>
            </w:pPr>
            <w:r w:rsidRPr="00664E64">
              <w:rPr>
                <w:lang w:val="en-AU"/>
              </w:rPr>
              <w:t>89.3</w:t>
            </w:r>
          </w:p>
        </w:tc>
      </w:tr>
      <w:tr w:rsidR="00D161F4" w:rsidRPr="00664E64" w14:paraId="3EC4A49B" w14:textId="77777777" w:rsidTr="00A6211D">
        <w:trPr>
          <w:trHeight w:val="320"/>
        </w:trPr>
        <w:tc>
          <w:tcPr>
            <w:tcW w:w="0" w:type="dxa"/>
          </w:tcPr>
          <w:p w14:paraId="067170DF" w14:textId="77777777" w:rsidR="00D161F4" w:rsidRPr="00664E64" w:rsidRDefault="00D161F4" w:rsidP="00A55CD9">
            <w:pPr>
              <w:pStyle w:val="TableText"/>
              <w:rPr>
                <w:lang w:val="en-AU"/>
              </w:rPr>
            </w:pPr>
            <w:r w:rsidRPr="00664E64">
              <w:rPr>
                <w:lang w:val="en-AU"/>
              </w:rPr>
              <w:t>Full-time student</w:t>
            </w:r>
          </w:p>
        </w:tc>
        <w:tc>
          <w:tcPr>
            <w:tcW w:w="0" w:type="dxa"/>
          </w:tcPr>
          <w:p w14:paraId="4903C1C0" w14:textId="77777777" w:rsidR="00D161F4" w:rsidRPr="00664E64" w:rsidRDefault="00D161F4" w:rsidP="00A55CD9">
            <w:pPr>
              <w:pStyle w:val="TableTextAligned"/>
              <w:rPr>
                <w:lang w:val="en-AU"/>
              </w:rPr>
            </w:pPr>
            <w:r w:rsidRPr="00664E64">
              <w:rPr>
                <w:lang w:val="en-AU"/>
              </w:rPr>
              <w:t>202</w:t>
            </w:r>
          </w:p>
        </w:tc>
        <w:tc>
          <w:tcPr>
            <w:tcW w:w="0" w:type="dxa"/>
            <w:noWrap/>
          </w:tcPr>
          <w:p w14:paraId="302CB912" w14:textId="77777777" w:rsidR="00D161F4" w:rsidRPr="00664E64" w:rsidRDefault="00D161F4" w:rsidP="00A55CD9">
            <w:pPr>
              <w:pStyle w:val="TableTextAligned"/>
              <w:rPr>
                <w:lang w:val="en-AU"/>
              </w:rPr>
            </w:pPr>
            <w:r w:rsidRPr="00664E64">
              <w:rPr>
                <w:lang w:val="en-AU"/>
              </w:rPr>
              <w:t>4</w:t>
            </w:r>
          </w:p>
        </w:tc>
      </w:tr>
      <w:tr w:rsidR="00D161F4" w:rsidRPr="00664E64" w14:paraId="0C212833" w14:textId="77777777" w:rsidTr="00A6211D">
        <w:trPr>
          <w:trHeight w:val="320"/>
        </w:trPr>
        <w:tc>
          <w:tcPr>
            <w:tcW w:w="0" w:type="dxa"/>
          </w:tcPr>
          <w:p w14:paraId="18EBA993" w14:textId="77777777" w:rsidR="00D161F4" w:rsidRPr="00664E64" w:rsidRDefault="00D161F4" w:rsidP="00A55CD9">
            <w:pPr>
              <w:pStyle w:val="TableText"/>
              <w:rPr>
                <w:lang w:val="en-AU"/>
              </w:rPr>
            </w:pPr>
            <w:r w:rsidRPr="00664E64">
              <w:rPr>
                <w:lang w:val="en-AU"/>
              </w:rPr>
              <w:t>Part-time student</w:t>
            </w:r>
          </w:p>
        </w:tc>
        <w:tc>
          <w:tcPr>
            <w:tcW w:w="0" w:type="dxa"/>
          </w:tcPr>
          <w:p w14:paraId="23D52905" w14:textId="77777777" w:rsidR="00D161F4" w:rsidRPr="00664E64" w:rsidRDefault="00D161F4" w:rsidP="00A55CD9">
            <w:pPr>
              <w:pStyle w:val="TableTextAligned"/>
              <w:rPr>
                <w:lang w:val="en-AU"/>
              </w:rPr>
            </w:pPr>
            <w:r w:rsidRPr="00664E64">
              <w:rPr>
                <w:lang w:val="en-AU"/>
              </w:rPr>
              <w:t>292</w:t>
            </w:r>
          </w:p>
        </w:tc>
        <w:tc>
          <w:tcPr>
            <w:tcW w:w="0" w:type="dxa"/>
            <w:noWrap/>
          </w:tcPr>
          <w:p w14:paraId="43937CA2" w14:textId="77777777" w:rsidR="00D161F4" w:rsidRPr="00664E64" w:rsidRDefault="00D161F4" w:rsidP="00A55CD9">
            <w:pPr>
              <w:pStyle w:val="TableTextAligned"/>
              <w:rPr>
                <w:lang w:val="en-AU"/>
              </w:rPr>
            </w:pPr>
            <w:r w:rsidRPr="00664E64">
              <w:rPr>
                <w:lang w:val="en-AU"/>
              </w:rPr>
              <w:t>5.8</w:t>
            </w:r>
          </w:p>
        </w:tc>
      </w:tr>
      <w:tr w:rsidR="00D161F4" w:rsidRPr="00664E64" w14:paraId="595567EE" w14:textId="77777777" w:rsidTr="00A6211D">
        <w:trPr>
          <w:trHeight w:val="320"/>
        </w:trPr>
        <w:tc>
          <w:tcPr>
            <w:tcW w:w="0" w:type="dxa"/>
          </w:tcPr>
          <w:p w14:paraId="6F0FDBBB" w14:textId="77777777" w:rsidR="00D161F4" w:rsidRPr="00664E64" w:rsidRDefault="00D161F4" w:rsidP="00A55CD9">
            <w:pPr>
              <w:pStyle w:val="TableText"/>
              <w:rPr>
                <w:lang w:val="en-AU"/>
              </w:rPr>
            </w:pPr>
            <w:r w:rsidRPr="00664E64">
              <w:rPr>
                <w:lang w:val="en-AU"/>
              </w:rPr>
              <w:t>Other</w:t>
            </w:r>
          </w:p>
        </w:tc>
        <w:tc>
          <w:tcPr>
            <w:tcW w:w="0" w:type="dxa"/>
          </w:tcPr>
          <w:p w14:paraId="4E6D7F68" w14:textId="77777777" w:rsidR="00D161F4" w:rsidRPr="00664E64" w:rsidRDefault="00D161F4" w:rsidP="00A55CD9">
            <w:pPr>
              <w:pStyle w:val="TableTextAligned"/>
              <w:rPr>
                <w:lang w:val="en-AU"/>
              </w:rPr>
            </w:pPr>
            <w:r w:rsidRPr="00664E64">
              <w:rPr>
                <w:lang w:val="en-AU"/>
              </w:rPr>
              <w:t>47</w:t>
            </w:r>
          </w:p>
        </w:tc>
        <w:tc>
          <w:tcPr>
            <w:tcW w:w="0" w:type="dxa"/>
            <w:noWrap/>
          </w:tcPr>
          <w:p w14:paraId="59BD96F7" w14:textId="77777777" w:rsidR="00D161F4" w:rsidRPr="00664E64" w:rsidRDefault="00D161F4" w:rsidP="00A55CD9">
            <w:pPr>
              <w:pStyle w:val="TableTextAligned"/>
              <w:rPr>
                <w:lang w:val="en-AU"/>
              </w:rPr>
            </w:pPr>
            <w:r w:rsidRPr="00664E64">
              <w:rPr>
                <w:lang w:val="en-AU"/>
              </w:rPr>
              <w:t>0.9</w:t>
            </w:r>
          </w:p>
        </w:tc>
      </w:tr>
      <w:tr w:rsidR="00D161F4" w:rsidRPr="00664E64" w14:paraId="17C69EC8" w14:textId="77777777" w:rsidTr="00A6211D">
        <w:trPr>
          <w:trHeight w:val="320"/>
        </w:trPr>
        <w:tc>
          <w:tcPr>
            <w:tcW w:w="0" w:type="dxa"/>
            <w:hideMark/>
          </w:tcPr>
          <w:p w14:paraId="3C810C5F" w14:textId="77777777" w:rsidR="00D161F4" w:rsidRPr="00664E64" w:rsidRDefault="00D161F4" w:rsidP="00A55CD9">
            <w:pPr>
              <w:pStyle w:val="TableHeading"/>
              <w:rPr>
                <w:lang w:val="en-AU"/>
              </w:rPr>
            </w:pPr>
            <w:r w:rsidRPr="0036418A">
              <w:rPr>
                <w:b/>
                <w:color w:val="auto"/>
                <w:lang w:val="en-AU"/>
              </w:rPr>
              <w:t>Relationship</w:t>
            </w:r>
            <w:r w:rsidRPr="0036418A">
              <w:rPr>
                <w:color w:val="auto"/>
                <w:lang w:val="en-AU"/>
              </w:rPr>
              <w:t xml:space="preserve"> status</w:t>
            </w:r>
          </w:p>
        </w:tc>
        <w:tc>
          <w:tcPr>
            <w:tcW w:w="0" w:type="dxa"/>
          </w:tcPr>
          <w:p w14:paraId="3DC47C77" w14:textId="77777777" w:rsidR="00D161F4" w:rsidRPr="00664E64" w:rsidRDefault="00D161F4" w:rsidP="00A55CD9">
            <w:pPr>
              <w:pStyle w:val="TableTextAligned"/>
              <w:rPr>
                <w:lang w:val="en-AU"/>
              </w:rPr>
            </w:pPr>
          </w:p>
        </w:tc>
        <w:tc>
          <w:tcPr>
            <w:tcW w:w="0" w:type="dxa"/>
            <w:noWrap/>
          </w:tcPr>
          <w:p w14:paraId="35E7C6E9" w14:textId="77777777" w:rsidR="00D161F4" w:rsidRPr="00664E64" w:rsidRDefault="00D161F4" w:rsidP="00A55CD9">
            <w:pPr>
              <w:pStyle w:val="TableTextAligned"/>
              <w:rPr>
                <w:lang w:val="en-AU"/>
              </w:rPr>
            </w:pPr>
          </w:p>
        </w:tc>
      </w:tr>
      <w:tr w:rsidR="00D161F4" w:rsidRPr="00664E64" w14:paraId="599EA7F6" w14:textId="77777777" w:rsidTr="00A6211D">
        <w:trPr>
          <w:trHeight w:val="361"/>
        </w:trPr>
        <w:tc>
          <w:tcPr>
            <w:tcW w:w="0" w:type="dxa"/>
            <w:hideMark/>
          </w:tcPr>
          <w:p w14:paraId="39C612BB" w14:textId="77777777" w:rsidR="00D161F4" w:rsidRPr="00664E64" w:rsidRDefault="00D161F4" w:rsidP="00A55CD9">
            <w:pPr>
              <w:pStyle w:val="TableText"/>
              <w:rPr>
                <w:lang w:val="en-AU"/>
              </w:rPr>
            </w:pPr>
            <w:r w:rsidRPr="00664E64">
              <w:rPr>
                <w:lang w:val="en-AU"/>
              </w:rPr>
              <w:t>Married/in a de facto relationship</w:t>
            </w:r>
          </w:p>
        </w:tc>
        <w:tc>
          <w:tcPr>
            <w:tcW w:w="0" w:type="dxa"/>
          </w:tcPr>
          <w:p w14:paraId="7EC972FC" w14:textId="2FCD8E1A" w:rsidR="00D161F4" w:rsidRPr="00664E64" w:rsidRDefault="00D161F4" w:rsidP="00A55CD9">
            <w:pPr>
              <w:pStyle w:val="TableTextAligned"/>
              <w:rPr>
                <w:lang w:val="en-AU"/>
              </w:rPr>
            </w:pPr>
            <w:r w:rsidRPr="00664E64">
              <w:rPr>
                <w:lang w:val="en-AU"/>
              </w:rPr>
              <w:t>2</w:t>
            </w:r>
            <w:r w:rsidR="00907197" w:rsidRPr="00664E64">
              <w:rPr>
                <w:lang w:val="en-AU"/>
              </w:rPr>
              <w:t>,</w:t>
            </w:r>
            <w:r w:rsidRPr="00664E64">
              <w:rPr>
                <w:lang w:val="en-AU"/>
              </w:rPr>
              <w:t>892</w:t>
            </w:r>
          </w:p>
        </w:tc>
        <w:tc>
          <w:tcPr>
            <w:tcW w:w="0" w:type="dxa"/>
            <w:noWrap/>
          </w:tcPr>
          <w:p w14:paraId="114D32B3" w14:textId="77777777" w:rsidR="00D161F4" w:rsidRPr="00664E64" w:rsidRDefault="00D161F4" w:rsidP="00A55CD9">
            <w:pPr>
              <w:pStyle w:val="TableTextAligned"/>
              <w:rPr>
                <w:lang w:val="en-AU"/>
              </w:rPr>
            </w:pPr>
            <w:r w:rsidRPr="00664E64">
              <w:rPr>
                <w:lang w:val="en-AU"/>
              </w:rPr>
              <w:t>57</w:t>
            </w:r>
          </w:p>
        </w:tc>
      </w:tr>
      <w:tr w:rsidR="00D161F4" w:rsidRPr="00664E64" w14:paraId="18E6671A" w14:textId="77777777" w:rsidTr="00A6211D">
        <w:trPr>
          <w:trHeight w:val="320"/>
        </w:trPr>
        <w:tc>
          <w:tcPr>
            <w:tcW w:w="0" w:type="dxa"/>
            <w:hideMark/>
          </w:tcPr>
          <w:p w14:paraId="369E6547" w14:textId="7BE459E0" w:rsidR="00D161F4" w:rsidRPr="00664E64" w:rsidRDefault="00D161F4" w:rsidP="00A55CD9">
            <w:pPr>
              <w:pStyle w:val="TableText"/>
              <w:rPr>
                <w:b/>
                <w:bCs/>
                <w:lang w:val="en-AU"/>
              </w:rPr>
            </w:pPr>
            <w:r w:rsidRPr="00664E64">
              <w:rPr>
                <w:lang w:val="en-AU"/>
              </w:rPr>
              <w:t>Single</w:t>
            </w:r>
          </w:p>
        </w:tc>
        <w:tc>
          <w:tcPr>
            <w:tcW w:w="0" w:type="dxa"/>
          </w:tcPr>
          <w:p w14:paraId="75A0379F" w14:textId="7BD14F96"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079</w:t>
            </w:r>
          </w:p>
        </w:tc>
        <w:tc>
          <w:tcPr>
            <w:tcW w:w="0" w:type="dxa"/>
            <w:noWrap/>
          </w:tcPr>
          <w:p w14:paraId="1E82BF02" w14:textId="77777777" w:rsidR="00D161F4" w:rsidRPr="00664E64" w:rsidRDefault="00D161F4" w:rsidP="00A55CD9">
            <w:pPr>
              <w:pStyle w:val="TableTextAligned"/>
              <w:rPr>
                <w:lang w:val="en-AU"/>
              </w:rPr>
            </w:pPr>
            <w:r w:rsidRPr="00664E64">
              <w:rPr>
                <w:lang w:val="en-AU"/>
              </w:rPr>
              <w:t>21.3</w:t>
            </w:r>
          </w:p>
        </w:tc>
      </w:tr>
      <w:tr w:rsidR="00D161F4" w:rsidRPr="00664E64" w14:paraId="5F80F756" w14:textId="77777777" w:rsidTr="00A6211D">
        <w:trPr>
          <w:trHeight w:val="320"/>
        </w:trPr>
        <w:tc>
          <w:tcPr>
            <w:tcW w:w="0" w:type="dxa"/>
            <w:hideMark/>
          </w:tcPr>
          <w:p w14:paraId="5A0E0CD6" w14:textId="77777777" w:rsidR="00D161F4" w:rsidRPr="00664E64" w:rsidRDefault="00D161F4" w:rsidP="00A55CD9">
            <w:pPr>
              <w:pStyle w:val="TableText"/>
              <w:rPr>
                <w:lang w:val="en-AU"/>
              </w:rPr>
            </w:pPr>
            <w:r w:rsidRPr="00664E64">
              <w:rPr>
                <w:lang w:val="en-AU"/>
              </w:rPr>
              <w:t>In a relationship</w:t>
            </w:r>
          </w:p>
        </w:tc>
        <w:tc>
          <w:tcPr>
            <w:tcW w:w="0" w:type="dxa"/>
          </w:tcPr>
          <w:p w14:paraId="680F5704" w14:textId="77777777" w:rsidR="00D161F4" w:rsidRPr="00664E64" w:rsidRDefault="00D161F4" w:rsidP="00A55CD9">
            <w:pPr>
              <w:pStyle w:val="TableTextAligned"/>
              <w:rPr>
                <w:lang w:val="en-AU"/>
              </w:rPr>
            </w:pPr>
            <w:r w:rsidRPr="00664E64">
              <w:rPr>
                <w:lang w:val="en-AU"/>
              </w:rPr>
              <w:t>777</w:t>
            </w:r>
          </w:p>
        </w:tc>
        <w:tc>
          <w:tcPr>
            <w:tcW w:w="0" w:type="dxa"/>
            <w:noWrap/>
          </w:tcPr>
          <w:p w14:paraId="2F8A1629" w14:textId="77777777" w:rsidR="00D161F4" w:rsidRPr="00664E64" w:rsidRDefault="00D161F4" w:rsidP="00A55CD9">
            <w:pPr>
              <w:pStyle w:val="TableTextAligned"/>
              <w:rPr>
                <w:lang w:val="en-AU"/>
              </w:rPr>
            </w:pPr>
            <w:r w:rsidRPr="00664E64">
              <w:rPr>
                <w:lang w:val="en-AU"/>
              </w:rPr>
              <w:t>15.3</w:t>
            </w:r>
          </w:p>
        </w:tc>
      </w:tr>
      <w:tr w:rsidR="00D161F4" w:rsidRPr="00664E64" w14:paraId="3698957C" w14:textId="77777777" w:rsidTr="00A6211D">
        <w:trPr>
          <w:trHeight w:val="320"/>
        </w:trPr>
        <w:tc>
          <w:tcPr>
            <w:tcW w:w="0" w:type="dxa"/>
            <w:hideMark/>
          </w:tcPr>
          <w:p w14:paraId="719D9347" w14:textId="77777777" w:rsidR="00D161F4" w:rsidRPr="00664E64" w:rsidRDefault="00D161F4" w:rsidP="00A55CD9">
            <w:pPr>
              <w:pStyle w:val="TableText"/>
              <w:rPr>
                <w:lang w:val="en-AU"/>
              </w:rPr>
            </w:pPr>
            <w:r w:rsidRPr="00664E64">
              <w:rPr>
                <w:lang w:val="en-AU"/>
              </w:rPr>
              <w:t>Divorced/Separated</w:t>
            </w:r>
          </w:p>
        </w:tc>
        <w:tc>
          <w:tcPr>
            <w:tcW w:w="0" w:type="dxa"/>
          </w:tcPr>
          <w:p w14:paraId="4528005B" w14:textId="77777777" w:rsidR="00D161F4" w:rsidRPr="00664E64" w:rsidRDefault="00D161F4" w:rsidP="00A55CD9">
            <w:pPr>
              <w:pStyle w:val="TableTextAligned"/>
              <w:rPr>
                <w:lang w:val="en-AU"/>
              </w:rPr>
            </w:pPr>
            <w:r w:rsidRPr="00664E64">
              <w:rPr>
                <w:lang w:val="en-AU"/>
              </w:rPr>
              <w:t>262</w:t>
            </w:r>
          </w:p>
        </w:tc>
        <w:tc>
          <w:tcPr>
            <w:tcW w:w="0" w:type="dxa"/>
            <w:noWrap/>
          </w:tcPr>
          <w:p w14:paraId="2AA27CC0" w14:textId="77777777" w:rsidR="00D161F4" w:rsidRPr="00664E64" w:rsidRDefault="00D161F4" w:rsidP="00A55CD9">
            <w:pPr>
              <w:pStyle w:val="TableTextAligned"/>
              <w:rPr>
                <w:lang w:val="en-AU"/>
              </w:rPr>
            </w:pPr>
            <w:r w:rsidRPr="00664E64">
              <w:rPr>
                <w:lang w:val="en-AU"/>
              </w:rPr>
              <w:t>5.2</w:t>
            </w:r>
          </w:p>
        </w:tc>
      </w:tr>
      <w:tr w:rsidR="00D161F4" w:rsidRPr="00664E64" w14:paraId="6309F81F" w14:textId="77777777" w:rsidTr="00A6211D">
        <w:trPr>
          <w:trHeight w:val="320"/>
        </w:trPr>
        <w:tc>
          <w:tcPr>
            <w:tcW w:w="0" w:type="dxa"/>
          </w:tcPr>
          <w:p w14:paraId="16AB97AE" w14:textId="77777777" w:rsidR="00D161F4" w:rsidRPr="00664E64" w:rsidRDefault="00D161F4" w:rsidP="00A55CD9">
            <w:pPr>
              <w:pStyle w:val="TableText"/>
              <w:rPr>
                <w:lang w:val="en-AU"/>
              </w:rPr>
            </w:pPr>
            <w:r w:rsidRPr="00664E64">
              <w:rPr>
                <w:lang w:val="en-AU"/>
              </w:rPr>
              <w:t>Other</w:t>
            </w:r>
          </w:p>
        </w:tc>
        <w:tc>
          <w:tcPr>
            <w:tcW w:w="0" w:type="dxa"/>
          </w:tcPr>
          <w:p w14:paraId="4FE6BBB0" w14:textId="77777777" w:rsidR="00D161F4" w:rsidRPr="00664E64" w:rsidRDefault="00D161F4" w:rsidP="00A55CD9">
            <w:pPr>
              <w:pStyle w:val="TableTextAligned"/>
              <w:rPr>
                <w:lang w:val="en-AU"/>
              </w:rPr>
            </w:pPr>
            <w:r w:rsidRPr="00664E64">
              <w:rPr>
                <w:lang w:val="en-AU"/>
              </w:rPr>
              <w:t>66</w:t>
            </w:r>
          </w:p>
        </w:tc>
        <w:tc>
          <w:tcPr>
            <w:tcW w:w="0" w:type="dxa"/>
            <w:noWrap/>
          </w:tcPr>
          <w:p w14:paraId="61BB21BB" w14:textId="77777777" w:rsidR="00D161F4" w:rsidRPr="00664E64" w:rsidRDefault="00D161F4" w:rsidP="00A55CD9">
            <w:pPr>
              <w:pStyle w:val="TableTextAligned"/>
              <w:rPr>
                <w:lang w:val="en-AU"/>
              </w:rPr>
            </w:pPr>
            <w:r w:rsidRPr="00664E64">
              <w:rPr>
                <w:lang w:val="en-AU"/>
              </w:rPr>
              <w:t>1.3</w:t>
            </w:r>
          </w:p>
        </w:tc>
      </w:tr>
      <w:tr w:rsidR="00D161F4" w:rsidRPr="00664E64" w14:paraId="72484807" w14:textId="77777777" w:rsidTr="00A6211D">
        <w:trPr>
          <w:trHeight w:val="320"/>
        </w:trPr>
        <w:tc>
          <w:tcPr>
            <w:tcW w:w="0" w:type="dxa"/>
          </w:tcPr>
          <w:p w14:paraId="10809A67" w14:textId="77777777" w:rsidR="00D161F4" w:rsidRPr="0036418A" w:rsidRDefault="00D161F4" w:rsidP="00A55CD9">
            <w:pPr>
              <w:pStyle w:val="TableHeading"/>
              <w:rPr>
                <w:b/>
                <w:lang w:val="en-AU"/>
              </w:rPr>
            </w:pPr>
            <w:r w:rsidRPr="0036418A">
              <w:rPr>
                <w:b/>
                <w:color w:val="auto"/>
                <w:lang w:val="en-AU"/>
              </w:rPr>
              <w:t>Living arrangement</w:t>
            </w:r>
          </w:p>
        </w:tc>
        <w:tc>
          <w:tcPr>
            <w:tcW w:w="0" w:type="dxa"/>
          </w:tcPr>
          <w:p w14:paraId="30B00C6E" w14:textId="77777777" w:rsidR="00D161F4" w:rsidRPr="00664E64" w:rsidRDefault="00D161F4" w:rsidP="00A55CD9">
            <w:pPr>
              <w:pStyle w:val="TableTextAligned"/>
              <w:rPr>
                <w:lang w:val="en-AU"/>
              </w:rPr>
            </w:pPr>
          </w:p>
        </w:tc>
        <w:tc>
          <w:tcPr>
            <w:tcW w:w="0" w:type="dxa"/>
            <w:noWrap/>
          </w:tcPr>
          <w:p w14:paraId="6CD9957A" w14:textId="77777777" w:rsidR="00D161F4" w:rsidRPr="00664E64" w:rsidRDefault="00D161F4" w:rsidP="00A55CD9">
            <w:pPr>
              <w:pStyle w:val="TableTextAligned"/>
              <w:rPr>
                <w:lang w:val="en-AU"/>
              </w:rPr>
            </w:pPr>
          </w:p>
        </w:tc>
      </w:tr>
      <w:tr w:rsidR="00D161F4" w:rsidRPr="00664E64" w14:paraId="6F15BB0B" w14:textId="77777777" w:rsidTr="00A6211D">
        <w:trPr>
          <w:trHeight w:val="320"/>
        </w:trPr>
        <w:tc>
          <w:tcPr>
            <w:tcW w:w="0" w:type="dxa"/>
          </w:tcPr>
          <w:p w14:paraId="5A002529" w14:textId="77777777" w:rsidR="00D161F4" w:rsidRPr="00664E64" w:rsidRDefault="00D161F4" w:rsidP="00A55CD9">
            <w:pPr>
              <w:pStyle w:val="TableText"/>
              <w:rPr>
                <w:lang w:val="en-AU"/>
              </w:rPr>
            </w:pPr>
            <w:r w:rsidRPr="00664E64">
              <w:rPr>
                <w:lang w:val="en-AU"/>
              </w:rPr>
              <w:t>Alone</w:t>
            </w:r>
          </w:p>
        </w:tc>
        <w:tc>
          <w:tcPr>
            <w:tcW w:w="0" w:type="dxa"/>
          </w:tcPr>
          <w:p w14:paraId="529E7008" w14:textId="77777777" w:rsidR="00D161F4" w:rsidRPr="00664E64" w:rsidRDefault="00D161F4" w:rsidP="00A55CD9">
            <w:pPr>
              <w:pStyle w:val="TableTextAligned"/>
              <w:rPr>
                <w:lang w:val="en-AU"/>
              </w:rPr>
            </w:pPr>
            <w:r w:rsidRPr="00664E64">
              <w:rPr>
                <w:lang w:val="en-AU"/>
              </w:rPr>
              <w:t>722</w:t>
            </w:r>
          </w:p>
        </w:tc>
        <w:tc>
          <w:tcPr>
            <w:tcW w:w="0" w:type="dxa"/>
            <w:noWrap/>
          </w:tcPr>
          <w:p w14:paraId="233CD074" w14:textId="77777777" w:rsidR="00D161F4" w:rsidRPr="00664E64" w:rsidRDefault="00D161F4" w:rsidP="00A55CD9">
            <w:pPr>
              <w:pStyle w:val="TableTextAligned"/>
              <w:rPr>
                <w:lang w:val="en-AU"/>
              </w:rPr>
            </w:pPr>
            <w:r w:rsidRPr="00664E64">
              <w:rPr>
                <w:lang w:val="en-AU"/>
              </w:rPr>
              <w:t>14.2</w:t>
            </w:r>
          </w:p>
        </w:tc>
      </w:tr>
      <w:tr w:rsidR="00D161F4" w:rsidRPr="00664E64" w14:paraId="4113B239" w14:textId="77777777" w:rsidTr="00A6211D">
        <w:trPr>
          <w:trHeight w:val="320"/>
        </w:trPr>
        <w:tc>
          <w:tcPr>
            <w:tcW w:w="0" w:type="dxa"/>
          </w:tcPr>
          <w:p w14:paraId="2FB58B16" w14:textId="0258EA54" w:rsidR="00D161F4" w:rsidRPr="00664E64" w:rsidRDefault="00D161F4" w:rsidP="00A55CD9">
            <w:pPr>
              <w:pStyle w:val="TableText"/>
              <w:rPr>
                <w:lang w:val="en-AU"/>
              </w:rPr>
            </w:pPr>
            <w:r w:rsidRPr="00664E64">
              <w:rPr>
                <w:lang w:val="en-AU"/>
              </w:rPr>
              <w:t>With parents</w:t>
            </w:r>
          </w:p>
        </w:tc>
        <w:tc>
          <w:tcPr>
            <w:tcW w:w="0" w:type="dxa"/>
          </w:tcPr>
          <w:p w14:paraId="62A588A8" w14:textId="77777777" w:rsidR="00D161F4" w:rsidRPr="00664E64" w:rsidRDefault="00D161F4" w:rsidP="00A55CD9">
            <w:pPr>
              <w:pStyle w:val="TableTextAligned"/>
              <w:rPr>
                <w:lang w:val="en-AU"/>
              </w:rPr>
            </w:pPr>
            <w:r w:rsidRPr="00664E64">
              <w:rPr>
                <w:lang w:val="en-AU"/>
              </w:rPr>
              <w:t>339</w:t>
            </w:r>
          </w:p>
        </w:tc>
        <w:tc>
          <w:tcPr>
            <w:tcW w:w="0" w:type="dxa"/>
            <w:noWrap/>
          </w:tcPr>
          <w:p w14:paraId="037881AE" w14:textId="77777777" w:rsidR="00D161F4" w:rsidRPr="00664E64" w:rsidRDefault="00D161F4" w:rsidP="00A55CD9">
            <w:pPr>
              <w:pStyle w:val="TableTextAligned"/>
              <w:rPr>
                <w:lang w:val="en-AU"/>
              </w:rPr>
            </w:pPr>
            <w:r w:rsidRPr="00664E64">
              <w:rPr>
                <w:lang w:val="en-AU"/>
              </w:rPr>
              <w:t>6.7</w:t>
            </w:r>
          </w:p>
        </w:tc>
      </w:tr>
      <w:tr w:rsidR="00D161F4" w:rsidRPr="00664E64" w14:paraId="7C1BF6F8" w14:textId="77777777" w:rsidTr="00A6211D">
        <w:trPr>
          <w:trHeight w:val="320"/>
        </w:trPr>
        <w:tc>
          <w:tcPr>
            <w:tcW w:w="0" w:type="dxa"/>
          </w:tcPr>
          <w:p w14:paraId="2BA90F86" w14:textId="77777777" w:rsidR="00D161F4" w:rsidRPr="00664E64" w:rsidRDefault="00D161F4" w:rsidP="00A55CD9">
            <w:pPr>
              <w:pStyle w:val="TableText"/>
              <w:rPr>
                <w:lang w:val="en-AU"/>
              </w:rPr>
            </w:pPr>
            <w:r w:rsidRPr="00664E64">
              <w:rPr>
                <w:lang w:val="en-AU"/>
              </w:rPr>
              <w:t>In share house with other adults</w:t>
            </w:r>
          </w:p>
        </w:tc>
        <w:tc>
          <w:tcPr>
            <w:tcW w:w="0" w:type="dxa"/>
          </w:tcPr>
          <w:p w14:paraId="0FC540DA" w14:textId="77777777" w:rsidR="00D161F4" w:rsidRPr="00664E64" w:rsidRDefault="00D161F4" w:rsidP="00A55CD9">
            <w:pPr>
              <w:pStyle w:val="TableTextAligned"/>
              <w:rPr>
                <w:lang w:val="en-AU"/>
              </w:rPr>
            </w:pPr>
            <w:r w:rsidRPr="00664E64">
              <w:rPr>
                <w:lang w:val="en-AU"/>
              </w:rPr>
              <w:t>415</w:t>
            </w:r>
          </w:p>
        </w:tc>
        <w:tc>
          <w:tcPr>
            <w:tcW w:w="0" w:type="dxa"/>
            <w:noWrap/>
          </w:tcPr>
          <w:p w14:paraId="1D55B560" w14:textId="77777777" w:rsidR="00D161F4" w:rsidRPr="00664E64" w:rsidRDefault="00D161F4" w:rsidP="00A55CD9">
            <w:pPr>
              <w:pStyle w:val="TableTextAligned"/>
              <w:rPr>
                <w:lang w:val="en-AU"/>
              </w:rPr>
            </w:pPr>
            <w:r w:rsidRPr="00664E64">
              <w:rPr>
                <w:lang w:val="en-AU"/>
              </w:rPr>
              <w:t>8.2</w:t>
            </w:r>
          </w:p>
        </w:tc>
      </w:tr>
      <w:tr w:rsidR="00D161F4" w:rsidRPr="00664E64" w14:paraId="1C175AE5" w14:textId="77777777" w:rsidTr="00A6211D">
        <w:trPr>
          <w:trHeight w:val="320"/>
        </w:trPr>
        <w:tc>
          <w:tcPr>
            <w:tcW w:w="0" w:type="dxa"/>
          </w:tcPr>
          <w:p w14:paraId="57DE72CA" w14:textId="77777777" w:rsidR="00D161F4" w:rsidRPr="00664E64" w:rsidRDefault="00D161F4" w:rsidP="00A55CD9">
            <w:pPr>
              <w:pStyle w:val="TableText"/>
              <w:rPr>
                <w:lang w:val="en-AU"/>
              </w:rPr>
            </w:pPr>
            <w:r w:rsidRPr="00664E64">
              <w:rPr>
                <w:lang w:val="en-AU"/>
              </w:rPr>
              <w:t>With partner (no children)</w:t>
            </w:r>
          </w:p>
        </w:tc>
        <w:tc>
          <w:tcPr>
            <w:tcW w:w="0" w:type="dxa"/>
          </w:tcPr>
          <w:p w14:paraId="0BE6A267" w14:textId="27E72D06"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449</w:t>
            </w:r>
          </w:p>
        </w:tc>
        <w:tc>
          <w:tcPr>
            <w:tcW w:w="0" w:type="dxa"/>
            <w:noWrap/>
          </w:tcPr>
          <w:p w14:paraId="29F0F5ED" w14:textId="77777777" w:rsidR="00D161F4" w:rsidRPr="00664E64" w:rsidRDefault="00D161F4" w:rsidP="00A55CD9">
            <w:pPr>
              <w:pStyle w:val="TableTextAligned"/>
              <w:rPr>
                <w:lang w:val="en-AU"/>
              </w:rPr>
            </w:pPr>
            <w:r w:rsidRPr="00664E64">
              <w:rPr>
                <w:lang w:val="en-AU"/>
              </w:rPr>
              <w:t>28.5</w:t>
            </w:r>
          </w:p>
        </w:tc>
      </w:tr>
      <w:tr w:rsidR="00D161F4" w:rsidRPr="00664E64" w14:paraId="66ADF2B5" w14:textId="77777777" w:rsidTr="00A6211D">
        <w:trPr>
          <w:trHeight w:val="320"/>
        </w:trPr>
        <w:tc>
          <w:tcPr>
            <w:tcW w:w="0" w:type="dxa"/>
          </w:tcPr>
          <w:p w14:paraId="4706B5D8" w14:textId="77777777" w:rsidR="00D161F4" w:rsidRPr="00664E64" w:rsidRDefault="00D161F4" w:rsidP="00A55CD9">
            <w:pPr>
              <w:pStyle w:val="TableText"/>
              <w:rPr>
                <w:lang w:val="en-AU"/>
              </w:rPr>
            </w:pPr>
            <w:r w:rsidRPr="00664E64">
              <w:rPr>
                <w:lang w:val="en-AU"/>
              </w:rPr>
              <w:t>With partner (with at least one dependent child)</w:t>
            </w:r>
          </w:p>
        </w:tc>
        <w:tc>
          <w:tcPr>
            <w:tcW w:w="0" w:type="dxa"/>
          </w:tcPr>
          <w:p w14:paraId="677AF137" w14:textId="6AB6F8A6"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767</w:t>
            </w:r>
          </w:p>
        </w:tc>
        <w:tc>
          <w:tcPr>
            <w:tcW w:w="0" w:type="dxa"/>
            <w:noWrap/>
          </w:tcPr>
          <w:p w14:paraId="7284AB56" w14:textId="77777777" w:rsidR="00D161F4" w:rsidRPr="00664E64" w:rsidRDefault="00D161F4" w:rsidP="00A55CD9">
            <w:pPr>
              <w:pStyle w:val="TableTextAligned"/>
              <w:rPr>
                <w:lang w:val="en-AU"/>
              </w:rPr>
            </w:pPr>
            <w:r w:rsidRPr="00664E64">
              <w:rPr>
                <w:lang w:val="en-AU"/>
              </w:rPr>
              <w:t>34.8</w:t>
            </w:r>
          </w:p>
        </w:tc>
      </w:tr>
      <w:tr w:rsidR="00D161F4" w:rsidRPr="00664E64" w14:paraId="41FBD07B" w14:textId="77777777" w:rsidTr="00A6211D">
        <w:trPr>
          <w:trHeight w:val="320"/>
        </w:trPr>
        <w:tc>
          <w:tcPr>
            <w:tcW w:w="0" w:type="dxa"/>
          </w:tcPr>
          <w:p w14:paraId="3A44FC52" w14:textId="77777777" w:rsidR="00D161F4" w:rsidRPr="00664E64" w:rsidRDefault="00D161F4" w:rsidP="00A55CD9">
            <w:pPr>
              <w:pStyle w:val="TableText"/>
              <w:rPr>
                <w:lang w:val="en-AU"/>
              </w:rPr>
            </w:pPr>
            <w:r w:rsidRPr="00664E64">
              <w:rPr>
                <w:lang w:val="en-AU"/>
              </w:rPr>
              <w:t>With at least one dependent child (single parent)</w:t>
            </w:r>
          </w:p>
        </w:tc>
        <w:tc>
          <w:tcPr>
            <w:tcW w:w="0" w:type="dxa"/>
          </w:tcPr>
          <w:p w14:paraId="0390A538" w14:textId="77777777" w:rsidR="00D161F4" w:rsidRPr="00664E64" w:rsidRDefault="00D161F4" w:rsidP="00A55CD9">
            <w:pPr>
              <w:pStyle w:val="TableTextAligned"/>
              <w:rPr>
                <w:lang w:val="en-AU"/>
              </w:rPr>
            </w:pPr>
            <w:r w:rsidRPr="00664E64">
              <w:rPr>
                <w:lang w:val="en-AU"/>
              </w:rPr>
              <w:t>240</w:t>
            </w:r>
          </w:p>
        </w:tc>
        <w:tc>
          <w:tcPr>
            <w:tcW w:w="0" w:type="dxa"/>
            <w:noWrap/>
          </w:tcPr>
          <w:p w14:paraId="5F1EF723" w14:textId="77777777" w:rsidR="00D161F4" w:rsidRPr="00664E64" w:rsidRDefault="00D161F4" w:rsidP="00A55CD9">
            <w:pPr>
              <w:pStyle w:val="TableTextAligned"/>
              <w:rPr>
                <w:lang w:val="en-AU"/>
              </w:rPr>
            </w:pPr>
            <w:r w:rsidRPr="00664E64">
              <w:rPr>
                <w:lang w:val="en-AU"/>
              </w:rPr>
              <w:t>4.7</w:t>
            </w:r>
          </w:p>
        </w:tc>
      </w:tr>
      <w:tr w:rsidR="00D161F4" w:rsidRPr="00664E64" w14:paraId="4A07A980" w14:textId="77777777" w:rsidTr="00A6211D">
        <w:trPr>
          <w:trHeight w:val="320"/>
        </w:trPr>
        <w:tc>
          <w:tcPr>
            <w:tcW w:w="0" w:type="dxa"/>
          </w:tcPr>
          <w:p w14:paraId="7479E58F" w14:textId="77777777" w:rsidR="00D161F4" w:rsidRPr="00664E64" w:rsidRDefault="00D161F4" w:rsidP="00A55CD9">
            <w:pPr>
              <w:pStyle w:val="TableText"/>
              <w:rPr>
                <w:lang w:val="en-AU"/>
              </w:rPr>
            </w:pPr>
            <w:r w:rsidRPr="00664E64">
              <w:rPr>
                <w:lang w:val="en-AU"/>
              </w:rPr>
              <w:t>No specific address</w:t>
            </w:r>
          </w:p>
        </w:tc>
        <w:tc>
          <w:tcPr>
            <w:tcW w:w="0" w:type="dxa"/>
          </w:tcPr>
          <w:p w14:paraId="036887DA" w14:textId="77777777" w:rsidR="00D161F4" w:rsidRPr="00664E64" w:rsidRDefault="00D161F4" w:rsidP="00A55CD9">
            <w:pPr>
              <w:pStyle w:val="TableTextAligned"/>
              <w:rPr>
                <w:lang w:val="en-AU"/>
              </w:rPr>
            </w:pPr>
            <w:r w:rsidRPr="00664E64">
              <w:rPr>
                <w:lang w:val="en-AU"/>
              </w:rPr>
              <w:t>30</w:t>
            </w:r>
          </w:p>
        </w:tc>
        <w:tc>
          <w:tcPr>
            <w:tcW w:w="0" w:type="dxa"/>
            <w:noWrap/>
          </w:tcPr>
          <w:p w14:paraId="5C30750F" w14:textId="77777777" w:rsidR="00D161F4" w:rsidRPr="00664E64" w:rsidRDefault="00D161F4" w:rsidP="00A55CD9">
            <w:pPr>
              <w:pStyle w:val="TableTextAligned"/>
              <w:rPr>
                <w:lang w:val="en-AU"/>
              </w:rPr>
            </w:pPr>
            <w:r w:rsidRPr="00664E64">
              <w:rPr>
                <w:lang w:val="en-AU"/>
              </w:rPr>
              <w:t>0.6</w:t>
            </w:r>
          </w:p>
        </w:tc>
      </w:tr>
      <w:tr w:rsidR="00D161F4" w:rsidRPr="00664E64" w14:paraId="3F67D305" w14:textId="77777777" w:rsidTr="00A6211D">
        <w:trPr>
          <w:trHeight w:val="320"/>
        </w:trPr>
        <w:tc>
          <w:tcPr>
            <w:tcW w:w="0" w:type="dxa"/>
          </w:tcPr>
          <w:p w14:paraId="22FE604E" w14:textId="77777777" w:rsidR="00D161F4" w:rsidRPr="00664E64" w:rsidRDefault="00D161F4" w:rsidP="00A55CD9">
            <w:pPr>
              <w:pStyle w:val="TableText"/>
              <w:rPr>
                <w:lang w:val="en-AU"/>
              </w:rPr>
            </w:pPr>
            <w:r w:rsidRPr="00664E64">
              <w:rPr>
                <w:lang w:val="en-AU"/>
              </w:rPr>
              <w:t>Other</w:t>
            </w:r>
          </w:p>
        </w:tc>
        <w:tc>
          <w:tcPr>
            <w:tcW w:w="0" w:type="dxa"/>
          </w:tcPr>
          <w:p w14:paraId="13C14AC8" w14:textId="77777777" w:rsidR="00D161F4" w:rsidRPr="00664E64" w:rsidRDefault="00D161F4" w:rsidP="00A55CD9">
            <w:pPr>
              <w:pStyle w:val="TableTextAligned"/>
              <w:rPr>
                <w:lang w:val="en-AU"/>
              </w:rPr>
            </w:pPr>
            <w:r w:rsidRPr="00664E64">
              <w:rPr>
                <w:lang w:val="en-AU"/>
              </w:rPr>
              <w:t>114</w:t>
            </w:r>
          </w:p>
        </w:tc>
        <w:tc>
          <w:tcPr>
            <w:tcW w:w="0" w:type="dxa"/>
            <w:noWrap/>
          </w:tcPr>
          <w:p w14:paraId="795EA834" w14:textId="77777777" w:rsidR="00D161F4" w:rsidRPr="00664E64" w:rsidRDefault="00D161F4" w:rsidP="00A55CD9">
            <w:pPr>
              <w:pStyle w:val="TableTextAligned"/>
              <w:rPr>
                <w:lang w:val="en-AU"/>
              </w:rPr>
            </w:pPr>
            <w:r w:rsidRPr="00664E64">
              <w:rPr>
                <w:lang w:val="en-AU"/>
              </w:rPr>
              <w:t>2.2</w:t>
            </w:r>
          </w:p>
        </w:tc>
      </w:tr>
      <w:tr w:rsidR="00D161F4" w:rsidRPr="00664E64" w14:paraId="58FE1654" w14:textId="77777777" w:rsidTr="00A6211D">
        <w:trPr>
          <w:trHeight w:val="320"/>
        </w:trPr>
        <w:tc>
          <w:tcPr>
            <w:tcW w:w="0" w:type="dxa"/>
          </w:tcPr>
          <w:p w14:paraId="0D1731AC" w14:textId="77777777" w:rsidR="00D161F4" w:rsidRPr="00664E64" w:rsidRDefault="00D161F4" w:rsidP="00A55CD9">
            <w:pPr>
              <w:pStyle w:val="TableHeading"/>
              <w:rPr>
                <w:lang w:val="en-AU"/>
              </w:rPr>
            </w:pPr>
            <w:r w:rsidRPr="0036418A">
              <w:rPr>
                <w:b/>
                <w:color w:val="auto"/>
                <w:lang w:val="en-AU"/>
              </w:rPr>
              <w:t>Annual after-tax income</w:t>
            </w:r>
          </w:p>
        </w:tc>
        <w:tc>
          <w:tcPr>
            <w:tcW w:w="0" w:type="dxa"/>
          </w:tcPr>
          <w:p w14:paraId="4DD95891" w14:textId="77777777" w:rsidR="00D161F4" w:rsidRPr="00664E64" w:rsidRDefault="00D161F4" w:rsidP="00A55CD9">
            <w:pPr>
              <w:pStyle w:val="TableTextAligned"/>
              <w:rPr>
                <w:lang w:val="en-AU"/>
              </w:rPr>
            </w:pPr>
          </w:p>
        </w:tc>
        <w:tc>
          <w:tcPr>
            <w:tcW w:w="0" w:type="dxa"/>
            <w:noWrap/>
          </w:tcPr>
          <w:p w14:paraId="26279EA6" w14:textId="77777777" w:rsidR="00D161F4" w:rsidRPr="00664E64" w:rsidRDefault="00D161F4" w:rsidP="00A55CD9">
            <w:pPr>
              <w:pStyle w:val="TableTextAligned"/>
              <w:rPr>
                <w:lang w:val="en-AU"/>
              </w:rPr>
            </w:pPr>
          </w:p>
        </w:tc>
      </w:tr>
      <w:tr w:rsidR="00D161F4" w:rsidRPr="00664E64" w14:paraId="318D3A91" w14:textId="77777777" w:rsidTr="00A6211D">
        <w:trPr>
          <w:trHeight w:val="320"/>
        </w:trPr>
        <w:tc>
          <w:tcPr>
            <w:tcW w:w="0" w:type="dxa"/>
          </w:tcPr>
          <w:p w14:paraId="26AB6E0F" w14:textId="2822470C" w:rsidR="00D161F4" w:rsidRPr="00664E64" w:rsidRDefault="00D161F4" w:rsidP="00A55CD9">
            <w:pPr>
              <w:pStyle w:val="TableText"/>
              <w:rPr>
                <w:b/>
                <w:lang w:val="en-AU"/>
              </w:rPr>
            </w:pPr>
            <w:r w:rsidRPr="00664E64">
              <w:rPr>
                <w:lang w:val="en-AU"/>
              </w:rPr>
              <w:lastRenderedPageBreak/>
              <w:t>&lt;20,800</w:t>
            </w:r>
          </w:p>
        </w:tc>
        <w:tc>
          <w:tcPr>
            <w:tcW w:w="0" w:type="dxa"/>
          </w:tcPr>
          <w:p w14:paraId="19A9EB40" w14:textId="77777777" w:rsidR="00D161F4" w:rsidRPr="00664E64" w:rsidRDefault="00D161F4" w:rsidP="00A55CD9">
            <w:pPr>
              <w:pStyle w:val="TableTextAligned"/>
              <w:rPr>
                <w:lang w:val="en-AU"/>
              </w:rPr>
            </w:pPr>
            <w:r w:rsidRPr="00664E64">
              <w:rPr>
                <w:lang w:val="en-AU"/>
              </w:rPr>
              <w:t>461</w:t>
            </w:r>
          </w:p>
        </w:tc>
        <w:tc>
          <w:tcPr>
            <w:tcW w:w="0" w:type="dxa"/>
            <w:noWrap/>
          </w:tcPr>
          <w:p w14:paraId="26B2B9C3" w14:textId="77777777" w:rsidR="00D161F4" w:rsidRPr="00664E64" w:rsidRDefault="00D161F4" w:rsidP="00A55CD9">
            <w:pPr>
              <w:pStyle w:val="TableTextAligned"/>
              <w:rPr>
                <w:lang w:val="en-AU"/>
              </w:rPr>
            </w:pPr>
            <w:r w:rsidRPr="00664E64">
              <w:rPr>
                <w:lang w:val="en-AU"/>
              </w:rPr>
              <w:t>9.1</w:t>
            </w:r>
          </w:p>
        </w:tc>
      </w:tr>
      <w:tr w:rsidR="00D161F4" w:rsidRPr="00664E64" w14:paraId="014F9C2F" w14:textId="77777777" w:rsidTr="00A6211D">
        <w:trPr>
          <w:trHeight w:val="320"/>
        </w:trPr>
        <w:tc>
          <w:tcPr>
            <w:tcW w:w="0" w:type="dxa"/>
          </w:tcPr>
          <w:p w14:paraId="120CA685" w14:textId="460C697C" w:rsidR="00D161F4" w:rsidRPr="00664E64" w:rsidRDefault="00D161F4" w:rsidP="00A55CD9">
            <w:pPr>
              <w:pStyle w:val="TableText"/>
              <w:rPr>
                <w:lang w:val="en-AU"/>
              </w:rPr>
            </w:pPr>
            <w:r w:rsidRPr="00664E64">
              <w:rPr>
                <w:lang w:val="en-AU"/>
              </w:rPr>
              <w:t>20,800</w:t>
            </w:r>
            <w:r w:rsidR="00907197" w:rsidRPr="00664E64">
              <w:rPr>
                <w:lang w:val="en-AU"/>
              </w:rPr>
              <w:t>–</w:t>
            </w:r>
            <w:r w:rsidRPr="00664E64">
              <w:rPr>
                <w:lang w:val="en-AU"/>
              </w:rPr>
              <w:t>41,599</w:t>
            </w:r>
          </w:p>
        </w:tc>
        <w:tc>
          <w:tcPr>
            <w:tcW w:w="0" w:type="dxa"/>
          </w:tcPr>
          <w:p w14:paraId="0A5CE7A1" w14:textId="77777777" w:rsidR="00D161F4" w:rsidRPr="00664E64" w:rsidRDefault="00D161F4" w:rsidP="00A55CD9">
            <w:pPr>
              <w:pStyle w:val="TableTextAligned"/>
              <w:rPr>
                <w:lang w:val="en-AU"/>
              </w:rPr>
            </w:pPr>
            <w:r w:rsidRPr="00664E64">
              <w:rPr>
                <w:lang w:val="en-AU"/>
              </w:rPr>
              <w:t>806</w:t>
            </w:r>
          </w:p>
        </w:tc>
        <w:tc>
          <w:tcPr>
            <w:tcW w:w="0" w:type="dxa"/>
            <w:noWrap/>
          </w:tcPr>
          <w:p w14:paraId="292EBE84" w14:textId="77777777" w:rsidR="00D161F4" w:rsidRPr="00664E64" w:rsidRDefault="00D161F4" w:rsidP="00A55CD9">
            <w:pPr>
              <w:pStyle w:val="TableTextAligned"/>
              <w:rPr>
                <w:lang w:val="en-AU"/>
              </w:rPr>
            </w:pPr>
            <w:r w:rsidRPr="00664E64">
              <w:rPr>
                <w:lang w:val="en-AU"/>
              </w:rPr>
              <w:t>15.9</w:t>
            </w:r>
          </w:p>
        </w:tc>
      </w:tr>
      <w:tr w:rsidR="00D161F4" w:rsidRPr="00664E64" w14:paraId="24145E73" w14:textId="77777777" w:rsidTr="00A6211D">
        <w:trPr>
          <w:trHeight w:val="320"/>
        </w:trPr>
        <w:tc>
          <w:tcPr>
            <w:tcW w:w="0" w:type="dxa"/>
          </w:tcPr>
          <w:p w14:paraId="66275C76" w14:textId="65378785" w:rsidR="00D161F4" w:rsidRPr="00664E64" w:rsidRDefault="00D161F4" w:rsidP="00A55CD9">
            <w:pPr>
              <w:pStyle w:val="TableText"/>
              <w:rPr>
                <w:lang w:val="en-AU"/>
              </w:rPr>
            </w:pPr>
            <w:r w:rsidRPr="00664E64">
              <w:rPr>
                <w:lang w:val="en-AU"/>
              </w:rPr>
              <w:t>41,600</w:t>
            </w:r>
            <w:r w:rsidR="00907197" w:rsidRPr="00664E64">
              <w:rPr>
                <w:lang w:val="en-AU"/>
              </w:rPr>
              <w:t>–</w:t>
            </w:r>
            <w:r w:rsidRPr="00664E64">
              <w:rPr>
                <w:lang w:val="en-AU"/>
              </w:rPr>
              <w:t>62,399</w:t>
            </w:r>
          </w:p>
        </w:tc>
        <w:tc>
          <w:tcPr>
            <w:tcW w:w="0" w:type="dxa"/>
          </w:tcPr>
          <w:p w14:paraId="0F130D36" w14:textId="086DDE5C"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148</w:t>
            </w:r>
          </w:p>
        </w:tc>
        <w:tc>
          <w:tcPr>
            <w:tcW w:w="0" w:type="dxa"/>
            <w:noWrap/>
          </w:tcPr>
          <w:p w14:paraId="68EE9699" w14:textId="77777777" w:rsidR="00D161F4" w:rsidRPr="00664E64" w:rsidRDefault="00D161F4" w:rsidP="00A55CD9">
            <w:pPr>
              <w:pStyle w:val="TableTextAligned"/>
              <w:rPr>
                <w:lang w:val="en-AU"/>
              </w:rPr>
            </w:pPr>
            <w:r w:rsidRPr="00664E64">
              <w:rPr>
                <w:lang w:val="en-AU"/>
              </w:rPr>
              <w:t>22.6</w:t>
            </w:r>
          </w:p>
        </w:tc>
      </w:tr>
      <w:tr w:rsidR="00D161F4" w:rsidRPr="00664E64" w14:paraId="66286D1D" w14:textId="77777777" w:rsidTr="00A6211D">
        <w:trPr>
          <w:trHeight w:val="320"/>
        </w:trPr>
        <w:tc>
          <w:tcPr>
            <w:tcW w:w="0" w:type="dxa"/>
          </w:tcPr>
          <w:p w14:paraId="3C7826B6" w14:textId="1E56F27A" w:rsidR="00D161F4" w:rsidRPr="00664E64" w:rsidRDefault="00D161F4" w:rsidP="00A55CD9">
            <w:pPr>
              <w:pStyle w:val="TableText"/>
              <w:rPr>
                <w:lang w:val="en-AU"/>
              </w:rPr>
            </w:pPr>
            <w:r w:rsidRPr="00664E64">
              <w:rPr>
                <w:lang w:val="en-AU"/>
              </w:rPr>
              <w:t>62,400</w:t>
            </w:r>
            <w:r w:rsidR="00907197" w:rsidRPr="00664E64">
              <w:rPr>
                <w:lang w:val="en-AU"/>
              </w:rPr>
              <w:t>–</w:t>
            </w:r>
            <w:r w:rsidRPr="00664E64">
              <w:rPr>
                <w:lang w:val="en-AU"/>
              </w:rPr>
              <w:t>77,999</w:t>
            </w:r>
          </w:p>
        </w:tc>
        <w:tc>
          <w:tcPr>
            <w:tcW w:w="0" w:type="dxa"/>
          </w:tcPr>
          <w:p w14:paraId="6871F226" w14:textId="77777777" w:rsidR="00D161F4" w:rsidRPr="00664E64" w:rsidRDefault="00D161F4" w:rsidP="00A55CD9">
            <w:pPr>
              <w:pStyle w:val="TableTextAligned"/>
              <w:rPr>
                <w:lang w:val="en-AU"/>
              </w:rPr>
            </w:pPr>
            <w:r w:rsidRPr="00664E64">
              <w:rPr>
                <w:lang w:val="en-AU"/>
              </w:rPr>
              <w:t>538</w:t>
            </w:r>
          </w:p>
        </w:tc>
        <w:tc>
          <w:tcPr>
            <w:tcW w:w="0" w:type="dxa"/>
            <w:noWrap/>
          </w:tcPr>
          <w:p w14:paraId="76639A6E" w14:textId="77777777" w:rsidR="00D161F4" w:rsidRPr="00664E64" w:rsidRDefault="00D161F4" w:rsidP="00A55CD9">
            <w:pPr>
              <w:pStyle w:val="TableTextAligned"/>
              <w:rPr>
                <w:lang w:val="en-AU"/>
              </w:rPr>
            </w:pPr>
            <w:r w:rsidRPr="00664E64">
              <w:rPr>
                <w:lang w:val="en-AU"/>
              </w:rPr>
              <w:t>10.6</w:t>
            </w:r>
          </w:p>
        </w:tc>
      </w:tr>
      <w:tr w:rsidR="00D161F4" w:rsidRPr="00664E64" w14:paraId="3C69AE06" w14:textId="77777777" w:rsidTr="00A6211D">
        <w:trPr>
          <w:trHeight w:val="320"/>
        </w:trPr>
        <w:tc>
          <w:tcPr>
            <w:tcW w:w="0" w:type="dxa"/>
          </w:tcPr>
          <w:p w14:paraId="37EED4D1" w14:textId="77777777" w:rsidR="00D161F4" w:rsidRPr="00664E64" w:rsidRDefault="00D161F4" w:rsidP="00A55CD9">
            <w:pPr>
              <w:pStyle w:val="TableText"/>
              <w:rPr>
                <w:lang w:val="en-AU"/>
              </w:rPr>
            </w:pPr>
            <w:r w:rsidRPr="00664E64">
              <w:rPr>
                <w:lang w:val="en-AU"/>
              </w:rPr>
              <w:t>78,000 or more</w:t>
            </w:r>
          </w:p>
        </w:tc>
        <w:tc>
          <w:tcPr>
            <w:tcW w:w="0" w:type="dxa"/>
          </w:tcPr>
          <w:p w14:paraId="60672340" w14:textId="77777777" w:rsidR="00D161F4" w:rsidRPr="00664E64" w:rsidRDefault="00D161F4" w:rsidP="00A55CD9">
            <w:pPr>
              <w:pStyle w:val="TableTextAligned"/>
              <w:rPr>
                <w:lang w:val="en-AU"/>
              </w:rPr>
            </w:pPr>
            <w:r w:rsidRPr="00664E64">
              <w:rPr>
                <w:lang w:val="en-AU"/>
              </w:rPr>
              <w:t>937</w:t>
            </w:r>
          </w:p>
        </w:tc>
        <w:tc>
          <w:tcPr>
            <w:tcW w:w="0" w:type="dxa"/>
            <w:noWrap/>
          </w:tcPr>
          <w:p w14:paraId="6FC03978" w14:textId="77777777" w:rsidR="00D161F4" w:rsidRPr="00664E64" w:rsidRDefault="00D161F4" w:rsidP="00A55CD9">
            <w:pPr>
              <w:pStyle w:val="TableTextAligned"/>
              <w:rPr>
                <w:lang w:val="en-AU"/>
              </w:rPr>
            </w:pPr>
            <w:r w:rsidRPr="00664E64">
              <w:rPr>
                <w:lang w:val="en-AU"/>
              </w:rPr>
              <w:t>18.5</w:t>
            </w:r>
          </w:p>
        </w:tc>
      </w:tr>
      <w:tr w:rsidR="00D161F4" w:rsidRPr="00664E64" w14:paraId="29993900" w14:textId="77777777" w:rsidTr="00A6211D">
        <w:trPr>
          <w:trHeight w:val="320"/>
        </w:trPr>
        <w:tc>
          <w:tcPr>
            <w:tcW w:w="0" w:type="dxa"/>
          </w:tcPr>
          <w:p w14:paraId="3D45F8B7" w14:textId="77777777" w:rsidR="00D161F4" w:rsidRPr="00664E64" w:rsidRDefault="00D161F4" w:rsidP="00A55CD9">
            <w:pPr>
              <w:pStyle w:val="TableText"/>
              <w:rPr>
                <w:lang w:val="en-AU"/>
              </w:rPr>
            </w:pPr>
            <w:r w:rsidRPr="00664E64">
              <w:rPr>
                <w:lang w:val="en-AU"/>
              </w:rPr>
              <w:t>Prefer not to say/don’t know</w:t>
            </w:r>
          </w:p>
        </w:tc>
        <w:tc>
          <w:tcPr>
            <w:tcW w:w="0" w:type="dxa"/>
          </w:tcPr>
          <w:p w14:paraId="40636AD5" w14:textId="77777777" w:rsidR="00D161F4" w:rsidRPr="00664E64" w:rsidRDefault="00D161F4" w:rsidP="00A55CD9">
            <w:pPr>
              <w:pStyle w:val="TableTextAligned"/>
              <w:rPr>
                <w:lang w:val="en-AU"/>
              </w:rPr>
            </w:pPr>
            <w:r w:rsidRPr="00664E64">
              <w:rPr>
                <w:lang w:val="en-AU"/>
              </w:rPr>
              <w:t>1186</w:t>
            </w:r>
          </w:p>
        </w:tc>
        <w:tc>
          <w:tcPr>
            <w:tcW w:w="0" w:type="dxa"/>
            <w:noWrap/>
          </w:tcPr>
          <w:p w14:paraId="41064BDD" w14:textId="77777777" w:rsidR="00D161F4" w:rsidRPr="00664E64" w:rsidRDefault="00D161F4" w:rsidP="00A55CD9">
            <w:pPr>
              <w:pStyle w:val="TableTextAligned"/>
              <w:rPr>
                <w:lang w:val="en-AU"/>
              </w:rPr>
            </w:pPr>
            <w:r w:rsidRPr="00664E64">
              <w:rPr>
                <w:lang w:val="en-AU"/>
              </w:rPr>
              <w:t>23.4</w:t>
            </w:r>
          </w:p>
        </w:tc>
      </w:tr>
    </w:tbl>
    <w:p w14:paraId="2293CC44" w14:textId="630546B0" w:rsidR="00907197" w:rsidRPr="00664E64" w:rsidRDefault="00E358CE" w:rsidP="00A55CD9">
      <w:pPr>
        <w:pStyle w:val="BodyText"/>
      </w:pPr>
      <w:r w:rsidRPr="00664E64">
        <w:t xml:space="preserve">In terms of </w:t>
      </w:r>
      <w:r w:rsidR="00891F38" w:rsidRPr="00664E64">
        <w:t xml:space="preserve">place of residence (Table 5.2), close to two-thirds (62%) reported living in one of the </w:t>
      </w:r>
      <w:r w:rsidRPr="00664E64">
        <w:t xml:space="preserve">state capitals; the </w:t>
      </w:r>
      <w:r w:rsidR="00891F38" w:rsidRPr="00664E64">
        <w:t xml:space="preserve">remainder in the territories or regional areas. Around one third of the sample reported residing in NSW and another third in Victoria. </w:t>
      </w:r>
      <w:r w:rsidRPr="00664E64">
        <w:t xml:space="preserve"> </w:t>
      </w:r>
    </w:p>
    <w:p w14:paraId="1B102472" w14:textId="2F2B2965" w:rsidR="00D161F4" w:rsidRPr="0036418A" w:rsidRDefault="00D161F4" w:rsidP="00415C73">
      <w:pPr>
        <w:pStyle w:val="FigureCaption"/>
        <w:rPr>
          <w:color w:val="auto"/>
          <w:lang w:val="en-AU"/>
        </w:rPr>
      </w:pPr>
      <w:bookmarkStart w:id="30" w:name="_Toc11864565"/>
      <w:bookmarkStart w:id="31" w:name="_Toc12549562"/>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2</w:t>
      </w:r>
      <w:r w:rsidR="00777624" w:rsidRPr="0036418A">
        <w:rPr>
          <w:noProof/>
          <w:color w:val="auto"/>
          <w:lang w:val="en-AU"/>
        </w:rPr>
        <w:fldChar w:fldCharType="end"/>
      </w:r>
      <w:r w:rsidR="00907197" w:rsidRPr="0036418A">
        <w:rPr>
          <w:color w:val="auto"/>
          <w:lang w:val="en-AU"/>
        </w:rPr>
        <w:t>:</w:t>
      </w:r>
      <w:r w:rsidRPr="0036418A">
        <w:rPr>
          <w:color w:val="auto"/>
          <w:lang w:val="en-AU"/>
        </w:rPr>
        <w:t xml:space="preserve"> Jurisdictions and areas in Australia where participants live (N</w:t>
      </w:r>
      <w:r w:rsidR="00907197" w:rsidRPr="0036418A">
        <w:rPr>
          <w:color w:val="auto"/>
          <w:lang w:val="en-AU"/>
        </w:rPr>
        <w:t xml:space="preserve"> </w:t>
      </w:r>
      <w:r w:rsidRPr="0036418A">
        <w:rPr>
          <w:color w:val="auto"/>
          <w:lang w:val="en-AU"/>
        </w:rPr>
        <w:t>=</w:t>
      </w:r>
      <w:r w:rsidR="00907197" w:rsidRPr="0036418A">
        <w:rPr>
          <w:color w:val="auto"/>
          <w:lang w:val="en-AU"/>
        </w:rPr>
        <w:t xml:space="preserve"> </w:t>
      </w:r>
      <w:r w:rsidRPr="0036418A">
        <w:rPr>
          <w:color w:val="auto"/>
          <w:lang w:val="en-AU"/>
        </w:rPr>
        <w:t>5,076)</w:t>
      </w:r>
      <w:bookmarkEnd w:id="30"/>
      <w:bookmarkEnd w:id="31"/>
    </w:p>
    <w:tbl>
      <w:tblPr>
        <w:tblStyle w:val="TableGrid"/>
        <w:tblpPr w:leftFromText="180" w:rightFromText="180" w:vertAnchor="text" w:tblpY="1"/>
        <w:tblOverlap w:val="never"/>
        <w:tblW w:w="9360" w:type="dxa"/>
        <w:tblLook w:val="04A0" w:firstRow="1" w:lastRow="0" w:firstColumn="1" w:lastColumn="0" w:noHBand="0" w:noVBand="1"/>
        <w:tblCaption w:val="Jurisdictions and areas in Australia where participants live (N = 5.076)"/>
        <w:tblDescription w:val="Numbers and percentage of particpants from each state and territory, capital cities and regional/rural areas. "/>
      </w:tblPr>
      <w:tblGrid>
        <w:gridCol w:w="4678"/>
        <w:gridCol w:w="2195"/>
        <w:gridCol w:w="2487"/>
      </w:tblGrid>
      <w:tr w:rsidR="00D161F4" w:rsidRPr="00664E64" w14:paraId="1D4E24D9" w14:textId="77777777" w:rsidTr="00A6211D">
        <w:trPr>
          <w:cnfStyle w:val="100000000000" w:firstRow="1" w:lastRow="0" w:firstColumn="0" w:lastColumn="0" w:oddVBand="0" w:evenVBand="0" w:oddHBand="0" w:evenHBand="0" w:firstRowFirstColumn="0" w:firstRowLastColumn="0" w:lastRowFirstColumn="0" w:lastRowLastColumn="0"/>
          <w:trHeight w:val="438"/>
          <w:tblHeader/>
        </w:trPr>
        <w:tc>
          <w:tcPr>
            <w:tcW w:w="0" w:type="dxa"/>
            <w:hideMark/>
          </w:tcPr>
          <w:p w14:paraId="5552F7CA" w14:textId="77777777" w:rsidR="00D161F4" w:rsidRPr="00664E64" w:rsidRDefault="00D161F4" w:rsidP="00A55CD9">
            <w:pPr>
              <w:pStyle w:val="TableColHeadLeft"/>
              <w:rPr>
                <w:lang w:val="en-AU"/>
              </w:rPr>
            </w:pPr>
            <w:r w:rsidRPr="00664E64">
              <w:rPr>
                <w:lang w:val="en-AU"/>
              </w:rPr>
              <w:t>Jurisdictions and regions</w:t>
            </w:r>
          </w:p>
        </w:tc>
        <w:tc>
          <w:tcPr>
            <w:tcW w:w="0" w:type="dxa"/>
          </w:tcPr>
          <w:p w14:paraId="6AF8DA12" w14:textId="77777777" w:rsidR="00D161F4" w:rsidRPr="00664E64" w:rsidRDefault="00D161F4" w:rsidP="00A55CD9">
            <w:pPr>
              <w:pStyle w:val="TableColHeadCentre"/>
              <w:rPr>
                <w:lang w:val="en-AU"/>
              </w:rPr>
            </w:pPr>
            <w:r w:rsidRPr="00664E64">
              <w:rPr>
                <w:lang w:val="en-AU"/>
              </w:rPr>
              <w:t>Number</w:t>
            </w:r>
          </w:p>
        </w:tc>
        <w:tc>
          <w:tcPr>
            <w:tcW w:w="0" w:type="dxa"/>
            <w:hideMark/>
          </w:tcPr>
          <w:p w14:paraId="67D2CEA3" w14:textId="77777777" w:rsidR="00D161F4" w:rsidRPr="00664E64" w:rsidRDefault="00D161F4" w:rsidP="00A55CD9">
            <w:pPr>
              <w:pStyle w:val="TableColHeadCentre"/>
              <w:rPr>
                <w:lang w:val="en-AU"/>
              </w:rPr>
            </w:pPr>
            <w:r w:rsidRPr="00664E64">
              <w:rPr>
                <w:lang w:val="en-AU"/>
              </w:rPr>
              <w:t xml:space="preserve"> % of total</w:t>
            </w:r>
          </w:p>
        </w:tc>
      </w:tr>
      <w:tr w:rsidR="00D161F4" w:rsidRPr="00664E64" w14:paraId="24E22781" w14:textId="77777777" w:rsidTr="00A55CD9">
        <w:trPr>
          <w:trHeight w:val="320"/>
        </w:trPr>
        <w:tc>
          <w:tcPr>
            <w:tcW w:w="0" w:type="dxa"/>
          </w:tcPr>
          <w:p w14:paraId="59E8664E" w14:textId="77777777" w:rsidR="00D161F4" w:rsidRPr="0036418A" w:rsidRDefault="00D161F4" w:rsidP="00A55CD9">
            <w:pPr>
              <w:pStyle w:val="TableHeading"/>
              <w:rPr>
                <w:b/>
                <w:bCs/>
                <w:color w:val="auto"/>
                <w:lang w:val="en-AU"/>
              </w:rPr>
            </w:pPr>
            <w:r w:rsidRPr="0036418A">
              <w:rPr>
                <w:b/>
                <w:color w:val="auto"/>
                <w:lang w:val="en-AU"/>
              </w:rPr>
              <w:t>NSW</w:t>
            </w:r>
          </w:p>
        </w:tc>
        <w:tc>
          <w:tcPr>
            <w:tcW w:w="0" w:type="dxa"/>
          </w:tcPr>
          <w:p w14:paraId="43A9B77F" w14:textId="3239EE86" w:rsidR="00D161F4" w:rsidRPr="00664E64" w:rsidRDefault="00D161F4" w:rsidP="00A55CD9">
            <w:pPr>
              <w:pStyle w:val="TableTextAligned"/>
              <w:rPr>
                <w:b/>
                <w:lang w:val="en-AU"/>
              </w:rPr>
            </w:pPr>
            <w:r w:rsidRPr="00664E64">
              <w:rPr>
                <w:b/>
                <w:lang w:val="en-AU"/>
              </w:rPr>
              <w:t>1</w:t>
            </w:r>
            <w:r w:rsidR="00907197" w:rsidRPr="00664E64">
              <w:rPr>
                <w:b/>
                <w:lang w:val="en-AU"/>
              </w:rPr>
              <w:t>,</w:t>
            </w:r>
            <w:r w:rsidRPr="00664E64">
              <w:rPr>
                <w:b/>
                <w:lang w:val="en-AU"/>
              </w:rPr>
              <w:t>802</w:t>
            </w:r>
          </w:p>
        </w:tc>
        <w:tc>
          <w:tcPr>
            <w:tcW w:w="0" w:type="dxa"/>
            <w:noWrap/>
          </w:tcPr>
          <w:p w14:paraId="60F151F6" w14:textId="77777777" w:rsidR="00D161F4" w:rsidRPr="00664E64" w:rsidRDefault="00D161F4" w:rsidP="00A55CD9">
            <w:pPr>
              <w:pStyle w:val="TableTextAligned"/>
              <w:rPr>
                <w:b/>
                <w:lang w:val="en-AU"/>
              </w:rPr>
            </w:pPr>
            <w:r w:rsidRPr="00664E64">
              <w:rPr>
                <w:b/>
                <w:lang w:val="en-AU"/>
              </w:rPr>
              <w:t>35.4</w:t>
            </w:r>
          </w:p>
        </w:tc>
      </w:tr>
      <w:tr w:rsidR="00D161F4" w:rsidRPr="00664E64" w14:paraId="764A3533" w14:textId="77777777" w:rsidTr="00A55CD9">
        <w:trPr>
          <w:trHeight w:val="320"/>
        </w:trPr>
        <w:tc>
          <w:tcPr>
            <w:tcW w:w="0" w:type="dxa"/>
          </w:tcPr>
          <w:p w14:paraId="1312513D" w14:textId="49C8C69E" w:rsidR="00D161F4" w:rsidRPr="00664E64" w:rsidRDefault="00D161F4" w:rsidP="00A55CD9">
            <w:pPr>
              <w:pStyle w:val="TableText"/>
              <w:rPr>
                <w:b/>
                <w:lang w:val="en-AU"/>
              </w:rPr>
            </w:pPr>
            <w:r w:rsidRPr="00664E64">
              <w:rPr>
                <w:lang w:val="en-AU"/>
              </w:rPr>
              <w:t>Sydney</w:t>
            </w:r>
          </w:p>
        </w:tc>
        <w:tc>
          <w:tcPr>
            <w:tcW w:w="0" w:type="dxa"/>
          </w:tcPr>
          <w:p w14:paraId="40C34EAD" w14:textId="73806B7C" w:rsidR="00D161F4" w:rsidRPr="00664E64" w:rsidRDefault="00D161F4" w:rsidP="00A55CD9">
            <w:pPr>
              <w:pStyle w:val="TableTextAligned"/>
              <w:rPr>
                <w:color w:val="000000"/>
                <w:lang w:val="en-AU"/>
              </w:rPr>
            </w:pPr>
            <w:r w:rsidRPr="00664E64">
              <w:rPr>
                <w:color w:val="000000"/>
                <w:lang w:val="en-AU"/>
              </w:rPr>
              <w:t>1</w:t>
            </w:r>
            <w:r w:rsidR="00907197" w:rsidRPr="00664E64">
              <w:rPr>
                <w:color w:val="000000"/>
                <w:lang w:val="en-AU"/>
              </w:rPr>
              <w:t>,</w:t>
            </w:r>
            <w:r w:rsidRPr="00664E64">
              <w:rPr>
                <w:color w:val="000000"/>
                <w:lang w:val="en-AU"/>
              </w:rPr>
              <w:t>040</w:t>
            </w:r>
          </w:p>
        </w:tc>
        <w:tc>
          <w:tcPr>
            <w:tcW w:w="0" w:type="dxa"/>
            <w:noWrap/>
          </w:tcPr>
          <w:p w14:paraId="1FAE218F" w14:textId="77777777" w:rsidR="00D161F4" w:rsidRPr="00664E64" w:rsidRDefault="00D161F4" w:rsidP="00A55CD9">
            <w:pPr>
              <w:pStyle w:val="TableTextAligned"/>
              <w:rPr>
                <w:color w:val="000000"/>
                <w:lang w:val="en-AU"/>
              </w:rPr>
            </w:pPr>
            <w:r w:rsidRPr="00664E64">
              <w:rPr>
                <w:color w:val="000000"/>
                <w:lang w:val="en-AU"/>
              </w:rPr>
              <w:t>20.5</w:t>
            </w:r>
          </w:p>
        </w:tc>
      </w:tr>
      <w:tr w:rsidR="00D161F4" w:rsidRPr="00664E64" w14:paraId="7CC194A4" w14:textId="77777777" w:rsidTr="00A55CD9">
        <w:trPr>
          <w:trHeight w:val="320"/>
        </w:trPr>
        <w:tc>
          <w:tcPr>
            <w:tcW w:w="0" w:type="dxa"/>
          </w:tcPr>
          <w:p w14:paraId="17E7E5F5" w14:textId="36787C35" w:rsidR="00D161F4" w:rsidRPr="00664E64" w:rsidRDefault="00D161F4" w:rsidP="00A55CD9">
            <w:pPr>
              <w:pStyle w:val="TableText"/>
              <w:rPr>
                <w:lang w:val="en-AU"/>
              </w:rPr>
            </w:pPr>
            <w:r w:rsidRPr="00664E64">
              <w:rPr>
                <w:lang w:val="en-AU"/>
              </w:rPr>
              <w:t>Regional/Rural New South Wales</w:t>
            </w:r>
          </w:p>
        </w:tc>
        <w:tc>
          <w:tcPr>
            <w:tcW w:w="0" w:type="dxa"/>
          </w:tcPr>
          <w:p w14:paraId="366DA85E" w14:textId="77777777" w:rsidR="00D161F4" w:rsidRPr="00664E64" w:rsidRDefault="00D161F4" w:rsidP="00A55CD9">
            <w:pPr>
              <w:pStyle w:val="TableTextAligned"/>
              <w:rPr>
                <w:color w:val="000000"/>
                <w:lang w:val="en-AU"/>
              </w:rPr>
            </w:pPr>
            <w:r w:rsidRPr="00664E64">
              <w:rPr>
                <w:color w:val="000000"/>
                <w:lang w:val="en-AU"/>
              </w:rPr>
              <w:t>762</w:t>
            </w:r>
          </w:p>
        </w:tc>
        <w:tc>
          <w:tcPr>
            <w:tcW w:w="0" w:type="dxa"/>
            <w:noWrap/>
          </w:tcPr>
          <w:p w14:paraId="27E0F91D" w14:textId="77777777" w:rsidR="00D161F4" w:rsidRPr="00664E64" w:rsidRDefault="00D161F4" w:rsidP="00A55CD9">
            <w:pPr>
              <w:pStyle w:val="TableTextAligned"/>
              <w:rPr>
                <w:lang w:val="en-AU"/>
              </w:rPr>
            </w:pPr>
            <w:r w:rsidRPr="00664E64">
              <w:rPr>
                <w:color w:val="000000"/>
                <w:lang w:val="en-AU"/>
              </w:rPr>
              <w:t>14.9</w:t>
            </w:r>
          </w:p>
        </w:tc>
      </w:tr>
      <w:tr w:rsidR="00D161F4" w:rsidRPr="00664E64" w14:paraId="07B341D4" w14:textId="77777777" w:rsidTr="00A55CD9">
        <w:trPr>
          <w:trHeight w:val="320"/>
        </w:trPr>
        <w:tc>
          <w:tcPr>
            <w:tcW w:w="0" w:type="dxa"/>
          </w:tcPr>
          <w:p w14:paraId="29703FE1" w14:textId="77777777" w:rsidR="00D161F4" w:rsidRPr="00664E64" w:rsidRDefault="00D161F4" w:rsidP="00A55CD9">
            <w:pPr>
              <w:pStyle w:val="TableHeading"/>
              <w:rPr>
                <w:lang w:val="en-AU"/>
              </w:rPr>
            </w:pPr>
            <w:r w:rsidRPr="0036418A">
              <w:rPr>
                <w:b/>
                <w:color w:val="auto"/>
                <w:lang w:val="en-AU"/>
              </w:rPr>
              <w:t>Victoria</w:t>
            </w:r>
          </w:p>
        </w:tc>
        <w:tc>
          <w:tcPr>
            <w:tcW w:w="0" w:type="dxa"/>
          </w:tcPr>
          <w:p w14:paraId="524F6E95" w14:textId="20A867F7" w:rsidR="00D161F4" w:rsidRPr="00664E64" w:rsidRDefault="00D161F4" w:rsidP="00A55CD9">
            <w:pPr>
              <w:pStyle w:val="TableTextAligned"/>
              <w:rPr>
                <w:b/>
                <w:lang w:val="en-AU"/>
              </w:rPr>
            </w:pPr>
            <w:r w:rsidRPr="00664E64">
              <w:rPr>
                <w:b/>
                <w:lang w:val="en-AU"/>
              </w:rPr>
              <w:t>1</w:t>
            </w:r>
            <w:r w:rsidR="00907197" w:rsidRPr="00664E64">
              <w:rPr>
                <w:b/>
                <w:lang w:val="en-AU"/>
              </w:rPr>
              <w:t>,</w:t>
            </w:r>
            <w:r w:rsidRPr="00664E64">
              <w:rPr>
                <w:b/>
                <w:lang w:val="en-AU"/>
              </w:rPr>
              <w:t>575</w:t>
            </w:r>
          </w:p>
        </w:tc>
        <w:tc>
          <w:tcPr>
            <w:tcW w:w="0" w:type="dxa"/>
            <w:noWrap/>
          </w:tcPr>
          <w:p w14:paraId="4C522DC8" w14:textId="77777777" w:rsidR="00D161F4" w:rsidRPr="00664E64" w:rsidRDefault="00D161F4" w:rsidP="00A55CD9">
            <w:pPr>
              <w:pStyle w:val="TableTextAligned"/>
              <w:rPr>
                <w:b/>
                <w:lang w:val="en-AU"/>
              </w:rPr>
            </w:pPr>
            <w:r w:rsidRPr="00664E64">
              <w:rPr>
                <w:b/>
                <w:lang w:val="en-AU"/>
              </w:rPr>
              <w:t>31.0</w:t>
            </w:r>
          </w:p>
        </w:tc>
      </w:tr>
      <w:tr w:rsidR="00D161F4" w:rsidRPr="00664E64" w14:paraId="4EB5B56B" w14:textId="77777777" w:rsidTr="00A55CD9">
        <w:trPr>
          <w:trHeight w:val="320"/>
        </w:trPr>
        <w:tc>
          <w:tcPr>
            <w:tcW w:w="0" w:type="dxa"/>
          </w:tcPr>
          <w:p w14:paraId="02F11246" w14:textId="4741CACE" w:rsidR="00D161F4" w:rsidRPr="00664E64" w:rsidRDefault="00D161F4" w:rsidP="00A55CD9">
            <w:pPr>
              <w:pStyle w:val="TableText"/>
              <w:rPr>
                <w:b/>
                <w:lang w:val="en-AU"/>
              </w:rPr>
            </w:pPr>
            <w:r w:rsidRPr="00664E64">
              <w:rPr>
                <w:lang w:val="en-AU"/>
              </w:rPr>
              <w:t>Melbourne</w:t>
            </w:r>
          </w:p>
        </w:tc>
        <w:tc>
          <w:tcPr>
            <w:tcW w:w="0" w:type="dxa"/>
          </w:tcPr>
          <w:p w14:paraId="7556BA01" w14:textId="77777777" w:rsidR="00D161F4" w:rsidRPr="00664E64" w:rsidRDefault="00D161F4" w:rsidP="00A55CD9">
            <w:pPr>
              <w:pStyle w:val="TableTextAligned"/>
              <w:rPr>
                <w:color w:val="000000"/>
                <w:lang w:val="en-AU"/>
              </w:rPr>
            </w:pPr>
            <w:r w:rsidRPr="00664E64">
              <w:rPr>
                <w:color w:val="000000"/>
                <w:lang w:val="en-AU"/>
              </w:rPr>
              <w:t>1,149</w:t>
            </w:r>
          </w:p>
        </w:tc>
        <w:tc>
          <w:tcPr>
            <w:tcW w:w="0" w:type="dxa"/>
            <w:noWrap/>
          </w:tcPr>
          <w:p w14:paraId="1B2AA983" w14:textId="77777777" w:rsidR="00D161F4" w:rsidRPr="00664E64" w:rsidRDefault="00D161F4" w:rsidP="00A55CD9">
            <w:pPr>
              <w:pStyle w:val="TableTextAligned"/>
              <w:rPr>
                <w:color w:val="000000"/>
                <w:lang w:val="en-AU"/>
              </w:rPr>
            </w:pPr>
            <w:r w:rsidRPr="00664E64">
              <w:rPr>
                <w:color w:val="000000"/>
                <w:lang w:val="en-AU"/>
              </w:rPr>
              <w:t>22.6</w:t>
            </w:r>
          </w:p>
        </w:tc>
      </w:tr>
      <w:tr w:rsidR="00D161F4" w:rsidRPr="00664E64" w14:paraId="4839E4B3" w14:textId="77777777" w:rsidTr="00A55CD9">
        <w:trPr>
          <w:trHeight w:val="320"/>
        </w:trPr>
        <w:tc>
          <w:tcPr>
            <w:tcW w:w="0" w:type="dxa"/>
          </w:tcPr>
          <w:p w14:paraId="2BFDB7DE" w14:textId="420E1A9A" w:rsidR="00D161F4" w:rsidRPr="00664E64" w:rsidRDefault="00D161F4" w:rsidP="00A55CD9">
            <w:pPr>
              <w:pStyle w:val="TableText"/>
              <w:rPr>
                <w:lang w:val="en-AU"/>
              </w:rPr>
            </w:pPr>
            <w:r w:rsidRPr="00664E64">
              <w:rPr>
                <w:lang w:val="en-AU"/>
              </w:rPr>
              <w:t>Regional/Rural Victoria</w:t>
            </w:r>
          </w:p>
        </w:tc>
        <w:tc>
          <w:tcPr>
            <w:tcW w:w="0" w:type="dxa"/>
          </w:tcPr>
          <w:p w14:paraId="3F838C00" w14:textId="77777777" w:rsidR="00D161F4" w:rsidRPr="00664E64" w:rsidRDefault="00D161F4" w:rsidP="00A55CD9">
            <w:pPr>
              <w:pStyle w:val="TableTextAligned"/>
              <w:rPr>
                <w:color w:val="000000"/>
                <w:lang w:val="en-AU"/>
              </w:rPr>
            </w:pPr>
            <w:r w:rsidRPr="00664E64">
              <w:rPr>
                <w:color w:val="000000"/>
                <w:lang w:val="en-AU"/>
              </w:rPr>
              <w:t>426</w:t>
            </w:r>
          </w:p>
        </w:tc>
        <w:tc>
          <w:tcPr>
            <w:tcW w:w="0" w:type="dxa"/>
            <w:noWrap/>
          </w:tcPr>
          <w:p w14:paraId="349EB95D" w14:textId="77777777" w:rsidR="00D161F4" w:rsidRPr="00664E64" w:rsidRDefault="00D161F4" w:rsidP="00A55CD9">
            <w:pPr>
              <w:pStyle w:val="TableTextAligned"/>
              <w:rPr>
                <w:color w:val="000000"/>
                <w:lang w:val="en-AU"/>
              </w:rPr>
            </w:pPr>
            <w:r w:rsidRPr="00664E64">
              <w:rPr>
                <w:color w:val="000000"/>
                <w:lang w:val="en-AU"/>
              </w:rPr>
              <w:t>8.4</w:t>
            </w:r>
          </w:p>
        </w:tc>
      </w:tr>
      <w:tr w:rsidR="00D161F4" w:rsidRPr="00664E64" w14:paraId="1BBF5986" w14:textId="77777777" w:rsidTr="00A55CD9">
        <w:trPr>
          <w:trHeight w:val="320"/>
        </w:trPr>
        <w:tc>
          <w:tcPr>
            <w:tcW w:w="0" w:type="dxa"/>
          </w:tcPr>
          <w:p w14:paraId="70077E8A" w14:textId="77777777" w:rsidR="00D161F4" w:rsidRPr="00664E64" w:rsidRDefault="00D161F4" w:rsidP="00A55CD9">
            <w:pPr>
              <w:pStyle w:val="TableHeading"/>
              <w:rPr>
                <w:bCs/>
                <w:lang w:val="en-AU"/>
              </w:rPr>
            </w:pPr>
            <w:r w:rsidRPr="0036418A">
              <w:rPr>
                <w:b/>
                <w:color w:val="auto"/>
                <w:lang w:val="en-AU"/>
              </w:rPr>
              <w:t>Queensland</w:t>
            </w:r>
          </w:p>
        </w:tc>
        <w:tc>
          <w:tcPr>
            <w:tcW w:w="0" w:type="dxa"/>
          </w:tcPr>
          <w:p w14:paraId="6A8E7A54" w14:textId="77A92234" w:rsidR="00D161F4" w:rsidRPr="00664E64" w:rsidRDefault="00D161F4" w:rsidP="00A55CD9">
            <w:pPr>
              <w:pStyle w:val="TableTextAligned"/>
              <w:rPr>
                <w:b/>
                <w:lang w:val="en-AU"/>
              </w:rPr>
            </w:pPr>
            <w:r w:rsidRPr="00664E64">
              <w:rPr>
                <w:b/>
                <w:lang w:val="en-AU"/>
              </w:rPr>
              <w:t>1</w:t>
            </w:r>
            <w:r w:rsidR="00907197" w:rsidRPr="00664E64">
              <w:rPr>
                <w:b/>
                <w:lang w:val="en-AU"/>
              </w:rPr>
              <w:t>,</w:t>
            </w:r>
            <w:r w:rsidRPr="00664E64">
              <w:rPr>
                <w:b/>
                <w:lang w:val="en-AU"/>
              </w:rPr>
              <w:t>030</w:t>
            </w:r>
          </w:p>
        </w:tc>
        <w:tc>
          <w:tcPr>
            <w:tcW w:w="0" w:type="dxa"/>
            <w:noWrap/>
          </w:tcPr>
          <w:p w14:paraId="76F7CEA4" w14:textId="77777777" w:rsidR="00D161F4" w:rsidRPr="00664E64" w:rsidRDefault="00D161F4" w:rsidP="00A55CD9">
            <w:pPr>
              <w:pStyle w:val="TableTextAligned"/>
              <w:rPr>
                <w:b/>
                <w:lang w:val="en-AU"/>
              </w:rPr>
            </w:pPr>
            <w:r w:rsidRPr="00664E64">
              <w:rPr>
                <w:b/>
                <w:lang w:val="en-AU"/>
              </w:rPr>
              <w:t>20.3</w:t>
            </w:r>
          </w:p>
        </w:tc>
      </w:tr>
      <w:tr w:rsidR="00D161F4" w:rsidRPr="00664E64" w14:paraId="106B3451" w14:textId="77777777" w:rsidTr="00A55CD9">
        <w:trPr>
          <w:trHeight w:val="320"/>
        </w:trPr>
        <w:tc>
          <w:tcPr>
            <w:tcW w:w="0" w:type="dxa"/>
          </w:tcPr>
          <w:p w14:paraId="16DA2B8B" w14:textId="321F50A6" w:rsidR="00D161F4" w:rsidRPr="00664E64" w:rsidRDefault="00D161F4" w:rsidP="00A55CD9">
            <w:pPr>
              <w:pStyle w:val="TableText"/>
              <w:rPr>
                <w:b/>
                <w:lang w:val="en-AU"/>
              </w:rPr>
            </w:pPr>
            <w:r w:rsidRPr="00664E64">
              <w:rPr>
                <w:lang w:val="en-AU"/>
              </w:rPr>
              <w:t>Brisbane</w:t>
            </w:r>
          </w:p>
        </w:tc>
        <w:tc>
          <w:tcPr>
            <w:tcW w:w="0" w:type="dxa"/>
          </w:tcPr>
          <w:p w14:paraId="4AC5405F" w14:textId="77777777" w:rsidR="00D161F4" w:rsidRPr="00664E64" w:rsidRDefault="00D161F4" w:rsidP="00A55CD9">
            <w:pPr>
              <w:pStyle w:val="TableTextAligned"/>
              <w:rPr>
                <w:color w:val="000000"/>
                <w:lang w:val="en-AU"/>
              </w:rPr>
            </w:pPr>
            <w:r w:rsidRPr="00664E64">
              <w:rPr>
                <w:color w:val="000000"/>
                <w:lang w:val="en-AU"/>
              </w:rPr>
              <w:t>567</w:t>
            </w:r>
          </w:p>
        </w:tc>
        <w:tc>
          <w:tcPr>
            <w:tcW w:w="0" w:type="dxa"/>
            <w:noWrap/>
          </w:tcPr>
          <w:p w14:paraId="0C43644A" w14:textId="77777777" w:rsidR="00D161F4" w:rsidRPr="00664E64" w:rsidRDefault="00D161F4" w:rsidP="00A55CD9">
            <w:pPr>
              <w:pStyle w:val="TableTextAligned"/>
              <w:rPr>
                <w:color w:val="000000"/>
                <w:lang w:val="en-AU"/>
              </w:rPr>
            </w:pPr>
            <w:r w:rsidRPr="00664E64">
              <w:rPr>
                <w:color w:val="000000"/>
                <w:lang w:val="en-AU"/>
              </w:rPr>
              <w:t>11.2</w:t>
            </w:r>
          </w:p>
        </w:tc>
      </w:tr>
      <w:tr w:rsidR="00D161F4" w:rsidRPr="00664E64" w14:paraId="509B5ABD" w14:textId="77777777" w:rsidTr="00A55CD9">
        <w:trPr>
          <w:trHeight w:val="320"/>
        </w:trPr>
        <w:tc>
          <w:tcPr>
            <w:tcW w:w="0" w:type="dxa"/>
          </w:tcPr>
          <w:p w14:paraId="7BC2BB33" w14:textId="77777777" w:rsidR="00D161F4" w:rsidRPr="00664E64" w:rsidRDefault="00D161F4" w:rsidP="00A55CD9">
            <w:pPr>
              <w:pStyle w:val="TableText"/>
              <w:rPr>
                <w:lang w:val="en-AU"/>
              </w:rPr>
            </w:pPr>
            <w:r w:rsidRPr="00664E64">
              <w:rPr>
                <w:lang w:val="en-AU"/>
              </w:rPr>
              <w:t>Regional/ Rural Queensland</w:t>
            </w:r>
          </w:p>
        </w:tc>
        <w:tc>
          <w:tcPr>
            <w:tcW w:w="0" w:type="dxa"/>
          </w:tcPr>
          <w:p w14:paraId="78948112" w14:textId="77777777" w:rsidR="00D161F4" w:rsidRPr="00664E64" w:rsidRDefault="00D161F4" w:rsidP="00A55CD9">
            <w:pPr>
              <w:pStyle w:val="TableTextAligned"/>
              <w:rPr>
                <w:color w:val="000000"/>
                <w:lang w:val="en-AU"/>
              </w:rPr>
            </w:pPr>
            <w:r w:rsidRPr="00664E64">
              <w:rPr>
                <w:color w:val="000000"/>
                <w:lang w:val="en-AU"/>
              </w:rPr>
              <w:t>463</w:t>
            </w:r>
          </w:p>
        </w:tc>
        <w:tc>
          <w:tcPr>
            <w:tcW w:w="0" w:type="dxa"/>
            <w:noWrap/>
          </w:tcPr>
          <w:p w14:paraId="74287EF4" w14:textId="77777777" w:rsidR="00D161F4" w:rsidRPr="00664E64" w:rsidRDefault="00D161F4" w:rsidP="00A55CD9">
            <w:pPr>
              <w:pStyle w:val="TableTextAligned"/>
              <w:rPr>
                <w:lang w:val="en-AU"/>
              </w:rPr>
            </w:pPr>
            <w:r w:rsidRPr="00664E64">
              <w:rPr>
                <w:color w:val="000000"/>
                <w:lang w:val="en-AU"/>
              </w:rPr>
              <w:t>9.1</w:t>
            </w:r>
          </w:p>
        </w:tc>
      </w:tr>
      <w:tr w:rsidR="00D161F4" w:rsidRPr="00664E64" w14:paraId="5214EC2C" w14:textId="77777777" w:rsidTr="00A55CD9">
        <w:trPr>
          <w:trHeight w:val="320"/>
        </w:trPr>
        <w:tc>
          <w:tcPr>
            <w:tcW w:w="0" w:type="dxa"/>
          </w:tcPr>
          <w:p w14:paraId="72F4E77D" w14:textId="77777777" w:rsidR="00D161F4" w:rsidRPr="00664E64" w:rsidRDefault="00D161F4" w:rsidP="00A55CD9">
            <w:pPr>
              <w:pStyle w:val="TableHeading"/>
              <w:rPr>
                <w:lang w:val="en-AU"/>
              </w:rPr>
            </w:pPr>
            <w:r w:rsidRPr="0036418A">
              <w:rPr>
                <w:b/>
                <w:color w:val="auto"/>
                <w:lang w:val="en-AU"/>
              </w:rPr>
              <w:t>South Australia</w:t>
            </w:r>
          </w:p>
        </w:tc>
        <w:tc>
          <w:tcPr>
            <w:tcW w:w="0" w:type="dxa"/>
          </w:tcPr>
          <w:p w14:paraId="386196A7" w14:textId="77777777" w:rsidR="00D161F4" w:rsidRPr="00664E64" w:rsidRDefault="00D161F4" w:rsidP="00A55CD9">
            <w:pPr>
              <w:pStyle w:val="TableTextAligned"/>
              <w:rPr>
                <w:b/>
                <w:lang w:val="en-AU"/>
              </w:rPr>
            </w:pPr>
            <w:r w:rsidRPr="00664E64">
              <w:rPr>
                <w:b/>
                <w:lang w:val="en-AU"/>
              </w:rPr>
              <w:t>75</w:t>
            </w:r>
          </w:p>
        </w:tc>
        <w:tc>
          <w:tcPr>
            <w:tcW w:w="0" w:type="dxa"/>
            <w:noWrap/>
          </w:tcPr>
          <w:p w14:paraId="12DD6268" w14:textId="77777777" w:rsidR="00D161F4" w:rsidRPr="00664E64" w:rsidRDefault="00D161F4" w:rsidP="00A55CD9">
            <w:pPr>
              <w:pStyle w:val="TableTextAligned"/>
              <w:rPr>
                <w:b/>
                <w:lang w:val="en-AU"/>
              </w:rPr>
            </w:pPr>
            <w:r w:rsidRPr="00664E64">
              <w:rPr>
                <w:b/>
                <w:lang w:val="en-AU"/>
              </w:rPr>
              <w:t>1.5</w:t>
            </w:r>
          </w:p>
        </w:tc>
      </w:tr>
      <w:tr w:rsidR="00D161F4" w:rsidRPr="00664E64" w14:paraId="58D5827D" w14:textId="77777777" w:rsidTr="00A55CD9">
        <w:trPr>
          <w:trHeight w:val="320"/>
        </w:trPr>
        <w:tc>
          <w:tcPr>
            <w:tcW w:w="0" w:type="dxa"/>
          </w:tcPr>
          <w:p w14:paraId="07B53D43" w14:textId="7665CDD0" w:rsidR="00D161F4" w:rsidRPr="00664E64" w:rsidRDefault="00D161F4" w:rsidP="00A55CD9">
            <w:pPr>
              <w:pStyle w:val="TableText"/>
              <w:rPr>
                <w:b/>
                <w:lang w:val="en-AU"/>
              </w:rPr>
            </w:pPr>
            <w:r w:rsidRPr="00664E64">
              <w:rPr>
                <w:lang w:val="en-AU"/>
              </w:rPr>
              <w:t>Adelaide</w:t>
            </w:r>
          </w:p>
        </w:tc>
        <w:tc>
          <w:tcPr>
            <w:tcW w:w="0" w:type="dxa"/>
          </w:tcPr>
          <w:p w14:paraId="4EFBEEAF" w14:textId="77777777" w:rsidR="00D161F4" w:rsidRPr="00664E64" w:rsidRDefault="00D161F4" w:rsidP="00A55CD9">
            <w:pPr>
              <w:pStyle w:val="TableTextAligned"/>
              <w:rPr>
                <w:color w:val="000000"/>
                <w:lang w:val="en-AU"/>
              </w:rPr>
            </w:pPr>
            <w:r w:rsidRPr="00664E64">
              <w:rPr>
                <w:color w:val="000000"/>
                <w:lang w:val="en-AU"/>
              </w:rPr>
              <w:t>53</w:t>
            </w:r>
          </w:p>
        </w:tc>
        <w:tc>
          <w:tcPr>
            <w:tcW w:w="0" w:type="dxa"/>
            <w:noWrap/>
          </w:tcPr>
          <w:p w14:paraId="32008405" w14:textId="77777777" w:rsidR="00D161F4" w:rsidRPr="00664E64" w:rsidRDefault="00D161F4" w:rsidP="00A55CD9">
            <w:pPr>
              <w:pStyle w:val="TableTextAligned"/>
              <w:rPr>
                <w:color w:val="000000"/>
                <w:lang w:val="en-AU"/>
              </w:rPr>
            </w:pPr>
            <w:r w:rsidRPr="00664E64">
              <w:rPr>
                <w:color w:val="000000"/>
                <w:lang w:val="en-AU"/>
              </w:rPr>
              <w:t>1.0</w:t>
            </w:r>
          </w:p>
        </w:tc>
      </w:tr>
      <w:tr w:rsidR="00D161F4" w:rsidRPr="00664E64" w14:paraId="000E32E1" w14:textId="77777777" w:rsidTr="00A55CD9">
        <w:trPr>
          <w:trHeight w:val="320"/>
        </w:trPr>
        <w:tc>
          <w:tcPr>
            <w:tcW w:w="0" w:type="dxa"/>
          </w:tcPr>
          <w:p w14:paraId="11FBEAFA" w14:textId="77777777" w:rsidR="00D161F4" w:rsidRPr="00664E64" w:rsidRDefault="00D161F4" w:rsidP="00A55CD9">
            <w:pPr>
              <w:pStyle w:val="TableText"/>
              <w:rPr>
                <w:lang w:val="en-AU"/>
              </w:rPr>
            </w:pPr>
            <w:r w:rsidRPr="00664E64">
              <w:rPr>
                <w:lang w:val="en-AU"/>
              </w:rPr>
              <w:t>Regional/Rural South Australia</w:t>
            </w:r>
          </w:p>
        </w:tc>
        <w:tc>
          <w:tcPr>
            <w:tcW w:w="0" w:type="dxa"/>
          </w:tcPr>
          <w:p w14:paraId="08722C13" w14:textId="77777777" w:rsidR="00D161F4" w:rsidRPr="00664E64" w:rsidRDefault="00D161F4" w:rsidP="00A55CD9">
            <w:pPr>
              <w:pStyle w:val="TableTextAligned"/>
              <w:rPr>
                <w:color w:val="000000"/>
                <w:lang w:val="en-AU"/>
              </w:rPr>
            </w:pPr>
            <w:r w:rsidRPr="00664E64">
              <w:rPr>
                <w:color w:val="000000"/>
                <w:lang w:val="en-AU"/>
              </w:rPr>
              <w:t>22</w:t>
            </w:r>
          </w:p>
        </w:tc>
        <w:tc>
          <w:tcPr>
            <w:tcW w:w="0" w:type="dxa"/>
            <w:noWrap/>
          </w:tcPr>
          <w:p w14:paraId="1F1191AC" w14:textId="77777777" w:rsidR="00D161F4" w:rsidRPr="00664E64" w:rsidRDefault="00D161F4" w:rsidP="00A55CD9">
            <w:pPr>
              <w:pStyle w:val="TableTextAligned"/>
              <w:rPr>
                <w:lang w:val="en-AU"/>
              </w:rPr>
            </w:pPr>
            <w:r w:rsidRPr="00664E64">
              <w:rPr>
                <w:color w:val="000000"/>
                <w:lang w:val="en-AU"/>
              </w:rPr>
              <w:t>0.4</w:t>
            </w:r>
          </w:p>
        </w:tc>
      </w:tr>
      <w:tr w:rsidR="00D161F4" w:rsidRPr="00664E64" w14:paraId="674003AA" w14:textId="77777777" w:rsidTr="00A55CD9">
        <w:trPr>
          <w:trHeight w:val="320"/>
        </w:trPr>
        <w:tc>
          <w:tcPr>
            <w:tcW w:w="0" w:type="dxa"/>
          </w:tcPr>
          <w:p w14:paraId="3BC2887A" w14:textId="77777777" w:rsidR="00D161F4" w:rsidRPr="00664E64" w:rsidRDefault="00D161F4" w:rsidP="00A55CD9">
            <w:pPr>
              <w:pStyle w:val="TableHeading"/>
              <w:rPr>
                <w:bCs/>
                <w:lang w:val="en-AU"/>
              </w:rPr>
            </w:pPr>
            <w:r w:rsidRPr="0036418A">
              <w:rPr>
                <w:b/>
                <w:color w:val="auto"/>
                <w:lang w:val="en-AU"/>
              </w:rPr>
              <w:t>Tasmania</w:t>
            </w:r>
          </w:p>
        </w:tc>
        <w:tc>
          <w:tcPr>
            <w:tcW w:w="0" w:type="dxa"/>
          </w:tcPr>
          <w:p w14:paraId="30FA86A4" w14:textId="77777777" w:rsidR="00D161F4" w:rsidRPr="00664E64" w:rsidRDefault="00D161F4" w:rsidP="00A55CD9">
            <w:pPr>
              <w:pStyle w:val="TableTextAligned"/>
              <w:rPr>
                <w:b/>
                <w:lang w:val="en-AU"/>
              </w:rPr>
            </w:pPr>
            <w:r w:rsidRPr="00664E64">
              <w:rPr>
                <w:b/>
                <w:lang w:val="en-AU"/>
              </w:rPr>
              <w:t>107</w:t>
            </w:r>
          </w:p>
        </w:tc>
        <w:tc>
          <w:tcPr>
            <w:tcW w:w="0" w:type="dxa"/>
            <w:noWrap/>
          </w:tcPr>
          <w:p w14:paraId="160C0C49" w14:textId="77777777" w:rsidR="00D161F4" w:rsidRPr="00664E64" w:rsidRDefault="00D161F4" w:rsidP="00A55CD9">
            <w:pPr>
              <w:pStyle w:val="TableTextAligned"/>
              <w:rPr>
                <w:b/>
                <w:lang w:val="en-AU"/>
              </w:rPr>
            </w:pPr>
            <w:r w:rsidRPr="00664E64">
              <w:rPr>
                <w:b/>
                <w:lang w:val="en-AU"/>
              </w:rPr>
              <w:t>2.1</w:t>
            </w:r>
          </w:p>
        </w:tc>
      </w:tr>
      <w:tr w:rsidR="00D161F4" w:rsidRPr="00664E64" w14:paraId="57BD1FF6" w14:textId="77777777" w:rsidTr="00A55CD9">
        <w:trPr>
          <w:trHeight w:val="320"/>
        </w:trPr>
        <w:tc>
          <w:tcPr>
            <w:tcW w:w="0" w:type="dxa"/>
          </w:tcPr>
          <w:p w14:paraId="1DD984F9" w14:textId="3A9598C7" w:rsidR="00D161F4" w:rsidRPr="00664E64" w:rsidRDefault="00D161F4" w:rsidP="00A55CD9">
            <w:pPr>
              <w:pStyle w:val="TableText"/>
              <w:rPr>
                <w:b/>
                <w:lang w:val="en-AU"/>
              </w:rPr>
            </w:pPr>
            <w:r w:rsidRPr="00664E64">
              <w:rPr>
                <w:lang w:val="en-AU"/>
              </w:rPr>
              <w:t>Hobart</w:t>
            </w:r>
          </w:p>
        </w:tc>
        <w:tc>
          <w:tcPr>
            <w:tcW w:w="0" w:type="dxa"/>
          </w:tcPr>
          <w:p w14:paraId="3CCF13BB" w14:textId="77777777" w:rsidR="00D161F4" w:rsidRPr="00664E64" w:rsidRDefault="00D161F4" w:rsidP="00A55CD9">
            <w:pPr>
              <w:pStyle w:val="TableTextAligned"/>
              <w:rPr>
                <w:color w:val="000000"/>
                <w:lang w:val="en-AU"/>
              </w:rPr>
            </w:pPr>
            <w:r w:rsidRPr="00664E64">
              <w:rPr>
                <w:color w:val="000000"/>
                <w:lang w:val="en-AU"/>
              </w:rPr>
              <w:t>48</w:t>
            </w:r>
          </w:p>
        </w:tc>
        <w:tc>
          <w:tcPr>
            <w:tcW w:w="0" w:type="dxa"/>
            <w:noWrap/>
          </w:tcPr>
          <w:p w14:paraId="6F34CD83" w14:textId="77777777" w:rsidR="00D161F4" w:rsidRPr="00664E64" w:rsidRDefault="00D161F4" w:rsidP="00A55CD9">
            <w:pPr>
              <w:pStyle w:val="TableTextAligned"/>
              <w:rPr>
                <w:color w:val="000000"/>
                <w:lang w:val="en-AU"/>
              </w:rPr>
            </w:pPr>
            <w:r w:rsidRPr="00664E64">
              <w:rPr>
                <w:color w:val="000000"/>
                <w:lang w:val="en-AU"/>
              </w:rPr>
              <w:t>0.9</w:t>
            </w:r>
          </w:p>
        </w:tc>
      </w:tr>
      <w:tr w:rsidR="00D161F4" w:rsidRPr="00664E64" w14:paraId="67B8E7E3" w14:textId="77777777" w:rsidTr="00A55CD9">
        <w:trPr>
          <w:trHeight w:val="320"/>
        </w:trPr>
        <w:tc>
          <w:tcPr>
            <w:tcW w:w="0" w:type="dxa"/>
          </w:tcPr>
          <w:p w14:paraId="0D80067F" w14:textId="77777777" w:rsidR="00D161F4" w:rsidRPr="00664E64" w:rsidRDefault="00D161F4" w:rsidP="00A55CD9">
            <w:pPr>
              <w:pStyle w:val="TableText"/>
              <w:rPr>
                <w:lang w:val="en-AU"/>
              </w:rPr>
            </w:pPr>
            <w:r w:rsidRPr="00664E64">
              <w:rPr>
                <w:lang w:val="en-AU"/>
              </w:rPr>
              <w:t>Regional/Rural Tasmania</w:t>
            </w:r>
          </w:p>
        </w:tc>
        <w:tc>
          <w:tcPr>
            <w:tcW w:w="0" w:type="dxa"/>
          </w:tcPr>
          <w:p w14:paraId="0385FFB8" w14:textId="77777777" w:rsidR="00D161F4" w:rsidRPr="00664E64" w:rsidRDefault="00D161F4" w:rsidP="00A55CD9">
            <w:pPr>
              <w:pStyle w:val="TableTextAligned"/>
              <w:rPr>
                <w:color w:val="000000"/>
                <w:lang w:val="en-AU"/>
              </w:rPr>
            </w:pPr>
            <w:r w:rsidRPr="00664E64">
              <w:rPr>
                <w:color w:val="000000"/>
                <w:lang w:val="en-AU"/>
              </w:rPr>
              <w:t>59</w:t>
            </w:r>
          </w:p>
        </w:tc>
        <w:tc>
          <w:tcPr>
            <w:tcW w:w="0" w:type="dxa"/>
            <w:noWrap/>
          </w:tcPr>
          <w:p w14:paraId="46AFF78E" w14:textId="77777777" w:rsidR="00D161F4" w:rsidRPr="00664E64" w:rsidRDefault="00D161F4" w:rsidP="00A55CD9">
            <w:pPr>
              <w:pStyle w:val="TableTextAligned"/>
              <w:rPr>
                <w:lang w:val="en-AU"/>
              </w:rPr>
            </w:pPr>
            <w:r w:rsidRPr="00664E64">
              <w:rPr>
                <w:color w:val="000000"/>
                <w:lang w:val="en-AU"/>
              </w:rPr>
              <w:t>1.1</w:t>
            </w:r>
          </w:p>
        </w:tc>
      </w:tr>
      <w:tr w:rsidR="00D161F4" w:rsidRPr="00664E64" w14:paraId="2130D625" w14:textId="77777777" w:rsidTr="00A55CD9">
        <w:trPr>
          <w:trHeight w:val="320"/>
        </w:trPr>
        <w:tc>
          <w:tcPr>
            <w:tcW w:w="0" w:type="dxa"/>
          </w:tcPr>
          <w:p w14:paraId="3BA4DF7C" w14:textId="77777777" w:rsidR="00D161F4" w:rsidRPr="00664E64" w:rsidRDefault="00D161F4" w:rsidP="00A55CD9">
            <w:pPr>
              <w:pStyle w:val="TableHeading"/>
              <w:rPr>
                <w:lang w:val="en-AU"/>
              </w:rPr>
            </w:pPr>
            <w:r w:rsidRPr="0036418A">
              <w:rPr>
                <w:b/>
                <w:color w:val="auto"/>
                <w:lang w:val="en-AU"/>
              </w:rPr>
              <w:t>Western Australia</w:t>
            </w:r>
          </w:p>
        </w:tc>
        <w:tc>
          <w:tcPr>
            <w:tcW w:w="0" w:type="dxa"/>
          </w:tcPr>
          <w:p w14:paraId="3F1E60BA" w14:textId="77777777" w:rsidR="00D161F4" w:rsidRPr="00664E64" w:rsidRDefault="00D161F4" w:rsidP="00A55CD9">
            <w:pPr>
              <w:pStyle w:val="TableTextAligned"/>
              <w:rPr>
                <w:b/>
                <w:lang w:val="en-AU"/>
              </w:rPr>
            </w:pPr>
            <w:r w:rsidRPr="00664E64">
              <w:rPr>
                <w:b/>
                <w:lang w:val="en-AU"/>
              </w:rPr>
              <w:t>338</w:t>
            </w:r>
          </w:p>
        </w:tc>
        <w:tc>
          <w:tcPr>
            <w:tcW w:w="0" w:type="dxa"/>
            <w:noWrap/>
          </w:tcPr>
          <w:p w14:paraId="0B71A0C1" w14:textId="77777777" w:rsidR="00D161F4" w:rsidRPr="00664E64" w:rsidRDefault="00D161F4" w:rsidP="00A55CD9">
            <w:pPr>
              <w:pStyle w:val="TableTextAligned"/>
              <w:rPr>
                <w:b/>
                <w:lang w:val="en-AU"/>
              </w:rPr>
            </w:pPr>
            <w:r w:rsidRPr="00664E64">
              <w:rPr>
                <w:b/>
                <w:lang w:val="en-AU"/>
              </w:rPr>
              <w:t>6.6</w:t>
            </w:r>
          </w:p>
        </w:tc>
      </w:tr>
      <w:tr w:rsidR="00D161F4" w:rsidRPr="00664E64" w14:paraId="07B3B41F" w14:textId="77777777" w:rsidTr="00A55CD9">
        <w:trPr>
          <w:trHeight w:val="320"/>
        </w:trPr>
        <w:tc>
          <w:tcPr>
            <w:tcW w:w="0" w:type="dxa"/>
          </w:tcPr>
          <w:p w14:paraId="69940E99" w14:textId="1812D9A5" w:rsidR="00D161F4" w:rsidRPr="00664E64" w:rsidRDefault="00D161F4" w:rsidP="00A55CD9">
            <w:pPr>
              <w:pStyle w:val="TableText"/>
              <w:rPr>
                <w:b/>
                <w:lang w:val="en-AU"/>
              </w:rPr>
            </w:pPr>
            <w:r w:rsidRPr="00664E64">
              <w:rPr>
                <w:lang w:val="en-AU"/>
              </w:rPr>
              <w:t>Perth</w:t>
            </w:r>
          </w:p>
        </w:tc>
        <w:tc>
          <w:tcPr>
            <w:tcW w:w="0" w:type="dxa"/>
          </w:tcPr>
          <w:p w14:paraId="7000F685" w14:textId="77777777" w:rsidR="00D161F4" w:rsidRPr="00664E64" w:rsidRDefault="00D161F4" w:rsidP="00A55CD9">
            <w:pPr>
              <w:pStyle w:val="TableTextAligned"/>
              <w:rPr>
                <w:color w:val="000000"/>
                <w:lang w:val="en-AU"/>
              </w:rPr>
            </w:pPr>
            <w:r w:rsidRPr="00664E64">
              <w:rPr>
                <w:lang w:val="en-AU"/>
              </w:rPr>
              <w:t>273</w:t>
            </w:r>
          </w:p>
        </w:tc>
        <w:tc>
          <w:tcPr>
            <w:tcW w:w="0" w:type="dxa"/>
            <w:noWrap/>
          </w:tcPr>
          <w:p w14:paraId="6FFE3E94" w14:textId="77777777" w:rsidR="00D161F4" w:rsidRPr="00664E64" w:rsidRDefault="00D161F4" w:rsidP="00A55CD9">
            <w:pPr>
              <w:pStyle w:val="TableTextAligned"/>
              <w:rPr>
                <w:color w:val="000000"/>
                <w:lang w:val="en-AU"/>
              </w:rPr>
            </w:pPr>
            <w:r w:rsidRPr="00664E64">
              <w:rPr>
                <w:color w:val="000000"/>
                <w:lang w:val="en-AU"/>
              </w:rPr>
              <w:t>5.4</w:t>
            </w:r>
          </w:p>
        </w:tc>
      </w:tr>
      <w:tr w:rsidR="00D161F4" w:rsidRPr="00664E64" w14:paraId="0301031D" w14:textId="77777777" w:rsidTr="00A55CD9">
        <w:trPr>
          <w:trHeight w:val="320"/>
        </w:trPr>
        <w:tc>
          <w:tcPr>
            <w:tcW w:w="0" w:type="dxa"/>
          </w:tcPr>
          <w:p w14:paraId="1411C296" w14:textId="77777777" w:rsidR="00D161F4" w:rsidRPr="00664E64" w:rsidRDefault="00D161F4" w:rsidP="00A55CD9">
            <w:pPr>
              <w:pStyle w:val="TableText"/>
              <w:rPr>
                <w:lang w:val="en-AU"/>
              </w:rPr>
            </w:pPr>
            <w:r w:rsidRPr="00664E64">
              <w:rPr>
                <w:lang w:val="en-AU"/>
              </w:rPr>
              <w:t>Regional/Rural Western Australia</w:t>
            </w:r>
          </w:p>
        </w:tc>
        <w:tc>
          <w:tcPr>
            <w:tcW w:w="0" w:type="dxa"/>
          </w:tcPr>
          <w:p w14:paraId="0862A640" w14:textId="77777777" w:rsidR="00D161F4" w:rsidRPr="00664E64" w:rsidRDefault="00D161F4" w:rsidP="00A55CD9">
            <w:pPr>
              <w:pStyle w:val="TableTextAligned"/>
              <w:rPr>
                <w:color w:val="000000"/>
                <w:lang w:val="en-AU"/>
              </w:rPr>
            </w:pPr>
            <w:r w:rsidRPr="00664E64">
              <w:rPr>
                <w:color w:val="000000"/>
                <w:lang w:val="en-AU"/>
              </w:rPr>
              <w:t>65</w:t>
            </w:r>
          </w:p>
        </w:tc>
        <w:tc>
          <w:tcPr>
            <w:tcW w:w="0" w:type="dxa"/>
            <w:noWrap/>
          </w:tcPr>
          <w:p w14:paraId="4B9089BD" w14:textId="77777777" w:rsidR="00D161F4" w:rsidRPr="00664E64" w:rsidRDefault="00D161F4" w:rsidP="00A55CD9">
            <w:pPr>
              <w:pStyle w:val="TableTextAligned"/>
              <w:rPr>
                <w:lang w:val="en-AU"/>
              </w:rPr>
            </w:pPr>
            <w:r w:rsidRPr="00664E64">
              <w:rPr>
                <w:color w:val="000000"/>
                <w:lang w:val="en-AU"/>
              </w:rPr>
              <w:t>1.3</w:t>
            </w:r>
          </w:p>
        </w:tc>
      </w:tr>
      <w:tr w:rsidR="00D161F4" w:rsidRPr="00664E64" w14:paraId="7E5C2435" w14:textId="77777777" w:rsidTr="00A55CD9">
        <w:trPr>
          <w:trHeight w:val="320"/>
        </w:trPr>
        <w:tc>
          <w:tcPr>
            <w:tcW w:w="0" w:type="dxa"/>
          </w:tcPr>
          <w:p w14:paraId="58E10EC7" w14:textId="77777777" w:rsidR="00D161F4" w:rsidRPr="00664E64" w:rsidRDefault="00D161F4" w:rsidP="00A55CD9">
            <w:pPr>
              <w:pStyle w:val="TableHeading"/>
              <w:rPr>
                <w:bCs/>
                <w:lang w:val="en-AU"/>
              </w:rPr>
            </w:pPr>
            <w:r w:rsidRPr="0036418A">
              <w:rPr>
                <w:b/>
                <w:color w:val="auto"/>
                <w:lang w:val="en-AU"/>
              </w:rPr>
              <w:t>Northern Territory</w:t>
            </w:r>
          </w:p>
        </w:tc>
        <w:tc>
          <w:tcPr>
            <w:tcW w:w="0" w:type="dxa"/>
          </w:tcPr>
          <w:p w14:paraId="4D00DEAE" w14:textId="77777777" w:rsidR="00D161F4" w:rsidRPr="00664E64" w:rsidRDefault="00D161F4" w:rsidP="00A55CD9">
            <w:pPr>
              <w:pStyle w:val="TableTextAligned"/>
              <w:rPr>
                <w:b/>
                <w:color w:val="000000"/>
                <w:lang w:val="en-AU"/>
              </w:rPr>
            </w:pPr>
            <w:r w:rsidRPr="00664E64">
              <w:rPr>
                <w:b/>
                <w:color w:val="000000"/>
                <w:lang w:val="en-AU"/>
              </w:rPr>
              <w:t>37</w:t>
            </w:r>
          </w:p>
        </w:tc>
        <w:tc>
          <w:tcPr>
            <w:tcW w:w="0" w:type="dxa"/>
            <w:noWrap/>
          </w:tcPr>
          <w:p w14:paraId="356BA9C1" w14:textId="77777777" w:rsidR="00D161F4" w:rsidRPr="00664E64" w:rsidRDefault="00D161F4" w:rsidP="00A55CD9">
            <w:pPr>
              <w:pStyle w:val="TableTextAligned"/>
              <w:rPr>
                <w:b/>
                <w:lang w:val="en-AU"/>
              </w:rPr>
            </w:pPr>
            <w:r w:rsidRPr="00664E64">
              <w:rPr>
                <w:b/>
                <w:color w:val="000000"/>
                <w:lang w:val="en-AU"/>
              </w:rPr>
              <w:t>0.7</w:t>
            </w:r>
          </w:p>
        </w:tc>
      </w:tr>
      <w:tr w:rsidR="00D161F4" w:rsidRPr="00664E64" w14:paraId="42CFD4B1" w14:textId="77777777" w:rsidTr="00A55CD9">
        <w:trPr>
          <w:trHeight w:val="320"/>
        </w:trPr>
        <w:tc>
          <w:tcPr>
            <w:tcW w:w="0" w:type="dxa"/>
          </w:tcPr>
          <w:p w14:paraId="2FE5EFF4" w14:textId="77777777" w:rsidR="00D161F4" w:rsidRPr="00664E64" w:rsidRDefault="00D161F4" w:rsidP="00A55CD9">
            <w:pPr>
              <w:pStyle w:val="TableHeading"/>
              <w:rPr>
                <w:lang w:val="en-AU"/>
              </w:rPr>
            </w:pPr>
            <w:r w:rsidRPr="0036418A">
              <w:rPr>
                <w:b/>
                <w:color w:val="auto"/>
                <w:lang w:val="en-AU"/>
              </w:rPr>
              <w:t>Australian Capital Territory</w:t>
            </w:r>
          </w:p>
        </w:tc>
        <w:tc>
          <w:tcPr>
            <w:tcW w:w="0" w:type="dxa"/>
          </w:tcPr>
          <w:p w14:paraId="2333304B" w14:textId="77777777" w:rsidR="00D161F4" w:rsidRPr="00664E64" w:rsidRDefault="00D161F4" w:rsidP="00A55CD9">
            <w:pPr>
              <w:pStyle w:val="TableTextAligned"/>
              <w:rPr>
                <w:b/>
                <w:color w:val="000000"/>
                <w:lang w:val="en-AU"/>
              </w:rPr>
            </w:pPr>
            <w:r w:rsidRPr="00664E64">
              <w:rPr>
                <w:b/>
                <w:color w:val="000000"/>
                <w:lang w:val="en-AU"/>
              </w:rPr>
              <w:t>100</w:t>
            </w:r>
          </w:p>
        </w:tc>
        <w:tc>
          <w:tcPr>
            <w:tcW w:w="0" w:type="dxa"/>
            <w:noWrap/>
          </w:tcPr>
          <w:p w14:paraId="7DD0801D" w14:textId="77777777" w:rsidR="00D161F4" w:rsidRPr="00664E64" w:rsidRDefault="00D161F4" w:rsidP="00A55CD9">
            <w:pPr>
              <w:pStyle w:val="TableTextAligned"/>
              <w:rPr>
                <w:b/>
                <w:lang w:val="en-AU"/>
              </w:rPr>
            </w:pPr>
            <w:r w:rsidRPr="00664E64">
              <w:rPr>
                <w:b/>
                <w:color w:val="000000"/>
                <w:lang w:val="en-AU"/>
              </w:rPr>
              <w:t>2.0</w:t>
            </w:r>
          </w:p>
        </w:tc>
      </w:tr>
      <w:tr w:rsidR="00D161F4" w:rsidRPr="00664E64" w14:paraId="17B72E47" w14:textId="77777777" w:rsidTr="00A55CD9">
        <w:trPr>
          <w:trHeight w:val="320"/>
        </w:trPr>
        <w:tc>
          <w:tcPr>
            <w:tcW w:w="0" w:type="dxa"/>
          </w:tcPr>
          <w:p w14:paraId="3A1F6364" w14:textId="77777777" w:rsidR="00D161F4" w:rsidRPr="00664E64" w:rsidRDefault="00D161F4" w:rsidP="00A55CD9">
            <w:pPr>
              <w:pStyle w:val="TableText"/>
              <w:rPr>
                <w:lang w:val="en-AU"/>
              </w:rPr>
            </w:pPr>
            <w:r w:rsidRPr="00664E64">
              <w:rPr>
                <w:lang w:val="en-AU"/>
              </w:rPr>
              <w:t>Prefer not to say</w:t>
            </w:r>
          </w:p>
        </w:tc>
        <w:tc>
          <w:tcPr>
            <w:tcW w:w="0" w:type="dxa"/>
          </w:tcPr>
          <w:p w14:paraId="6134CC0B" w14:textId="77777777" w:rsidR="00D161F4" w:rsidRPr="00664E64" w:rsidRDefault="00D161F4" w:rsidP="00A55CD9">
            <w:pPr>
              <w:pStyle w:val="TableTextAligned"/>
              <w:rPr>
                <w:color w:val="000000"/>
                <w:lang w:val="en-AU"/>
              </w:rPr>
            </w:pPr>
            <w:r w:rsidRPr="00664E64">
              <w:rPr>
                <w:color w:val="000000"/>
                <w:lang w:val="en-AU"/>
              </w:rPr>
              <w:t>12</w:t>
            </w:r>
          </w:p>
        </w:tc>
        <w:tc>
          <w:tcPr>
            <w:tcW w:w="0" w:type="dxa"/>
            <w:noWrap/>
          </w:tcPr>
          <w:p w14:paraId="41849E3C" w14:textId="77777777" w:rsidR="00D161F4" w:rsidRPr="00664E64" w:rsidRDefault="00D161F4" w:rsidP="00A55CD9">
            <w:pPr>
              <w:pStyle w:val="TableTextAligned"/>
              <w:rPr>
                <w:lang w:val="en-AU"/>
              </w:rPr>
            </w:pPr>
            <w:r w:rsidRPr="00664E64">
              <w:rPr>
                <w:color w:val="000000"/>
                <w:lang w:val="en-AU"/>
              </w:rPr>
              <w:t>0.4</w:t>
            </w:r>
          </w:p>
        </w:tc>
      </w:tr>
      <w:tr w:rsidR="00D161F4" w:rsidRPr="00664E64" w14:paraId="35CDBF21" w14:textId="77777777" w:rsidTr="00A55CD9">
        <w:trPr>
          <w:trHeight w:val="320"/>
        </w:trPr>
        <w:tc>
          <w:tcPr>
            <w:tcW w:w="0" w:type="dxa"/>
          </w:tcPr>
          <w:p w14:paraId="69772265" w14:textId="77777777" w:rsidR="00D161F4" w:rsidRPr="0036418A" w:rsidRDefault="00D161F4" w:rsidP="00A55CD9">
            <w:pPr>
              <w:pStyle w:val="TableHeading"/>
              <w:rPr>
                <w:b/>
                <w:color w:val="auto"/>
                <w:lang w:val="en-AU"/>
              </w:rPr>
            </w:pPr>
            <w:r w:rsidRPr="0036418A">
              <w:rPr>
                <w:b/>
                <w:color w:val="auto"/>
                <w:lang w:val="en-AU"/>
              </w:rPr>
              <w:t>Metro (state capitals)</w:t>
            </w:r>
          </w:p>
        </w:tc>
        <w:tc>
          <w:tcPr>
            <w:tcW w:w="0" w:type="dxa"/>
          </w:tcPr>
          <w:p w14:paraId="1A6F7D45" w14:textId="2E921CED" w:rsidR="00D161F4" w:rsidRPr="00664E64" w:rsidRDefault="00D161F4" w:rsidP="00A55CD9">
            <w:pPr>
              <w:pStyle w:val="TableTextAligned"/>
              <w:rPr>
                <w:b/>
                <w:color w:val="000000"/>
                <w:lang w:val="en-AU"/>
              </w:rPr>
            </w:pPr>
            <w:r w:rsidRPr="00664E64">
              <w:rPr>
                <w:b/>
                <w:color w:val="000000"/>
                <w:lang w:val="en-AU"/>
              </w:rPr>
              <w:t>3</w:t>
            </w:r>
            <w:r w:rsidR="00907197" w:rsidRPr="00664E64">
              <w:rPr>
                <w:b/>
                <w:color w:val="000000"/>
                <w:lang w:val="en-AU"/>
              </w:rPr>
              <w:t>,</w:t>
            </w:r>
            <w:r w:rsidRPr="00664E64">
              <w:rPr>
                <w:b/>
                <w:color w:val="000000"/>
                <w:lang w:val="en-AU"/>
              </w:rPr>
              <w:t>130</w:t>
            </w:r>
          </w:p>
        </w:tc>
        <w:tc>
          <w:tcPr>
            <w:tcW w:w="0" w:type="dxa"/>
            <w:noWrap/>
          </w:tcPr>
          <w:p w14:paraId="42258E38" w14:textId="77777777" w:rsidR="00D161F4" w:rsidRPr="00664E64" w:rsidRDefault="00D161F4" w:rsidP="00A55CD9">
            <w:pPr>
              <w:pStyle w:val="TableTextAligned"/>
              <w:rPr>
                <w:b/>
                <w:color w:val="000000"/>
                <w:lang w:val="en-AU"/>
              </w:rPr>
            </w:pPr>
            <w:r w:rsidRPr="00664E64">
              <w:rPr>
                <w:b/>
                <w:color w:val="000000"/>
                <w:lang w:val="en-AU"/>
              </w:rPr>
              <w:t>61.7</w:t>
            </w:r>
          </w:p>
        </w:tc>
      </w:tr>
      <w:tr w:rsidR="00D161F4" w:rsidRPr="00664E64" w14:paraId="1C910B62" w14:textId="77777777" w:rsidTr="00A55CD9">
        <w:trPr>
          <w:trHeight w:val="320"/>
        </w:trPr>
        <w:tc>
          <w:tcPr>
            <w:tcW w:w="0" w:type="dxa"/>
          </w:tcPr>
          <w:p w14:paraId="312A2516" w14:textId="77777777" w:rsidR="00D161F4" w:rsidRPr="0036418A" w:rsidRDefault="00D161F4" w:rsidP="00A55CD9">
            <w:pPr>
              <w:pStyle w:val="TableHeading"/>
              <w:rPr>
                <w:b/>
                <w:color w:val="auto"/>
                <w:lang w:val="en-AU"/>
              </w:rPr>
            </w:pPr>
            <w:r w:rsidRPr="0036418A">
              <w:rPr>
                <w:b/>
                <w:color w:val="auto"/>
                <w:lang w:val="en-AU"/>
              </w:rPr>
              <w:t>Regional/Rural/Territories</w:t>
            </w:r>
          </w:p>
        </w:tc>
        <w:tc>
          <w:tcPr>
            <w:tcW w:w="0" w:type="dxa"/>
          </w:tcPr>
          <w:p w14:paraId="38DD9D80" w14:textId="366C89A3" w:rsidR="00D161F4" w:rsidRPr="00664E64" w:rsidRDefault="00D161F4" w:rsidP="00A55CD9">
            <w:pPr>
              <w:pStyle w:val="TableTextAligned"/>
              <w:rPr>
                <w:lang w:val="en-AU"/>
              </w:rPr>
            </w:pPr>
            <w:r w:rsidRPr="00664E64">
              <w:rPr>
                <w:lang w:val="en-AU"/>
              </w:rPr>
              <w:t>1</w:t>
            </w:r>
            <w:r w:rsidR="00907197" w:rsidRPr="00664E64">
              <w:rPr>
                <w:lang w:val="en-AU"/>
              </w:rPr>
              <w:t>,</w:t>
            </w:r>
            <w:r w:rsidRPr="00664E64">
              <w:rPr>
                <w:lang w:val="en-AU"/>
              </w:rPr>
              <w:t>934</w:t>
            </w:r>
          </w:p>
        </w:tc>
        <w:tc>
          <w:tcPr>
            <w:tcW w:w="0" w:type="dxa"/>
            <w:noWrap/>
          </w:tcPr>
          <w:p w14:paraId="28F00F8B" w14:textId="77777777" w:rsidR="00D161F4" w:rsidRPr="00664E64" w:rsidRDefault="00D161F4" w:rsidP="00A55CD9">
            <w:pPr>
              <w:pStyle w:val="TableTextAligned"/>
              <w:rPr>
                <w:lang w:val="en-AU"/>
              </w:rPr>
            </w:pPr>
            <w:r w:rsidRPr="00664E64">
              <w:rPr>
                <w:lang w:val="en-AU"/>
              </w:rPr>
              <w:t>38.1</w:t>
            </w:r>
          </w:p>
        </w:tc>
      </w:tr>
    </w:tbl>
    <w:p w14:paraId="26E3A0CB" w14:textId="7B24E0BA" w:rsidR="00D161F4" w:rsidRPr="0036418A" w:rsidRDefault="00D161F4" w:rsidP="008D178F">
      <w:pPr>
        <w:pStyle w:val="Heading2"/>
        <w:rPr>
          <w:color w:val="auto"/>
        </w:rPr>
      </w:pPr>
      <w:bookmarkStart w:id="32" w:name="_Toc12022551"/>
      <w:r w:rsidRPr="0036418A">
        <w:rPr>
          <w:color w:val="auto"/>
        </w:rPr>
        <w:lastRenderedPageBreak/>
        <w:t>Gambling participation</w:t>
      </w:r>
      <w:bookmarkEnd w:id="32"/>
    </w:p>
    <w:p w14:paraId="059C660A" w14:textId="12C78D64" w:rsidR="00D161F4" w:rsidRPr="0036418A" w:rsidRDefault="00D161F4" w:rsidP="00A55CD9">
      <w:pPr>
        <w:pStyle w:val="Heading3"/>
        <w:rPr>
          <w:color w:val="auto"/>
        </w:rPr>
      </w:pPr>
      <w:r w:rsidRPr="0036418A">
        <w:rPr>
          <w:color w:val="auto"/>
        </w:rPr>
        <w:t xml:space="preserve">Participation by </w:t>
      </w:r>
      <w:r w:rsidR="00891F38" w:rsidRPr="0036418A">
        <w:rPr>
          <w:color w:val="auto"/>
        </w:rPr>
        <w:t>wagering type</w:t>
      </w:r>
    </w:p>
    <w:p w14:paraId="06A3014B" w14:textId="211DE296" w:rsidR="00D161F4" w:rsidRPr="0036418A" w:rsidRDefault="00D161F4" w:rsidP="00A55CD9">
      <w:pPr>
        <w:pStyle w:val="BodyText"/>
        <w:rPr>
          <w:color w:val="auto"/>
        </w:rPr>
      </w:pPr>
      <w:r w:rsidRPr="0036418A">
        <w:rPr>
          <w:color w:val="auto"/>
        </w:rPr>
        <w:t xml:space="preserve">Three-quarters </w:t>
      </w:r>
      <w:r w:rsidR="00891F38" w:rsidRPr="0036418A">
        <w:rPr>
          <w:color w:val="auto"/>
        </w:rPr>
        <w:t xml:space="preserve">(75%) </w:t>
      </w:r>
      <w:r w:rsidRPr="0036418A">
        <w:rPr>
          <w:color w:val="auto"/>
        </w:rPr>
        <w:t>of the respondents reported having placed bets on horse racing in the past 12 months</w:t>
      </w:r>
      <w:r w:rsidR="00891F38" w:rsidRPr="0036418A">
        <w:rPr>
          <w:color w:val="auto"/>
        </w:rPr>
        <w:t xml:space="preserve">, around </w:t>
      </w:r>
      <w:r w:rsidRPr="0036418A">
        <w:rPr>
          <w:color w:val="auto"/>
        </w:rPr>
        <w:t xml:space="preserve">half (53%) </w:t>
      </w:r>
      <w:r w:rsidR="00891F38" w:rsidRPr="0036418A">
        <w:rPr>
          <w:color w:val="auto"/>
        </w:rPr>
        <w:t>placed bets on</w:t>
      </w:r>
      <w:r w:rsidRPr="0036418A">
        <w:rPr>
          <w:color w:val="auto"/>
        </w:rPr>
        <w:t xml:space="preserve"> sports,</w:t>
      </w:r>
      <w:r w:rsidR="00891F38" w:rsidRPr="0036418A">
        <w:rPr>
          <w:color w:val="auto"/>
        </w:rPr>
        <w:t xml:space="preserve"> and</w:t>
      </w:r>
      <w:r w:rsidRPr="0036418A">
        <w:rPr>
          <w:color w:val="auto"/>
        </w:rPr>
        <w:t xml:space="preserve"> around a third (32%) </w:t>
      </w:r>
      <w:r w:rsidR="00891F38" w:rsidRPr="0036418A">
        <w:rPr>
          <w:color w:val="auto"/>
        </w:rPr>
        <w:t xml:space="preserve">on </w:t>
      </w:r>
      <w:r w:rsidRPr="0036418A">
        <w:rPr>
          <w:color w:val="auto"/>
        </w:rPr>
        <w:t xml:space="preserve">greyhound racing (Table 5.3). </w:t>
      </w:r>
    </w:p>
    <w:p w14:paraId="3675452E" w14:textId="653176D3" w:rsidR="00D161F4" w:rsidRPr="0036418A" w:rsidRDefault="00D161F4" w:rsidP="00415C73">
      <w:pPr>
        <w:pStyle w:val="FigureCaption"/>
        <w:rPr>
          <w:color w:val="auto"/>
          <w:lang w:val="en-AU"/>
        </w:rPr>
      </w:pPr>
      <w:bookmarkStart w:id="33" w:name="_Toc11864566"/>
      <w:bookmarkStart w:id="34" w:name="_Toc12549563"/>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3</w:t>
      </w:r>
      <w:r w:rsidR="00777624" w:rsidRPr="0036418A">
        <w:rPr>
          <w:noProof/>
          <w:color w:val="auto"/>
          <w:lang w:val="en-AU"/>
        </w:rPr>
        <w:fldChar w:fldCharType="end"/>
      </w:r>
      <w:r w:rsidR="00907197" w:rsidRPr="0036418A">
        <w:rPr>
          <w:color w:val="auto"/>
          <w:lang w:val="en-AU"/>
        </w:rPr>
        <w:t>:</w:t>
      </w:r>
      <w:r w:rsidRPr="0036418A">
        <w:rPr>
          <w:color w:val="auto"/>
          <w:lang w:val="en-AU"/>
        </w:rPr>
        <w:t xml:space="preserve"> Number and percentage of people </w:t>
      </w:r>
      <w:r w:rsidR="00891F38" w:rsidRPr="0036418A">
        <w:rPr>
          <w:color w:val="auto"/>
          <w:lang w:val="en-AU"/>
        </w:rPr>
        <w:t xml:space="preserve">who reported placing </w:t>
      </w:r>
      <w:r w:rsidRPr="0036418A">
        <w:rPr>
          <w:color w:val="auto"/>
          <w:lang w:val="en-AU"/>
        </w:rPr>
        <w:t>bet</w:t>
      </w:r>
      <w:r w:rsidR="00891F38" w:rsidRPr="0036418A">
        <w:rPr>
          <w:color w:val="auto"/>
          <w:lang w:val="en-AU"/>
        </w:rPr>
        <w:t>s</w:t>
      </w:r>
      <w:r w:rsidRPr="0036418A">
        <w:rPr>
          <w:color w:val="auto"/>
          <w:lang w:val="en-AU"/>
        </w:rPr>
        <w:t xml:space="preserve"> on different activities during the past 12 months (either online or offline)</w:t>
      </w:r>
      <w:bookmarkEnd w:id="33"/>
      <w:bookmarkEnd w:id="34"/>
    </w:p>
    <w:tbl>
      <w:tblPr>
        <w:tblStyle w:val="TableGrid"/>
        <w:tblW w:w="5000" w:type="pct"/>
        <w:tblLook w:val="04A0" w:firstRow="1" w:lastRow="0" w:firstColumn="1" w:lastColumn="0" w:noHBand="0" w:noVBand="1"/>
        <w:tblCaption w:val="Number and percentage of people who reported placing bets on different activites (online and offline) in past 12 months"/>
        <w:tblDescription w:val="Gives numbers and percentage of particpants who bet on different activities: sports, racing or TV and current events."/>
      </w:tblPr>
      <w:tblGrid>
        <w:gridCol w:w="2969"/>
        <w:gridCol w:w="3117"/>
        <w:gridCol w:w="3274"/>
      </w:tblGrid>
      <w:tr w:rsidR="00D161F4" w:rsidRPr="00664E64" w14:paraId="405E49AB" w14:textId="77777777" w:rsidTr="00A6211D">
        <w:trPr>
          <w:cnfStyle w:val="100000000000" w:firstRow="1" w:lastRow="0" w:firstColumn="0" w:lastColumn="0" w:oddVBand="0" w:evenVBand="0" w:oddHBand="0" w:evenHBand="0" w:firstRowFirstColumn="0" w:firstRowLastColumn="0" w:lastRowFirstColumn="0" w:lastRowLastColumn="0"/>
          <w:trHeight w:val="320"/>
          <w:tblHeader/>
        </w:trPr>
        <w:tc>
          <w:tcPr>
            <w:tcW w:w="1586" w:type="pct"/>
            <w:hideMark/>
          </w:tcPr>
          <w:p w14:paraId="4BEBD29F" w14:textId="45212B27" w:rsidR="00D161F4" w:rsidRPr="00664E64" w:rsidRDefault="004C4DDD" w:rsidP="00A55CD9">
            <w:pPr>
              <w:pStyle w:val="TableColHeadLeft"/>
              <w:rPr>
                <w:highlight w:val="lightGray"/>
                <w:lang w:val="en-AU"/>
              </w:rPr>
            </w:pPr>
            <w:r w:rsidRPr="00664E64">
              <w:rPr>
                <w:lang w:val="en-AU"/>
              </w:rPr>
              <w:t>Type of activity</w:t>
            </w:r>
          </w:p>
        </w:tc>
        <w:tc>
          <w:tcPr>
            <w:tcW w:w="1665" w:type="pct"/>
            <w:hideMark/>
          </w:tcPr>
          <w:p w14:paraId="30FC0098" w14:textId="77777777" w:rsidR="00D161F4" w:rsidRPr="00664E64" w:rsidRDefault="00D161F4" w:rsidP="00A55CD9">
            <w:pPr>
              <w:pStyle w:val="TableColHeadLeft"/>
              <w:rPr>
                <w:lang w:val="en-AU"/>
              </w:rPr>
            </w:pPr>
            <w:r w:rsidRPr="00664E64">
              <w:rPr>
                <w:lang w:val="en-AU"/>
              </w:rPr>
              <w:t>Number</w:t>
            </w:r>
          </w:p>
        </w:tc>
        <w:tc>
          <w:tcPr>
            <w:tcW w:w="1749" w:type="pct"/>
            <w:hideMark/>
          </w:tcPr>
          <w:p w14:paraId="4EAF9119" w14:textId="77777777" w:rsidR="00D161F4" w:rsidRPr="00664E64" w:rsidRDefault="00D161F4" w:rsidP="00A55CD9">
            <w:pPr>
              <w:pStyle w:val="TableColHeadLeft"/>
              <w:rPr>
                <w:lang w:val="en-AU"/>
              </w:rPr>
            </w:pPr>
            <w:r w:rsidRPr="00664E64">
              <w:rPr>
                <w:lang w:val="en-AU"/>
              </w:rPr>
              <w:t>% of total</w:t>
            </w:r>
          </w:p>
        </w:tc>
      </w:tr>
      <w:tr w:rsidR="0048571F" w:rsidRPr="00664E64" w14:paraId="47794DA0" w14:textId="77777777" w:rsidTr="0048571F">
        <w:trPr>
          <w:trHeight w:val="320"/>
        </w:trPr>
        <w:tc>
          <w:tcPr>
            <w:tcW w:w="1586" w:type="pct"/>
          </w:tcPr>
          <w:p w14:paraId="4DEAFA3E" w14:textId="45FF18AE" w:rsidR="0048571F" w:rsidRPr="00664E64" w:rsidRDefault="0048571F" w:rsidP="00A55CD9">
            <w:pPr>
              <w:pStyle w:val="TableText"/>
              <w:rPr>
                <w:lang w:val="en-AU"/>
              </w:rPr>
            </w:pPr>
            <w:r w:rsidRPr="00664E64">
              <w:rPr>
                <w:lang w:val="en-AU"/>
              </w:rPr>
              <w:t>Sports</w:t>
            </w:r>
          </w:p>
        </w:tc>
        <w:tc>
          <w:tcPr>
            <w:tcW w:w="1665" w:type="pct"/>
            <w:noWrap/>
          </w:tcPr>
          <w:p w14:paraId="4A8EF47D" w14:textId="59B71C72" w:rsidR="0048571F" w:rsidRPr="00664E64" w:rsidRDefault="0048571F" w:rsidP="00A55CD9">
            <w:pPr>
              <w:pStyle w:val="TableTextAligned"/>
              <w:rPr>
                <w:lang w:val="en-AU"/>
              </w:rPr>
            </w:pPr>
            <w:r w:rsidRPr="00664E64">
              <w:rPr>
                <w:lang w:val="en-AU"/>
              </w:rPr>
              <w:t>2</w:t>
            </w:r>
            <w:r w:rsidR="004C4DDD" w:rsidRPr="00664E64">
              <w:rPr>
                <w:lang w:val="en-AU"/>
              </w:rPr>
              <w:t>,</w:t>
            </w:r>
            <w:r w:rsidRPr="00664E64">
              <w:rPr>
                <w:lang w:val="en-AU"/>
              </w:rPr>
              <w:t>683</w:t>
            </w:r>
          </w:p>
        </w:tc>
        <w:tc>
          <w:tcPr>
            <w:tcW w:w="1749" w:type="pct"/>
            <w:noWrap/>
          </w:tcPr>
          <w:p w14:paraId="694642B0" w14:textId="624EC1F7" w:rsidR="0048571F" w:rsidRPr="00664E64" w:rsidRDefault="0048571F" w:rsidP="00A55CD9">
            <w:pPr>
              <w:pStyle w:val="TableTextAligned"/>
              <w:rPr>
                <w:lang w:val="en-AU"/>
              </w:rPr>
            </w:pPr>
            <w:r w:rsidRPr="00664E64">
              <w:rPr>
                <w:lang w:val="en-AU"/>
              </w:rPr>
              <w:t>52.9</w:t>
            </w:r>
          </w:p>
        </w:tc>
      </w:tr>
      <w:tr w:rsidR="0048571F" w:rsidRPr="00664E64" w14:paraId="3A5A48B1" w14:textId="77777777" w:rsidTr="0048571F">
        <w:trPr>
          <w:trHeight w:val="320"/>
        </w:trPr>
        <w:tc>
          <w:tcPr>
            <w:tcW w:w="1586" w:type="pct"/>
            <w:hideMark/>
          </w:tcPr>
          <w:p w14:paraId="7C3CF9F0" w14:textId="77777777" w:rsidR="0048571F" w:rsidRPr="00664E64" w:rsidRDefault="0048571F" w:rsidP="00A55CD9">
            <w:pPr>
              <w:pStyle w:val="TableText"/>
              <w:rPr>
                <w:lang w:val="en-AU"/>
              </w:rPr>
            </w:pPr>
            <w:r w:rsidRPr="00664E64">
              <w:rPr>
                <w:lang w:val="en-AU"/>
              </w:rPr>
              <w:t>Horse racing</w:t>
            </w:r>
          </w:p>
        </w:tc>
        <w:tc>
          <w:tcPr>
            <w:tcW w:w="1665" w:type="pct"/>
            <w:noWrap/>
          </w:tcPr>
          <w:p w14:paraId="4A4D5DB4" w14:textId="60CB2E0F" w:rsidR="0048571F" w:rsidRPr="00664E64" w:rsidRDefault="0048571F" w:rsidP="00A55CD9">
            <w:pPr>
              <w:pStyle w:val="TableTextAligned"/>
              <w:rPr>
                <w:lang w:val="en-AU"/>
              </w:rPr>
            </w:pPr>
            <w:r w:rsidRPr="00664E64">
              <w:rPr>
                <w:lang w:val="en-AU"/>
              </w:rPr>
              <w:t>3</w:t>
            </w:r>
            <w:r w:rsidR="004C4DDD" w:rsidRPr="00664E64">
              <w:rPr>
                <w:lang w:val="en-AU"/>
              </w:rPr>
              <w:t>,</w:t>
            </w:r>
            <w:r w:rsidRPr="00664E64">
              <w:rPr>
                <w:lang w:val="en-AU"/>
              </w:rPr>
              <w:t>806</w:t>
            </w:r>
          </w:p>
        </w:tc>
        <w:tc>
          <w:tcPr>
            <w:tcW w:w="1749" w:type="pct"/>
            <w:noWrap/>
          </w:tcPr>
          <w:p w14:paraId="1510A36D" w14:textId="77777777" w:rsidR="0048571F" w:rsidRPr="00664E64" w:rsidRDefault="0048571F" w:rsidP="00A55CD9">
            <w:pPr>
              <w:pStyle w:val="TableTextAligned"/>
              <w:rPr>
                <w:lang w:val="en-AU"/>
              </w:rPr>
            </w:pPr>
            <w:r w:rsidRPr="00664E64">
              <w:rPr>
                <w:lang w:val="en-AU"/>
              </w:rPr>
              <w:t>75.0</w:t>
            </w:r>
          </w:p>
        </w:tc>
      </w:tr>
      <w:tr w:rsidR="0048571F" w:rsidRPr="00664E64" w14:paraId="61EB02B8" w14:textId="77777777" w:rsidTr="0048571F">
        <w:trPr>
          <w:trHeight w:val="320"/>
        </w:trPr>
        <w:tc>
          <w:tcPr>
            <w:tcW w:w="1586" w:type="pct"/>
          </w:tcPr>
          <w:p w14:paraId="34A37BB4" w14:textId="7A44C0C5" w:rsidR="0048571F" w:rsidRPr="00664E64" w:rsidRDefault="0048571F" w:rsidP="00A55CD9">
            <w:pPr>
              <w:pStyle w:val="TableText"/>
              <w:rPr>
                <w:lang w:val="en-AU"/>
              </w:rPr>
            </w:pPr>
            <w:r w:rsidRPr="00664E64">
              <w:rPr>
                <w:lang w:val="en-AU"/>
              </w:rPr>
              <w:t>Harness racing</w:t>
            </w:r>
          </w:p>
        </w:tc>
        <w:tc>
          <w:tcPr>
            <w:tcW w:w="1665" w:type="pct"/>
            <w:noWrap/>
          </w:tcPr>
          <w:p w14:paraId="7ECD7437" w14:textId="6DB2DDD2" w:rsidR="0048571F" w:rsidRPr="00664E64" w:rsidRDefault="0048571F" w:rsidP="00A55CD9">
            <w:pPr>
              <w:pStyle w:val="TableTextAligned"/>
              <w:rPr>
                <w:lang w:val="en-AU"/>
              </w:rPr>
            </w:pPr>
            <w:r w:rsidRPr="00664E64">
              <w:rPr>
                <w:lang w:val="en-AU"/>
              </w:rPr>
              <w:t>1</w:t>
            </w:r>
            <w:r w:rsidR="004C4DDD" w:rsidRPr="00664E64">
              <w:rPr>
                <w:lang w:val="en-AU"/>
              </w:rPr>
              <w:t>,</w:t>
            </w:r>
            <w:r w:rsidRPr="00664E64">
              <w:rPr>
                <w:lang w:val="en-AU"/>
              </w:rPr>
              <w:t>134</w:t>
            </w:r>
          </w:p>
        </w:tc>
        <w:tc>
          <w:tcPr>
            <w:tcW w:w="1749" w:type="pct"/>
            <w:noWrap/>
          </w:tcPr>
          <w:p w14:paraId="2AF05B4A" w14:textId="11F70C9E" w:rsidR="0048571F" w:rsidRPr="00664E64" w:rsidRDefault="0048571F" w:rsidP="00A55CD9">
            <w:pPr>
              <w:pStyle w:val="TableTextAligned"/>
              <w:rPr>
                <w:lang w:val="en-AU"/>
              </w:rPr>
            </w:pPr>
            <w:r w:rsidRPr="00664E64">
              <w:rPr>
                <w:lang w:val="en-AU"/>
              </w:rPr>
              <w:t>22.3</w:t>
            </w:r>
          </w:p>
        </w:tc>
      </w:tr>
      <w:tr w:rsidR="0048571F" w:rsidRPr="00664E64" w14:paraId="52D42A7E" w14:textId="77777777" w:rsidTr="0048571F">
        <w:trPr>
          <w:trHeight w:val="320"/>
        </w:trPr>
        <w:tc>
          <w:tcPr>
            <w:tcW w:w="1586" w:type="pct"/>
            <w:hideMark/>
          </w:tcPr>
          <w:p w14:paraId="0FD428B6" w14:textId="77777777" w:rsidR="0048571F" w:rsidRPr="00664E64" w:rsidRDefault="0048571F" w:rsidP="00A55CD9">
            <w:pPr>
              <w:pStyle w:val="TableText"/>
              <w:rPr>
                <w:lang w:val="en-AU"/>
              </w:rPr>
            </w:pPr>
            <w:r w:rsidRPr="00664E64">
              <w:rPr>
                <w:lang w:val="en-AU"/>
              </w:rPr>
              <w:t>Greyhound racing</w:t>
            </w:r>
          </w:p>
        </w:tc>
        <w:tc>
          <w:tcPr>
            <w:tcW w:w="1665" w:type="pct"/>
            <w:noWrap/>
          </w:tcPr>
          <w:p w14:paraId="592A75C1" w14:textId="01F4C278" w:rsidR="0048571F" w:rsidRPr="00664E64" w:rsidRDefault="0048571F" w:rsidP="00A55CD9">
            <w:pPr>
              <w:pStyle w:val="TableTextAligned"/>
              <w:rPr>
                <w:lang w:val="en-AU"/>
              </w:rPr>
            </w:pPr>
            <w:r w:rsidRPr="00664E64">
              <w:rPr>
                <w:lang w:val="en-AU"/>
              </w:rPr>
              <w:t>1</w:t>
            </w:r>
            <w:r w:rsidR="004C4DDD" w:rsidRPr="00664E64">
              <w:rPr>
                <w:lang w:val="en-AU"/>
              </w:rPr>
              <w:t>,</w:t>
            </w:r>
            <w:r w:rsidRPr="00664E64">
              <w:rPr>
                <w:lang w:val="en-AU"/>
              </w:rPr>
              <w:t>610</w:t>
            </w:r>
          </w:p>
        </w:tc>
        <w:tc>
          <w:tcPr>
            <w:tcW w:w="1749" w:type="pct"/>
            <w:noWrap/>
          </w:tcPr>
          <w:p w14:paraId="4CF44A53" w14:textId="77777777" w:rsidR="0048571F" w:rsidRPr="00664E64" w:rsidRDefault="0048571F" w:rsidP="00A55CD9">
            <w:pPr>
              <w:pStyle w:val="TableTextAligned"/>
              <w:rPr>
                <w:lang w:val="en-AU"/>
              </w:rPr>
            </w:pPr>
            <w:r w:rsidRPr="00664E64">
              <w:rPr>
                <w:lang w:val="en-AU"/>
              </w:rPr>
              <w:t>31.7</w:t>
            </w:r>
          </w:p>
        </w:tc>
      </w:tr>
      <w:tr w:rsidR="0048571F" w:rsidRPr="00664E64" w14:paraId="676E97AF" w14:textId="77777777" w:rsidTr="0048571F">
        <w:trPr>
          <w:trHeight w:val="320"/>
        </w:trPr>
        <w:tc>
          <w:tcPr>
            <w:tcW w:w="1586" w:type="pct"/>
          </w:tcPr>
          <w:p w14:paraId="306F0388" w14:textId="6E3D31FE" w:rsidR="0048571F" w:rsidRPr="00664E64" w:rsidRDefault="0048571F" w:rsidP="00A55CD9">
            <w:pPr>
              <w:pStyle w:val="TableText"/>
              <w:rPr>
                <w:lang w:val="en-AU"/>
              </w:rPr>
            </w:pPr>
            <w:r w:rsidRPr="00664E64">
              <w:rPr>
                <w:lang w:val="en-AU"/>
              </w:rPr>
              <w:t>Fantasy sports</w:t>
            </w:r>
          </w:p>
        </w:tc>
        <w:tc>
          <w:tcPr>
            <w:tcW w:w="1665" w:type="pct"/>
            <w:noWrap/>
          </w:tcPr>
          <w:p w14:paraId="2DE7577E" w14:textId="56E1FB68" w:rsidR="0048571F" w:rsidRPr="00664E64" w:rsidRDefault="0048571F" w:rsidP="00A55CD9">
            <w:pPr>
              <w:pStyle w:val="TableTextAligned"/>
              <w:rPr>
                <w:lang w:val="en-AU"/>
              </w:rPr>
            </w:pPr>
            <w:r w:rsidRPr="00664E64">
              <w:rPr>
                <w:lang w:val="en-AU"/>
              </w:rPr>
              <w:t>189</w:t>
            </w:r>
          </w:p>
        </w:tc>
        <w:tc>
          <w:tcPr>
            <w:tcW w:w="1749" w:type="pct"/>
            <w:noWrap/>
          </w:tcPr>
          <w:p w14:paraId="1F144382" w14:textId="36769CD3" w:rsidR="0048571F" w:rsidRPr="00664E64" w:rsidRDefault="0048571F" w:rsidP="00A55CD9">
            <w:pPr>
              <w:pStyle w:val="TableTextAligned"/>
              <w:rPr>
                <w:lang w:val="en-AU"/>
              </w:rPr>
            </w:pPr>
            <w:r w:rsidRPr="00664E64">
              <w:rPr>
                <w:lang w:val="en-AU"/>
              </w:rPr>
              <w:t>3.7</w:t>
            </w:r>
          </w:p>
        </w:tc>
      </w:tr>
      <w:tr w:rsidR="0048571F" w:rsidRPr="00664E64" w14:paraId="3046E2AA" w14:textId="77777777" w:rsidTr="0048571F">
        <w:trPr>
          <w:trHeight w:val="320"/>
        </w:trPr>
        <w:tc>
          <w:tcPr>
            <w:tcW w:w="1586" w:type="pct"/>
          </w:tcPr>
          <w:p w14:paraId="3D4C7686" w14:textId="63D699F1" w:rsidR="0048571F" w:rsidRPr="00664E64" w:rsidRDefault="0048571F" w:rsidP="00A55CD9">
            <w:pPr>
              <w:pStyle w:val="TableText"/>
              <w:rPr>
                <w:lang w:val="en-AU"/>
              </w:rPr>
            </w:pPr>
            <w:r w:rsidRPr="00664E64">
              <w:rPr>
                <w:lang w:val="en-AU"/>
              </w:rPr>
              <w:t>eSports</w:t>
            </w:r>
          </w:p>
        </w:tc>
        <w:tc>
          <w:tcPr>
            <w:tcW w:w="1665" w:type="pct"/>
            <w:noWrap/>
          </w:tcPr>
          <w:p w14:paraId="396BB657" w14:textId="4CAD1DED" w:rsidR="0048571F" w:rsidRPr="00664E64" w:rsidRDefault="0048571F" w:rsidP="00A55CD9">
            <w:pPr>
              <w:pStyle w:val="TableTextAligned"/>
              <w:rPr>
                <w:lang w:val="en-AU"/>
              </w:rPr>
            </w:pPr>
            <w:r w:rsidRPr="00664E64">
              <w:rPr>
                <w:lang w:val="en-AU"/>
              </w:rPr>
              <w:t>130</w:t>
            </w:r>
          </w:p>
        </w:tc>
        <w:tc>
          <w:tcPr>
            <w:tcW w:w="1749" w:type="pct"/>
            <w:noWrap/>
          </w:tcPr>
          <w:p w14:paraId="743F0244" w14:textId="2861EDC2" w:rsidR="0048571F" w:rsidRPr="00664E64" w:rsidRDefault="0048571F" w:rsidP="00A55CD9">
            <w:pPr>
              <w:pStyle w:val="TableTextAligned"/>
              <w:rPr>
                <w:lang w:val="en-AU"/>
              </w:rPr>
            </w:pPr>
            <w:r w:rsidRPr="00664E64">
              <w:rPr>
                <w:lang w:val="en-AU"/>
              </w:rPr>
              <w:t>2.6</w:t>
            </w:r>
          </w:p>
        </w:tc>
      </w:tr>
      <w:tr w:rsidR="0048571F" w:rsidRPr="00664E64" w14:paraId="30A4CB36" w14:textId="77777777" w:rsidTr="0048571F">
        <w:trPr>
          <w:trHeight w:val="320"/>
        </w:trPr>
        <w:tc>
          <w:tcPr>
            <w:tcW w:w="1586" w:type="pct"/>
            <w:hideMark/>
          </w:tcPr>
          <w:p w14:paraId="18BDFD07" w14:textId="77777777" w:rsidR="0048571F" w:rsidRPr="00664E64" w:rsidRDefault="0048571F" w:rsidP="00A55CD9">
            <w:pPr>
              <w:pStyle w:val="TableText"/>
              <w:rPr>
                <w:lang w:val="en-AU"/>
              </w:rPr>
            </w:pPr>
            <w:r w:rsidRPr="00664E64">
              <w:rPr>
                <w:lang w:val="en-AU"/>
              </w:rPr>
              <w:t>TV events/shows</w:t>
            </w:r>
          </w:p>
        </w:tc>
        <w:tc>
          <w:tcPr>
            <w:tcW w:w="1665" w:type="pct"/>
            <w:noWrap/>
          </w:tcPr>
          <w:p w14:paraId="4BA0B0F6" w14:textId="77777777" w:rsidR="0048571F" w:rsidRPr="00664E64" w:rsidRDefault="0048571F" w:rsidP="00A55CD9">
            <w:pPr>
              <w:pStyle w:val="TableTextAligned"/>
              <w:rPr>
                <w:lang w:val="en-AU"/>
              </w:rPr>
            </w:pPr>
            <w:r w:rsidRPr="00664E64">
              <w:rPr>
                <w:lang w:val="en-AU"/>
              </w:rPr>
              <w:t>199</w:t>
            </w:r>
          </w:p>
        </w:tc>
        <w:tc>
          <w:tcPr>
            <w:tcW w:w="1749" w:type="pct"/>
            <w:noWrap/>
          </w:tcPr>
          <w:p w14:paraId="6EB1A8C7" w14:textId="77777777" w:rsidR="0048571F" w:rsidRPr="00664E64" w:rsidRDefault="0048571F" w:rsidP="00A55CD9">
            <w:pPr>
              <w:pStyle w:val="TableTextAligned"/>
              <w:rPr>
                <w:lang w:val="en-AU"/>
              </w:rPr>
            </w:pPr>
            <w:r w:rsidRPr="00664E64">
              <w:rPr>
                <w:lang w:val="en-AU"/>
              </w:rPr>
              <w:t>3.9</w:t>
            </w:r>
          </w:p>
        </w:tc>
      </w:tr>
      <w:tr w:rsidR="0048571F" w:rsidRPr="00664E64" w14:paraId="5642E476" w14:textId="77777777" w:rsidTr="0048571F">
        <w:trPr>
          <w:trHeight w:val="320"/>
        </w:trPr>
        <w:tc>
          <w:tcPr>
            <w:tcW w:w="1586" w:type="pct"/>
            <w:hideMark/>
          </w:tcPr>
          <w:p w14:paraId="0CE5070A" w14:textId="77777777" w:rsidR="0048571F" w:rsidRPr="00664E64" w:rsidRDefault="0048571F" w:rsidP="00A55CD9">
            <w:pPr>
              <w:pStyle w:val="TableText"/>
              <w:rPr>
                <w:lang w:val="en-AU"/>
              </w:rPr>
            </w:pPr>
            <w:r w:rsidRPr="00664E64">
              <w:rPr>
                <w:lang w:val="en-AU"/>
              </w:rPr>
              <w:t>Current affairs</w:t>
            </w:r>
          </w:p>
        </w:tc>
        <w:tc>
          <w:tcPr>
            <w:tcW w:w="1665" w:type="pct"/>
            <w:noWrap/>
          </w:tcPr>
          <w:p w14:paraId="494BB20B" w14:textId="77777777" w:rsidR="0048571F" w:rsidRPr="00664E64" w:rsidRDefault="0048571F" w:rsidP="00A55CD9">
            <w:pPr>
              <w:pStyle w:val="TableTextAligned"/>
              <w:rPr>
                <w:lang w:val="en-AU"/>
              </w:rPr>
            </w:pPr>
            <w:r w:rsidRPr="00664E64">
              <w:rPr>
                <w:lang w:val="en-AU"/>
              </w:rPr>
              <w:t>135</w:t>
            </w:r>
          </w:p>
        </w:tc>
        <w:tc>
          <w:tcPr>
            <w:tcW w:w="1749" w:type="pct"/>
            <w:noWrap/>
          </w:tcPr>
          <w:p w14:paraId="77FA3EA9" w14:textId="77777777" w:rsidR="0048571F" w:rsidRPr="00664E64" w:rsidRDefault="0048571F" w:rsidP="00A55CD9">
            <w:pPr>
              <w:pStyle w:val="TableTextAligned"/>
              <w:rPr>
                <w:lang w:val="en-AU"/>
              </w:rPr>
            </w:pPr>
            <w:r w:rsidRPr="00664E64">
              <w:rPr>
                <w:lang w:val="en-AU"/>
              </w:rPr>
              <w:t>2.7</w:t>
            </w:r>
          </w:p>
        </w:tc>
      </w:tr>
      <w:tr w:rsidR="0048571F" w:rsidRPr="00664E64" w14:paraId="0F7DDE56" w14:textId="77777777" w:rsidTr="0048571F">
        <w:trPr>
          <w:trHeight w:val="320"/>
        </w:trPr>
        <w:tc>
          <w:tcPr>
            <w:tcW w:w="1586" w:type="pct"/>
            <w:hideMark/>
          </w:tcPr>
          <w:p w14:paraId="11F5A916" w14:textId="77777777" w:rsidR="0048571F" w:rsidRPr="00664E64" w:rsidRDefault="0048571F" w:rsidP="00A55CD9">
            <w:pPr>
              <w:pStyle w:val="TableText"/>
              <w:rPr>
                <w:lang w:val="en-AU"/>
              </w:rPr>
            </w:pPr>
            <w:r w:rsidRPr="00664E64">
              <w:rPr>
                <w:lang w:val="en-AU"/>
              </w:rPr>
              <w:t>Other</w:t>
            </w:r>
          </w:p>
        </w:tc>
        <w:tc>
          <w:tcPr>
            <w:tcW w:w="1665" w:type="pct"/>
            <w:noWrap/>
          </w:tcPr>
          <w:p w14:paraId="18646E96" w14:textId="77777777" w:rsidR="0048571F" w:rsidRPr="00664E64" w:rsidRDefault="0048571F" w:rsidP="00A55CD9">
            <w:pPr>
              <w:pStyle w:val="TableTextAligned"/>
              <w:rPr>
                <w:lang w:val="en-AU"/>
              </w:rPr>
            </w:pPr>
            <w:r w:rsidRPr="00664E64">
              <w:rPr>
                <w:lang w:val="en-AU"/>
              </w:rPr>
              <w:t>729</w:t>
            </w:r>
          </w:p>
        </w:tc>
        <w:tc>
          <w:tcPr>
            <w:tcW w:w="1749" w:type="pct"/>
            <w:noWrap/>
          </w:tcPr>
          <w:p w14:paraId="5FF32FCE" w14:textId="77777777" w:rsidR="0048571F" w:rsidRPr="00664E64" w:rsidRDefault="0048571F" w:rsidP="00A55CD9">
            <w:pPr>
              <w:pStyle w:val="TableTextAligned"/>
              <w:rPr>
                <w:lang w:val="en-AU"/>
              </w:rPr>
            </w:pPr>
            <w:r w:rsidRPr="00664E64">
              <w:rPr>
                <w:lang w:val="en-AU"/>
              </w:rPr>
              <w:t>14.4</w:t>
            </w:r>
          </w:p>
        </w:tc>
      </w:tr>
    </w:tbl>
    <w:p w14:paraId="46DBEAA2" w14:textId="22A15F1A" w:rsidR="00523E94" w:rsidRPr="00523E94" w:rsidRDefault="00523E94" w:rsidP="00523E94">
      <w:pPr>
        <w:pStyle w:val="BodyText"/>
        <w:pBdr>
          <w:bottom w:val="single" w:sz="4" w:space="1" w:color="auto"/>
        </w:pBdr>
        <w:rPr>
          <w:sz w:val="18"/>
          <w:szCs w:val="18"/>
        </w:rPr>
      </w:pPr>
      <w:r w:rsidRPr="00523E94">
        <w:rPr>
          <w:sz w:val="18"/>
          <w:szCs w:val="18"/>
        </w:rPr>
        <w:t>Note: Percentages do not total 100% due to participation in multiple activities.</w:t>
      </w:r>
    </w:p>
    <w:p w14:paraId="677012FB" w14:textId="6823F787" w:rsidR="00891F38" w:rsidRPr="00664E64" w:rsidRDefault="00D161F4" w:rsidP="00A55CD9">
      <w:pPr>
        <w:pStyle w:val="BodyText"/>
      </w:pPr>
      <w:r w:rsidRPr="00664E64">
        <w:t xml:space="preserve">Table 5.4 presents the </w:t>
      </w:r>
      <w:r w:rsidR="00891F38" w:rsidRPr="00664E64">
        <w:t xml:space="preserve">participants’ </w:t>
      </w:r>
      <w:r w:rsidRPr="00664E64">
        <w:t>age, gender and location breakdown</w:t>
      </w:r>
      <w:r w:rsidR="00891F38" w:rsidRPr="00664E64">
        <w:t xml:space="preserve"> by </w:t>
      </w:r>
      <w:r w:rsidRPr="00664E64">
        <w:t xml:space="preserve">betting activity. </w:t>
      </w:r>
    </w:p>
    <w:p w14:paraId="6C010A15" w14:textId="5CF83DCE" w:rsidR="008E244D" w:rsidRPr="00664E64" w:rsidRDefault="00891F38" w:rsidP="00A55CD9">
      <w:pPr>
        <w:pStyle w:val="ListBullet"/>
      </w:pPr>
      <w:r w:rsidRPr="00664E64">
        <w:t xml:space="preserve">Female participants accounted for around one quarter (24%) of those who reported having </w:t>
      </w:r>
      <w:r w:rsidR="008E244D" w:rsidRPr="00664E64">
        <w:t xml:space="preserve">placed a bet on horse racing in the past 12 months, and one third of those who placed bets on TV events/shows. Females were much less likely to report having placed a bet on fantasy sports or </w:t>
      </w:r>
      <w:r w:rsidR="004C4DDD" w:rsidRPr="00664E64">
        <w:t xml:space="preserve">current affairs </w:t>
      </w:r>
      <w:r w:rsidR="008E244D" w:rsidRPr="00664E64">
        <w:t>during that time.</w:t>
      </w:r>
    </w:p>
    <w:p w14:paraId="73B549FC" w14:textId="319F3136" w:rsidR="004C4DDD" w:rsidRPr="00664E64" w:rsidRDefault="008E244D" w:rsidP="004C4DDD">
      <w:pPr>
        <w:pStyle w:val="ListBullet"/>
      </w:pPr>
      <w:r w:rsidRPr="00664E64">
        <w:t>Some age differences by activity were also observed, with participants who reported betting on the different types of ‘racing’ typically in the older age groups</w:t>
      </w:r>
      <w:r w:rsidR="00395628" w:rsidRPr="00664E64">
        <w:t xml:space="preserve">, </w:t>
      </w:r>
      <w:r w:rsidR="006D0E8E">
        <w:t>and</w:t>
      </w:r>
      <w:r w:rsidR="007971B1">
        <w:t xml:space="preserve"> </w:t>
      </w:r>
      <w:r w:rsidRPr="00664E64">
        <w:t>those who reported having bet on fantasy sports,</w:t>
      </w:r>
      <w:r w:rsidR="00357014" w:rsidRPr="00664E64">
        <w:t xml:space="preserve"> eSports</w:t>
      </w:r>
      <w:r w:rsidR="006D0E8E">
        <w:t>,</w:t>
      </w:r>
      <w:r w:rsidRPr="00664E64">
        <w:t xml:space="preserve"> TV shows and </w:t>
      </w:r>
      <w:r w:rsidR="00357014" w:rsidRPr="00664E64">
        <w:t>c</w:t>
      </w:r>
      <w:r w:rsidRPr="00664E64">
        <w:t xml:space="preserve">urrent </w:t>
      </w:r>
      <w:r w:rsidR="00357014" w:rsidRPr="00664E64">
        <w:t>a</w:t>
      </w:r>
      <w:r w:rsidRPr="00664E64">
        <w:t>ffairs</w:t>
      </w:r>
      <w:r w:rsidR="007971B1">
        <w:t xml:space="preserve"> were </w:t>
      </w:r>
      <w:r w:rsidR="006D0E8E">
        <w:t>often younger</w:t>
      </w:r>
      <w:r w:rsidR="007971B1">
        <w:t xml:space="preserve">. </w:t>
      </w:r>
    </w:p>
    <w:p w14:paraId="5263399E" w14:textId="77777777" w:rsidR="004C4DDD" w:rsidRPr="00664E64" w:rsidRDefault="004C4DDD">
      <w:pPr>
        <w:rPr>
          <w:lang w:bidi="en-US"/>
        </w:rPr>
      </w:pPr>
      <w:r w:rsidRPr="00664E64">
        <w:br w:type="page"/>
      </w:r>
    </w:p>
    <w:p w14:paraId="160225BE" w14:textId="3A5BE0FB" w:rsidR="00D161F4" w:rsidRPr="0036418A" w:rsidRDefault="00D161F4" w:rsidP="00415C73">
      <w:pPr>
        <w:pStyle w:val="FigureCaption"/>
        <w:rPr>
          <w:color w:val="auto"/>
          <w:lang w:val="en-AU"/>
        </w:rPr>
      </w:pPr>
      <w:bookmarkStart w:id="35" w:name="_Toc11864567"/>
      <w:bookmarkStart w:id="36" w:name="_Toc12549564"/>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4</w:t>
      </w:r>
      <w:r w:rsidR="00777624" w:rsidRPr="0036418A">
        <w:rPr>
          <w:noProof/>
          <w:color w:val="auto"/>
          <w:lang w:val="en-AU"/>
        </w:rPr>
        <w:fldChar w:fldCharType="end"/>
      </w:r>
      <w:r w:rsidR="004C4DDD" w:rsidRPr="0036418A">
        <w:rPr>
          <w:color w:val="auto"/>
          <w:lang w:val="en-AU"/>
        </w:rPr>
        <w:t>:</w:t>
      </w:r>
      <w:r w:rsidRPr="0036418A">
        <w:rPr>
          <w:color w:val="auto"/>
          <w:lang w:val="en-AU"/>
        </w:rPr>
        <w:t xml:space="preserve"> Key characteristics of participants who reported placing bets in the past 12 months</w:t>
      </w:r>
      <w:bookmarkEnd w:id="35"/>
      <w:bookmarkEnd w:id="36"/>
    </w:p>
    <w:tbl>
      <w:tblPr>
        <w:tblStyle w:val="TableGrid"/>
        <w:tblW w:w="5000" w:type="pct"/>
        <w:tblLook w:val="04A0" w:firstRow="1" w:lastRow="0" w:firstColumn="1" w:lastColumn="0" w:noHBand="0" w:noVBand="1"/>
        <w:tblCaption w:val="Key characteristics of participants for each betting activity"/>
        <w:tblDescription w:val="Gives the sex, age and location of those who have bet on each activity in the last 12 months."/>
      </w:tblPr>
      <w:tblGrid>
        <w:gridCol w:w="1356"/>
        <w:gridCol w:w="1056"/>
        <w:gridCol w:w="1056"/>
        <w:gridCol w:w="1056"/>
        <w:gridCol w:w="1056"/>
        <w:gridCol w:w="945"/>
        <w:gridCol w:w="945"/>
        <w:gridCol w:w="945"/>
        <w:gridCol w:w="945"/>
      </w:tblGrid>
      <w:tr w:rsidR="0048571F" w:rsidRPr="00664E64" w14:paraId="5FF478A8" w14:textId="77777777" w:rsidTr="00914774">
        <w:trPr>
          <w:cnfStyle w:val="100000000000" w:firstRow="1" w:lastRow="0" w:firstColumn="0" w:lastColumn="0" w:oddVBand="0" w:evenVBand="0" w:oddHBand="0" w:evenHBand="0" w:firstRowFirstColumn="0" w:firstRowLastColumn="0" w:lastRowFirstColumn="0" w:lastRowLastColumn="0"/>
          <w:trHeight w:val="1193"/>
          <w:tblHeader/>
        </w:trPr>
        <w:tc>
          <w:tcPr>
            <w:tcW w:w="769" w:type="pct"/>
            <w:hideMark/>
          </w:tcPr>
          <w:p w14:paraId="6B6EB852" w14:textId="77777777" w:rsidR="0048571F" w:rsidRPr="00664E64" w:rsidRDefault="0048571F" w:rsidP="00A55CD9">
            <w:pPr>
              <w:pStyle w:val="TableColHeadLeft"/>
              <w:rPr>
                <w:rFonts w:cs="Arial"/>
                <w:lang w:val="en-AU"/>
              </w:rPr>
            </w:pPr>
            <w:r w:rsidRPr="00664E64">
              <w:rPr>
                <w:rFonts w:cs="Arial"/>
                <w:lang w:val="en-AU"/>
              </w:rPr>
              <w:t>Category</w:t>
            </w:r>
          </w:p>
        </w:tc>
        <w:tc>
          <w:tcPr>
            <w:tcW w:w="529" w:type="pct"/>
          </w:tcPr>
          <w:p w14:paraId="157405A5" w14:textId="77777777" w:rsidR="0048571F" w:rsidRPr="00664E64" w:rsidRDefault="0048571F" w:rsidP="00A55CD9">
            <w:pPr>
              <w:pStyle w:val="TableColHeadCentre"/>
              <w:rPr>
                <w:rFonts w:cs="Arial"/>
                <w:lang w:val="en-AU"/>
              </w:rPr>
            </w:pPr>
            <w:r w:rsidRPr="00664E64">
              <w:rPr>
                <w:rFonts w:cs="Arial"/>
                <w:lang w:val="en-AU"/>
              </w:rPr>
              <w:t>Sports</w:t>
            </w:r>
          </w:p>
          <w:p w14:paraId="308D68DF" w14:textId="279093DF" w:rsidR="0048571F" w:rsidRPr="00664E64" w:rsidRDefault="0048571F" w:rsidP="00A55CD9">
            <w:pPr>
              <w:pStyle w:val="TableColHeadCentre"/>
              <w:rPr>
                <w:rFonts w:cs="Arial"/>
                <w:lang w:val="en-AU"/>
              </w:rPr>
            </w:pPr>
            <w:r w:rsidRPr="00664E64">
              <w:rPr>
                <w:rFonts w:cs="Arial"/>
                <w:lang w:val="en-AU"/>
              </w:rPr>
              <w:t>(</w:t>
            </w:r>
            <w:r w:rsidRPr="00664E64">
              <w:rPr>
                <w:rFonts w:cs="Arial"/>
                <w:i/>
                <w:lang w:val="en-AU"/>
              </w:rPr>
              <w:t>N</w:t>
            </w:r>
            <w:r w:rsidRPr="00664E64">
              <w:rPr>
                <w:rFonts w:cs="Arial"/>
                <w:lang w:val="en-AU"/>
              </w:rPr>
              <w:t>=2683)</w:t>
            </w:r>
          </w:p>
        </w:tc>
        <w:tc>
          <w:tcPr>
            <w:tcW w:w="529" w:type="pct"/>
          </w:tcPr>
          <w:p w14:paraId="11A21AE0" w14:textId="353FA388" w:rsidR="0048571F" w:rsidRPr="00664E64" w:rsidRDefault="0048571F" w:rsidP="00A55CD9">
            <w:pPr>
              <w:pStyle w:val="TableColHeadCentre"/>
              <w:rPr>
                <w:rFonts w:cs="Arial"/>
                <w:lang w:val="en-AU"/>
              </w:rPr>
            </w:pPr>
            <w:r w:rsidRPr="00664E64">
              <w:rPr>
                <w:rFonts w:cs="Arial"/>
                <w:lang w:val="en-AU"/>
              </w:rPr>
              <w:t>Horse racing</w:t>
            </w:r>
          </w:p>
          <w:p w14:paraId="12EDCB3C" w14:textId="77777777" w:rsidR="0048571F" w:rsidRPr="00664E64" w:rsidRDefault="0048571F" w:rsidP="00A55CD9">
            <w:pPr>
              <w:pStyle w:val="TableColHeadCentre"/>
              <w:rPr>
                <w:rFonts w:cs="Arial"/>
                <w:lang w:val="en-AU"/>
              </w:rPr>
            </w:pPr>
            <w:r w:rsidRPr="00664E64">
              <w:rPr>
                <w:rFonts w:cs="Arial"/>
                <w:lang w:val="en-AU"/>
              </w:rPr>
              <w:t>(</w:t>
            </w:r>
            <w:r w:rsidRPr="00664E64">
              <w:rPr>
                <w:rFonts w:cs="Arial"/>
                <w:i/>
                <w:lang w:val="en-AU"/>
              </w:rPr>
              <w:t>N</w:t>
            </w:r>
            <w:r w:rsidRPr="00664E64">
              <w:rPr>
                <w:rFonts w:cs="Arial"/>
                <w:lang w:val="en-AU"/>
              </w:rPr>
              <w:t>=3806)</w:t>
            </w:r>
          </w:p>
        </w:tc>
        <w:tc>
          <w:tcPr>
            <w:tcW w:w="529" w:type="pct"/>
          </w:tcPr>
          <w:p w14:paraId="3DCA7C65" w14:textId="25EB794C" w:rsidR="0048571F" w:rsidRPr="00664E64" w:rsidRDefault="0048571F" w:rsidP="00A55CD9">
            <w:pPr>
              <w:pStyle w:val="TableColHeadCentre"/>
              <w:rPr>
                <w:rFonts w:cs="Arial"/>
                <w:lang w:val="en-AU"/>
              </w:rPr>
            </w:pPr>
            <w:r w:rsidRPr="00664E64">
              <w:rPr>
                <w:rFonts w:cs="Arial"/>
                <w:lang w:val="en-AU"/>
              </w:rPr>
              <w:t>Harness racing (</w:t>
            </w:r>
            <w:r w:rsidRPr="00664E64">
              <w:rPr>
                <w:rFonts w:cs="Arial"/>
                <w:i/>
                <w:lang w:val="en-AU"/>
              </w:rPr>
              <w:t>N</w:t>
            </w:r>
            <w:r w:rsidRPr="00664E64">
              <w:rPr>
                <w:rFonts w:cs="Arial"/>
                <w:lang w:val="en-AU"/>
              </w:rPr>
              <w:t xml:space="preserve">=1134) </w:t>
            </w:r>
          </w:p>
        </w:tc>
        <w:tc>
          <w:tcPr>
            <w:tcW w:w="529" w:type="pct"/>
            <w:hideMark/>
          </w:tcPr>
          <w:p w14:paraId="5A6F5502" w14:textId="7BBBF1C4" w:rsidR="0048571F" w:rsidRPr="00664E64" w:rsidRDefault="0048571F" w:rsidP="00A55CD9">
            <w:pPr>
              <w:pStyle w:val="TableColHeadCentre"/>
              <w:rPr>
                <w:rFonts w:cs="Arial"/>
                <w:lang w:val="en-AU"/>
              </w:rPr>
            </w:pPr>
            <w:r w:rsidRPr="00664E64">
              <w:rPr>
                <w:rFonts w:cs="Arial"/>
                <w:lang w:val="en-AU"/>
              </w:rPr>
              <w:t>G’hound racing</w:t>
            </w:r>
          </w:p>
          <w:p w14:paraId="7C1D210A" w14:textId="77777777" w:rsidR="0048571F" w:rsidRPr="00664E64" w:rsidRDefault="0048571F" w:rsidP="00A55CD9">
            <w:pPr>
              <w:pStyle w:val="TableColHeadCentre"/>
              <w:rPr>
                <w:rFonts w:cs="Arial"/>
                <w:lang w:val="en-AU"/>
              </w:rPr>
            </w:pPr>
            <w:r w:rsidRPr="00664E64">
              <w:rPr>
                <w:rFonts w:cs="Arial"/>
                <w:lang w:val="en-AU"/>
              </w:rPr>
              <w:t>(</w:t>
            </w:r>
            <w:r w:rsidRPr="00664E64">
              <w:rPr>
                <w:rFonts w:cs="Arial"/>
                <w:i/>
                <w:lang w:val="en-AU"/>
              </w:rPr>
              <w:t>N</w:t>
            </w:r>
            <w:r w:rsidRPr="00664E64">
              <w:rPr>
                <w:rFonts w:cs="Arial"/>
                <w:lang w:val="en-AU"/>
              </w:rPr>
              <w:t>=1610)</w:t>
            </w:r>
          </w:p>
        </w:tc>
        <w:tc>
          <w:tcPr>
            <w:tcW w:w="529" w:type="pct"/>
          </w:tcPr>
          <w:p w14:paraId="642153D7" w14:textId="27F3010D" w:rsidR="0048571F" w:rsidRPr="00664E64" w:rsidRDefault="0048571F" w:rsidP="00A55CD9">
            <w:pPr>
              <w:pStyle w:val="TableColHeadCentre"/>
              <w:rPr>
                <w:rFonts w:cs="Arial"/>
                <w:lang w:val="en-AU"/>
              </w:rPr>
            </w:pPr>
            <w:r w:rsidRPr="00664E64">
              <w:rPr>
                <w:rFonts w:cs="Arial"/>
                <w:lang w:val="en-AU"/>
              </w:rPr>
              <w:t>Fantasy sports (</w:t>
            </w:r>
            <w:r w:rsidRPr="00664E64">
              <w:rPr>
                <w:rFonts w:cs="Arial"/>
                <w:i/>
                <w:lang w:val="en-AU"/>
              </w:rPr>
              <w:t>N</w:t>
            </w:r>
            <w:r w:rsidRPr="00664E64">
              <w:rPr>
                <w:rFonts w:cs="Arial"/>
                <w:lang w:val="en-AU"/>
              </w:rPr>
              <w:t>=189)</w:t>
            </w:r>
          </w:p>
        </w:tc>
        <w:tc>
          <w:tcPr>
            <w:tcW w:w="529" w:type="pct"/>
          </w:tcPr>
          <w:p w14:paraId="0E653D7A" w14:textId="043BAB2C" w:rsidR="0048571F" w:rsidRPr="00664E64" w:rsidRDefault="0048571F" w:rsidP="00A55CD9">
            <w:pPr>
              <w:pStyle w:val="TableColHeadCentre"/>
              <w:rPr>
                <w:rFonts w:cs="Arial"/>
                <w:lang w:val="en-AU"/>
              </w:rPr>
            </w:pPr>
            <w:r w:rsidRPr="00664E64">
              <w:rPr>
                <w:rFonts w:cs="Arial"/>
                <w:lang w:val="en-AU"/>
              </w:rPr>
              <w:t>eSports (</w:t>
            </w:r>
            <w:r w:rsidRPr="00664E64">
              <w:rPr>
                <w:rFonts w:cs="Arial"/>
                <w:i/>
                <w:lang w:val="en-AU"/>
              </w:rPr>
              <w:t>N</w:t>
            </w:r>
            <w:r w:rsidRPr="00664E64">
              <w:rPr>
                <w:rFonts w:cs="Arial"/>
                <w:lang w:val="en-AU"/>
              </w:rPr>
              <w:t>=130)</w:t>
            </w:r>
          </w:p>
        </w:tc>
        <w:tc>
          <w:tcPr>
            <w:tcW w:w="529" w:type="pct"/>
          </w:tcPr>
          <w:p w14:paraId="26E92DB3" w14:textId="12573D80" w:rsidR="0048571F" w:rsidRPr="00664E64" w:rsidRDefault="0048571F" w:rsidP="00A55CD9">
            <w:pPr>
              <w:pStyle w:val="TableColHeadCentre"/>
              <w:rPr>
                <w:rFonts w:cs="Arial"/>
                <w:lang w:val="en-AU"/>
              </w:rPr>
            </w:pPr>
            <w:r w:rsidRPr="00664E64">
              <w:rPr>
                <w:rFonts w:cs="Arial"/>
                <w:lang w:val="en-AU"/>
              </w:rPr>
              <w:t>TV events/ shows (</w:t>
            </w:r>
            <w:r w:rsidRPr="00664E64">
              <w:rPr>
                <w:rFonts w:cs="Arial"/>
                <w:i/>
                <w:lang w:val="en-AU"/>
              </w:rPr>
              <w:t>N</w:t>
            </w:r>
            <w:r w:rsidRPr="00664E64">
              <w:rPr>
                <w:rFonts w:cs="Arial"/>
                <w:lang w:val="en-AU"/>
              </w:rPr>
              <w:t>=199)</w:t>
            </w:r>
          </w:p>
        </w:tc>
        <w:tc>
          <w:tcPr>
            <w:tcW w:w="529" w:type="pct"/>
          </w:tcPr>
          <w:p w14:paraId="1EDDB052" w14:textId="77777777" w:rsidR="0048571F" w:rsidRPr="00664E64" w:rsidRDefault="0048571F" w:rsidP="00A55CD9">
            <w:pPr>
              <w:pStyle w:val="TableColHeadCentre"/>
              <w:rPr>
                <w:rFonts w:cs="Arial"/>
                <w:lang w:val="en-AU"/>
              </w:rPr>
            </w:pPr>
            <w:r w:rsidRPr="00664E64">
              <w:rPr>
                <w:rFonts w:cs="Arial"/>
                <w:lang w:val="en-AU"/>
              </w:rPr>
              <w:t>Current affairs (</w:t>
            </w:r>
            <w:r w:rsidRPr="00664E64">
              <w:rPr>
                <w:rFonts w:cs="Arial"/>
                <w:i/>
                <w:lang w:val="en-AU"/>
              </w:rPr>
              <w:t>N</w:t>
            </w:r>
            <w:r w:rsidRPr="00664E64">
              <w:rPr>
                <w:rFonts w:cs="Arial"/>
                <w:lang w:val="en-AU"/>
              </w:rPr>
              <w:t>=135)</w:t>
            </w:r>
          </w:p>
        </w:tc>
      </w:tr>
      <w:tr w:rsidR="0048571F" w:rsidRPr="00664E64" w14:paraId="510B260B" w14:textId="77777777" w:rsidTr="0048571F">
        <w:trPr>
          <w:trHeight w:val="579"/>
        </w:trPr>
        <w:tc>
          <w:tcPr>
            <w:tcW w:w="769" w:type="pct"/>
            <w:hideMark/>
          </w:tcPr>
          <w:p w14:paraId="40C5BAF8" w14:textId="36EAB88E" w:rsidR="0048571F" w:rsidRPr="00664E64" w:rsidRDefault="0048571F" w:rsidP="00A55CD9">
            <w:pPr>
              <w:pStyle w:val="TableHeading"/>
              <w:rPr>
                <w:rFonts w:cs="Arial"/>
                <w:lang w:val="en-AU"/>
              </w:rPr>
            </w:pPr>
          </w:p>
        </w:tc>
        <w:tc>
          <w:tcPr>
            <w:tcW w:w="529" w:type="pct"/>
          </w:tcPr>
          <w:p w14:paraId="76221605" w14:textId="7C1F752C" w:rsidR="0048571F" w:rsidRPr="00664E64" w:rsidRDefault="0048571F" w:rsidP="00A55CD9">
            <w:pPr>
              <w:pStyle w:val="TableHeading"/>
              <w:rPr>
                <w:rFonts w:cs="Arial"/>
                <w:lang w:val="en-AU"/>
              </w:rPr>
            </w:pPr>
            <w:r w:rsidRPr="00664E64">
              <w:rPr>
                <w:rFonts w:cs="Arial"/>
                <w:lang w:val="en-AU"/>
              </w:rPr>
              <w:t>%</w:t>
            </w:r>
          </w:p>
        </w:tc>
        <w:tc>
          <w:tcPr>
            <w:tcW w:w="529" w:type="pct"/>
          </w:tcPr>
          <w:p w14:paraId="7CA2922F" w14:textId="495E8D68" w:rsidR="0048571F" w:rsidRPr="00664E64" w:rsidRDefault="0048571F" w:rsidP="00A55CD9">
            <w:pPr>
              <w:pStyle w:val="TableHeading"/>
              <w:rPr>
                <w:rFonts w:cs="Arial"/>
                <w:lang w:val="en-AU"/>
              </w:rPr>
            </w:pPr>
            <w:r w:rsidRPr="00664E64">
              <w:rPr>
                <w:rFonts w:cs="Arial"/>
                <w:lang w:val="en-AU"/>
              </w:rPr>
              <w:t>%</w:t>
            </w:r>
          </w:p>
        </w:tc>
        <w:tc>
          <w:tcPr>
            <w:tcW w:w="529" w:type="pct"/>
          </w:tcPr>
          <w:p w14:paraId="1E443D39" w14:textId="462A3420" w:rsidR="0048571F" w:rsidRPr="00664E64" w:rsidRDefault="0048571F" w:rsidP="00A55CD9">
            <w:pPr>
              <w:pStyle w:val="TableHeading"/>
              <w:rPr>
                <w:rFonts w:cs="Arial"/>
                <w:lang w:val="en-AU"/>
              </w:rPr>
            </w:pPr>
            <w:r w:rsidRPr="00664E64">
              <w:rPr>
                <w:rFonts w:cs="Arial"/>
                <w:lang w:val="en-AU"/>
              </w:rPr>
              <w:t>%</w:t>
            </w:r>
          </w:p>
        </w:tc>
        <w:tc>
          <w:tcPr>
            <w:tcW w:w="529" w:type="pct"/>
            <w:noWrap/>
            <w:hideMark/>
          </w:tcPr>
          <w:p w14:paraId="38BE09FE" w14:textId="7B2C171C" w:rsidR="0048571F" w:rsidRPr="00664E64" w:rsidRDefault="0048571F" w:rsidP="00A55CD9">
            <w:pPr>
              <w:pStyle w:val="TableHeading"/>
              <w:rPr>
                <w:rFonts w:cs="Arial"/>
                <w:lang w:val="en-AU"/>
              </w:rPr>
            </w:pPr>
            <w:r w:rsidRPr="00664E64">
              <w:rPr>
                <w:rFonts w:cs="Arial"/>
                <w:lang w:val="en-AU"/>
              </w:rPr>
              <w:t>%</w:t>
            </w:r>
          </w:p>
        </w:tc>
        <w:tc>
          <w:tcPr>
            <w:tcW w:w="529" w:type="pct"/>
          </w:tcPr>
          <w:p w14:paraId="51287D59" w14:textId="50504174" w:rsidR="0048571F" w:rsidRPr="00664E64" w:rsidRDefault="0048571F" w:rsidP="00A55CD9">
            <w:pPr>
              <w:pStyle w:val="TableHeading"/>
              <w:rPr>
                <w:rFonts w:cs="Arial"/>
                <w:lang w:val="en-AU"/>
              </w:rPr>
            </w:pPr>
            <w:r w:rsidRPr="00664E64">
              <w:rPr>
                <w:rFonts w:cs="Arial"/>
                <w:lang w:val="en-AU"/>
              </w:rPr>
              <w:t>%</w:t>
            </w:r>
          </w:p>
        </w:tc>
        <w:tc>
          <w:tcPr>
            <w:tcW w:w="529" w:type="pct"/>
          </w:tcPr>
          <w:p w14:paraId="1BB908DB" w14:textId="558D4039" w:rsidR="0048571F" w:rsidRPr="00664E64" w:rsidRDefault="0048571F" w:rsidP="00A55CD9">
            <w:pPr>
              <w:pStyle w:val="TableHeading"/>
              <w:rPr>
                <w:rFonts w:cs="Arial"/>
                <w:lang w:val="en-AU"/>
              </w:rPr>
            </w:pPr>
            <w:r w:rsidRPr="00664E64">
              <w:rPr>
                <w:rFonts w:cs="Arial"/>
                <w:lang w:val="en-AU"/>
              </w:rPr>
              <w:t>%</w:t>
            </w:r>
          </w:p>
        </w:tc>
        <w:tc>
          <w:tcPr>
            <w:tcW w:w="529" w:type="pct"/>
          </w:tcPr>
          <w:p w14:paraId="1D59CF5F" w14:textId="3EA6F764" w:rsidR="0048571F" w:rsidRPr="00664E64" w:rsidRDefault="0048571F" w:rsidP="00A55CD9">
            <w:pPr>
              <w:pStyle w:val="TableHeading"/>
              <w:rPr>
                <w:rFonts w:cs="Arial"/>
                <w:lang w:val="en-AU"/>
              </w:rPr>
            </w:pPr>
            <w:r w:rsidRPr="00664E64">
              <w:rPr>
                <w:rFonts w:cs="Arial"/>
                <w:lang w:val="en-AU"/>
              </w:rPr>
              <w:t>%</w:t>
            </w:r>
          </w:p>
        </w:tc>
        <w:tc>
          <w:tcPr>
            <w:tcW w:w="529" w:type="pct"/>
          </w:tcPr>
          <w:p w14:paraId="40A634BC" w14:textId="77777777" w:rsidR="0048571F" w:rsidRPr="00664E64" w:rsidRDefault="0048571F" w:rsidP="00A55CD9">
            <w:pPr>
              <w:pStyle w:val="TableHeading"/>
              <w:rPr>
                <w:rFonts w:cs="Arial"/>
                <w:lang w:val="en-AU"/>
              </w:rPr>
            </w:pPr>
            <w:r w:rsidRPr="00664E64">
              <w:rPr>
                <w:rFonts w:cs="Arial"/>
                <w:lang w:val="en-AU"/>
              </w:rPr>
              <w:t>%</w:t>
            </w:r>
          </w:p>
        </w:tc>
      </w:tr>
      <w:tr w:rsidR="004C4DDD" w:rsidRPr="00664E64" w14:paraId="12BB7213" w14:textId="77777777" w:rsidTr="0048571F">
        <w:trPr>
          <w:trHeight w:val="579"/>
        </w:trPr>
        <w:tc>
          <w:tcPr>
            <w:tcW w:w="769" w:type="pct"/>
          </w:tcPr>
          <w:p w14:paraId="7F9B599A" w14:textId="4359C359" w:rsidR="004C4DDD" w:rsidRPr="0036418A" w:rsidRDefault="004C4DDD" w:rsidP="004C4DDD">
            <w:pPr>
              <w:pStyle w:val="TableHeading"/>
              <w:rPr>
                <w:rFonts w:cs="Arial"/>
                <w:b/>
                <w:lang w:val="en-AU"/>
              </w:rPr>
            </w:pPr>
            <w:r w:rsidRPr="0036418A">
              <w:rPr>
                <w:rFonts w:cs="Arial"/>
                <w:b/>
                <w:color w:val="auto"/>
                <w:lang w:val="en-AU"/>
              </w:rPr>
              <w:t>Sex</w:t>
            </w:r>
          </w:p>
        </w:tc>
        <w:tc>
          <w:tcPr>
            <w:tcW w:w="529" w:type="pct"/>
          </w:tcPr>
          <w:p w14:paraId="05C96F25" w14:textId="77777777" w:rsidR="004C4DDD" w:rsidRPr="00664E64" w:rsidRDefault="004C4DDD" w:rsidP="004C4DDD">
            <w:pPr>
              <w:pStyle w:val="TableHeading"/>
              <w:rPr>
                <w:rFonts w:cs="Arial"/>
                <w:lang w:val="en-AU"/>
              </w:rPr>
            </w:pPr>
          </w:p>
        </w:tc>
        <w:tc>
          <w:tcPr>
            <w:tcW w:w="529" w:type="pct"/>
          </w:tcPr>
          <w:p w14:paraId="1BB99E35" w14:textId="77777777" w:rsidR="004C4DDD" w:rsidRPr="00664E64" w:rsidRDefault="004C4DDD" w:rsidP="004C4DDD">
            <w:pPr>
              <w:pStyle w:val="TableHeading"/>
              <w:rPr>
                <w:rFonts w:cs="Arial"/>
                <w:lang w:val="en-AU"/>
              </w:rPr>
            </w:pPr>
          </w:p>
        </w:tc>
        <w:tc>
          <w:tcPr>
            <w:tcW w:w="529" w:type="pct"/>
          </w:tcPr>
          <w:p w14:paraId="3AF720D6" w14:textId="77777777" w:rsidR="004C4DDD" w:rsidRPr="00664E64" w:rsidRDefault="004C4DDD" w:rsidP="004C4DDD">
            <w:pPr>
              <w:pStyle w:val="TableHeading"/>
              <w:rPr>
                <w:rFonts w:cs="Arial"/>
                <w:lang w:val="en-AU"/>
              </w:rPr>
            </w:pPr>
          </w:p>
        </w:tc>
        <w:tc>
          <w:tcPr>
            <w:tcW w:w="529" w:type="pct"/>
            <w:noWrap/>
          </w:tcPr>
          <w:p w14:paraId="35B37375" w14:textId="77777777" w:rsidR="004C4DDD" w:rsidRPr="00664E64" w:rsidRDefault="004C4DDD" w:rsidP="004C4DDD">
            <w:pPr>
              <w:pStyle w:val="TableHeading"/>
              <w:rPr>
                <w:rFonts w:cs="Arial"/>
                <w:lang w:val="en-AU"/>
              </w:rPr>
            </w:pPr>
          </w:p>
        </w:tc>
        <w:tc>
          <w:tcPr>
            <w:tcW w:w="529" w:type="pct"/>
          </w:tcPr>
          <w:p w14:paraId="40610E72" w14:textId="77777777" w:rsidR="004C4DDD" w:rsidRPr="00664E64" w:rsidRDefault="004C4DDD" w:rsidP="004C4DDD">
            <w:pPr>
              <w:pStyle w:val="TableHeading"/>
              <w:rPr>
                <w:rFonts w:cs="Arial"/>
                <w:lang w:val="en-AU"/>
              </w:rPr>
            </w:pPr>
          </w:p>
        </w:tc>
        <w:tc>
          <w:tcPr>
            <w:tcW w:w="529" w:type="pct"/>
          </w:tcPr>
          <w:p w14:paraId="6673F511" w14:textId="77777777" w:rsidR="004C4DDD" w:rsidRPr="00664E64" w:rsidRDefault="004C4DDD" w:rsidP="004C4DDD">
            <w:pPr>
              <w:pStyle w:val="TableHeading"/>
              <w:rPr>
                <w:rFonts w:cs="Arial"/>
                <w:lang w:val="en-AU"/>
              </w:rPr>
            </w:pPr>
          </w:p>
        </w:tc>
        <w:tc>
          <w:tcPr>
            <w:tcW w:w="529" w:type="pct"/>
          </w:tcPr>
          <w:p w14:paraId="098D7C39" w14:textId="77777777" w:rsidR="004C4DDD" w:rsidRPr="00664E64" w:rsidRDefault="004C4DDD" w:rsidP="004C4DDD">
            <w:pPr>
              <w:pStyle w:val="TableHeading"/>
              <w:rPr>
                <w:rFonts w:cs="Arial"/>
                <w:lang w:val="en-AU"/>
              </w:rPr>
            </w:pPr>
          </w:p>
        </w:tc>
        <w:tc>
          <w:tcPr>
            <w:tcW w:w="529" w:type="pct"/>
          </w:tcPr>
          <w:p w14:paraId="13E35187" w14:textId="77777777" w:rsidR="004C4DDD" w:rsidRPr="00664E64" w:rsidRDefault="004C4DDD" w:rsidP="004C4DDD">
            <w:pPr>
              <w:pStyle w:val="TableHeading"/>
              <w:rPr>
                <w:rFonts w:cs="Arial"/>
                <w:lang w:val="en-AU"/>
              </w:rPr>
            </w:pPr>
          </w:p>
        </w:tc>
      </w:tr>
      <w:tr w:rsidR="0048571F" w:rsidRPr="00664E64" w14:paraId="1887CB30" w14:textId="77777777" w:rsidTr="0048571F">
        <w:trPr>
          <w:trHeight w:val="579"/>
        </w:trPr>
        <w:tc>
          <w:tcPr>
            <w:tcW w:w="769" w:type="pct"/>
            <w:hideMark/>
          </w:tcPr>
          <w:p w14:paraId="33BF59F9" w14:textId="77777777" w:rsidR="0048571F" w:rsidRPr="00664E64" w:rsidRDefault="0048571F" w:rsidP="00A55CD9">
            <w:pPr>
              <w:pStyle w:val="TableText"/>
              <w:rPr>
                <w:rFonts w:cs="Arial"/>
                <w:lang w:val="en-AU"/>
              </w:rPr>
            </w:pPr>
            <w:r w:rsidRPr="00664E64">
              <w:rPr>
                <w:rFonts w:cs="Arial"/>
                <w:szCs w:val="18"/>
                <w:lang w:val="en-AU"/>
              </w:rPr>
              <w:t>Male</w:t>
            </w:r>
          </w:p>
        </w:tc>
        <w:tc>
          <w:tcPr>
            <w:tcW w:w="529" w:type="pct"/>
          </w:tcPr>
          <w:p w14:paraId="4C65B065" w14:textId="5DDF04F4" w:rsidR="0048571F" w:rsidRPr="00664E64" w:rsidRDefault="0048571F" w:rsidP="00A55CD9">
            <w:pPr>
              <w:pStyle w:val="TableTextCentre"/>
              <w:rPr>
                <w:lang w:val="en-AU"/>
              </w:rPr>
            </w:pPr>
            <w:r w:rsidRPr="00664E64">
              <w:rPr>
                <w:szCs w:val="18"/>
                <w:lang w:val="en-AU"/>
              </w:rPr>
              <w:t>87.6</w:t>
            </w:r>
          </w:p>
        </w:tc>
        <w:tc>
          <w:tcPr>
            <w:tcW w:w="529" w:type="pct"/>
          </w:tcPr>
          <w:p w14:paraId="4EEB8776" w14:textId="4ADB1B54" w:rsidR="0048571F" w:rsidRPr="00664E64" w:rsidRDefault="0048571F" w:rsidP="00A55CD9">
            <w:pPr>
              <w:pStyle w:val="TableTextCentre"/>
              <w:rPr>
                <w:lang w:val="en-AU"/>
              </w:rPr>
            </w:pPr>
            <w:r w:rsidRPr="00664E64">
              <w:rPr>
                <w:szCs w:val="18"/>
                <w:lang w:val="en-AU"/>
              </w:rPr>
              <w:t>76.2</w:t>
            </w:r>
          </w:p>
        </w:tc>
        <w:tc>
          <w:tcPr>
            <w:tcW w:w="529" w:type="pct"/>
          </w:tcPr>
          <w:p w14:paraId="429BF0BA" w14:textId="5C1E7FA6" w:rsidR="0048571F" w:rsidRPr="00664E64" w:rsidRDefault="0048571F" w:rsidP="00A55CD9">
            <w:pPr>
              <w:pStyle w:val="TableTextCentre"/>
              <w:rPr>
                <w:lang w:val="en-AU"/>
              </w:rPr>
            </w:pPr>
            <w:r w:rsidRPr="00664E64">
              <w:rPr>
                <w:szCs w:val="18"/>
                <w:lang w:val="en-AU"/>
              </w:rPr>
              <w:t>85.4</w:t>
            </w:r>
          </w:p>
        </w:tc>
        <w:tc>
          <w:tcPr>
            <w:tcW w:w="529" w:type="pct"/>
            <w:noWrap/>
          </w:tcPr>
          <w:p w14:paraId="1365B1A2" w14:textId="689076EE" w:rsidR="0048571F" w:rsidRPr="00664E64" w:rsidRDefault="0048571F" w:rsidP="00A55CD9">
            <w:pPr>
              <w:pStyle w:val="TableTextCentre"/>
              <w:rPr>
                <w:lang w:val="en-AU"/>
              </w:rPr>
            </w:pPr>
            <w:r w:rsidRPr="00664E64">
              <w:rPr>
                <w:szCs w:val="18"/>
                <w:lang w:val="en-AU"/>
              </w:rPr>
              <w:t>84.3</w:t>
            </w:r>
          </w:p>
        </w:tc>
        <w:tc>
          <w:tcPr>
            <w:tcW w:w="529" w:type="pct"/>
          </w:tcPr>
          <w:p w14:paraId="3548CFFD" w14:textId="31EBD250" w:rsidR="0048571F" w:rsidRPr="00664E64" w:rsidRDefault="0048571F" w:rsidP="00A55CD9">
            <w:pPr>
              <w:pStyle w:val="TableTextCentre"/>
              <w:rPr>
                <w:lang w:val="en-AU"/>
              </w:rPr>
            </w:pPr>
            <w:r w:rsidRPr="00664E64">
              <w:rPr>
                <w:szCs w:val="18"/>
                <w:lang w:val="en-AU"/>
              </w:rPr>
              <w:t>94.2</w:t>
            </w:r>
          </w:p>
        </w:tc>
        <w:tc>
          <w:tcPr>
            <w:tcW w:w="529" w:type="pct"/>
          </w:tcPr>
          <w:p w14:paraId="147BF8D3" w14:textId="26E5A632" w:rsidR="0048571F" w:rsidRPr="00664E64" w:rsidRDefault="0048571F" w:rsidP="00A55CD9">
            <w:pPr>
              <w:pStyle w:val="TableTextCentre"/>
              <w:rPr>
                <w:lang w:val="en-AU"/>
              </w:rPr>
            </w:pPr>
            <w:r w:rsidRPr="00664E64">
              <w:rPr>
                <w:szCs w:val="18"/>
                <w:lang w:val="en-AU"/>
              </w:rPr>
              <w:t>88.5</w:t>
            </w:r>
          </w:p>
        </w:tc>
        <w:tc>
          <w:tcPr>
            <w:tcW w:w="529" w:type="pct"/>
          </w:tcPr>
          <w:p w14:paraId="50CA82F7" w14:textId="545890F0" w:rsidR="0048571F" w:rsidRPr="00664E64" w:rsidRDefault="0048571F" w:rsidP="00A55CD9">
            <w:pPr>
              <w:pStyle w:val="TableTextCentre"/>
              <w:rPr>
                <w:lang w:val="en-AU"/>
              </w:rPr>
            </w:pPr>
            <w:r w:rsidRPr="00664E64">
              <w:rPr>
                <w:szCs w:val="18"/>
                <w:lang w:val="en-AU"/>
              </w:rPr>
              <w:t>67.3</w:t>
            </w:r>
          </w:p>
        </w:tc>
        <w:tc>
          <w:tcPr>
            <w:tcW w:w="529" w:type="pct"/>
          </w:tcPr>
          <w:p w14:paraId="52920781" w14:textId="77777777" w:rsidR="0048571F" w:rsidRPr="00664E64" w:rsidRDefault="0048571F" w:rsidP="00A55CD9">
            <w:pPr>
              <w:pStyle w:val="TableTextCentre"/>
              <w:rPr>
                <w:lang w:val="en-AU"/>
              </w:rPr>
            </w:pPr>
            <w:r w:rsidRPr="00664E64">
              <w:rPr>
                <w:szCs w:val="18"/>
                <w:lang w:val="en-AU"/>
              </w:rPr>
              <w:t>91.1</w:t>
            </w:r>
          </w:p>
        </w:tc>
      </w:tr>
      <w:tr w:rsidR="0048571F" w:rsidRPr="00664E64" w14:paraId="1349F516" w14:textId="77777777" w:rsidTr="0048571F">
        <w:trPr>
          <w:trHeight w:val="579"/>
        </w:trPr>
        <w:tc>
          <w:tcPr>
            <w:tcW w:w="769" w:type="pct"/>
            <w:hideMark/>
          </w:tcPr>
          <w:p w14:paraId="2C8AAC9B" w14:textId="77777777" w:rsidR="0048571F" w:rsidRPr="00664E64" w:rsidRDefault="0048571F" w:rsidP="00A55CD9">
            <w:pPr>
              <w:pStyle w:val="TableText"/>
              <w:rPr>
                <w:rFonts w:cs="Arial"/>
                <w:lang w:val="en-AU"/>
              </w:rPr>
            </w:pPr>
            <w:r w:rsidRPr="00664E64">
              <w:rPr>
                <w:rFonts w:cs="Arial"/>
                <w:szCs w:val="18"/>
                <w:lang w:val="en-AU"/>
              </w:rPr>
              <w:t>Female</w:t>
            </w:r>
          </w:p>
        </w:tc>
        <w:tc>
          <w:tcPr>
            <w:tcW w:w="529" w:type="pct"/>
          </w:tcPr>
          <w:p w14:paraId="794D1CA7" w14:textId="4FCDFB1A" w:rsidR="0048571F" w:rsidRPr="00664E64" w:rsidRDefault="0048571F" w:rsidP="00A55CD9">
            <w:pPr>
              <w:pStyle w:val="TableTextCentre"/>
              <w:rPr>
                <w:lang w:val="en-AU"/>
              </w:rPr>
            </w:pPr>
            <w:r w:rsidRPr="00664E64">
              <w:rPr>
                <w:szCs w:val="18"/>
                <w:lang w:val="en-AU"/>
              </w:rPr>
              <w:t>12.2</w:t>
            </w:r>
          </w:p>
        </w:tc>
        <w:tc>
          <w:tcPr>
            <w:tcW w:w="529" w:type="pct"/>
          </w:tcPr>
          <w:p w14:paraId="5F0C8AAD" w14:textId="67A49B17" w:rsidR="0048571F" w:rsidRPr="00664E64" w:rsidRDefault="0048571F" w:rsidP="00A55CD9">
            <w:pPr>
              <w:pStyle w:val="TableTextCentre"/>
              <w:rPr>
                <w:lang w:val="en-AU"/>
              </w:rPr>
            </w:pPr>
            <w:r w:rsidRPr="00664E64">
              <w:rPr>
                <w:szCs w:val="18"/>
                <w:lang w:val="en-AU"/>
              </w:rPr>
              <w:t>23.6</w:t>
            </w:r>
          </w:p>
        </w:tc>
        <w:tc>
          <w:tcPr>
            <w:tcW w:w="529" w:type="pct"/>
          </w:tcPr>
          <w:p w14:paraId="0039BB9D" w14:textId="1913DCD9" w:rsidR="0048571F" w:rsidRPr="00664E64" w:rsidRDefault="0048571F" w:rsidP="00A55CD9">
            <w:pPr>
              <w:pStyle w:val="TableTextCentre"/>
              <w:rPr>
                <w:lang w:val="en-AU"/>
              </w:rPr>
            </w:pPr>
            <w:r w:rsidRPr="00664E64">
              <w:rPr>
                <w:szCs w:val="18"/>
                <w:lang w:val="en-AU"/>
              </w:rPr>
              <w:t>14.5</w:t>
            </w:r>
          </w:p>
        </w:tc>
        <w:tc>
          <w:tcPr>
            <w:tcW w:w="529" w:type="pct"/>
            <w:noWrap/>
          </w:tcPr>
          <w:p w14:paraId="156396B2" w14:textId="7F0DD9C3" w:rsidR="0048571F" w:rsidRPr="00664E64" w:rsidRDefault="0048571F" w:rsidP="00A55CD9">
            <w:pPr>
              <w:pStyle w:val="TableTextCentre"/>
              <w:rPr>
                <w:lang w:val="en-AU"/>
              </w:rPr>
            </w:pPr>
            <w:r w:rsidRPr="00664E64">
              <w:rPr>
                <w:szCs w:val="18"/>
                <w:lang w:val="en-AU"/>
              </w:rPr>
              <w:t>15.5</w:t>
            </w:r>
          </w:p>
        </w:tc>
        <w:tc>
          <w:tcPr>
            <w:tcW w:w="529" w:type="pct"/>
          </w:tcPr>
          <w:p w14:paraId="09FD9E4B" w14:textId="3EF0125E" w:rsidR="0048571F" w:rsidRPr="00664E64" w:rsidRDefault="0048571F" w:rsidP="00A55CD9">
            <w:pPr>
              <w:pStyle w:val="TableTextCentre"/>
              <w:rPr>
                <w:lang w:val="en-AU"/>
              </w:rPr>
            </w:pPr>
            <w:r w:rsidRPr="00664E64">
              <w:rPr>
                <w:szCs w:val="18"/>
                <w:lang w:val="en-AU"/>
              </w:rPr>
              <w:t>5.8</w:t>
            </w:r>
          </w:p>
        </w:tc>
        <w:tc>
          <w:tcPr>
            <w:tcW w:w="529" w:type="pct"/>
          </w:tcPr>
          <w:p w14:paraId="30555637" w14:textId="53259DAF" w:rsidR="0048571F" w:rsidRPr="00664E64" w:rsidRDefault="0048571F" w:rsidP="00A55CD9">
            <w:pPr>
              <w:pStyle w:val="TableTextCentre"/>
              <w:rPr>
                <w:lang w:val="en-AU"/>
              </w:rPr>
            </w:pPr>
            <w:r w:rsidRPr="00664E64">
              <w:rPr>
                <w:szCs w:val="18"/>
                <w:lang w:val="en-AU"/>
              </w:rPr>
              <w:t>10.8</w:t>
            </w:r>
          </w:p>
        </w:tc>
        <w:tc>
          <w:tcPr>
            <w:tcW w:w="529" w:type="pct"/>
          </w:tcPr>
          <w:p w14:paraId="0B77DDCA" w14:textId="49AE186D" w:rsidR="0048571F" w:rsidRPr="00664E64" w:rsidRDefault="0048571F" w:rsidP="00A55CD9">
            <w:pPr>
              <w:pStyle w:val="TableTextCentre"/>
              <w:rPr>
                <w:lang w:val="en-AU"/>
              </w:rPr>
            </w:pPr>
            <w:r w:rsidRPr="00664E64">
              <w:rPr>
                <w:szCs w:val="18"/>
                <w:lang w:val="en-AU"/>
              </w:rPr>
              <w:t>32.7</w:t>
            </w:r>
          </w:p>
        </w:tc>
        <w:tc>
          <w:tcPr>
            <w:tcW w:w="529" w:type="pct"/>
          </w:tcPr>
          <w:p w14:paraId="3BFF30AF" w14:textId="77777777" w:rsidR="0048571F" w:rsidRPr="00664E64" w:rsidRDefault="0048571F" w:rsidP="00A55CD9">
            <w:pPr>
              <w:pStyle w:val="TableTextCentre"/>
              <w:rPr>
                <w:lang w:val="en-AU"/>
              </w:rPr>
            </w:pPr>
            <w:r w:rsidRPr="00664E64">
              <w:rPr>
                <w:szCs w:val="18"/>
                <w:lang w:val="en-AU"/>
              </w:rPr>
              <w:t>8.9</w:t>
            </w:r>
          </w:p>
        </w:tc>
      </w:tr>
      <w:tr w:rsidR="0048571F" w:rsidRPr="00664E64" w14:paraId="6CA724E0" w14:textId="77777777" w:rsidTr="0048571F">
        <w:trPr>
          <w:trHeight w:val="579"/>
        </w:trPr>
        <w:tc>
          <w:tcPr>
            <w:tcW w:w="769" w:type="pct"/>
          </w:tcPr>
          <w:p w14:paraId="174BF887" w14:textId="77777777" w:rsidR="0048571F" w:rsidRPr="00664E64" w:rsidRDefault="0048571F" w:rsidP="00A55CD9">
            <w:pPr>
              <w:pStyle w:val="TableText"/>
              <w:rPr>
                <w:rFonts w:cs="Arial"/>
                <w:lang w:val="en-AU"/>
              </w:rPr>
            </w:pPr>
            <w:r w:rsidRPr="00664E64">
              <w:rPr>
                <w:rFonts w:cs="Arial"/>
                <w:szCs w:val="18"/>
                <w:lang w:val="en-AU"/>
              </w:rPr>
              <w:t>Other</w:t>
            </w:r>
          </w:p>
        </w:tc>
        <w:tc>
          <w:tcPr>
            <w:tcW w:w="529" w:type="pct"/>
          </w:tcPr>
          <w:p w14:paraId="2DA614EA" w14:textId="2C26F4F4" w:rsidR="0048571F" w:rsidRPr="00664E64" w:rsidRDefault="0048571F" w:rsidP="00A55CD9">
            <w:pPr>
              <w:pStyle w:val="TableTextCentre"/>
              <w:rPr>
                <w:lang w:val="en-AU"/>
              </w:rPr>
            </w:pPr>
            <w:r w:rsidRPr="00664E64">
              <w:rPr>
                <w:szCs w:val="18"/>
                <w:lang w:val="en-AU"/>
              </w:rPr>
              <w:t>0.2</w:t>
            </w:r>
          </w:p>
        </w:tc>
        <w:tc>
          <w:tcPr>
            <w:tcW w:w="529" w:type="pct"/>
          </w:tcPr>
          <w:p w14:paraId="588A1AF9" w14:textId="6B726B1A" w:rsidR="0048571F" w:rsidRPr="00664E64" w:rsidRDefault="0048571F" w:rsidP="00A55CD9">
            <w:pPr>
              <w:pStyle w:val="TableTextCentre"/>
              <w:rPr>
                <w:lang w:val="en-AU"/>
              </w:rPr>
            </w:pPr>
            <w:r w:rsidRPr="00664E64">
              <w:rPr>
                <w:szCs w:val="18"/>
                <w:lang w:val="en-AU"/>
              </w:rPr>
              <w:t>0.2</w:t>
            </w:r>
          </w:p>
        </w:tc>
        <w:tc>
          <w:tcPr>
            <w:tcW w:w="529" w:type="pct"/>
          </w:tcPr>
          <w:p w14:paraId="2AFD449B" w14:textId="2A0C26A2" w:rsidR="0048571F" w:rsidRPr="00664E64" w:rsidRDefault="0048571F" w:rsidP="00A55CD9">
            <w:pPr>
              <w:pStyle w:val="TableTextCentre"/>
              <w:rPr>
                <w:lang w:val="en-AU"/>
              </w:rPr>
            </w:pPr>
            <w:r w:rsidRPr="00664E64">
              <w:rPr>
                <w:szCs w:val="18"/>
                <w:lang w:val="en-AU"/>
              </w:rPr>
              <w:t>0.2</w:t>
            </w:r>
          </w:p>
        </w:tc>
        <w:tc>
          <w:tcPr>
            <w:tcW w:w="529" w:type="pct"/>
            <w:noWrap/>
          </w:tcPr>
          <w:p w14:paraId="5055C873" w14:textId="21625CFD" w:rsidR="0048571F" w:rsidRPr="00664E64" w:rsidRDefault="0048571F" w:rsidP="00A55CD9">
            <w:pPr>
              <w:pStyle w:val="TableTextCentre"/>
              <w:rPr>
                <w:lang w:val="en-AU"/>
              </w:rPr>
            </w:pPr>
            <w:r w:rsidRPr="00664E64">
              <w:rPr>
                <w:szCs w:val="18"/>
                <w:lang w:val="en-AU"/>
              </w:rPr>
              <w:t>0.2</w:t>
            </w:r>
          </w:p>
        </w:tc>
        <w:tc>
          <w:tcPr>
            <w:tcW w:w="529" w:type="pct"/>
          </w:tcPr>
          <w:p w14:paraId="77E00D46" w14:textId="1AFD68AE" w:rsidR="0048571F" w:rsidRPr="00664E64" w:rsidRDefault="0048571F" w:rsidP="00A55CD9">
            <w:pPr>
              <w:pStyle w:val="TableTextCentre"/>
              <w:rPr>
                <w:lang w:val="en-AU"/>
              </w:rPr>
            </w:pPr>
            <w:r w:rsidRPr="00664E64">
              <w:rPr>
                <w:szCs w:val="18"/>
                <w:lang w:val="en-AU"/>
              </w:rPr>
              <w:t>0.0</w:t>
            </w:r>
          </w:p>
        </w:tc>
        <w:tc>
          <w:tcPr>
            <w:tcW w:w="529" w:type="pct"/>
          </w:tcPr>
          <w:p w14:paraId="2F42BC09" w14:textId="651F3463" w:rsidR="0048571F" w:rsidRPr="00664E64" w:rsidRDefault="0048571F" w:rsidP="00A55CD9">
            <w:pPr>
              <w:pStyle w:val="TableTextCentre"/>
              <w:rPr>
                <w:lang w:val="en-AU"/>
              </w:rPr>
            </w:pPr>
            <w:r w:rsidRPr="00664E64">
              <w:rPr>
                <w:szCs w:val="18"/>
                <w:lang w:val="en-AU"/>
              </w:rPr>
              <w:t>0.7</w:t>
            </w:r>
          </w:p>
        </w:tc>
        <w:tc>
          <w:tcPr>
            <w:tcW w:w="529" w:type="pct"/>
          </w:tcPr>
          <w:p w14:paraId="0E48D005" w14:textId="13A19F49" w:rsidR="0048571F" w:rsidRPr="00664E64" w:rsidRDefault="0048571F" w:rsidP="00A55CD9">
            <w:pPr>
              <w:pStyle w:val="TableTextCentre"/>
              <w:rPr>
                <w:lang w:val="en-AU"/>
              </w:rPr>
            </w:pPr>
            <w:r w:rsidRPr="00664E64">
              <w:rPr>
                <w:szCs w:val="18"/>
                <w:lang w:val="en-AU"/>
              </w:rPr>
              <w:t>0.0</w:t>
            </w:r>
          </w:p>
        </w:tc>
        <w:tc>
          <w:tcPr>
            <w:tcW w:w="529" w:type="pct"/>
          </w:tcPr>
          <w:p w14:paraId="16D3A567" w14:textId="77777777" w:rsidR="0048571F" w:rsidRPr="00664E64" w:rsidRDefault="0048571F" w:rsidP="00A55CD9">
            <w:pPr>
              <w:pStyle w:val="TableTextCentre"/>
              <w:rPr>
                <w:lang w:val="en-AU"/>
              </w:rPr>
            </w:pPr>
            <w:r w:rsidRPr="00664E64">
              <w:rPr>
                <w:szCs w:val="18"/>
                <w:lang w:val="en-AU"/>
              </w:rPr>
              <w:t>0.0</w:t>
            </w:r>
          </w:p>
        </w:tc>
      </w:tr>
      <w:tr w:rsidR="0048571F" w:rsidRPr="00664E64" w14:paraId="37586E7F" w14:textId="77777777" w:rsidTr="0048571F">
        <w:trPr>
          <w:trHeight w:val="579"/>
        </w:trPr>
        <w:tc>
          <w:tcPr>
            <w:tcW w:w="769" w:type="pct"/>
            <w:hideMark/>
          </w:tcPr>
          <w:p w14:paraId="633E8967" w14:textId="77777777" w:rsidR="0048571F" w:rsidRPr="00664E64" w:rsidRDefault="0048571F" w:rsidP="00A55CD9">
            <w:pPr>
              <w:pStyle w:val="TableHeading"/>
              <w:rPr>
                <w:rFonts w:cs="Arial"/>
                <w:lang w:val="en-AU"/>
              </w:rPr>
            </w:pPr>
            <w:r w:rsidRPr="0036418A">
              <w:rPr>
                <w:rFonts w:cs="Arial"/>
                <w:b/>
                <w:color w:val="auto"/>
                <w:lang w:val="en-AU"/>
              </w:rPr>
              <w:t>Age group</w:t>
            </w:r>
          </w:p>
        </w:tc>
        <w:tc>
          <w:tcPr>
            <w:tcW w:w="529" w:type="pct"/>
          </w:tcPr>
          <w:p w14:paraId="74B817D3" w14:textId="77777777" w:rsidR="0048571F" w:rsidRPr="00664E64" w:rsidRDefault="0048571F" w:rsidP="00A55CD9">
            <w:pPr>
              <w:pStyle w:val="TableTextCentre"/>
              <w:rPr>
                <w:lang w:val="en-AU"/>
              </w:rPr>
            </w:pPr>
          </w:p>
        </w:tc>
        <w:tc>
          <w:tcPr>
            <w:tcW w:w="529" w:type="pct"/>
          </w:tcPr>
          <w:p w14:paraId="712A2123" w14:textId="1D38A4C3" w:rsidR="0048571F" w:rsidRPr="00664E64" w:rsidRDefault="0048571F" w:rsidP="00A55CD9">
            <w:pPr>
              <w:pStyle w:val="TableTextCentre"/>
              <w:rPr>
                <w:szCs w:val="18"/>
                <w:lang w:val="en-AU"/>
              </w:rPr>
            </w:pPr>
          </w:p>
        </w:tc>
        <w:tc>
          <w:tcPr>
            <w:tcW w:w="529" w:type="pct"/>
          </w:tcPr>
          <w:p w14:paraId="4A67E926" w14:textId="77777777" w:rsidR="0048571F" w:rsidRPr="00664E64" w:rsidRDefault="0048571F" w:rsidP="00A55CD9">
            <w:pPr>
              <w:pStyle w:val="TableTextCentre"/>
              <w:rPr>
                <w:szCs w:val="18"/>
                <w:lang w:val="en-AU"/>
              </w:rPr>
            </w:pPr>
          </w:p>
        </w:tc>
        <w:tc>
          <w:tcPr>
            <w:tcW w:w="529" w:type="pct"/>
            <w:noWrap/>
          </w:tcPr>
          <w:p w14:paraId="36EEB54B" w14:textId="78B383F8" w:rsidR="0048571F" w:rsidRPr="00664E64" w:rsidRDefault="0048571F" w:rsidP="00A55CD9">
            <w:pPr>
              <w:pStyle w:val="TableTextCentre"/>
              <w:rPr>
                <w:szCs w:val="18"/>
                <w:lang w:val="en-AU"/>
              </w:rPr>
            </w:pPr>
          </w:p>
        </w:tc>
        <w:tc>
          <w:tcPr>
            <w:tcW w:w="529" w:type="pct"/>
          </w:tcPr>
          <w:p w14:paraId="28ADCE65" w14:textId="77777777" w:rsidR="0048571F" w:rsidRPr="00664E64" w:rsidRDefault="0048571F" w:rsidP="00A55CD9">
            <w:pPr>
              <w:pStyle w:val="TableTextCentre"/>
              <w:rPr>
                <w:szCs w:val="18"/>
                <w:lang w:val="en-AU"/>
              </w:rPr>
            </w:pPr>
          </w:p>
        </w:tc>
        <w:tc>
          <w:tcPr>
            <w:tcW w:w="529" w:type="pct"/>
          </w:tcPr>
          <w:p w14:paraId="2A349DF0" w14:textId="77777777" w:rsidR="0048571F" w:rsidRPr="00664E64" w:rsidRDefault="0048571F" w:rsidP="00A55CD9">
            <w:pPr>
              <w:pStyle w:val="TableTextCentre"/>
              <w:rPr>
                <w:szCs w:val="18"/>
                <w:lang w:val="en-AU"/>
              </w:rPr>
            </w:pPr>
          </w:p>
        </w:tc>
        <w:tc>
          <w:tcPr>
            <w:tcW w:w="529" w:type="pct"/>
          </w:tcPr>
          <w:p w14:paraId="6B8A3538" w14:textId="51EAFA51" w:rsidR="0048571F" w:rsidRPr="00664E64" w:rsidRDefault="0048571F" w:rsidP="00A55CD9">
            <w:pPr>
              <w:pStyle w:val="TableTextCentre"/>
              <w:rPr>
                <w:szCs w:val="18"/>
                <w:lang w:val="en-AU"/>
              </w:rPr>
            </w:pPr>
          </w:p>
        </w:tc>
        <w:tc>
          <w:tcPr>
            <w:tcW w:w="529" w:type="pct"/>
          </w:tcPr>
          <w:p w14:paraId="1DCEF260" w14:textId="77777777" w:rsidR="0048571F" w:rsidRPr="00664E64" w:rsidRDefault="0048571F" w:rsidP="00A55CD9">
            <w:pPr>
              <w:pStyle w:val="TableTextCentre"/>
              <w:rPr>
                <w:szCs w:val="18"/>
                <w:lang w:val="en-AU"/>
              </w:rPr>
            </w:pPr>
          </w:p>
        </w:tc>
      </w:tr>
      <w:tr w:rsidR="0048571F" w:rsidRPr="00664E64" w14:paraId="7374AFF9" w14:textId="77777777" w:rsidTr="0048571F">
        <w:trPr>
          <w:trHeight w:val="645"/>
        </w:trPr>
        <w:tc>
          <w:tcPr>
            <w:tcW w:w="769" w:type="pct"/>
            <w:hideMark/>
          </w:tcPr>
          <w:p w14:paraId="5693DBA5" w14:textId="65B6F06E" w:rsidR="0048571F" w:rsidRPr="00664E64" w:rsidRDefault="0048571F" w:rsidP="00A55CD9">
            <w:pPr>
              <w:pStyle w:val="TableText"/>
              <w:rPr>
                <w:rFonts w:cs="Arial"/>
                <w:lang w:val="en-AU"/>
              </w:rPr>
            </w:pPr>
            <w:r w:rsidRPr="00664E64">
              <w:rPr>
                <w:rFonts w:cs="Arial"/>
                <w:szCs w:val="18"/>
                <w:lang w:val="en-AU"/>
              </w:rPr>
              <w:t>18</w:t>
            </w:r>
            <w:r w:rsidR="004C4DDD" w:rsidRPr="00664E64">
              <w:rPr>
                <w:rFonts w:cs="Arial"/>
                <w:szCs w:val="18"/>
                <w:lang w:val="en-AU"/>
              </w:rPr>
              <w:t>–</w:t>
            </w:r>
            <w:r w:rsidRPr="00664E64">
              <w:rPr>
                <w:rFonts w:cs="Arial"/>
                <w:szCs w:val="18"/>
                <w:lang w:val="en-AU"/>
              </w:rPr>
              <w:t>34</w:t>
            </w:r>
          </w:p>
        </w:tc>
        <w:tc>
          <w:tcPr>
            <w:tcW w:w="529" w:type="pct"/>
          </w:tcPr>
          <w:p w14:paraId="5036BA10" w14:textId="6D900CAE" w:rsidR="0048571F" w:rsidRPr="00664E64" w:rsidRDefault="0048571F" w:rsidP="00A55CD9">
            <w:pPr>
              <w:pStyle w:val="TableTextCentre"/>
              <w:rPr>
                <w:lang w:val="en-AU"/>
              </w:rPr>
            </w:pPr>
            <w:r w:rsidRPr="00664E64">
              <w:rPr>
                <w:szCs w:val="18"/>
                <w:lang w:val="en-AU"/>
              </w:rPr>
              <w:t>26.1</w:t>
            </w:r>
          </w:p>
        </w:tc>
        <w:tc>
          <w:tcPr>
            <w:tcW w:w="529" w:type="pct"/>
          </w:tcPr>
          <w:p w14:paraId="015E3D29" w14:textId="51754EC3" w:rsidR="0048571F" w:rsidRPr="00664E64" w:rsidRDefault="0048571F" w:rsidP="00A55CD9">
            <w:pPr>
              <w:pStyle w:val="TableTextCentre"/>
              <w:rPr>
                <w:szCs w:val="18"/>
                <w:lang w:val="en-AU"/>
              </w:rPr>
            </w:pPr>
            <w:r w:rsidRPr="00664E64">
              <w:rPr>
                <w:szCs w:val="18"/>
                <w:lang w:val="en-AU"/>
              </w:rPr>
              <w:t>17.5</w:t>
            </w:r>
          </w:p>
        </w:tc>
        <w:tc>
          <w:tcPr>
            <w:tcW w:w="529" w:type="pct"/>
          </w:tcPr>
          <w:p w14:paraId="2B6F77FE" w14:textId="2F32D85D" w:rsidR="0048571F" w:rsidRPr="00664E64" w:rsidRDefault="0048571F" w:rsidP="00A55CD9">
            <w:pPr>
              <w:pStyle w:val="TableTextCentre"/>
              <w:rPr>
                <w:szCs w:val="18"/>
                <w:lang w:val="en-AU"/>
              </w:rPr>
            </w:pPr>
            <w:r w:rsidRPr="00664E64">
              <w:rPr>
                <w:szCs w:val="18"/>
                <w:lang w:val="en-AU"/>
              </w:rPr>
              <w:t>22.0</w:t>
            </w:r>
          </w:p>
        </w:tc>
        <w:tc>
          <w:tcPr>
            <w:tcW w:w="529" w:type="pct"/>
            <w:noWrap/>
          </w:tcPr>
          <w:p w14:paraId="64751D6B" w14:textId="7702C01E" w:rsidR="0048571F" w:rsidRPr="00664E64" w:rsidRDefault="0048571F" w:rsidP="00A55CD9">
            <w:pPr>
              <w:pStyle w:val="TableTextCentre"/>
              <w:rPr>
                <w:szCs w:val="18"/>
                <w:lang w:val="en-AU"/>
              </w:rPr>
            </w:pPr>
            <w:r w:rsidRPr="00664E64">
              <w:rPr>
                <w:szCs w:val="18"/>
                <w:lang w:val="en-AU"/>
              </w:rPr>
              <w:t>24.1</w:t>
            </w:r>
          </w:p>
        </w:tc>
        <w:tc>
          <w:tcPr>
            <w:tcW w:w="529" w:type="pct"/>
          </w:tcPr>
          <w:p w14:paraId="0EE1A159" w14:textId="06A5AE76" w:rsidR="0048571F" w:rsidRPr="00664E64" w:rsidRDefault="0048571F" w:rsidP="00A55CD9">
            <w:pPr>
              <w:pStyle w:val="TableTextCentre"/>
              <w:rPr>
                <w:szCs w:val="18"/>
                <w:lang w:val="en-AU"/>
              </w:rPr>
            </w:pPr>
            <w:r w:rsidRPr="00664E64">
              <w:rPr>
                <w:szCs w:val="18"/>
                <w:lang w:val="en-AU"/>
              </w:rPr>
              <w:t>42.3</w:t>
            </w:r>
          </w:p>
        </w:tc>
        <w:tc>
          <w:tcPr>
            <w:tcW w:w="529" w:type="pct"/>
          </w:tcPr>
          <w:p w14:paraId="579820C4" w14:textId="7929B6CB" w:rsidR="0048571F" w:rsidRPr="00664E64" w:rsidRDefault="0048571F" w:rsidP="00A55CD9">
            <w:pPr>
              <w:pStyle w:val="TableTextCentre"/>
              <w:rPr>
                <w:szCs w:val="18"/>
                <w:lang w:val="en-AU"/>
              </w:rPr>
            </w:pPr>
            <w:r w:rsidRPr="00664E64">
              <w:rPr>
                <w:szCs w:val="18"/>
                <w:lang w:val="en-AU"/>
              </w:rPr>
              <w:t>54.6</w:t>
            </w:r>
          </w:p>
        </w:tc>
        <w:tc>
          <w:tcPr>
            <w:tcW w:w="529" w:type="pct"/>
          </w:tcPr>
          <w:p w14:paraId="3A0E89FA" w14:textId="7C9DC04B" w:rsidR="0048571F" w:rsidRPr="00664E64" w:rsidRDefault="0048571F" w:rsidP="00A55CD9">
            <w:pPr>
              <w:pStyle w:val="TableTextCentre"/>
              <w:rPr>
                <w:szCs w:val="18"/>
                <w:lang w:val="en-AU"/>
              </w:rPr>
            </w:pPr>
            <w:r w:rsidRPr="00664E64">
              <w:rPr>
                <w:szCs w:val="18"/>
                <w:lang w:val="en-AU"/>
              </w:rPr>
              <w:t>42.2</w:t>
            </w:r>
          </w:p>
        </w:tc>
        <w:tc>
          <w:tcPr>
            <w:tcW w:w="529" w:type="pct"/>
          </w:tcPr>
          <w:p w14:paraId="7BDBC610" w14:textId="77777777" w:rsidR="0048571F" w:rsidRPr="00664E64" w:rsidRDefault="0048571F" w:rsidP="00A55CD9">
            <w:pPr>
              <w:pStyle w:val="TableTextCentre"/>
              <w:rPr>
                <w:szCs w:val="18"/>
                <w:lang w:val="en-AU"/>
              </w:rPr>
            </w:pPr>
            <w:r w:rsidRPr="00664E64">
              <w:rPr>
                <w:szCs w:val="18"/>
                <w:lang w:val="en-AU"/>
              </w:rPr>
              <w:t>40.7</w:t>
            </w:r>
          </w:p>
        </w:tc>
      </w:tr>
      <w:tr w:rsidR="0048571F" w:rsidRPr="00664E64" w14:paraId="22FEF509" w14:textId="77777777" w:rsidTr="0048571F">
        <w:trPr>
          <w:trHeight w:val="579"/>
        </w:trPr>
        <w:tc>
          <w:tcPr>
            <w:tcW w:w="769" w:type="pct"/>
            <w:hideMark/>
          </w:tcPr>
          <w:p w14:paraId="5E8FDC8A" w14:textId="3632ABCA" w:rsidR="0048571F" w:rsidRPr="00664E64" w:rsidRDefault="0048571F" w:rsidP="00A55CD9">
            <w:pPr>
              <w:pStyle w:val="TableText"/>
              <w:rPr>
                <w:rFonts w:cs="Arial"/>
                <w:lang w:val="en-AU"/>
              </w:rPr>
            </w:pPr>
            <w:r w:rsidRPr="00664E64">
              <w:rPr>
                <w:rFonts w:cs="Arial"/>
                <w:szCs w:val="18"/>
                <w:lang w:val="en-AU"/>
              </w:rPr>
              <w:t>35</w:t>
            </w:r>
            <w:r w:rsidR="004C4DDD" w:rsidRPr="00664E64">
              <w:rPr>
                <w:rFonts w:cs="Arial"/>
                <w:szCs w:val="18"/>
                <w:lang w:val="en-AU"/>
              </w:rPr>
              <w:t>–</w:t>
            </w:r>
            <w:r w:rsidRPr="00664E64">
              <w:rPr>
                <w:rFonts w:cs="Arial"/>
                <w:szCs w:val="18"/>
                <w:lang w:val="en-AU"/>
              </w:rPr>
              <w:t>49</w:t>
            </w:r>
          </w:p>
        </w:tc>
        <w:tc>
          <w:tcPr>
            <w:tcW w:w="529" w:type="pct"/>
          </w:tcPr>
          <w:p w14:paraId="59E0F606" w14:textId="4A435975" w:rsidR="0048571F" w:rsidRPr="00664E64" w:rsidRDefault="0048571F" w:rsidP="00A55CD9">
            <w:pPr>
              <w:pStyle w:val="TableTextCentre"/>
              <w:rPr>
                <w:lang w:val="en-AU"/>
              </w:rPr>
            </w:pPr>
            <w:r w:rsidRPr="00664E64">
              <w:rPr>
                <w:szCs w:val="18"/>
                <w:lang w:val="en-AU"/>
              </w:rPr>
              <w:t>37.0</w:t>
            </w:r>
          </w:p>
        </w:tc>
        <w:tc>
          <w:tcPr>
            <w:tcW w:w="529" w:type="pct"/>
          </w:tcPr>
          <w:p w14:paraId="500C885A" w14:textId="78365F1D" w:rsidR="0048571F" w:rsidRPr="00664E64" w:rsidRDefault="0048571F" w:rsidP="00A55CD9">
            <w:pPr>
              <w:pStyle w:val="TableTextCentre"/>
              <w:rPr>
                <w:szCs w:val="18"/>
                <w:lang w:val="en-AU"/>
              </w:rPr>
            </w:pPr>
            <w:r w:rsidRPr="00664E64">
              <w:rPr>
                <w:szCs w:val="18"/>
                <w:lang w:val="en-AU"/>
              </w:rPr>
              <w:t>31.7</w:t>
            </w:r>
          </w:p>
        </w:tc>
        <w:tc>
          <w:tcPr>
            <w:tcW w:w="529" w:type="pct"/>
          </w:tcPr>
          <w:p w14:paraId="398EDC80" w14:textId="4CA33483" w:rsidR="0048571F" w:rsidRPr="00664E64" w:rsidRDefault="0048571F" w:rsidP="00A55CD9">
            <w:pPr>
              <w:pStyle w:val="TableTextCentre"/>
              <w:rPr>
                <w:szCs w:val="18"/>
                <w:lang w:val="en-AU"/>
              </w:rPr>
            </w:pPr>
            <w:r w:rsidRPr="00664E64">
              <w:rPr>
                <w:szCs w:val="18"/>
                <w:lang w:val="en-AU"/>
              </w:rPr>
              <w:t>35.4</w:t>
            </w:r>
          </w:p>
        </w:tc>
        <w:tc>
          <w:tcPr>
            <w:tcW w:w="529" w:type="pct"/>
            <w:noWrap/>
          </w:tcPr>
          <w:p w14:paraId="6FD1F2A3" w14:textId="3F34DC8A" w:rsidR="0048571F" w:rsidRPr="00664E64" w:rsidRDefault="0048571F" w:rsidP="00A55CD9">
            <w:pPr>
              <w:pStyle w:val="TableTextCentre"/>
              <w:rPr>
                <w:szCs w:val="18"/>
                <w:lang w:val="en-AU"/>
              </w:rPr>
            </w:pPr>
            <w:r w:rsidRPr="00664E64">
              <w:rPr>
                <w:szCs w:val="18"/>
                <w:lang w:val="en-AU"/>
              </w:rPr>
              <w:t>35.5</w:t>
            </w:r>
          </w:p>
        </w:tc>
        <w:tc>
          <w:tcPr>
            <w:tcW w:w="529" w:type="pct"/>
          </w:tcPr>
          <w:p w14:paraId="360C4191" w14:textId="1D2290C7" w:rsidR="0048571F" w:rsidRPr="00664E64" w:rsidRDefault="0048571F" w:rsidP="00A55CD9">
            <w:pPr>
              <w:pStyle w:val="TableTextCentre"/>
              <w:rPr>
                <w:szCs w:val="18"/>
                <w:lang w:val="en-AU"/>
              </w:rPr>
            </w:pPr>
            <w:r w:rsidRPr="00664E64">
              <w:rPr>
                <w:szCs w:val="18"/>
                <w:lang w:val="en-AU"/>
              </w:rPr>
              <w:t>37.0</w:t>
            </w:r>
          </w:p>
        </w:tc>
        <w:tc>
          <w:tcPr>
            <w:tcW w:w="529" w:type="pct"/>
          </w:tcPr>
          <w:p w14:paraId="382ADBC9" w14:textId="50567B1D" w:rsidR="0048571F" w:rsidRPr="00664E64" w:rsidRDefault="0048571F" w:rsidP="00A55CD9">
            <w:pPr>
              <w:pStyle w:val="TableTextCentre"/>
              <w:rPr>
                <w:szCs w:val="18"/>
                <w:lang w:val="en-AU"/>
              </w:rPr>
            </w:pPr>
            <w:r w:rsidRPr="00664E64">
              <w:rPr>
                <w:szCs w:val="18"/>
                <w:lang w:val="en-AU"/>
              </w:rPr>
              <w:t>20.0</w:t>
            </w:r>
          </w:p>
        </w:tc>
        <w:tc>
          <w:tcPr>
            <w:tcW w:w="529" w:type="pct"/>
          </w:tcPr>
          <w:p w14:paraId="5BAD0059" w14:textId="179678FB" w:rsidR="0048571F" w:rsidRPr="00664E64" w:rsidRDefault="0048571F" w:rsidP="00A55CD9">
            <w:pPr>
              <w:pStyle w:val="TableTextCentre"/>
              <w:rPr>
                <w:szCs w:val="18"/>
                <w:lang w:val="en-AU"/>
              </w:rPr>
            </w:pPr>
            <w:r w:rsidRPr="00664E64">
              <w:rPr>
                <w:szCs w:val="18"/>
                <w:lang w:val="en-AU"/>
              </w:rPr>
              <w:t>36.7</w:t>
            </w:r>
          </w:p>
        </w:tc>
        <w:tc>
          <w:tcPr>
            <w:tcW w:w="529" w:type="pct"/>
          </w:tcPr>
          <w:p w14:paraId="0DADD594" w14:textId="77777777" w:rsidR="0048571F" w:rsidRPr="00664E64" w:rsidRDefault="0048571F" w:rsidP="00A55CD9">
            <w:pPr>
              <w:pStyle w:val="TableTextCentre"/>
              <w:rPr>
                <w:szCs w:val="18"/>
                <w:lang w:val="en-AU"/>
              </w:rPr>
            </w:pPr>
            <w:r w:rsidRPr="00664E64">
              <w:rPr>
                <w:szCs w:val="18"/>
                <w:lang w:val="en-AU"/>
              </w:rPr>
              <w:t>29.6</w:t>
            </w:r>
          </w:p>
        </w:tc>
      </w:tr>
      <w:tr w:rsidR="0048571F" w:rsidRPr="00664E64" w14:paraId="3D943C2B" w14:textId="77777777" w:rsidTr="0048571F">
        <w:trPr>
          <w:trHeight w:val="579"/>
        </w:trPr>
        <w:tc>
          <w:tcPr>
            <w:tcW w:w="769" w:type="pct"/>
            <w:hideMark/>
          </w:tcPr>
          <w:p w14:paraId="2A0B0E92" w14:textId="50F53993" w:rsidR="0048571F" w:rsidRPr="00664E64" w:rsidRDefault="0048571F" w:rsidP="00A55CD9">
            <w:pPr>
              <w:pStyle w:val="TableText"/>
              <w:rPr>
                <w:rFonts w:cs="Arial"/>
                <w:lang w:val="en-AU"/>
              </w:rPr>
            </w:pPr>
            <w:r w:rsidRPr="00664E64">
              <w:rPr>
                <w:rFonts w:cs="Arial"/>
                <w:szCs w:val="18"/>
                <w:lang w:val="en-AU"/>
              </w:rPr>
              <w:t>50</w:t>
            </w:r>
            <w:r w:rsidR="004C4DDD" w:rsidRPr="00664E64">
              <w:rPr>
                <w:rFonts w:cs="Arial"/>
                <w:szCs w:val="18"/>
                <w:lang w:val="en-AU"/>
              </w:rPr>
              <w:t>–</w:t>
            </w:r>
            <w:r w:rsidRPr="00664E64">
              <w:rPr>
                <w:rFonts w:cs="Arial"/>
                <w:szCs w:val="18"/>
                <w:lang w:val="en-AU"/>
              </w:rPr>
              <w:t>64</w:t>
            </w:r>
          </w:p>
        </w:tc>
        <w:tc>
          <w:tcPr>
            <w:tcW w:w="529" w:type="pct"/>
          </w:tcPr>
          <w:p w14:paraId="29E861B5" w14:textId="14CBCD3A" w:rsidR="0048571F" w:rsidRPr="00664E64" w:rsidRDefault="0048571F" w:rsidP="00A55CD9">
            <w:pPr>
              <w:pStyle w:val="TableTextCentre"/>
              <w:rPr>
                <w:lang w:val="en-AU"/>
              </w:rPr>
            </w:pPr>
            <w:r w:rsidRPr="00664E64">
              <w:rPr>
                <w:szCs w:val="18"/>
                <w:lang w:val="en-AU"/>
              </w:rPr>
              <w:t>19.5</w:t>
            </w:r>
          </w:p>
        </w:tc>
        <w:tc>
          <w:tcPr>
            <w:tcW w:w="529" w:type="pct"/>
          </w:tcPr>
          <w:p w14:paraId="053AC8A4" w14:textId="6C200A68" w:rsidR="0048571F" w:rsidRPr="00664E64" w:rsidRDefault="0048571F" w:rsidP="00A55CD9">
            <w:pPr>
              <w:pStyle w:val="TableTextCentre"/>
              <w:rPr>
                <w:szCs w:val="18"/>
                <w:lang w:val="en-AU"/>
              </w:rPr>
            </w:pPr>
            <w:r w:rsidRPr="00664E64">
              <w:rPr>
                <w:szCs w:val="18"/>
                <w:lang w:val="en-AU"/>
              </w:rPr>
              <w:t>26.6</w:t>
            </w:r>
          </w:p>
        </w:tc>
        <w:tc>
          <w:tcPr>
            <w:tcW w:w="529" w:type="pct"/>
          </w:tcPr>
          <w:p w14:paraId="04DF7B25" w14:textId="2C225F6E" w:rsidR="0048571F" w:rsidRPr="00664E64" w:rsidRDefault="0048571F" w:rsidP="00A55CD9">
            <w:pPr>
              <w:pStyle w:val="TableTextCentre"/>
              <w:rPr>
                <w:szCs w:val="18"/>
                <w:lang w:val="en-AU"/>
              </w:rPr>
            </w:pPr>
            <w:r w:rsidRPr="00664E64">
              <w:rPr>
                <w:szCs w:val="18"/>
                <w:lang w:val="en-AU"/>
              </w:rPr>
              <w:t>23.8</w:t>
            </w:r>
          </w:p>
        </w:tc>
        <w:tc>
          <w:tcPr>
            <w:tcW w:w="529" w:type="pct"/>
            <w:noWrap/>
          </w:tcPr>
          <w:p w14:paraId="37D62A90" w14:textId="3A4B9528" w:rsidR="0048571F" w:rsidRPr="00664E64" w:rsidRDefault="0048571F" w:rsidP="00A55CD9">
            <w:pPr>
              <w:pStyle w:val="TableTextCentre"/>
              <w:rPr>
                <w:szCs w:val="18"/>
                <w:lang w:val="en-AU"/>
              </w:rPr>
            </w:pPr>
            <w:r w:rsidRPr="00664E64">
              <w:rPr>
                <w:szCs w:val="18"/>
                <w:lang w:val="en-AU"/>
              </w:rPr>
              <w:t>23.8</w:t>
            </w:r>
          </w:p>
        </w:tc>
        <w:tc>
          <w:tcPr>
            <w:tcW w:w="529" w:type="pct"/>
          </w:tcPr>
          <w:p w14:paraId="11532877" w14:textId="5218E6B4" w:rsidR="0048571F" w:rsidRPr="00664E64" w:rsidRDefault="0048571F" w:rsidP="00A55CD9">
            <w:pPr>
              <w:pStyle w:val="TableTextCentre"/>
              <w:rPr>
                <w:szCs w:val="18"/>
                <w:lang w:val="en-AU"/>
              </w:rPr>
            </w:pPr>
            <w:r w:rsidRPr="00664E64">
              <w:rPr>
                <w:szCs w:val="18"/>
                <w:lang w:val="en-AU"/>
              </w:rPr>
              <w:t>9.5</w:t>
            </w:r>
          </w:p>
        </w:tc>
        <w:tc>
          <w:tcPr>
            <w:tcW w:w="529" w:type="pct"/>
          </w:tcPr>
          <w:p w14:paraId="79629476" w14:textId="20BDDAA2" w:rsidR="0048571F" w:rsidRPr="00664E64" w:rsidRDefault="0048571F" w:rsidP="00A55CD9">
            <w:pPr>
              <w:pStyle w:val="TableTextCentre"/>
              <w:rPr>
                <w:szCs w:val="18"/>
                <w:lang w:val="en-AU"/>
              </w:rPr>
            </w:pPr>
            <w:r w:rsidRPr="00664E64">
              <w:rPr>
                <w:szCs w:val="18"/>
                <w:lang w:val="en-AU"/>
              </w:rPr>
              <w:t>6.2</w:t>
            </w:r>
          </w:p>
        </w:tc>
        <w:tc>
          <w:tcPr>
            <w:tcW w:w="529" w:type="pct"/>
          </w:tcPr>
          <w:p w14:paraId="5AE6D2CC" w14:textId="1BE360B6" w:rsidR="0048571F" w:rsidRPr="00664E64" w:rsidRDefault="0048571F" w:rsidP="00A55CD9">
            <w:pPr>
              <w:pStyle w:val="TableTextCentre"/>
              <w:rPr>
                <w:szCs w:val="18"/>
                <w:lang w:val="en-AU"/>
              </w:rPr>
            </w:pPr>
            <w:r w:rsidRPr="00664E64">
              <w:rPr>
                <w:szCs w:val="18"/>
                <w:lang w:val="en-AU"/>
              </w:rPr>
              <w:t>10.6</w:t>
            </w:r>
          </w:p>
        </w:tc>
        <w:tc>
          <w:tcPr>
            <w:tcW w:w="529" w:type="pct"/>
          </w:tcPr>
          <w:p w14:paraId="6642AD3A" w14:textId="77777777" w:rsidR="0048571F" w:rsidRPr="00664E64" w:rsidRDefault="0048571F" w:rsidP="00A55CD9">
            <w:pPr>
              <w:pStyle w:val="TableTextCentre"/>
              <w:rPr>
                <w:szCs w:val="18"/>
                <w:lang w:val="en-AU"/>
              </w:rPr>
            </w:pPr>
            <w:r w:rsidRPr="00664E64">
              <w:rPr>
                <w:szCs w:val="18"/>
                <w:lang w:val="en-AU"/>
              </w:rPr>
              <w:t>11.9</w:t>
            </w:r>
          </w:p>
        </w:tc>
      </w:tr>
      <w:tr w:rsidR="0048571F" w:rsidRPr="00664E64" w14:paraId="368CA4EC" w14:textId="77777777" w:rsidTr="0048571F">
        <w:trPr>
          <w:trHeight w:val="579"/>
        </w:trPr>
        <w:tc>
          <w:tcPr>
            <w:tcW w:w="769" w:type="pct"/>
            <w:hideMark/>
          </w:tcPr>
          <w:p w14:paraId="7AD50E3E" w14:textId="77777777" w:rsidR="0048571F" w:rsidRPr="00664E64" w:rsidRDefault="0048571F" w:rsidP="00A55CD9">
            <w:pPr>
              <w:pStyle w:val="TableText"/>
              <w:rPr>
                <w:rFonts w:cs="Arial"/>
                <w:lang w:val="en-AU"/>
              </w:rPr>
            </w:pPr>
            <w:r w:rsidRPr="00664E64">
              <w:rPr>
                <w:rFonts w:cs="Arial"/>
                <w:szCs w:val="18"/>
                <w:lang w:val="en-AU"/>
              </w:rPr>
              <w:t>65+</w:t>
            </w:r>
          </w:p>
        </w:tc>
        <w:tc>
          <w:tcPr>
            <w:tcW w:w="529" w:type="pct"/>
          </w:tcPr>
          <w:p w14:paraId="3AAAF9AE" w14:textId="698CD6E0" w:rsidR="0048571F" w:rsidRPr="00664E64" w:rsidRDefault="0048571F" w:rsidP="00A55CD9">
            <w:pPr>
              <w:pStyle w:val="TableTextCentre"/>
              <w:rPr>
                <w:lang w:val="en-AU"/>
              </w:rPr>
            </w:pPr>
            <w:r w:rsidRPr="00664E64">
              <w:rPr>
                <w:szCs w:val="18"/>
                <w:lang w:val="en-AU"/>
              </w:rPr>
              <w:t>6.4</w:t>
            </w:r>
          </w:p>
        </w:tc>
        <w:tc>
          <w:tcPr>
            <w:tcW w:w="529" w:type="pct"/>
          </w:tcPr>
          <w:p w14:paraId="5A904B72" w14:textId="32CCCC6F" w:rsidR="0048571F" w:rsidRPr="00664E64" w:rsidRDefault="0048571F" w:rsidP="00A55CD9">
            <w:pPr>
              <w:pStyle w:val="TableTextCentre"/>
              <w:rPr>
                <w:szCs w:val="18"/>
                <w:lang w:val="en-AU"/>
              </w:rPr>
            </w:pPr>
            <w:r w:rsidRPr="00664E64">
              <w:rPr>
                <w:szCs w:val="18"/>
                <w:lang w:val="en-AU"/>
              </w:rPr>
              <w:t>14.8</w:t>
            </w:r>
          </w:p>
        </w:tc>
        <w:tc>
          <w:tcPr>
            <w:tcW w:w="529" w:type="pct"/>
          </w:tcPr>
          <w:p w14:paraId="39B5FFCA" w14:textId="3DB3D0A2" w:rsidR="0048571F" w:rsidRPr="00664E64" w:rsidRDefault="0048571F" w:rsidP="00A55CD9">
            <w:pPr>
              <w:pStyle w:val="TableTextCentre"/>
              <w:rPr>
                <w:szCs w:val="18"/>
                <w:lang w:val="en-AU"/>
              </w:rPr>
            </w:pPr>
            <w:r w:rsidRPr="00664E64">
              <w:rPr>
                <w:szCs w:val="18"/>
                <w:lang w:val="en-AU"/>
              </w:rPr>
              <w:t>9.8</w:t>
            </w:r>
          </w:p>
        </w:tc>
        <w:tc>
          <w:tcPr>
            <w:tcW w:w="529" w:type="pct"/>
            <w:noWrap/>
          </w:tcPr>
          <w:p w14:paraId="7F4537D5" w14:textId="7A3CE49A" w:rsidR="0048571F" w:rsidRPr="00664E64" w:rsidRDefault="0048571F" w:rsidP="00A55CD9">
            <w:pPr>
              <w:pStyle w:val="TableTextCentre"/>
              <w:rPr>
                <w:szCs w:val="18"/>
                <w:lang w:val="en-AU"/>
              </w:rPr>
            </w:pPr>
            <w:r w:rsidRPr="00664E64">
              <w:rPr>
                <w:szCs w:val="18"/>
                <w:lang w:val="en-AU"/>
              </w:rPr>
              <w:t>7.1</w:t>
            </w:r>
          </w:p>
        </w:tc>
        <w:tc>
          <w:tcPr>
            <w:tcW w:w="529" w:type="pct"/>
          </w:tcPr>
          <w:p w14:paraId="5658695F" w14:textId="20575B03" w:rsidR="0048571F" w:rsidRPr="00664E64" w:rsidRDefault="0048571F" w:rsidP="00A55CD9">
            <w:pPr>
              <w:pStyle w:val="TableTextCentre"/>
              <w:rPr>
                <w:szCs w:val="18"/>
                <w:lang w:val="en-AU"/>
              </w:rPr>
            </w:pPr>
            <w:r w:rsidRPr="00664E64">
              <w:rPr>
                <w:szCs w:val="18"/>
                <w:lang w:val="en-AU"/>
              </w:rPr>
              <w:t>2.7</w:t>
            </w:r>
          </w:p>
        </w:tc>
        <w:tc>
          <w:tcPr>
            <w:tcW w:w="529" w:type="pct"/>
          </w:tcPr>
          <w:p w14:paraId="031BBF43" w14:textId="2E793D30" w:rsidR="0048571F" w:rsidRPr="00664E64" w:rsidRDefault="0048571F" w:rsidP="00A55CD9">
            <w:pPr>
              <w:pStyle w:val="TableTextCentre"/>
              <w:rPr>
                <w:szCs w:val="18"/>
                <w:lang w:val="en-AU"/>
              </w:rPr>
            </w:pPr>
            <w:r w:rsidRPr="00664E64">
              <w:rPr>
                <w:szCs w:val="18"/>
                <w:lang w:val="en-AU"/>
              </w:rPr>
              <w:t>2.3</w:t>
            </w:r>
          </w:p>
        </w:tc>
        <w:tc>
          <w:tcPr>
            <w:tcW w:w="529" w:type="pct"/>
          </w:tcPr>
          <w:p w14:paraId="34413FC6" w14:textId="4BD75B74" w:rsidR="0048571F" w:rsidRPr="00664E64" w:rsidRDefault="0048571F" w:rsidP="00A55CD9">
            <w:pPr>
              <w:pStyle w:val="TableTextCentre"/>
              <w:rPr>
                <w:szCs w:val="18"/>
                <w:lang w:val="en-AU"/>
              </w:rPr>
            </w:pPr>
            <w:r w:rsidRPr="00664E64">
              <w:rPr>
                <w:szCs w:val="18"/>
                <w:lang w:val="en-AU"/>
              </w:rPr>
              <w:t>1.5</w:t>
            </w:r>
          </w:p>
        </w:tc>
        <w:tc>
          <w:tcPr>
            <w:tcW w:w="529" w:type="pct"/>
          </w:tcPr>
          <w:p w14:paraId="7D65BBBE" w14:textId="77777777" w:rsidR="0048571F" w:rsidRPr="00664E64" w:rsidRDefault="0048571F" w:rsidP="00A55CD9">
            <w:pPr>
              <w:pStyle w:val="TableTextCentre"/>
              <w:rPr>
                <w:szCs w:val="18"/>
                <w:lang w:val="en-AU"/>
              </w:rPr>
            </w:pPr>
            <w:r w:rsidRPr="00664E64">
              <w:rPr>
                <w:szCs w:val="18"/>
                <w:lang w:val="en-AU"/>
              </w:rPr>
              <w:t>8.2</w:t>
            </w:r>
          </w:p>
        </w:tc>
      </w:tr>
      <w:tr w:rsidR="0048571F" w:rsidRPr="00664E64" w14:paraId="32691D29" w14:textId="77777777" w:rsidTr="0048571F">
        <w:trPr>
          <w:trHeight w:val="579"/>
        </w:trPr>
        <w:tc>
          <w:tcPr>
            <w:tcW w:w="769" w:type="pct"/>
          </w:tcPr>
          <w:p w14:paraId="4C9FD17E" w14:textId="48EFC212" w:rsidR="0048571F" w:rsidRPr="00664E64" w:rsidRDefault="0048571F" w:rsidP="00A55CD9">
            <w:pPr>
              <w:pStyle w:val="TableText"/>
              <w:rPr>
                <w:rFonts w:cs="Arial"/>
                <w:lang w:val="en-AU"/>
              </w:rPr>
            </w:pPr>
            <w:r w:rsidRPr="00664E64">
              <w:rPr>
                <w:rFonts w:cs="Arial"/>
                <w:szCs w:val="18"/>
                <w:lang w:val="en-AU"/>
              </w:rPr>
              <w:t>Rather not say/</w:t>
            </w:r>
            <w:r w:rsidR="004C4DDD" w:rsidRPr="00664E64">
              <w:rPr>
                <w:rFonts w:cs="Arial"/>
                <w:szCs w:val="18"/>
                <w:lang w:val="en-AU"/>
              </w:rPr>
              <w:br/>
            </w:r>
            <w:r w:rsidRPr="00664E64">
              <w:rPr>
                <w:rFonts w:cs="Arial"/>
                <w:szCs w:val="18"/>
                <w:lang w:val="en-AU"/>
              </w:rPr>
              <w:t>Don’t know</w:t>
            </w:r>
          </w:p>
        </w:tc>
        <w:tc>
          <w:tcPr>
            <w:tcW w:w="529" w:type="pct"/>
          </w:tcPr>
          <w:p w14:paraId="4FC9C606" w14:textId="5B1C410A" w:rsidR="0048571F" w:rsidRPr="00664E64" w:rsidRDefault="0048571F" w:rsidP="00A55CD9">
            <w:pPr>
              <w:pStyle w:val="TableTextCentre"/>
              <w:rPr>
                <w:lang w:val="en-AU"/>
              </w:rPr>
            </w:pPr>
            <w:r w:rsidRPr="00664E64">
              <w:rPr>
                <w:szCs w:val="18"/>
                <w:lang w:val="en-AU"/>
              </w:rPr>
              <w:t>11.0</w:t>
            </w:r>
          </w:p>
        </w:tc>
        <w:tc>
          <w:tcPr>
            <w:tcW w:w="529" w:type="pct"/>
          </w:tcPr>
          <w:p w14:paraId="2A34ADDC" w14:textId="1CA80B4E" w:rsidR="0048571F" w:rsidRPr="00664E64" w:rsidRDefault="0048571F" w:rsidP="00A55CD9">
            <w:pPr>
              <w:pStyle w:val="TableTextCentre"/>
              <w:rPr>
                <w:szCs w:val="18"/>
                <w:lang w:val="en-AU"/>
              </w:rPr>
            </w:pPr>
            <w:r w:rsidRPr="00664E64">
              <w:rPr>
                <w:szCs w:val="18"/>
                <w:lang w:val="en-AU"/>
              </w:rPr>
              <w:t>9.4</w:t>
            </w:r>
          </w:p>
        </w:tc>
        <w:tc>
          <w:tcPr>
            <w:tcW w:w="529" w:type="pct"/>
          </w:tcPr>
          <w:p w14:paraId="4CC16A8E" w14:textId="3657B03E" w:rsidR="0048571F" w:rsidRPr="00664E64" w:rsidRDefault="0048571F" w:rsidP="00A55CD9">
            <w:pPr>
              <w:pStyle w:val="TableTextCentre"/>
              <w:rPr>
                <w:szCs w:val="18"/>
                <w:lang w:val="en-AU"/>
              </w:rPr>
            </w:pPr>
            <w:r w:rsidRPr="00664E64">
              <w:rPr>
                <w:szCs w:val="18"/>
                <w:lang w:val="en-AU"/>
              </w:rPr>
              <w:t>9.1</w:t>
            </w:r>
          </w:p>
        </w:tc>
        <w:tc>
          <w:tcPr>
            <w:tcW w:w="529" w:type="pct"/>
            <w:noWrap/>
          </w:tcPr>
          <w:p w14:paraId="5F0CCD7D" w14:textId="5D42EBC3" w:rsidR="0048571F" w:rsidRPr="00664E64" w:rsidRDefault="0048571F" w:rsidP="00A55CD9">
            <w:pPr>
              <w:pStyle w:val="TableTextCentre"/>
              <w:rPr>
                <w:szCs w:val="18"/>
                <w:lang w:val="en-AU"/>
              </w:rPr>
            </w:pPr>
            <w:r w:rsidRPr="00664E64">
              <w:rPr>
                <w:szCs w:val="18"/>
                <w:lang w:val="en-AU"/>
              </w:rPr>
              <w:t>9.5</w:t>
            </w:r>
          </w:p>
        </w:tc>
        <w:tc>
          <w:tcPr>
            <w:tcW w:w="529" w:type="pct"/>
          </w:tcPr>
          <w:p w14:paraId="61303CD9" w14:textId="524B50D7" w:rsidR="0048571F" w:rsidRPr="00664E64" w:rsidRDefault="0048571F" w:rsidP="00A55CD9">
            <w:pPr>
              <w:pStyle w:val="TableTextCentre"/>
              <w:rPr>
                <w:szCs w:val="18"/>
                <w:lang w:val="en-AU"/>
              </w:rPr>
            </w:pPr>
            <w:r w:rsidRPr="00664E64">
              <w:rPr>
                <w:szCs w:val="18"/>
                <w:lang w:val="en-AU"/>
              </w:rPr>
              <w:t>8.5</w:t>
            </w:r>
          </w:p>
        </w:tc>
        <w:tc>
          <w:tcPr>
            <w:tcW w:w="529" w:type="pct"/>
          </w:tcPr>
          <w:p w14:paraId="3E34FB87" w14:textId="7C2D2716" w:rsidR="0048571F" w:rsidRPr="00664E64" w:rsidRDefault="0048571F" w:rsidP="00A55CD9">
            <w:pPr>
              <w:pStyle w:val="TableTextCentre"/>
              <w:rPr>
                <w:szCs w:val="18"/>
                <w:lang w:val="en-AU"/>
              </w:rPr>
            </w:pPr>
            <w:r w:rsidRPr="00664E64">
              <w:rPr>
                <w:szCs w:val="18"/>
                <w:lang w:val="en-AU"/>
              </w:rPr>
              <w:t>16.9</w:t>
            </w:r>
          </w:p>
        </w:tc>
        <w:tc>
          <w:tcPr>
            <w:tcW w:w="529" w:type="pct"/>
          </w:tcPr>
          <w:p w14:paraId="2F4405B4" w14:textId="60B6D68B" w:rsidR="0048571F" w:rsidRPr="00664E64" w:rsidRDefault="0048571F" w:rsidP="00A55CD9">
            <w:pPr>
              <w:pStyle w:val="TableTextCentre"/>
              <w:rPr>
                <w:szCs w:val="18"/>
                <w:lang w:val="en-AU"/>
              </w:rPr>
            </w:pPr>
            <w:r w:rsidRPr="00664E64">
              <w:rPr>
                <w:szCs w:val="18"/>
                <w:lang w:val="en-AU"/>
              </w:rPr>
              <w:t>9.1</w:t>
            </w:r>
          </w:p>
        </w:tc>
        <w:tc>
          <w:tcPr>
            <w:tcW w:w="529" w:type="pct"/>
          </w:tcPr>
          <w:p w14:paraId="71349A63" w14:textId="77777777" w:rsidR="0048571F" w:rsidRPr="00664E64" w:rsidRDefault="0048571F" w:rsidP="00A55CD9">
            <w:pPr>
              <w:pStyle w:val="TableTextCentre"/>
              <w:rPr>
                <w:szCs w:val="18"/>
                <w:lang w:val="en-AU"/>
              </w:rPr>
            </w:pPr>
            <w:r w:rsidRPr="00664E64">
              <w:rPr>
                <w:szCs w:val="18"/>
                <w:lang w:val="en-AU"/>
              </w:rPr>
              <w:t>9.6</w:t>
            </w:r>
          </w:p>
        </w:tc>
      </w:tr>
      <w:tr w:rsidR="0048571F" w:rsidRPr="00664E64" w14:paraId="6A704A63" w14:textId="77777777" w:rsidTr="0048571F">
        <w:trPr>
          <w:trHeight w:val="579"/>
        </w:trPr>
        <w:tc>
          <w:tcPr>
            <w:tcW w:w="769" w:type="pct"/>
          </w:tcPr>
          <w:p w14:paraId="05908A5C" w14:textId="77777777" w:rsidR="0048571F" w:rsidRPr="00664E64" w:rsidRDefault="0048571F" w:rsidP="00A55CD9">
            <w:pPr>
              <w:pStyle w:val="TableHeading"/>
              <w:rPr>
                <w:rFonts w:cs="Arial"/>
                <w:lang w:val="en-AU"/>
              </w:rPr>
            </w:pPr>
            <w:r w:rsidRPr="0036418A">
              <w:rPr>
                <w:rFonts w:cs="Arial"/>
                <w:b/>
                <w:color w:val="auto"/>
                <w:lang w:val="en-AU"/>
              </w:rPr>
              <w:t>Locatio</w:t>
            </w:r>
            <w:r w:rsidRPr="00664E64">
              <w:rPr>
                <w:rFonts w:cs="Arial"/>
                <w:lang w:val="en-AU"/>
              </w:rPr>
              <w:t>n</w:t>
            </w:r>
          </w:p>
        </w:tc>
        <w:tc>
          <w:tcPr>
            <w:tcW w:w="529" w:type="pct"/>
          </w:tcPr>
          <w:p w14:paraId="5206D1E4" w14:textId="77777777" w:rsidR="0048571F" w:rsidRPr="00664E64" w:rsidRDefault="0048571F" w:rsidP="00A55CD9">
            <w:pPr>
              <w:pStyle w:val="TableTextCentre"/>
              <w:rPr>
                <w:lang w:val="en-AU"/>
              </w:rPr>
            </w:pPr>
          </w:p>
        </w:tc>
        <w:tc>
          <w:tcPr>
            <w:tcW w:w="529" w:type="pct"/>
          </w:tcPr>
          <w:p w14:paraId="1518A472" w14:textId="5A16B136" w:rsidR="0048571F" w:rsidRPr="00664E64" w:rsidRDefault="0048571F" w:rsidP="00A55CD9">
            <w:pPr>
              <w:pStyle w:val="TableTextCentre"/>
              <w:rPr>
                <w:lang w:val="en-AU"/>
              </w:rPr>
            </w:pPr>
          </w:p>
        </w:tc>
        <w:tc>
          <w:tcPr>
            <w:tcW w:w="529" w:type="pct"/>
          </w:tcPr>
          <w:p w14:paraId="2B11AF15" w14:textId="77777777" w:rsidR="0048571F" w:rsidRPr="00664E64" w:rsidRDefault="0048571F" w:rsidP="00A55CD9">
            <w:pPr>
              <w:pStyle w:val="TableTextCentre"/>
              <w:rPr>
                <w:szCs w:val="18"/>
                <w:lang w:val="en-AU"/>
              </w:rPr>
            </w:pPr>
          </w:p>
        </w:tc>
        <w:tc>
          <w:tcPr>
            <w:tcW w:w="529" w:type="pct"/>
            <w:noWrap/>
          </w:tcPr>
          <w:p w14:paraId="7F6DB95E" w14:textId="31AE6925" w:rsidR="0048571F" w:rsidRPr="00664E64" w:rsidRDefault="0048571F" w:rsidP="00A55CD9">
            <w:pPr>
              <w:pStyle w:val="TableTextCentre"/>
              <w:rPr>
                <w:szCs w:val="18"/>
                <w:lang w:val="en-AU"/>
              </w:rPr>
            </w:pPr>
          </w:p>
        </w:tc>
        <w:tc>
          <w:tcPr>
            <w:tcW w:w="529" w:type="pct"/>
          </w:tcPr>
          <w:p w14:paraId="68F6F52B" w14:textId="77777777" w:rsidR="0048571F" w:rsidRPr="00664E64" w:rsidRDefault="0048571F" w:rsidP="00A55CD9">
            <w:pPr>
              <w:pStyle w:val="TableTextCentre"/>
              <w:rPr>
                <w:szCs w:val="18"/>
                <w:lang w:val="en-AU"/>
              </w:rPr>
            </w:pPr>
          </w:p>
        </w:tc>
        <w:tc>
          <w:tcPr>
            <w:tcW w:w="529" w:type="pct"/>
          </w:tcPr>
          <w:p w14:paraId="15F9AA78" w14:textId="77777777" w:rsidR="0048571F" w:rsidRPr="00664E64" w:rsidRDefault="0048571F" w:rsidP="00A55CD9">
            <w:pPr>
              <w:pStyle w:val="TableTextCentre"/>
              <w:rPr>
                <w:szCs w:val="18"/>
                <w:lang w:val="en-AU"/>
              </w:rPr>
            </w:pPr>
          </w:p>
        </w:tc>
        <w:tc>
          <w:tcPr>
            <w:tcW w:w="529" w:type="pct"/>
          </w:tcPr>
          <w:p w14:paraId="0B9DB3BA" w14:textId="0FD20196" w:rsidR="0048571F" w:rsidRPr="00664E64" w:rsidRDefault="0048571F" w:rsidP="00A55CD9">
            <w:pPr>
              <w:pStyle w:val="TableTextCentre"/>
              <w:rPr>
                <w:szCs w:val="18"/>
                <w:lang w:val="en-AU"/>
              </w:rPr>
            </w:pPr>
          </w:p>
        </w:tc>
        <w:tc>
          <w:tcPr>
            <w:tcW w:w="529" w:type="pct"/>
          </w:tcPr>
          <w:p w14:paraId="1765B23C" w14:textId="77777777" w:rsidR="0048571F" w:rsidRPr="00664E64" w:rsidRDefault="0048571F" w:rsidP="00A55CD9">
            <w:pPr>
              <w:pStyle w:val="TableTextCentre"/>
              <w:rPr>
                <w:szCs w:val="18"/>
                <w:lang w:val="en-AU"/>
              </w:rPr>
            </w:pPr>
          </w:p>
        </w:tc>
      </w:tr>
      <w:tr w:rsidR="0048571F" w:rsidRPr="00664E64" w14:paraId="78BB963F" w14:textId="77777777" w:rsidTr="0048571F">
        <w:trPr>
          <w:trHeight w:val="579"/>
        </w:trPr>
        <w:tc>
          <w:tcPr>
            <w:tcW w:w="769" w:type="pct"/>
          </w:tcPr>
          <w:p w14:paraId="70E29938" w14:textId="77777777" w:rsidR="0048571F" w:rsidRPr="00664E64" w:rsidRDefault="0048571F" w:rsidP="00A55CD9">
            <w:pPr>
              <w:pStyle w:val="TableText"/>
              <w:rPr>
                <w:rFonts w:cs="Arial"/>
                <w:lang w:val="en-AU"/>
              </w:rPr>
            </w:pPr>
            <w:r w:rsidRPr="00664E64">
              <w:rPr>
                <w:rFonts w:cs="Arial"/>
                <w:szCs w:val="18"/>
                <w:lang w:val="en-AU"/>
              </w:rPr>
              <w:t>NSW</w:t>
            </w:r>
          </w:p>
        </w:tc>
        <w:tc>
          <w:tcPr>
            <w:tcW w:w="529" w:type="pct"/>
          </w:tcPr>
          <w:p w14:paraId="54C1DB8F" w14:textId="65F80B86" w:rsidR="0048571F" w:rsidRPr="00664E64" w:rsidRDefault="0048571F" w:rsidP="00A55CD9">
            <w:pPr>
              <w:pStyle w:val="TableTextCentre"/>
              <w:rPr>
                <w:lang w:val="en-AU"/>
              </w:rPr>
            </w:pPr>
            <w:r w:rsidRPr="00664E64">
              <w:rPr>
                <w:szCs w:val="18"/>
                <w:lang w:val="en-AU"/>
              </w:rPr>
              <w:t>37.3</w:t>
            </w:r>
          </w:p>
        </w:tc>
        <w:tc>
          <w:tcPr>
            <w:tcW w:w="529" w:type="pct"/>
          </w:tcPr>
          <w:p w14:paraId="401CF0B4" w14:textId="1B53C547" w:rsidR="0048571F" w:rsidRPr="00664E64" w:rsidRDefault="0048571F" w:rsidP="00A55CD9">
            <w:pPr>
              <w:pStyle w:val="TableTextCentre"/>
              <w:rPr>
                <w:szCs w:val="18"/>
                <w:lang w:val="en-AU"/>
              </w:rPr>
            </w:pPr>
            <w:r w:rsidRPr="00664E64">
              <w:rPr>
                <w:szCs w:val="18"/>
                <w:lang w:val="en-AU"/>
              </w:rPr>
              <w:t>35.0</w:t>
            </w:r>
          </w:p>
        </w:tc>
        <w:tc>
          <w:tcPr>
            <w:tcW w:w="529" w:type="pct"/>
          </w:tcPr>
          <w:p w14:paraId="3F98DA5F" w14:textId="5D1108BF" w:rsidR="0048571F" w:rsidRPr="00664E64" w:rsidRDefault="0048571F" w:rsidP="00A55CD9">
            <w:pPr>
              <w:pStyle w:val="TableTextCentre"/>
              <w:rPr>
                <w:szCs w:val="18"/>
                <w:lang w:val="en-AU"/>
              </w:rPr>
            </w:pPr>
            <w:r w:rsidRPr="00664E64">
              <w:rPr>
                <w:szCs w:val="18"/>
                <w:lang w:val="en-AU"/>
              </w:rPr>
              <w:t>30.2</w:t>
            </w:r>
          </w:p>
        </w:tc>
        <w:tc>
          <w:tcPr>
            <w:tcW w:w="529" w:type="pct"/>
            <w:noWrap/>
          </w:tcPr>
          <w:p w14:paraId="27D2E892" w14:textId="4919F3BE" w:rsidR="0048571F" w:rsidRPr="00664E64" w:rsidRDefault="0048571F" w:rsidP="00A55CD9">
            <w:pPr>
              <w:pStyle w:val="TableTextCentre"/>
              <w:rPr>
                <w:szCs w:val="18"/>
                <w:lang w:val="en-AU"/>
              </w:rPr>
            </w:pPr>
            <w:r w:rsidRPr="00664E64">
              <w:rPr>
                <w:szCs w:val="18"/>
                <w:lang w:val="en-AU"/>
              </w:rPr>
              <w:t>34.4</w:t>
            </w:r>
          </w:p>
        </w:tc>
        <w:tc>
          <w:tcPr>
            <w:tcW w:w="529" w:type="pct"/>
          </w:tcPr>
          <w:p w14:paraId="57910AF3" w14:textId="2E691E46" w:rsidR="0048571F" w:rsidRPr="00664E64" w:rsidRDefault="0048571F" w:rsidP="00A55CD9">
            <w:pPr>
              <w:pStyle w:val="TableTextCentre"/>
              <w:rPr>
                <w:szCs w:val="18"/>
                <w:lang w:val="en-AU"/>
              </w:rPr>
            </w:pPr>
            <w:r w:rsidRPr="00664E64">
              <w:rPr>
                <w:szCs w:val="18"/>
                <w:lang w:val="en-AU"/>
              </w:rPr>
              <w:t>28.6</w:t>
            </w:r>
          </w:p>
        </w:tc>
        <w:tc>
          <w:tcPr>
            <w:tcW w:w="529" w:type="pct"/>
          </w:tcPr>
          <w:p w14:paraId="7060A70C" w14:textId="6B417039" w:rsidR="0048571F" w:rsidRPr="00664E64" w:rsidRDefault="0048571F" w:rsidP="00A55CD9">
            <w:pPr>
              <w:pStyle w:val="TableTextCentre"/>
              <w:rPr>
                <w:szCs w:val="18"/>
                <w:lang w:val="en-AU"/>
              </w:rPr>
            </w:pPr>
            <w:r w:rsidRPr="00664E64">
              <w:rPr>
                <w:szCs w:val="18"/>
                <w:lang w:val="en-AU"/>
              </w:rPr>
              <w:t>33.1</w:t>
            </w:r>
          </w:p>
        </w:tc>
        <w:tc>
          <w:tcPr>
            <w:tcW w:w="529" w:type="pct"/>
          </w:tcPr>
          <w:p w14:paraId="2D0C68A8" w14:textId="6364337E" w:rsidR="0048571F" w:rsidRPr="00664E64" w:rsidRDefault="0048571F" w:rsidP="00A55CD9">
            <w:pPr>
              <w:pStyle w:val="TableTextCentre"/>
              <w:rPr>
                <w:szCs w:val="18"/>
                <w:lang w:val="en-AU"/>
              </w:rPr>
            </w:pPr>
            <w:r w:rsidRPr="00664E64">
              <w:rPr>
                <w:szCs w:val="18"/>
                <w:lang w:val="en-AU"/>
              </w:rPr>
              <w:t>32.7</w:t>
            </w:r>
          </w:p>
        </w:tc>
        <w:tc>
          <w:tcPr>
            <w:tcW w:w="529" w:type="pct"/>
          </w:tcPr>
          <w:p w14:paraId="3BFAD799" w14:textId="77777777" w:rsidR="0048571F" w:rsidRPr="00664E64" w:rsidRDefault="0048571F" w:rsidP="00A55CD9">
            <w:pPr>
              <w:pStyle w:val="TableTextCentre"/>
              <w:rPr>
                <w:szCs w:val="18"/>
                <w:lang w:val="en-AU"/>
              </w:rPr>
            </w:pPr>
            <w:r w:rsidRPr="00664E64">
              <w:rPr>
                <w:szCs w:val="18"/>
                <w:lang w:val="en-AU"/>
              </w:rPr>
              <w:t>34.7</w:t>
            </w:r>
          </w:p>
        </w:tc>
      </w:tr>
      <w:tr w:rsidR="0048571F" w:rsidRPr="00664E64" w14:paraId="7361262D" w14:textId="77777777" w:rsidTr="0048571F">
        <w:trPr>
          <w:trHeight w:val="579"/>
        </w:trPr>
        <w:tc>
          <w:tcPr>
            <w:tcW w:w="769" w:type="pct"/>
          </w:tcPr>
          <w:p w14:paraId="4F7FF3BC" w14:textId="77777777" w:rsidR="0048571F" w:rsidRPr="00664E64" w:rsidRDefault="0048571F" w:rsidP="00A55CD9">
            <w:pPr>
              <w:pStyle w:val="TableText"/>
              <w:rPr>
                <w:rFonts w:cs="Arial"/>
                <w:lang w:val="en-AU"/>
              </w:rPr>
            </w:pPr>
            <w:r w:rsidRPr="00664E64">
              <w:rPr>
                <w:rFonts w:cs="Arial"/>
                <w:szCs w:val="18"/>
                <w:lang w:val="en-AU"/>
              </w:rPr>
              <w:t>Victoria</w:t>
            </w:r>
          </w:p>
        </w:tc>
        <w:tc>
          <w:tcPr>
            <w:tcW w:w="529" w:type="pct"/>
          </w:tcPr>
          <w:p w14:paraId="1ECA6103" w14:textId="77DF0D49" w:rsidR="0048571F" w:rsidRPr="00664E64" w:rsidRDefault="0048571F" w:rsidP="00A55CD9">
            <w:pPr>
              <w:pStyle w:val="TableTextCentre"/>
              <w:rPr>
                <w:lang w:val="en-AU"/>
              </w:rPr>
            </w:pPr>
            <w:r w:rsidRPr="00664E64">
              <w:rPr>
                <w:szCs w:val="18"/>
                <w:lang w:val="en-AU"/>
              </w:rPr>
              <w:t>29.5</w:t>
            </w:r>
          </w:p>
        </w:tc>
        <w:tc>
          <w:tcPr>
            <w:tcW w:w="529" w:type="pct"/>
          </w:tcPr>
          <w:p w14:paraId="7AB64F15" w14:textId="35670610" w:rsidR="0048571F" w:rsidRPr="00664E64" w:rsidRDefault="0048571F" w:rsidP="00A55CD9">
            <w:pPr>
              <w:pStyle w:val="TableTextCentre"/>
              <w:rPr>
                <w:szCs w:val="18"/>
                <w:lang w:val="en-AU"/>
              </w:rPr>
            </w:pPr>
            <w:r w:rsidRPr="00664E64">
              <w:rPr>
                <w:szCs w:val="18"/>
                <w:lang w:val="en-AU"/>
              </w:rPr>
              <w:t>32.8</w:t>
            </w:r>
          </w:p>
        </w:tc>
        <w:tc>
          <w:tcPr>
            <w:tcW w:w="529" w:type="pct"/>
          </w:tcPr>
          <w:p w14:paraId="64AC5313" w14:textId="71897980" w:rsidR="0048571F" w:rsidRPr="00664E64" w:rsidRDefault="0048571F" w:rsidP="00A55CD9">
            <w:pPr>
              <w:pStyle w:val="TableTextCentre"/>
              <w:rPr>
                <w:szCs w:val="18"/>
                <w:lang w:val="en-AU"/>
              </w:rPr>
            </w:pPr>
            <w:r w:rsidRPr="00664E64">
              <w:rPr>
                <w:szCs w:val="18"/>
                <w:lang w:val="en-AU"/>
              </w:rPr>
              <w:t>31.0</w:t>
            </w:r>
          </w:p>
        </w:tc>
        <w:tc>
          <w:tcPr>
            <w:tcW w:w="529" w:type="pct"/>
            <w:noWrap/>
          </w:tcPr>
          <w:p w14:paraId="352DB583" w14:textId="73E49ED2" w:rsidR="0048571F" w:rsidRPr="00664E64" w:rsidRDefault="0048571F" w:rsidP="00A55CD9">
            <w:pPr>
              <w:pStyle w:val="TableTextCentre"/>
              <w:rPr>
                <w:szCs w:val="18"/>
                <w:lang w:val="en-AU"/>
              </w:rPr>
            </w:pPr>
            <w:r w:rsidRPr="00664E64">
              <w:rPr>
                <w:szCs w:val="18"/>
                <w:lang w:val="en-AU"/>
              </w:rPr>
              <w:t>30.0</w:t>
            </w:r>
          </w:p>
        </w:tc>
        <w:tc>
          <w:tcPr>
            <w:tcW w:w="529" w:type="pct"/>
          </w:tcPr>
          <w:p w14:paraId="197F857C" w14:textId="11BB38ED" w:rsidR="0048571F" w:rsidRPr="00664E64" w:rsidRDefault="0048571F" w:rsidP="00A55CD9">
            <w:pPr>
              <w:pStyle w:val="TableTextCentre"/>
              <w:rPr>
                <w:szCs w:val="18"/>
                <w:lang w:val="en-AU"/>
              </w:rPr>
            </w:pPr>
            <w:r w:rsidRPr="00664E64">
              <w:rPr>
                <w:szCs w:val="18"/>
                <w:lang w:val="en-AU"/>
              </w:rPr>
              <w:t>42.3</w:t>
            </w:r>
          </w:p>
        </w:tc>
        <w:tc>
          <w:tcPr>
            <w:tcW w:w="529" w:type="pct"/>
          </w:tcPr>
          <w:p w14:paraId="51CAA321" w14:textId="487B3703" w:rsidR="0048571F" w:rsidRPr="00664E64" w:rsidRDefault="0048571F" w:rsidP="00A55CD9">
            <w:pPr>
              <w:pStyle w:val="TableTextCentre"/>
              <w:rPr>
                <w:szCs w:val="18"/>
                <w:lang w:val="en-AU"/>
              </w:rPr>
            </w:pPr>
            <w:r w:rsidRPr="00664E64">
              <w:rPr>
                <w:szCs w:val="18"/>
                <w:lang w:val="en-AU"/>
              </w:rPr>
              <w:t>32.2</w:t>
            </w:r>
          </w:p>
        </w:tc>
        <w:tc>
          <w:tcPr>
            <w:tcW w:w="529" w:type="pct"/>
          </w:tcPr>
          <w:p w14:paraId="52683CDD" w14:textId="3BF41061" w:rsidR="0048571F" w:rsidRPr="00664E64" w:rsidRDefault="0048571F" w:rsidP="00A55CD9">
            <w:pPr>
              <w:pStyle w:val="TableTextCentre"/>
              <w:rPr>
                <w:szCs w:val="18"/>
                <w:lang w:val="en-AU"/>
              </w:rPr>
            </w:pPr>
            <w:r w:rsidRPr="00664E64">
              <w:rPr>
                <w:szCs w:val="18"/>
                <w:lang w:val="en-AU"/>
              </w:rPr>
              <w:t>40.7</w:t>
            </w:r>
          </w:p>
        </w:tc>
        <w:tc>
          <w:tcPr>
            <w:tcW w:w="529" w:type="pct"/>
          </w:tcPr>
          <w:p w14:paraId="3D9784AE" w14:textId="77777777" w:rsidR="0048571F" w:rsidRPr="00664E64" w:rsidRDefault="0048571F" w:rsidP="00A55CD9">
            <w:pPr>
              <w:pStyle w:val="TableTextCentre"/>
              <w:rPr>
                <w:szCs w:val="18"/>
                <w:lang w:val="en-AU"/>
              </w:rPr>
            </w:pPr>
            <w:r w:rsidRPr="00664E64">
              <w:rPr>
                <w:szCs w:val="18"/>
                <w:lang w:val="en-AU"/>
              </w:rPr>
              <w:t>34.8</w:t>
            </w:r>
          </w:p>
        </w:tc>
      </w:tr>
      <w:tr w:rsidR="0048571F" w:rsidRPr="00664E64" w14:paraId="1D308018" w14:textId="77777777" w:rsidTr="0048571F">
        <w:trPr>
          <w:trHeight w:val="579"/>
        </w:trPr>
        <w:tc>
          <w:tcPr>
            <w:tcW w:w="769" w:type="pct"/>
          </w:tcPr>
          <w:p w14:paraId="71028B33" w14:textId="4133BDBB" w:rsidR="0048571F" w:rsidRPr="00664E64" w:rsidRDefault="0048571F" w:rsidP="00A55CD9">
            <w:pPr>
              <w:pStyle w:val="TableText"/>
              <w:rPr>
                <w:rFonts w:cs="Arial"/>
                <w:lang w:val="en-AU"/>
              </w:rPr>
            </w:pPr>
            <w:r w:rsidRPr="00664E64">
              <w:rPr>
                <w:rFonts w:cs="Arial"/>
                <w:szCs w:val="18"/>
                <w:lang w:val="en-AU"/>
              </w:rPr>
              <w:t>Queensland</w:t>
            </w:r>
          </w:p>
        </w:tc>
        <w:tc>
          <w:tcPr>
            <w:tcW w:w="529" w:type="pct"/>
          </w:tcPr>
          <w:p w14:paraId="5A01CCF9" w14:textId="430DA227" w:rsidR="0048571F" w:rsidRPr="00664E64" w:rsidRDefault="0048571F" w:rsidP="00A55CD9">
            <w:pPr>
              <w:pStyle w:val="TableTextCentre"/>
              <w:rPr>
                <w:szCs w:val="18"/>
                <w:lang w:val="en-AU"/>
              </w:rPr>
            </w:pPr>
            <w:r w:rsidRPr="00664E64">
              <w:rPr>
                <w:szCs w:val="18"/>
                <w:lang w:val="en-AU"/>
              </w:rPr>
              <w:t>20.3</w:t>
            </w:r>
          </w:p>
        </w:tc>
        <w:tc>
          <w:tcPr>
            <w:tcW w:w="529" w:type="pct"/>
          </w:tcPr>
          <w:p w14:paraId="09A3114D" w14:textId="27B50FDD" w:rsidR="0048571F" w:rsidRPr="00664E64" w:rsidRDefault="0048571F" w:rsidP="00A55CD9">
            <w:pPr>
              <w:pStyle w:val="TableTextCentre"/>
              <w:rPr>
                <w:szCs w:val="18"/>
                <w:lang w:val="en-AU"/>
              </w:rPr>
            </w:pPr>
            <w:r w:rsidRPr="00664E64">
              <w:rPr>
                <w:szCs w:val="18"/>
                <w:lang w:val="en-AU"/>
              </w:rPr>
              <w:t>20.1</w:t>
            </w:r>
          </w:p>
        </w:tc>
        <w:tc>
          <w:tcPr>
            <w:tcW w:w="529" w:type="pct"/>
          </w:tcPr>
          <w:p w14:paraId="7AAB6857" w14:textId="420715D7" w:rsidR="0048571F" w:rsidRPr="00664E64" w:rsidRDefault="0048571F" w:rsidP="00A55CD9">
            <w:pPr>
              <w:pStyle w:val="TableTextCentre"/>
              <w:rPr>
                <w:szCs w:val="18"/>
                <w:lang w:val="en-AU"/>
              </w:rPr>
            </w:pPr>
            <w:r w:rsidRPr="00664E64">
              <w:rPr>
                <w:szCs w:val="18"/>
                <w:lang w:val="en-AU"/>
              </w:rPr>
              <w:t>23.5</w:t>
            </w:r>
          </w:p>
        </w:tc>
        <w:tc>
          <w:tcPr>
            <w:tcW w:w="529" w:type="pct"/>
            <w:noWrap/>
          </w:tcPr>
          <w:p w14:paraId="302AC878" w14:textId="3A353C70" w:rsidR="0048571F" w:rsidRPr="00664E64" w:rsidRDefault="0048571F" w:rsidP="00A55CD9">
            <w:pPr>
              <w:pStyle w:val="TableTextCentre"/>
              <w:rPr>
                <w:szCs w:val="18"/>
                <w:lang w:val="en-AU"/>
              </w:rPr>
            </w:pPr>
            <w:r w:rsidRPr="00664E64">
              <w:rPr>
                <w:szCs w:val="18"/>
                <w:lang w:val="en-AU"/>
              </w:rPr>
              <w:t>21.5</w:t>
            </w:r>
          </w:p>
        </w:tc>
        <w:tc>
          <w:tcPr>
            <w:tcW w:w="529" w:type="pct"/>
          </w:tcPr>
          <w:p w14:paraId="0058F187" w14:textId="5683993D" w:rsidR="0048571F" w:rsidRPr="00664E64" w:rsidRDefault="0048571F" w:rsidP="00A55CD9">
            <w:pPr>
              <w:pStyle w:val="TableTextCentre"/>
              <w:rPr>
                <w:szCs w:val="18"/>
                <w:lang w:val="en-AU"/>
              </w:rPr>
            </w:pPr>
            <w:r w:rsidRPr="00664E64">
              <w:rPr>
                <w:szCs w:val="18"/>
                <w:lang w:val="en-AU"/>
              </w:rPr>
              <w:t>13.8</w:t>
            </w:r>
          </w:p>
        </w:tc>
        <w:tc>
          <w:tcPr>
            <w:tcW w:w="529" w:type="pct"/>
          </w:tcPr>
          <w:p w14:paraId="03927810" w14:textId="39FA551E" w:rsidR="0048571F" w:rsidRPr="00664E64" w:rsidRDefault="0048571F" w:rsidP="00A55CD9">
            <w:pPr>
              <w:pStyle w:val="TableTextCentre"/>
              <w:rPr>
                <w:szCs w:val="18"/>
                <w:lang w:val="en-AU"/>
              </w:rPr>
            </w:pPr>
            <w:r w:rsidRPr="00664E64">
              <w:rPr>
                <w:szCs w:val="18"/>
                <w:lang w:val="en-AU"/>
              </w:rPr>
              <w:t>20.0</w:t>
            </w:r>
          </w:p>
        </w:tc>
        <w:tc>
          <w:tcPr>
            <w:tcW w:w="529" w:type="pct"/>
          </w:tcPr>
          <w:p w14:paraId="238212CC" w14:textId="3775D451" w:rsidR="0048571F" w:rsidRPr="00664E64" w:rsidRDefault="0048571F" w:rsidP="00A55CD9">
            <w:pPr>
              <w:pStyle w:val="TableTextCentre"/>
              <w:rPr>
                <w:szCs w:val="18"/>
                <w:lang w:val="en-AU"/>
              </w:rPr>
            </w:pPr>
            <w:r w:rsidRPr="00664E64">
              <w:rPr>
                <w:szCs w:val="18"/>
                <w:lang w:val="en-AU"/>
              </w:rPr>
              <w:t>17.6</w:t>
            </w:r>
          </w:p>
        </w:tc>
        <w:tc>
          <w:tcPr>
            <w:tcW w:w="529" w:type="pct"/>
          </w:tcPr>
          <w:p w14:paraId="406BD229" w14:textId="77777777" w:rsidR="0048571F" w:rsidRPr="00664E64" w:rsidRDefault="0048571F" w:rsidP="00A55CD9">
            <w:pPr>
              <w:pStyle w:val="TableTextCentre"/>
              <w:rPr>
                <w:szCs w:val="18"/>
                <w:lang w:val="en-AU"/>
              </w:rPr>
            </w:pPr>
            <w:r w:rsidRPr="00664E64">
              <w:rPr>
                <w:szCs w:val="18"/>
                <w:lang w:val="en-AU"/>
              </w:rPr>
              <w:t>15.6</w:t>
            </w:r>
          </w:p>
        </w:tc>
      </w:tr>
    </w:tbl>
    <w:p w14:paraId="18D03E51" w14:textId="711B11E9" w:rsidR="00D161F4" w:rsidRPr="0036418A" w:rsidRDefault="00D161F4" w:rsidP="00A55CD9">
      <w:pPr>
        <w:pStyle w:val="Heading3"/>
        <w:rPr>
          <w:color w:val="auto"/>
        </w:rPr>
      </w:pPr>
      <w:r w:rsidRPr="0036418A">
        <w:rPr>
          <w:color w:val="auto"/>
        </w:rPr>
        <w:t>Number and combination of activities</w:t>
      </w:r>
    </w:p>
    <w:p w14:paraId="1F428FF4" w14:textId="53395C60" w:rsidR="00505E38" w:rsidRPr="00664E64" w:rsidRDefault="006D2BE4" w:rsidP="004C4DDD">
      <w:pPr>
        <w:pStyle w:val="BodyText"/>
        <w:rPr>
          <w:rFonts w:eastAsia="Calibri"/>
        </w:rPr>
      </w:pPr>
      <w:r w:rsidRPr="00664E64">
        <w:rPr>
          <w:rFonts w:eastAsia="Calibri"/>
        </w:rPr>
        <w:t>The p</w:t>
      </w:r>
      <w:r w:rsidR="00D161F4" w:rsidRPr="00664E64">
        <w:rPr>
          <w:rFonts w:eastAsia="Calibri"/>
        </w:rPr>
        <w:t xml:space="preserve">roportion of survey participants </w:t>
      </w:r>
      <w:r w:rsidR="00D161F4" w:rsidRPr="00664E64">
        <w:rPr>
          <w:bCs/>
          <w:color w:val="000000"/>
        </w:rPr>
        <w:t xml:space="preserve">who </w:t>
      </w:r>
      <w:r w:rsidRPr="00664E64">
        <w:rPr>
          <w:bCs/>
          <w:color w:val="000000"/>
        </w:rPr>
        <w:t xml:space="preserve">reported </w:t>
      </w:r>
      <w:r w:rsidR="00D161F4" w:rsidRPr="00664E64">
        <w:rPr>
          <w:bCs/>
          <w:color w:val="000000"/>
        </w:rPr>
        <w:t>spen</w:t>
      </w:r>
      <w:r w:rsidRPr="00664E64">
        <w:rPr>
          <w:bCs/>
          <w:color w:val="000000"/>
        </w:rPr>
        <w:t>ding</w:t>
      </w:r>
      <w:r w:rsidR="00D161F4" w:rsidRPr="00664E64">
        <w:rPr>
          <w:bCs/>
          <w:color w:val="000000"/>
        </w:rPr>
        <w:t xml:space="preserve"> money on a given number of </w:t>
      </w:r>
      <w:r w:rsidRPr="00664E64">
        <w:rPr>
          <w:bCs/>
          <w:color w:val="000000"/>
        </w:rPr>
        <w:t xml:space="preserve">wagering types </w:t>
      </w:r>
      <w:r w:rsidR="00D161F4" w:rsidRPr="00664E64">
        <w:rPr>
          <w:bCs/>
          <w:color w:val="000000"/>
        </w:rPr>
        <w:t>in the last 12 months</w:t>
      </w:r>
      <w:r w:rsidR="00D161F4" w:rsidRPr="00664E64">
        <w:rPr>
          <w:rFonts w:eastAsia="Calibri"/>
        </w:rPr>
        <w:t xml:space="preserve"> </w:t>
      </w:r>
      <w:r w:rsidR="00407CC7" w:rsidRPr="00664E64">
        <w:rPr>
          <w:rFonts w:eastAsia="Calibri"/>
        </w:rPr>
        <w:t>is provided</w:t>
      </w:r>
      <w:r w:rsidR="00D161F4" w:rsidRPr="00664E64">
        <w:rPr>
          <w:rFonts w:eastAsia="Calibri"/>
        </w:rPr>
        <w:t xml:space="preserve"> in Table 5.5. </w:t>
      </w:r>
      <w:r w:rsidR="00407CC7" w:rsidRPr="00664E64">
        <w:rPr>
          <w:rFonts w:eastAsia="Calibri"/>
        </w:rPr>
        <w:t>Findings suggest</w:t>
      </w:r>
      <w:r w:rsidR="00D161F4" w:rsidRPr="00664E64">
        <w:rPr>
          <w:rFonts w:eastAsia="Calibri"/>
        </w:rPr>
        <w:t xml:space="preserve"> that</w:t>
      </w:r>
      <w:r w:rsidR="00407CC7" w:rsidRPr="00664E64">
        <w:rPr>
          <w:rFonts w:eastAsia="Calibri"/>
        </w:rPr>
        <w:t xml:space="preserve"> over half (55%) reported having </w:t>
      </w:r>
      <w:r w:rsidR="00D161F4" w:rsidRPr="00664E64">
        <w:rPr>
          <w:rFonts w:eastAsia="Calibri"/>
        </w:rPr>
        <w:t xml:space="preserve">spent money on </w:t>
      </w:r>
      <w:r w:rsidR="00407CC7" w:rsidRPr="00664E64">
        <w:rPr>
          <w:rFonts w:eastAsia="Calibri"/>
        </w:rPr>
        <w:t>two or more</w:t>
      </w:r>
      <w:r w:rsidR="00D161F4" w:rsidRPr="00664E64">
        <w:rPr>
          <w:rFonts w:eastAsia="Calibri"/>
        </w:rPr>
        <w:t xml:space="preserve"> </w:t>
      </w:r>
      <w:r w:rsidR="00626CB5">
        <w:rPr>
          <w:rFonts w:eastAsia="Calibri"/>
        </w:rPr>
        <w:t xml:space="preserve">wagering </w:t>
      </w:r>
      <w:r w:rsidR="00D161F4" w:rsidRPr="00664E64">
        <w:rPr>
          <w:rFonts w:eastAsia="Calibri"/>
        </w:rPr>
        <w:t>activit</w:t>
      </w:r>
      <w:r w:rsidR="00407CC7" w:rsidRPr="00664E64">
        <w:rPr>
          <w:rFonts w:eastAsia="Calibri"/>
        </w:rPr>
        <w:t xml:space="preserve">ies during </w:t>
      </w:r>
      <w:r w:rsidR="00ED04E3">
        <w:rPr>
          <w:rFonts w:eastAsia="Calibri"/>
        </w:rPr>
        <w:t>that time,</w:t>
      </w:r>
      <w:r w:rsidR="00407CC7" w:rsidRPr="00664E64">
        <w:rPr>
          <w:rFonts w:eastAsia="Calibri"/>
        </w:rPr>
        <w:t xml:space="preserve"> </w:t>
      </w:r>
      <w:r w:rsidR="00D161F4" w:rsidRPr="00664E64">
        <w:rPr>
          <w:rFonts w:eastAsia="Calibri"/>
        </w:rPr>
        <w:t xml:space="preserve">and another 17% </w:t>
      </w:r>
      <w:r w:rsidR="00407CC7" w:rsidRPr="00664E64">
        <w:rPr>
          <w:rFonts w:eastAsia="Calibri"/>
        </w:rPr>
        <w:t xml:space="preserve">wagered </w:t>
      </w:r>
      <w:r w:rsidR="00D161F4" w:rsidRPr="00664E64">
        <w:rPr>
          <w:rFonts w:eastAsia="Calibri"/>
        </w:rPr>
        <w:t>on four or more activities.</w:t>
      </w:r>
    </w:p>
    <w:p w14:paraId="5B6FDE6A" w14:textId="77777777" w:rsidR="00505E38" w:rsidRPr="00664E64" w:rsidRDefault="00505E38">
      <w:pPr>
        <w:rPr>
          <w:rFonts w:eastAsia="Calibri"/>
          <w:lang w:bidi="en-US"/>
        </w:rPr>
      </w:pPr>
      <w:r w:rsidRPr="00664E64">
        <w:rPr>
          <w:rFonts w:eastAsia="Calibri"/>
        </w:rPr>
        <w:br w:type="page"/>
      </w:r>
    </w:p>
    <w:p w14:paraId="2DBBB65D" w14:textId="02C384A7" w:rsidR="00D161F4" w:rsidRPr="0036418A" w:rsidRDefault="00D161F4" w:rsidP="00415C73">
      <w:pPr>
        <w:pStyle w:val="FigureCaption"/>
        <w:rPr>
          <w:color w:val="auto"/>
          <w:lang w:val="en-AU"/>
        </w:rPr>
      </w:pPr>
      <w:bookmarkStart w:id="37" w:name="_Toc11864568"/>
      <w:bookmarkStart w:id="38" w:name="_Toc12549565"/>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5</w:t>
      </w:r>
      <w:r w:rsidR="00777624" w:rsidRPr="0036418A">
        <w:rPr>
          <w:noProof/>
          <w:color w:val="auto"/>
          <w:lang w:val="en-AU"/>
        </w:rPr>
        <w:fldChar w:fldCharType="end"/>
      </w:r>
      <w:r w:rsidR="00505E38" w:rsidRPr="0036418A">
        <w:rPr>
          <w:color w:val="auto"/>
          <w:lang w:val="en-AU"/>
        </w:rPr>
        <w:t>:</w:t>
      </w:r>
      <w:r w:rsidRPr="0036418A">
        <w:rPr>
          <w:color w:val="auto"/>
          <w:lang w:val="en-AU"/>
        </w:rPr>
        <w:t xml:space="preserve"> Number and proportion of survey participants who spent money on a given number of gambling products in the past 12 months (N</w:t>
      </w:r>
      <w:r w:rsidR="00505E38" w:rsidRPr="0036418A">
        <w:rPr>
          <w:color w:val="auto"/>
          <w:lang w:val="en-AU"/>
        </w:rPr>
        <w:t xml:space="preserve"> </w:t>
      </w:r>
      <w:r w:rsidRPr="0036418A">
        <w:rPr>
          <w:color w:val="auto"/>
          <w:lang w:val="en-AU"/>
        </w:rPr>
        <w:t>=</w:t>
      </w:r>
      <w:r w:rsidR="00505E38" w:rsidRPr="0036418A">
        <w:rPr>
          <w:color w:val="auto"/>
          <w:lang w:val="en-AU"/>
        </w:rPr>
        <w:t xml:space="preserve"> </w:t>
      </w:r>
      <w:r w:rsidRPr="0036418A">
        <w:rPr>
          <w:color w:val="auto"/>
          <w:lang w:val="en-AU"/>
        </w:rPr>
        <w:t>5,076)</w:t>
      </w:r>
      <w:bookmarkEnd w:id="37"/>
      <w:bookmarkEnd w:id="38"/>
    </w:p>
    <w:tbl>
      <w:tblPr>
        <w:tblStyle w:val="TableGrid"/>
        <w:tblW w:w="9360" w:type="dxa"/>
        <w:tblLook w:val="04A0" w:firstRow="1" w:lastRow="0" w:firstColumn="1" w:lastColumn="0" w:noHBand="0" w:noVBand="1"/>
        <w:tblCaption w:val="Number and proportion of survey participants who spent money on a given number of gambling products"/>
        <w:tblDescription w:val="Shows whether survey participants had gambled on 1 or more (up to 4+) activities and how many."/>
      </w:tblPr>
      <w:tblGrid>
        <w:gridCol w:w="2835"/>
        <w:gridCol w:w="3828"/>
        <w:gridCol w:w="2697"/>
      </w:tblGrid>
      <w:tr w:rsidR="00D161F4" w:rsidRPr="00664E64" w14:paraId="7094E06F" w14:textId="77777777" w:rsidTr="00914774">
        <w:trPr>
          <w:cnfStyle w:val="100000000000" w:firstRow="1" w:lastRow="0" w:firstColumn="0" w:lastColumn="0" w:oddVBand="0" w:evenVBand="0" w:oddHBand="0" w:evenHBand="0" w:firstRowFirstColumn="0" w:firstRowLastColumn="0" w:lastRowFirstColumn="0" w:lastRowLastColumn="0"/>
          <w:trHeight w:val="553"/>
          <w:tblHeader/>
        </w:trPr>
        <w:tc>
          <w:tcPr>
            <w:tcW w:w="2835" w:type="dxa"/>
            <w:hideMark/>
          </w:tcPr>
          <w:p w14:paraId="154FCF80" w14:textId="77777777" w:rsidR="00D161F4" w:rsidRPr="00664E64" w:rsidRDefault="00D161F4" w:rsidP="00A55CD9">
            <w:pPr>
              <w:pStyle w:val="TableColHeadLeft"/>
              <w:rPr>
                <w:lang w:val="en-AU"/>
              </w:rPr>
            </w:pPr>
            <w:r w:rsidRPr="00664E64">
              <w:rPr>
                <w:lang w:val="en-AU"/>
              </w:rPr>
              <w:t>Number of activities</w:t>
            </w:r>
          </w:p>
        </w:tc>
        <w:tc>
          <w:tcPr>
            <w:tcW w:w="3828" w:type="dxa"/>
          </w:tcPr>
          <w:p w14:paraId="31D82071" w14:textId="77777777" w:rsidR="00D161F4" w:rsidRPr="00664E64" w:rsidRDefault="00D161F4" w:rsidP="00A55CD9">
            <w:pPr>
              <w:pStyle w:val="TableColHeadCentre"/>
              <w:rPr>
                <w:lang w:val="en-AU"/>
              </w:rPr>
            </w:pPr>
            <w:r w:rsidRPr="00664E64">
              <w:rPr>
                <w:lang w:val="en-AU"/>
              </w:rPr>
              <w:t>Number</w:t>
            </w:r>
          </w:p>
        </w:tc>
        <w:tc>
          <w:tcPr>
            <w:tcW w:w="2697" w:type="dxa"/>
            <w:hideMark/>
          </w:tcPr>
          <w:p w14:paraId="4B6158B4" w14:textId="49B0095E" w:rsidR="00D161F4" w:rsidRPr="00664E64" w:rsidRDefault="00D161F4" w:rsidP="00A55CD9">
            <w:pPr>
              <w:pStyle w:val="TableColHeadCentre"/>
              <w:rPr>
                <w:lang w:val="en-AU"/>
              </w:rPr>
            </w:pPr>
            <w:r w:rsidRPr="00664E64">
              <w:rPr>
                <w:lang w:val="en-AU"/>
              </w:rPr>
              <w:t>(%)</w:t>
            </w:r>
          </w:p>
        </w:tc>
      </w:tr>
      <w:tr w:rsidR="00D161F4" w:rsidRPr="00664E64" w14:paraId="3687762F" w14:textId="77777777" w:rsidTr="0079372B">
        <w:trPr>
          <w:trHeight w:val="316"/>
        </w:trPr>
        <w:tc>
          <w:tcPr>
            <w:tcW w:w="2835" w:type="dxa"/>
            <w:hideMark/>
          </w:tcPr>
          <w:p w14:paraId="1A72E382" w14:textId="77777777" w:rsidR="00D161F4" w:rsidRPr="00664E64" w:rsidRDefault="00D161F4" w:rsidP="00A55CD9">
            <w:pPr>
              <w:pStyle w:val="TableText"/>
              <w:rPr>
                <w:lang w:val="en-AU"/>
              </w:rPr>
            </w:pPr>
            <w:r w:rsidRPr="00664E64">
              <w:rPr>
                <w:lang w:val="en-AU"/>
              </w:rPr>
              <w:t>1</w:t>
            </w:r>
          </w:p>
        </w:tc>
        <w:tc>
          <w:tcPr>
            <w:tcW w:w="3828" w:type="dxa"/>
          </w:tcPr>
          <w:p w14:paraId="448EBC55" w14:textId="0C9DC760" w:rsidR="00D161F4" w:rsidRPr="00664E64" w:rsidRDefault="00D161F4" w:rsidP="00A55CD9">
            <w:pPr>
              <w:pStyle w:val="TableTextCentre"/>
              <w:rPr>
                <w:lang w:val="en-AU"/>
              </w:rPr>
            </w:pPr>
            <w:r w:rsidRPr="00664E64">
              <w:rPr>
                <w:lang w:val="en-AU"/>
              </w:rPr>
              <w:t>2</w:t>
            </w:r>
            <w:r w:rsidR="00505E38" w:rsidRPr="00664E64">
              <w:rPr>
                <w:lang w:val="en-AU"/>
              </w:rPr>
              <w:t>,</w:t>
            </w:r>
            <w:r w:rsidRPr="00664E64">
              <w:rPr>
                <w:lang w:val="en-AU"/>
              </w:rPr>
              <w:t>289</w:t>
            </w:r>
          </w:p>
        </w:tc>
        <w:tc>
          <w:tcPr>
            <w:tcW w:w="2697" w:type="dxa"/>
          </w:tcPr>
          <w:p w14:paraId="32DBD502" w14:textId="77777777" w:rsidR="00D161F4" w:rsidRPr="00664E64" w:rsidRDefault="00D161F4" w:rsidP="00A55CD9">
            <w:pPr>
              <w:pStyle w:val="TableTextCentre"/>
              <w:rPr>
                <w:lang w:val="en-AU"/>
              </w:rPr>
            </w:pPr>
            <w:r w:rsidRPr="00664E64">
              <w:rPr>
                <w:lang w:val="en-AU"/>
              </w:rPr>
              <w:t>45.1</w:t>
            </w:r>
          </w:p>
        </w:tc>
      </w:tr>
      <w:tr w:rsidR="00D161F4" w:rsidRPr="00664E64" w14:paraId="7D622577" w14:textId="77777777" w:rsidTr="0079372B">
        <w:trPr>
          <w:trHeight w:val="316"/>
        </w:trPr>
        <w:tc>
          <w:tcPr>
            <w:tcW w:w="2835" w:type="dxa"/>
            <w:hideMark/>
          </w:tcPr>
          <w:p w14:paraId="05CDB55B" w14:textId="77777777" w:rsidR="00D161F4" w:rsidRPr="00664E64" w:rsidRDefault="00D161F4" w:rsidP="00A55CD9">
            <w:pPr>
              <w:pStyle w:val="TableText"/>
              <w:rPr>
                <w:lang w:val="en-AU"/>
              </w:rPr>
            </w:pPr>
            <w:r w:rsidRPr="00664E64">
              <w:rPr>
                <w:lang w:val="en-AU"/>
              </w:rPr>
              <w:t>2</w:t>
            </w:r>
          </w:p>
        </w:tc>
        <w:tc>
          <w:tcPr>
            <w:tcW w:w="3828" w:type="dxa"/>
          </w:tcPr>
          <w:p w14:paraId="3FB31417" w14:textId="1BF66B78" w:rsidR="00D161F4" w:rsidRPr="00664E64" w:rsidRDefault="00D161F4" w:rsidP="00A55CD9">
            <w:pPr>
              <w:pStyle w:val="TableTextCentre"/>
              <w:rPr>
                <w:lang w:val="en-AU"/>
              </w:rPr>
            </w:pPr>
            <w:r w:rsidRPr="00664E64">
              <w:rPr>
                <w:lang w:val="en-AU"/>
              </w:rPr>
              <w:t>1</w:t>
            </w:r>
            <w:r w:rsidR="00505E38" w:rsidRPr="00664E64">
              <w:rPr>
                <w:lang w:val="en-AU"/>
              </w:rPr>
              <w:t>,</w:t>
            </w:r>
            <w:r w:rsidRPr="00664E64">
              <w:rPr>
                <w:lang w:val="en-AU"/>
              </w:rPr>
              <w:t>178</w:t>
            </w:r>
          </w:p>
        </w:tc>
        <w:tc>
          <w:tcPr>
            <w:tcW w:w="2697" w:type="dxa"/>
          </w:tcPr>
          <w:p w14:paraId="54167A64" w14:textId="77777777" w:rsidR="00D161F4" w:rsidRPr="00664E64" w:rsidRDefault="00D161F4" w:rsidP="00A55CD9">
            <w:pPr>
              <w:pStyle w:val="TableTextCentre"/>
              <w:rPr>
                <w:lang w:val="en-AU"/>
              </w:rPr>
            </w:pPr>
            <w:r w:rsidRPr="00664E64">
              <w:rPr>
                <w:lang w:val="en-AU"/>
              </w:rPr>
              <w:t>23.2</w:t>
            </w:r>
          </w:p>
        </w:tc>
      </w:tr>
      <w:tr w:rsidR="00D161F4" w:rsidRPr="00664E64" w14:paraId="0C6EF14E" w14:textId="77777777" w:rsidTr="0079372B">
        <w:trPr>
          <w:trHeight w:val="316"/>
        </w:trPr>
        <w:tc>
          <w:tcPr>
            <w:tcW w:w="2835" w:type="dxa"/>
            <w:hideMark/>
          </w:tcPr>
          <w:p w14:paraId="39444FF3" w14:textId="77777777" w:rsidR="00D161F4" w:rsidRPr="00664E64" w:rsidRDefault="00D161F4" w:rsidP="00A55CD9">
            <w:pPr>
              <w:pStyle w:val="TableText"/>
              <w:rPr>
                <w:lang w:val="en-AU"/>
              </w:rPr>
            </w:pPr>
            <w:r w:rsidRPr="00664E64">
              <w:rPr>
                <w:lang w:val="en-AU"/>
              </w:rPr>
              <w:t>3</w:t>
            </w:r>
          </w:p>
        </w:tc>
        <w:tc>
          <w:tcPr>
            <w:tcW w:w="3828" w:type="dxa"/>
          </w:tcPr>
          <w:p w14:paraId="0CBBF1BA" w14:textId="77777777" w:rsidR="00D161F4" w:rsidRPr="00664E64" w:rsidRDefault="00D161F4" w:rsidP="00A55CD9">
            <w:pPr>
              <w:pStyle w:val="TableTextCentre"/>
              <w:rPr>
                <w:lang w:val="en-AU"/>
              </w:rPr>
            </w:pPr>
            <w:r w:rsidRPr="00664E64">
              <w:rPr>
                <w:lang w:val="en-AU"/>
              </w:rPr>
              <w:t>751</w:t>
            </w:r>
          </w:p>
        </w:tc>
        <w:tc>
          <w:tcPr>
            <w:tcW w:w="2697" w:type="dxa"/>
          </w:tcPr>
          <w:p w14:paraId="213514E2" w14:textId="77777777" w:rsidR="00D161F4" w:rsidRPr="00664E64" w:rsidRDefault="00D161F4" w:rsidP="00A55CD9">
            <w:pPr>
              <w:pStyle w:val="TableTextCentre"/>
              <w:rPr>
                <w:lang w:val="en-AU"/>
              </w:rPr>
            </w:pPr>
            <w:r w:rsidRPr="00664E64">
              <w:rPr>
                <w:lang w:val="en-AU"/>
              </w:rPr>
              <w:t>14.8</w:t>
            </w:r>
          </w:p>
        </w:tc>
      </w:tr>
      <w:tr w:rsidR="00D161F4" w:rsidRPr="00664E64" w14:paraId="4FB67F0E" w14:textId="77777777" w:rsidTr="0079372B">
        <w:trPr>
          <w:trHeight w:val="316"/>
        </w:trPr>
        <w:tc>
          <w:tcPr>
            <w:tcW w:w="2835" w:type="dxa"/>
            <w:hideMark/>
          </w:tcPr>
          <w:p w14:paraId="172BF097" w14:textId="77777777" w:rsidR="00D161F4" w:rsidRPr="00664E64" w:rsidRDefault="00D161F4" w:rsidP="00A55CD9">
            <w:pPr>
              <w:pStyle w:val="TableText"/>
              <w:rPr>
                <w:lang w:val="en-AU"/>
              </w:rPr>
            </w:pPr>
            <w:r w:rsidRPr="00664E64">
              <w:rPr>
                <w:lang w:val="en-AU"/>
              </w:rPr>
              <w:t>4+</w:t>
            </w:r>
          </w:p>
        </w:tc>
        <w:tc>
          <w:tcPr>
            <w:tcW w:w="3828" w:type="dxa"/>
          </w:tcPr>
          <w:p w14:paraId="0BB98DA0" w14:textId="77777777" w:rsidR="00D161F4" w:rsidRPr="00664E64" w:rsidRDefault="00D161F4" w:rsidP="00A55CD9">
            <w:pPr>
              <w:pStyle w:val="TableTextCentre"/>
              <w:rPr>
                <w:lang w:val="en-AU"/>
              </w:rPr>
            </w:pPr>
            <w:r w:rsidRPr="00664E64">
              <w:rPr>
                <w:lang w:val="en-AU"/>
              </w:rPr>
              <w:t>858</w:t>
            </w:r>
          </w:p>
        </w:tc>
        <w:tc>
          <w:tcPr>
            <w:tcW w:w="2697" w:type="dxa"/>
          </w:tcPr>
          <w:p w14:paraId="687AF283" w14:textId="77777777" w:rsidR="00D161F4" w:rsidRPr="00664E64" w:rsidRDefault="00D161F4" w:rsidP="00A55CD9">
            <w:pPr>
              <w:pStyle w:val="TableTextCentre"/>
              <w:rPr>
                <w:lang w:val="en-AU"/>
              </w:rPr>
            </w:pPr>
            <w:r w:rsidRPr="00664E64">
              <w:rPr>
                <w:lang w:val="en-AU"/>
              </w:rPr>
              <w:t>16.9</w:t>
            </w:r>
          </w:p>
        </w:tc>
      </w:tr>
    </w:tbl>
    <w:p w14:paraId="3A0FDCD9" w14:textId="4DDE4A20" w:rsidR="00D161F4" w:rsidRPr="00664E64" w:rsidRDefault="00D161F4" w:rsidP="00A55CD9">
      <w:pPr>
        <w:pStyle w:val="BodyText"/>
        <w:rPr>
          <w:rFonts w:eastAsia="Calibri"/>
        </w:rPr>
      </w:pPr>
      <w:r w:rsidRPr="00664E64">
        <w:rPr>
          <w:rFonts w:eastAsia="Calibri"/>
        </w:rPr>
        <w:t xml:space="preserve">A further breakdown of </w:t>
      </w:r>
      <w:r w:rsidR="00407CC7" w:rsidRPr="00664E64">
        <w:rPr>
          <w:rFonts w:eastAsia="Calibri"/>
        </w:rPr>
        <w:t xml:space="preserve">wagering involvement </w:t>
      </w:r>
      <w:r w:rsidRPr="00664E64">
        <w:rPr>
          <w:rFonts w:eastAsia="Calibri"/>
        </w:rPr>
        <w:t xml:space="preserve">revealed </w:t>
      </w:r>
      <w:r w:rsidR="00407CC7" w:rsidRPr="00664E64">
        <w:rPr>
          <w:rFonts w:eastAsia="Calibri"/>
        </w:rPr>
        <w:t>that</w:t>
      </w:r>
      <w:r w:rsidRPr="00664E64">
        <w:rPr>
          <w:rFonts w:eastAsia="Calibri"/>
        </w:rPr>
        <w:t>:</w:t>
      </w:r>
    </w:p>
    <w:p w14:paraId="03E41F3F" w14:textId="7E4E68B0" w:rsidR="00407CC7" w:rsidRPr="00664E64" w:rsidRDefault="00830E46" w:rsidP="00A55CD9">
      <w:pPr>
        <w:pStyle w:val="ListBullet"/>
        <w:rPr>
          <w:rFonts w:eastAsia="Calibri"/>
        </w:rPr>
      </w:pPr>
      <w:r w:rsidRPr="00664E64">
        <w:rPr>
          <w:rFonts w:eastAsia="Calibri"/>
        </w:rPr>
        <w:t>Participants</w:t>
      </w:r>
      <w:r w:rsidR="00407CC7" w:rsidRPr="00664E64">
        <w:rPr>
          <w:rFonts w:eastAsia="Calibri"/>
        </w:rPr>
        <w:t xml:space="preserve"> who reported wagering on multiple activities in the last 12 months did so </w:t>
      </w:r>
      <w:r w:rsidR="0004334E" w:rsidRPr="00664E64">
        <w:rPr>
          <w:rFonts w:eastAsia="Calibri"/>
        </w:rPr>
        <w:t>on</w:t>
      </w:r>
      <w:r w:rsidR="00407CC7" w:rsidRPr="00664E64">
        <w:rPr>
          <w:rFonts w:eastAsia="Calibri"/>
        </w:rPr>
        <w:t xml:space="preserve"> 2</w:t>
      </w:r>
      <w:r w:rsidR="00505E38" w:rsidRPr="00664E64">
        <w:rPr>
          <w:rFonts w:eastAsia="Calibri"/>
        </w:rPr>
        <w:t>–</w:t>
      </w:r>
      <w:r w:rsidR="00407CC7" w:rsidRPr="00664E64">
        <w:rPr>
          <w:rFonts w:eastAsia="Calibri"/>
        </w:rPr>
        <w:t xml:space="preserve">4 different activities </w:t>
      </w:r>
      <w:r w:rsidR="0004334E" w:rsidRPr="00664E64">
        <w:rPr>
          <w:rFonts w:eastAsia="Calibri"/>
        </w:rPr>
        <w:t xml:space="preserve">(on average) </w:t>
      </w:r>
      <w:r w:rsidR="00407CC7" w:rsidRPr="00664E64">
        <w:rPr>
          <w:rFonts w:eastAsia="Calibri"/>
        </w:rPr>
        <w:t xml:space="preserve">during that time, with the additional activities or wagering types most commonly sports and horse racing. </w:t>
      </w:r>
    </w:p>
    <w:p w14:paraId="0FD4E5C5" w14:textId="69FCABF9" w:rsidR="002F44CC" w:rsidRPr="00664E64" w:rsidRDefault="00D161F4" w:rsidP="00A55CD9">
      <w:pPr>
        <w:pStyle w:val="ListBullet"/>
        <w:rPr>
          <w:rFonts w:eastAsia="Calibri"/>
        </w:rPr>
      </w:pPr>
      <w:r w:rsidRPr="00664E64">
        <w:rPr>
          <w:rFonts w:eastAsia="Calibri"/>
        </w:rPr>
        <w:t xml:space="preserve">Horse racing (highest) and harness racing (lowest) stand out in relation to sole participation. </w:t>
      </w:r>
      <w:r w:rsidR="00407CC7" w:rsidRPr="00664E64">
        <w:rPr>
          <w:rFonts w:eastAsia="Calibri"/>
        </w:rPr>
        <w:t>For example, a</w:t>
      </w:r>
      <w:r w:rsidRPr="00664E64">
        <w:rPr>
          <w:rFonts w:eastAsia="Calibri"/>
        </w:rPr>
        <w:t xml:space="preserve">lmost a third (31%) of </w:t>
      </w:r>
      <w:r w:rsidR="00407CC7" w:rsidRPr="00664E64">
        <w:rPr>
          <w:rFonts w:eastAsia="Calibri"/>
        </w:rPr>
        <w:t>participants</w:t>
      </w:r>
      <w:r w:rsidRPr="00664E64">
        <w:rPr>
          <w:rFonts w:eastAsia="Calibri"/>
        </w:rPr>
        <w:t xml:space="preserve"> who wagered on horse racing did </w:t>
      </w:r>
      <w:r w:rsidR="00407CC7" w:rsidRPr="00664E64">
        <w:rPr>
          <w:rFonts w:eastAsia="Calibri"/>
        </w:rPr>
        <w:t>not spend money on</w:t>
      </w:r>
      <w:r w:rsidRPr="00664E64">
        <w:rPr>
          <w:rFonts w:eastAsia="Calibri"/>
        </w:rPr>
        <w:t xml:space="preserve"> other activities; </w:t>
      </w:r>
      <w:r w:rsidR="00407CC7" w:rsidRPr="00664E64">
        <w:rPr>
          <w:rFonts w:eastAsia="Calibri"/>
        </w:rPr>
        <w:t>but</w:t>
      </w:r>
      <w:r w:rsidR="00505E38" w:rsidRPr="00664E64">
        <w:rPr>
          <w:rFonts w:eastAsia="Calibri"/>
        </w:rPr>
        <w:t>,</w:t>
      </w:r>
      <w:r w:rsidR="00407CC7" w:rsidRPr="00664E64">
        <w:rPr>
          <w:rFonts w:eastAsia="Calibri"/>
        </w:rPr>
        <w:t xml:space="preserve"> on average, participants who wagered on horse</w:t>
      </w:r>
      <w:r w:rsidR="0004334E" w:rsidRPr="00664E64">
        <w:rPr>
          <w:rFonts w:eastAsia="Calibri"/>
        </w:rPr>
        <w:t xml:space="preserve"> racing </w:t>
      </w:r>
      <w:r w:rsidR="00407CC7" w:rsidRPr="00664E64">
        <w:rPr>
          <w:rFonts w:eastAsia="Calibri"/>
        </w:rPr>
        <w:t xml:space="preserve">reported having spent money on </w:t>
      </w:r>
      <w:r w:rsidRPr="00664E64">
        <w:rPr>
          <w:rFonts w:eastAsia="Calibri"/>
        </w:rPr>
        <w:t xml:space="preserve">2.4 </w:t>
      </w:r>
      <w:r w:rsidR="00407CC7" w:rsidRPr="00664E64">
        <w:rPr>
          <w:rFonts w:eastAsia="Calibri"/>
        </w:rPr>
        <w:t xml:space="preserve">different </w:t>
      </w:r>
      <w:r w:rsidRPr="00664E64">
        <w:rPr>
          <w:rFonts w:eastAsia="Calibri"/>
        </w:rPr>
        <w:t xml:space="preserve">activities </w:t>
      </w:r>
      <w:r w:rsidR="00407CC7" w:rsidRPr="00664E64">
        <w:rPr>
          <w:rFonts w:eastAsia="Calibri"/>
        </w:rPr>
        <w:t>in the last 12 months</w:t>
      </w:r>
      <w:r w:rsidRPr="00664E64">
        <w:rPr>
          <w:rFonts w:eastAsia="Calibri"/>
        </w:rPr>
        <w:t xml:space="preserve"> (Table 5.6)</w:t>
      </w:r>
      <w:r w:rsidR="009C666A" w:rsidRPr="00664E64">
        <w:rPr>
          <w:rFonts w:eastAsia="Calibri"/>
        </w:rPr>
        <w:t>.</w:t>
      </w:r>
    </w:p>
    <w:p w14:paraId="49247521" w14:textId="337A3343" w:rsidR="00D161F4" w:rsidRPr="0036418A" w:rsidRDefault="00D161F4" w:rsidP="00415C73">
      <w:pPr>
        <w:pStyle w:val="FigureCaption"/>
        <w:rPr>
          <w:color w:val="auto"/>
          <w:lang w:val="en-AU"/>
        </w:rPr>
      </w:pPr>
      <w:bookmarkStart w:id="39" w:name="_Toc11864569"/>
      <w:bookmarkStart w:id="40" w:name="_Toc12549566"/>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6</w:t>
      </w:r>
      <w:r w:rsidR="00777624" w:rsidRPr="0036418A">
        <w:rPr>
          <w:noProof/>
          <w:color w:val="auto"/>
          <w:lang w:val="en-AU"/>
        </w:rPr>
        <w:fldChar w:fldCharType="end"/>
      </w:r>
      <w:r w:rsidR="00505E38" w:rsidRPr="0036418A">
        <w:rPr>
          <w:color w:val="auto"/>
          <w:lang w:val="en-AU"/>
        </w:rPr>
        <w:t>:</w:t>
      </w:r>
      <w:r w:rsidRPr="0036418A">
        <w:rPr>
          <w:color w:val="auto"/>
          <w:lang w:val="en-AU"/>
        </w:rPr>
        <w:t xml:space="preserve"> Proportion of sole participation and mean number of activities, for each </w:t>
      </w:r>
      <w:r w:rsidR="00407CC7" w:rsidRPr="0036418A">
        <w:rPr>
          <w:color w:val="auto"/>
          <w:lang w:val="en-AU"/>
        </w:rPr>
        <w:t>wagering type</w:t>
      </w:r>
      <w:bookmarkEnd w:id="39"/>
      <w:bookmarkEnd w:id="40"/>
    </w:p>
    <w:tbl>
      <w:tblPr>
        <w:tblStyle w:val="TableGrid"/>
        <w:tblW w:w="9360" w:type="dxa"/>
        <w:tblLook w:val="04A0" w:firstRow="1" w:lastRow="0" w:firstColumn="1" w:lastColumn="0" w:noHBand="0" w:noVBand="1"/>
        <w:tblCaption w:val="Proportion of sole participation and mean number of activities, for each wagering type"/>
        <w:tblDescription w:val="For each activity this table shows the total number of participants, the percentage of those doing only that activity and the mean number of activities for those participants."/>
      </w:tblPr>
      <w:tblGrid>
        <w:gridCol w:w="1640"/>
        <w:gridCol w:w="2312"/>
        <w:gridCol w:w="2541"/>
        <w:gridCol w:w="2867"/>
      </w:tblGrid>
      <w:tr w:rsidR="00D161F4" w:rsidRPr="00664E64" w14:paraId="76C6C66E" w14:textId="77777777" w:rsidTr="00914774">
        <w:trPr>
          <w:cnfStyle w:val="100000000000" w:firstRow="1" w:lastRow="0" w:firstColumn="0" w:lastColumn="0" w:oddVBand="0" w:evenVBand="0" w:oddHBand="0" w:evenHBand="0" w:firstRowFirstColumn="0" w:firstRowLastColumn="0" w:lastRowFirstColumn="0" w:lastRowLastColumn="0"/>
          <w:trHeight w:val="415"/>
          <w:tblHeader/>
        </w:trPr>
        <w:tc>
          <w:tcPr>
            <w:tcW w:w="1640" w:type="dxa"/>
            <w:hideMark/>
          </w:tcPr>
          <w:p w14:paraId="16AE5D9D" w14:textId="77777777" w:rsidR="00D161F4" w:rsidRPr="00664E64" w:rsidRDefault="00D161F4" w:rsidP="00A55CD9">
            <w:pPr>
              <w:pStyle w:val="TableColHeadLeft"/>
              <w:rPr>
                <w:lang w:val="en-AU"/>
              </w:rPr>
            </w:pPr>
            <w:r w:rsidRPr="00664E64">
              <w:rPr>
                <w:lang w:val="en-AU"/>
              </w:rPr>
              <w:t>Activity</w:t>
            </w:r>
          </w:p>
        </w:tc>
        <w:tc>
          <w:tcPr>
            <w:tcW w:w="2312" w:type="dxa"/>
          </w:tcPr>
          <w:p w14:paraId="3A4A15B8" w14:textId="77777777" w:rsidR="00D161F4" w:rsidRPr="00664E64" w:rsidRDefault="00D161F4" w:rsidP="00A55CD9">
            <w:pPr>
              <w:pStyle w:val="TableColHeadCentre"/>
              <w:rPr>
                <w:lang w:val="en-AU"/>
              </w:rPr>
            </w:pPr>
            <w:r w:rsidRPr="00664E64">
              <w:rPr>
                <w:lang w:val="en-AU"/>
              </w:rPr>
              <w:t>Total participants</w:t>
            </w:r>
          </w:p>
        </w:tc>
        <w:tc>
          <w:tcPr>
            <w:tcW w:w="2541" w:type="dxa"/>
          </w:tcPr>
          <w:p w14:paraId="47300AD6" w14:textId="77777777" w:rsidR="00D161F4" w:rsidRPr="00664E64" w:rsidRDefault="00D161F4" w:rsidP="00A55CD9">
            <w:pPr>
              <w:pStyle w:val="TableColHeadCentre"/>
              <w:rPr>
                <w:lang w:val="en-AU"/>
              </w:rPr>
            </w:pPr>
            <w:r w:rsidRPr="00664E64">
              <w:rPr>
                <w:lang w:val="en-AU"/>
              </w:rPr>
              <w:t>Only one activity (%)</w:t>
            </w:r>
          </w:p>
        </w:tc>
        <w:tc>
          <w:tcPr>
            <w:tcW w:w="2867" w:type="dxa"/>
          </w:tcPr>
          <w:p w14:paraId="191C892A" w14:textId="77777777" w:rsidR="00D161F4" w:rsidRPr="00664E64" w:rsidRDefault="00D161F4" w:rsidP="00A55CD9">
            <w:pPr>
              <w:pStyle w:val="TableColHeadCentre"/>
              <w:rPr>
                <w:lang w:val="en-AU"/>
              </w:rPr>
            </w:pPr>
            <w:r w:rsidRPr="00664E64">
              <w:rPr>
                <w:lang w:val="en-AU"/>
              </w:rPr>
              <w:t>Mean number of activities</w:t>
            </w:r>
          </w:p>
        </w:tc>
      </w:tr>
      <w:tr w:rsidR="0048571F" w:rsidRPr="00664E64" w14:paraId="6135E041" w14:textId="77777777" w:rsidTr="0079372B">
        <w:trPr>
          <w:trHeight w:val="415"/>
        </w:trPr>
        <w:tc>
          <w:tcPr>
            <w:tcW w:w="1640" w:type="dxa"/>
          </w:tcPr>
          <w:p w14:paraId="553B07C2" w14:textId="4977470C" w:rsidR="0048571F" w:rsidRPr="00664E64" w:rsidRDefault="0048571F" w:rsidP="00A55CD9">
            <w:pPr>
              <w:pStyle w:val="TableText"/>
              <w:rPr>
                <w:lang w:val="en-AU"/>
              </w:rPr>
            </w:pPr>
            <w:r w:rsidRPr="00664E64">
              <w:rPr>
                <w:lang w:val="en-AU"/>
              </w:rPr>
              <w:t>Sports</w:t>
            </w:r>
          </w:p>
        </w:tc>
        <w:tc>
          <w:tcPr>
            <w:tcW w:w="2312" w:type="dxa"/>
          </w:tcPr>
          <w:p w14:paraId="54A56E79" w14:textId="7684E9DC" w:rsidR="0048571F" w:rsidRPr="00664E64" w:rsidRDefault="0048571F" w:rsidP="00A55CD9">
            <w:pPr>
              <w:pStyle w:val="TableTextCentre"/>
              <w:rPr>
                <w:lang w:val="en-AU"/>
              </w:rPr>
            </w:pPr>
            <w:r w:rsidRPr="00664E64">
              <w:rPr>
                <w:lang w:val="en-AU"/>
              </w:rPr>
              <w:t>2</w:t>
            </w:r>
            <w:r w:rsidR="00505E38" w:rsidRPr="00664E64">
              <w:rPr>
                <w:lang w:val="en-AU"/>
              </w:rPr>
              <w:t>,</w:t>
            </w:r>
            <w:r w:rsidRPr="00664E64">
              <w:rPr>
                <w:lang w:val="en-AU"/>
              </w:rPr>
              <w:t>683</w:t>
            </w:r>
          </w:p>
        </w:tc>
        <w:tc>
          <w:tcPr>
            <w:tcW w:w="2541" w:type="dxa"/>
          </w:tcPr>
          <w:p w14:paraId="698BFF5B" w14:textId="796CA403" w:rsidR="0048571F" w:rsidRPr="00664E64" w:rsidRDefault="0048571F" w:rsidP="00A55CD9">
            <w:pPr>
              <w:pStyle w:val="TableTextCentre"/>
              <w:rPr>
                <w:lang w:val="en-AU"/>
              </w:rPr>
            </w:pPr>
            <w:r w:rsidRPr="00664E64">
              <w:rPr>
                <w:lang w:val="en-AU"/>
              </w:rPr>
              <w:t>18.1</w:t>
            </w:r>
          </w:p>
        </w:tc>
        <w:tc>
          <w:tcPr>
            <w:tcW w:w="2867" w:type="dxa"/>
          </w:tcPr>
          <w:p w14:paraId="3AD03960" w14:textId="57DCF7B5" w:rsidR="0048571F" w:rsidRPr="00664E64" w:rsidRDefault="0048571F" w:rsidP="00A55CD9">
            <w:pPr>
              <w:pStyle w:val="TableTextCentre"/>
              <w:rPr>
                <w:lang w:val="en-AU"/>
              </w:rPr>
            </w:pPr>
            <w:r w:rsidRPr="00664E64">
              <w:rPr>
                <w:lang w:val="en-AU"/>
              </w:rPr>
              <w:t>2.8</w:t>
            </w:r>
          </w:p>
        </w:tc>
      </w:tr>
      <w:tr w:rsidR="0048571F" w:rsidRPr="00664E64" w14:paraId="45DF4317" w14:textId="77777777" w:rsidTr="0079372B">
        <w:trPr>
          <w:trHeight w:val="415"/>
        </w:trPr>
        <w:tc>
          <w:tcPr>
            <w:tcW w:w="1640" w:type="dxa"/>
          </w:tcPr>
          <w:p w14:paraId="42B75050" w14:textId="77777777" w:rsidR="0048571F" w:rsidRPr="00664E64" w:rsidRDefault="0048571F" w:rsidP="00A55CD9">
            <w:pPr>
              <w:pStyle w:val="TableText"/>
              <w:rPr>
                <w:lang w:val="en-AU"/>
              </w:rPr>
            </w:pPr>
            <w:r w:rsidRPr="00664E64">
              <w:rPr>
                <w:lang w:val="en-AU"/>
              </w:rPr>
              <w:t>Horse racing</w:t>
            </w:r>
          </w:p>
        </w:tc>
        <w:tc>
          <w:tcPr>
            <w:tcW w:w="2312" w:type="dxa"/>
          </w:tcPr>
          <w:p w14:paraId="0D90EBB3" w14:textId="640C855F" w:rsidR="0048571F" w:rsidRPr="00664E64" w:rsidRDefault="0048571F" w:rsidP="00A55CD9">
            <w:pPr>
              <w:pStyle w:val="TableTextCentre"/>
              <w:rPr>
                <w:lang w:val="en-AU"/>
              </w:rPr>
            </w:pPr>
            <w:r w:rsidRPr="00664E64">
              <w:rPr>
                <w:lang w:val="en-AU"/>
              </w:rPr>
              <w:t>3</w:t>
            </w:r>
            <w:r w:rsidR="00505E38" w:rsidRPr="00664E64">
              <w:rPr>
                <w:lang w:val="en-AU"/>
              </w:rPr>
              <w:t>,</w:t>
            </w:r>
            <w:r w:rsidRPr="00664E64">
              <w:rPr>
                <w:lang w:val="en-AU"/>
              </w:rPr>
              <w:t>806</w:t>
            </w:r>
          </w:p>
        </w:tc>
        <w:tc>
          <w:tcPr>
            <w:tcW w:w="2541" w:type="dxa"/>
          </w:tcPr>
          <w:p w14:paraId="0BAEF551" w14:textId="77777777" w:rsidR="0048571F" w:rsidRPr="00664E64" w:rsidRDefault="0048571F" w:rsidP="00A55CD9">
            <w:pPr>
              <w:pStyle w:val="TableTextCentre"/>
              <w:rPr>
                <w:lang w:val="en-AU"/>
              </w:rPr>
            </w:pPr>
            <w:r w:rsidRPr="00664E64">
              <w:rPr>
                <w:lang w:val="en-AU"/>
              </w:rPr>
              <w:t>30.7</w:t>
            </w:r>
          </w:p>
        </w:tc>
        <w:tc>
          <w:tcPr>
            <w:tcW w:w="2867" w:type="dxa"/>
          </w:tcPr>
          <w:p w14:paraId="5205DC3F" w14:textId="77777777" w:rsidR="0048571F" w:rsidRPr="00664E64" w:rsidRDefault="0048571F" w:rsidP="00A55CD9">
            <w:pPr>
              <w:pStyle w:val="TableTextCentre"/>
              <w:rPr>
                <w:lang w:val="en-AU"/>
              </w:rPr>
            </w:pPr>
            <w:r w:rsidRPr="00664E64">
              <w:rPr>
                <w:lang w:val="en-AU"/>
              </w:rPr>
              <w:t>2.4</w:t>
            </w:r>
          </w:p>
        </w:tc>
      </w:tr>
      <w:tr w:rsidR="0048571F" w:rsidRPr="00664E64" w14:paraId="36359446" w14:textId="77777777" w:rsidTr="0079372B">
        <w:trPr>
          <w:trHeight w:val="415"/>
        </w:trPr>
        <w:tc>
          <w:tcPr>
            <w:tcW w:w="1640" w:type="dxa"/>
          </w:tcPr>
          <w:p w14:paraId="0F2FEAC8" w14:textId="40871883" w:rsidR="0048571F" w:rsidRPr="00664E64" w:rsidRDefault="0048571F" w:rsidP="00A55CD9">
            <w:pPr>
              <w:pStyle w:val="TableText"/>
              <w:rPr>
                <w:lang w:val="en-AU"/>
              </w:rPr>
            </w:pPr>
            <w:r w:rsidRPr="00664E64">
              <w:rPr>
                <w:lang w:val="en-AU"/>
              </w:rPr>
              <w:t>Harness racing</w:t>
            </w:r>
          </w:p>
        </w:tc>
        <w:tc>
          <w:tcPr>
            <w:tcW w:w="2312" w:type="dxa"/>
          </w:tcPr>
          <w:p w14:paraId="3C4EA8F6" w14:textId="4F656F71" w:rsidR="0048571F" w:rsidRPr="00664E64" w:rsidRDefault="0048571F" w:rsidP="00A55CD9">
            <w:pPr>
              <w:pStyle w:val="TableTextCentre"/>
              <w:rPr>
                <w:lang w:val="en-AU"/>
              </w:rPr>
            </w:pPr>
            <w:r w:rsidRPr="00664E64">
              <w:rPr>
                <w:lang w:val="en-AU"/>
              </w:rPr>
              <w:t>1</w:t>
            </w:r>
            <w:r w:rsidR="00505E38" w:rsidRPr="00664E64">
              <w:rPr>
                <w:lang w:val="en-AU"/>
              </w:rPr>
              <w:t>,</w:t>
            </w:r>
            <w:r w:rsidRPr="00664E64">
              <w:rPr>
                <w:lang w:val="en-AU"/>
              </w:rPr>
              <w:t>134</w:t>
            </w:r>
          </w:p>
        </w:tc>
        <w:tc>
          <w:tcPr>
            <w:tcW w:w="2541" w:type="dxa"/>
          </w:tcPr>
          <w:p w14:paraId="30B4C8F3" w14:textId="68963732" w:rsidR="0048571F" w:rsidRPr="00664E64" w:rsidRDefault="0048571F" w:rsidP="00A55CD9">
            <w:pPr>
              <w:pStyle w:val="TableTextCentre"/>
              <w:rPr>
                <w:lang w:val="en-AU"/>
              </w:rPr>
            </w:pPr>
            <w:r w:rsidRPr="00664E64">
              <w:rPr>
                <w:lang w:val="en-AU"/>
              </w:rPr>
              <w:t>0.4</w:t>
            </w:r>
          </w:p>
        </w:tc>
        <w:tc>
          <w:tcPr>
            <w:tcW w:w="2867" w:type="dxa"/>
          </w:tcPr>
          <w:p w14:paraId="228DD51E" w14:textId="65D05EB1" w:rsidR="0048571F" w:rsidRPr="00664E64" w:rsidRDefault="0048571F" w:rsidP="00A55CD9">
            <w:pPr>
              <w:pStyle w:val="TableTextCentre"/>
              <w:rPr>
                <w:lang w:val="en-AU"/>
              </w:rPr>
            </w:pPr>
            <w:r w:rsidRPr="00664E64">
              <w:rPr>
                <w:lang w:val="en-AU"/>
              </w:rPr>
              <w:t>3.8</w:t>
            </w:r>
          </w:p>
        </w:tc>
      </w:tr>
      <w:tr w:rsidR="0048571F" w:rsidRPr="00664E64" w14:paraId="1EABA937" w14:textId="77777777" w:rsidTr="0079372B">
        <w:trPr>
          <w:trHeight w:val="415"/>
        </w:trPr>
        <w:tc>
          <w:tcPr>
            <w:tcW w:w="1640" w:type="dxa"/>
          </w:tcPr>
          <w:p w14:paraId="561859E5" w14:textId="77777777" w:rsidR="0048571F" w:rsidRPr="00664E64" w:rsidRDefault="0048571F" w:rsidP="00A55CD9">
            <w:pPr>
              <w:pStyle w:val="TableText"/>
              <w:rPr>
                <w:lang w:val="en-AU"/>
              </w:rPr>
            </w:pPr>
            <w:r w:rsidRPr="00664E64">
              <w:rPr>
                <w:lang w:val="en-AU"/>
              </w:rPr>
              <w:t>Greyhound racing</w:t>
            </w:r>
          </w:p>
        </w:tc>
        <w:tc>
          <w:tcPr>
            <w:tcW w:w="2312" w:type="dxa"/>
          </w:tcPr>
          <w:p w14:paraId="7F3D84F9" w14:textId="01712B67" w:rsidR="0048571F" w:rsidRPr="00664E64" w:rsidRDefault="0048571F" w:rsidP="00A55CD9">
            <w:pPr>
              <w:pStyle w:val="TableTextCentre"/>
              <w:rPr>
                <w:lang w:val="en-AU"/>
              </w:rPr>
            </w:pPr>
            <w:r w:rsidRPr="00664E64">
              <w:rPr>
                <w:lang w:val="en-AU"/>
              </w:rPr>
              <w:t>1</w:t>
            </w:r>
            <w:r w:rsidR="00505E38" w:rsidRPr="00664E64">
              <w:rPr>
                <w:lang w:val="en-AU"/>
              </w:rPr>
              <w:t>,</w:t>
            </w:r>
            <w:r w:rsidRPr="00664E64">
              <w:rPr>
                <w:lang w:val="en-AU"/>
              </w:rPr>
              <w:t>610</w:t>
            </w:r>
          </w:p>
        </w:tc>
        <w:tc>
          <w:tcPr>
            <w:tcW w:w="2541" w:type="dxa"/>
          </w:tcPr>
          <w:p w14:paraId="76233C0A" w14:textId="77777777" w:rsidR="0048571F" w:rsidRPr="00664E64" w:rsidRDefault="0048571F" w:rsidP="00A55CD9">
            <w:pPr>
              <w:pStyle w:val="TableTextCentre"/>
              <w:rPr>
                <w:lang w:val="en-AU"/>
              </w:rPr>
            </w:pPr>
            <w:r w:rsidRPr="00664E64">
              <w:rPr>
                <w:lang w:val="en-AU"/>
              </w:rPr>
              <w:t>1.2</w:t>
            </w:r>
          </w:p>
        </w:tc>
        <w:tc>
          <w:tcPr>
            <w:tcW w:w="2867" w:type="dxa"/>
          </w:tcPr>
          <w:p w14:paraId="40C347F0" w14:textId="77777777" w:rsidR="0048571F" w:rsidRPr="00664E64" w:rsidRDefault="0048571F" w:rsidP="00A55CD9">
            <w:pPr>
              <w:pStyle w:val="TableTextCentre"/>
              <w:rPr>
                <w:lang w:val="en-AU"/>
              </w:rPr>
            </w:pPr>
            <w:r w:rsidRPr="00664E64">
              <w:rPr>
                <w:lang w:val="en-AU"/>
              </w:rPr>
              <w:t>3.5</w:t>
            </w:r>
          </w:p>
        </w:tc>
      </w:tr>
      <w:tr w:rsidR="0048571F" w:rsidRPr="00664E64" w14:paraId="62E08B04" w14:textId="77777777" w:rsidTr="0079372B">
        <w:trPr>
          <w:trHeight w:val="415"/>
        </w:trPr>
        <w:tc>
          <w:tcPr>
            <w:tcW w:w="1640" w:type="dxa"/>
          </w:tcPr>
          <w:p w14:paraId="3A877374" w14:textId="07BBAE2F" w:rsidR="0048571F" w:rsidRPr="00664E64" w:rsidRDefault="0048571F" w:rsidP="00A55CD9">
            <w:pPr>
              <w:pStyle w:val="TableText"/>
              <w:rPr>
                <w:lang w:val="en-AU"/>
              </w:rPr>
            </w:pPr>
            <w:r w:rsidRPr="00664E64">
              <w:rPr>
                <w:lang w:val="en-AU"/>
              </w:rPr>
              <w:t>Fantasy sports</w:t>
            </w:r>
          </w:p>
        </w:tc>
        <w:tc>
          <w:tcPr>
            <w:tcW w:w="2312" w:type="dxa"/>
          </w:tcPr>
          <w:p w14:paraId="79650620" w14:textId="2050B88B" w:rsidR="0048571F" w:rsidRPr="00664E64" w:rsidRDefault="0048571F" w:rsidP="00A55CD9">
            <w:pPr>
              <w:pStyle w:val="TableTextCentre"/>
              <w:rPr>
                <w:lang w:val="en-AU"/>
              </w:rPr>
            </w:pPr>
            <w:r w:rsidRPr="00664E64">
              <w:rPr>
                <w:lang w:val="en-AU"/>
              </w:rPr>
              <w:t>189</w:t>
            </w:r>
          </w:p>
        </w:tc>
        <w:tc>
          <w:tcPr>
            <w:tcW w:w="2541" w:type="dxa"/>
          </w:tcPr>
          <w:p w14:paraId="33A8E36D" w14:textId="53C481FD" w:rsidR="0048571F" w:rsidRPr="00664E64" w:rsidRDefault="0048571F" w:rsidP="00A55CD9">
            <w:pPr>
              <w:pStyle w:val="TableTextCentre"/>
              <w:rPr>
                <w:lang w:val="en-AU"/>
              </w:rPr>
            </w:pPr>
            <w:r w:rsidRPr="00664E64">
              <w:rPr>
                <w:lang w:val="en-AU"/>
              </w:rPr>
              <w:t>6.9</w:t>
            </w:r>
          </w:p>
        </w:tc>
        <w:tc>
          <w:tcPr>
            <w:tcW w:w="2867" w:type="dxa"/>
          </w:tcPr>
          <w:p w14:paraId="7129925A" w14:textId="34BBAA6A" w:rsidR="0048571F" w:rsidRPr="00664E64" w:rsidRDefault="0048571F" w:rsidP="00A55CD9">
            <w:pPr>
              <w:pStyle w:val="TableTextCentre"/>
              <w:rPr>
                <w:lang w:val="en-AU"/>
              </w:rPr>
            </w:pPr>
            <w:r w:rsidRPr="00664E64">
              <w:rPr>
                <w:lang w:val="en-AU"/>
              </w:rPr>
              <w:t>4.2</w:t>
            </w:r>
          </w:p>
        </w:tc>
      </w:tr>
      <w:tr w:rsidR="0048571F" w:rsidRPr="00664E64" w14:paraId="10C295DA" w14:textId="77777777" w:rsidTr="0079372B">
        <w:trPr>
          <w:trHeight w:val="415"/>
        </w:trPr>
        <w:tc>
          <w:tcPr>
            <w:tcW w:w="1640" w:type="dxa"/>
          </w:tcPr>
          <w:p w14:paraId="77247DAF" w14:textId="351C68E1" w:rsidR="0048571F" w:rsidRPr="00664E64" w:rsidRDefault="0048571F" w:rsidP="00A55CD9">
            <w:pPr>
              <w:pStyle w:val="TableText"/>
              <w:rPr>
                <w:lang w:val="en-AU"/>
              </w:rPr>
            </w:pPr>
            <w:r w:rsidRPr="00664E64">
              <w:rPr>
                <w:lang w:val="en-AU"/>
              </w:rPr>
              <w:t>eSports</w:t>
            </w:r>
          </w:p>
        </w:tc>
        <w:tc>
          <w:tcPr>
            <w:tcW w:w="2312" w:type="dxa"/>
          </w:tcPr>
          <w:p w14:paraId="4DF68EFF" w14:textId="23B7351E" w:rsidR="0048571F" w:rsidRPr="00664E64" w:rsidRDefault="0048571F" w:rsidP="00A55CD9">
            <w:pPr>
              <w:pStyle w:val="TableTextCentre"/>
              <w:rPr>
                <w:lang w:val="en-AU"/>
              </w:rPr>
            </w:pPr>
            <w:r w:rsidRPr="00664E64">
              <w:rPr>
                <w:lang w:val="en-AU"/>
              </w:rPr>
              <w:t>130</w:t>
            </w:r>
          </w:p>
        </w:tc>
        <w:tc>
          <w:tcPr>
            <w:tcW w:w="2541" w:type="dxa"/>
          </w:tcPr>
          <w:p w14:paraId="06D8A030" w14:textId="467D7360" w:rsidR="0048571F" w:rsidRPr="00664E64" w:rsidRDefault="0048571F" w:rsidP="00A55CD9">
            <w:pPr>
              <w:pStyle w:val="TableTextCentre"/>
              <w:rPr>
                <w:lang w:val="en-AU"/>
              </w:rPr>
            </w:pPr>
            <w:r w:rsidRPr="00664E64">
              <w:rPr>
                <w:lang w:val="en-AU"/>
              </w:rPr>
              <w:t>7.7</w:t>
            </w:r>
          </w:p>
        </w:tc>
        <w:tc>
          <w:tcPr>
            <w:tcW w:w="2867" w:type="dxa"/>
          </w:tcPr>
          <w:p w14:paraId="3F85F2DB" w14:textId="55BFFB8C" w:rsidR="0048571F" w:rsidRPr="00664E64" w:rsidRDefault="0048571F" w:rsidP="00A55CD9">
            <w:pPr>
              <w:pStyle w:val="TableTextCentre"/>
              <w:rPr>
                <w:lang w:val="en-AU"/>
              </w:rPr>
            </w:pPr>
            <w:r w:rsidRPr="00664E64">
              <w:rPr>
                <w:lang w:val="en-AU"/>
              </w:rPr>
              <w:t>4.3</w:t>
            </w:r>
          </w:p>
        </w:tc>
      </w:tr>
      <w:tr w:rsidR="0048571F" w:rsidRPr="00664E64" w14:paraId="7BD7CE86" w14:textId="77777777" w:rsidTr="0079372B">
        <w:trPr>
          <w:trHeight w:val="415"/>
        </w:trPr>
        <w:tc>
          <w:tcPr>
            <w:tcW w:w="1640" w:type="dxa"/>
          </w:tcPr>
          <w:p w14:paraId="5B421043" w14:textId="77777777" w:rsidR="0048571F" w:rsidRPr="00664E64" w:rsidRDefault="0048571F" w:rsidP="00A55CD9">
            <w:pPr>
              <w:pStyle w:val="TableText"/>
              <w:rPr>
                <w:lang w:val="en-AU"/>
              </w:rPr>
            </w:pPr>
            <w:r w:rsidRPr="00664E64">
              <w:rPr>
                <w:lang w:val="en-AU"/>
              </w:rPr>
              <w:t>TV events/shows</w:t>
            </w:r>
          </w:p>
        </w:tc>
        <w:tc>
          <w:tcPr>
            <w:tcW w:w="2312" w:type="dxa"/>
          </w:tcPr>
          <w:p w14:paraId="1076C531" w14:textId="77777777" w:rsidR="0048571F" w:rsidRPr="00664E64" w:rsidRDefault="0048571F" w:rsidP="00A55CD9">
            <w:pPr>
              <w:pStyle w:val="TableTextCentre"/>
              <w:rPr>
                <w:lang w:val="en-AU"/>
              </w:rPr>
            </w:pPr>
            <w:r w:rsidRPr="00664E64">
              <w:rPr>
                <w:lang w:val="en-AU"/>
              </w:rPr>
              <w:t>199</w:t>
            </w:r>
          </w:p>
        </w:tc>
        <w:tc>
          <w:tcPr>
            <w:tcW w:w="2541" w:type="dxa"/>
          </w:tcPr>
          <w:p w14:paraId="37779D07" w14:textId="77777777" w:rsidR="0048571F" w:rsidRPr="00664E64" w:rsidRDefault="0048571F" w:rsidP="00A55CD9">
            <w:pPr>
              <w:pStyle w:val="TableTextCentre"/>
              <w:rPr>
                <w:lang w:val="en-AU"/>
              </w:rPr>
            </w:pPr>
            <w:r w:rsidRPr="00664E64">
              <w:rPr>
                <w:lang w:val="en-AU"/>
              </w:rPr>
              <w:t>8.5</w:t>
            </w:r>
          </w:p>
        </w:tc>
        <w:tc>
          <w:tcPr>
            <w:tcW w:w="2867" w:type="dxa"/>
          </w:tcPr>
          <w:p w14:paraId="02CFE02D" w14:textId="77777777" w:rsidR="0048571F" w:rsidRPr="00664E64" w:rsidRDefault="0048571F" w:rsidP="00A55CD9">
            <w:pPr>
              <w:pStyle w:val="TableTextCentre"/>
              <w:rPr>
                <w:lang w:val="en-AU"/>
              </w:rPr>
            </w:pPr>
            <w:r w:rsidRPr="00664E64">
              <w:rPr>
                <w:lang w:val="en-AU"/>
              </w:rPr>
              <w:t>4.0</w:t>
            </w:r>
          </w:p>
        </w:tc>
      </w:tr>
      <w:tr w:rsidR="0048571F" w:rsidRPr="00664E64" w14:paraId="018CD0D8" w14:textId="77777777" w:rsidTr="0079372B">
        <w:trPr>
          <w:trHeight w:val="415"/>
        </w:trPr>
        <w:tc>
          <w:tcPr>
            <w:tcW w:w="1640" w:type="dxa"/>
          </w:tcPr>
          <w:p w14:paraId="16F30CB5" w14:textId="77777777" w:rsidR="0048571F" w:rsidRPr="00664E64" w:rsidRDefault="0048571F" w:rsidP="00A55CD9">
            <w:pPr>
              <w:pStyle w:val="TableText"/>
              <w:rPr>
                <w:lang w:val="en-AU"/>
              </w:rPr>
            </w:pPr>
            <w:r w:rsidRPr="00664E64">
              <w:rPr>
                <w:lang w:val="en-AU"/>
              </w:rPr>
              <w:t>Current affairs</w:t>
            </w:r>
          </w:p>
        </w:tc>
        <w:tc>
          <w:tcPr>
            <w:tcW w:w="2312" w:type="dxa"/>
          </w:tcPr>
          <w:p w14:paraId="053B4749" w14:textId="77777777" w:rsidR="0048571F" w:rsidRPr="00664E64" w:rsidRDefault="0048571F" w:rsidP="00A55CD9">
            <w:pPr>
              <w:pStyle w:val="TableTextCentre"/>
              <w:rPr>
                <w:lang w:val="en-AU"/>
              </w:rPr>
            </w:pPr>
            <w:r w:rsidRPr="00664E64">
              <w:rPr>
                <w:lang w:val="en-AU"/>
              </w:rPr>
              <w:t>135</w:t>
            </w:r>
          </w:p>
        </w:tc>
        <w:tc>
          <w:tcPr>
            <w:tcW w:w="2541" w:type="dxa"/>
          </w:tcPr>
          <w:p w14:paraId="4E2A7297" w14:textId="77777777" w:rsidR="0048571F" w:rsidRPr="00664E64" w:rsidRDefault="0048571F" w:rsidP="00A55CD9">
            <w:pPr>
              <w:pStyle w:val="TableTextCentre"/>
              <w:rPr>
                <w:lang w:val="en-AU"/>
              </w:rPr>
            </w:pPr>
            <w:r w:rsidRPr="00664E64">
              <w:rPr>
                <w:lang w:val="en-AU"/>
              </w:rPr>
              <w:t>8.2</w:t>
            </w:r>
          </w:p>
        </w:tc>
        <w:tc>
          <w:tcPr>
            <w:tcW w:w="2867" w:type="dxa"/>
          </w:tcPr>
          <w:p w14:paraId="4D7AF81A" w14:textId="77777777" w:rsidR="0048571F" w:rsidRPr="00664E64" w:rsidRDefault="0048571F" w:rsidP="00A55CD9">
            <w:pPr>
              <w:pStyle w:val="TableTextCentre"/>
              <w:rPr>
                <w:lang w:val="en-AU"/>
              </w:rPr>
            </w:pPr>
            <w:r w:rsidRPr="00664E64">
              <w:rPr>
                <w:lang w:val="en-AU"/>
              </w:rPr>
              <w:t>4.3</w:t>
            </w:r>
          </w:p>
        </w:tc>
      </w:tr>
      <w:tr w:rsidR="0048571F" w:rsidRPr="00664E64" w14:paraId="456FC056" w14:textId="77777777" w:rsidTr="0079372B">
        <w:trPr>
          <w:trHeight w:val="415"/>
        </w:trPr>
        <w:tc>
          <w:tcPr>
            <w:tcW w:w="1640" w:type="dxa"/>
          </w:tcPr>
          <w:p w14:paraId="27B5E82E" w14:textId="77777777" w:rsidR="0048571F" w:rsidRPr="00664E64" w:rsidRDefault="0048571F" w:rsidP="00A55CD9">
            <w:pPr>
              <w:pStyle w:val="TableText"/>
              <w:rPr>
                <w:b/>
                <w:lang w:val="en-AU"/>
              </w:rPr>
            </w:pPr>
            <w:r w:rsidRPr="00664E64">
              <w:rPr>
                <w:b/>
                <w:lang w:val="en-AU"/>
              </w:rPr>
              <w:t>Any betting</w:t>
            </w:r>
          </w:p>
        </w:tc>
        <w:tc>
          <w:tcPr>
            <w:tcW w:w="2312" w:type="dxa"/>
          </w:tcPr>
          <w:p w14:paraId="0898F937" w14:textId="6D9AD0BA" w:rsidR="0048571F" w:rsidRPr="00664E64" w:rsidRDefault="0048571F" w:rsidP="00A55CD9">
            <w:pPr>
              <w:pStyle w:val="TableTextCentre"/>
              <w:rPr>
                <w:lang w:val="en-AU"/>
              </w:rPr>
            </w:pPr>
            <w:r w:rsidRPr="00664E64">
              <w:rPr>
                <w:lang w:val="en-AU"/>
              </w:rPr>
              <w:t>5</w:t>
            </w:r>
            <w:r w:rsidR="00505E38" w:rsidRPr="00664E64">
              <w:rPr>
                <w:lang w:val="en-AU"/>
              </w:rPr>
              <w:t>,</w:t>
            </w:r>
            <w:r w:rsidRPr="00664E64">
              <w:rPr>
                <w:lang w:val="en-AU"/>
              </w:rPr>
              <w:t>076</w:t>
            </w:r>
          </w:p>
        </w:tc>
        <w:tc>
          <w:tcPr>
            <w:tcW w:w="2541" w:type="dxa"/>
          </w:tcPr>
          <w:p w14:paraId="6F9D77E9" w14:textId="77777777" w:rsidR="0048571F" w:rsidRPr="00664E64" w:rsidRDefault="0048571F" w:rsidP="00A55CD9">
            <w:pPr>
              <w:pStyle w:val="TableTextCentre"/>
              <w:rPr>
                <w:lang w:val="en-AU"/>
              </w:rPr>
            </w:pPr>
            <w:r w:rsidRPr="00664E64">
              <w:rPr>
                <w:lang w:val="en-AU"/>
              </w:rPr>
              <w:t>45.1</w:t>
            </w:r>
          </w:p>
        </w:tc>
        <w:tc>
          <w:tcPr>
            <w:tcW w:w="2867" w:type="dxa"/>
          </w:tcPr>
          <w:p w14:paraId="070E2A0C" w14:textId="77777777" w:rsidR="0048571F" w:rsidRPr="00664E64" w:rsidRDefault="0048571F" w:rsidP="00A55CD9">
            <w:pPr>
              <w:pStyle w:val="TableTextCentre"/>
              <w:rPr>
                <w:lang w:val="en-AU"/>
              </w:rPr>
            </w:pPr>
            <w:r w:rsidRPr="00664E64">
              <w:rPr>
                <w:lang w:val="en-AU"/>
              </w:rPr>
              <w:t>2.1</w:t>
            </w:r>
          </w:p>
        </w:tc>
      </w:tr>
    </w:tbl>
    <w:p w14:paraId="3384BEB8" w14:textId="68D524CF" w:rsidR="00135FC2" w:rsidRPr="00664E64" w:rsidRDefault="00135FC2" w:rsidP="00A55CD9">
      <w:pPr>
        <w:pStyle w:val="ListBullet"/>
        <w:rPr>
          <w:rFonts w:eastAsia="Calibri"/>
        </w:rPr>
      </w:pPr>
      <w:r w:rsidRPr="00664E64">
        <w:rPr>
          <w:rFonts w:eastAsia="Calibri"/>
        </w:rPr>
        <w:t>Among participants who reported having bet on sports during the last 12 months, three quarters reported having also bet on horse racing (77%), two-fifths on greyhound racing (44%) and just under a third on harness racing (31%) (Table 5.7).</w:t>
      </w:r>
    </w:p>
    <w:p w14:paraId="0BD87616" w14:textId="5B400E61" w:rsidR="00505E38" w:rsidRPr="00664E64" w:rsidRDefault="00135FC2" w:rsidP="00505E38">
      <w:pPr>
        <w:pStyle w:val="ListBullet"/>
        <w:rPr>
          <w:rFonts w:eastAsia="Calibri"/>
        </w:rPr>
      </w:pPr>
      <w:r w:rsidRPr="00664E64">
        <w:rPr>
          <w:rFonts w:eastAsia="Calibri"/>
        </w:rPr>
        <w:t>The majority of participants (around 80%) who reported having wagered on some of the lower prevalence activities during the last 12 months (e.g. fantasy sports and eSports) also reported having placed bets on sports and horse racing during that time.</w:t>
      </w:r>
    </w:p>
    <w:p w14:paraId="7EE86908" w14:textId="77777777" w:rsidR="00505E38" w:rsidRPr="00664E64" w:rsidRDefault="00505E38">
      <w:pPr>
        <w:rPr>
          <w:rFonts w:eastAsia="Calibri"/>
          <w:lang w:bidi="en-US"/>
        </w:rPr>
      </w:pPr>
      <w:r w:rsidRPr="00664E64">
        <w:rPr>
          <w:rFonts w:eastAsia="Calibri"/>
        </w:rPr>
        <w:br w:type="page"/>
      </w:r>
    </w:p>
    <w:p w14:paraId="7660D8D9" w14:textId="0AC359BB" w:rsidR="0095146B" w:rsidRPr="00000025" w:rsidRDefault="00F10B4B" w:rsidP="00415C73">
      <w:pPr>
        <w:pStyle w:val="FigureCaption"/>
        <w:rPr>
          <w:color w:val="auto"/>
          <w:lang w:val="en-AU"/>
        </w:rPr>
      </w:pPr>
      <w:bookmarkStart w:id="41" w:name="_Toc11864570"/>
      <w:bookmarkStart w:id="42" w:name="_Toc12549567"/>
      <w:r w:rsidRPr="00000025">
        <w:rPr>
          <w:color w:val="auto"/>
          <w:lang w:val="en-AU"/>
        </w:rPr>
        <w:lastRenderedPageBreak/>
        <w:t>Table 5.7: Other gambling activity participation rate by activity</w:t>
      </w:r>
    </w:p>
    <w:p w14:paraId="48C92423" w14:textId="676324F6" w:rsidR="00F10B4B" w:rsidRDefault="00F10B4B" w:rsidP="00F10B4B"/>
    <w:tbl>
      <w:tblPr>
        <w:tblStyle w:val="TableGrid"/>
        <w:tblW w:w="9560" w:type="dxa"/>
        <w:tblLayout w:type="fixed"/>
        <w:tblLook w:val="04A0" w:firstRow="1" w:lastRow="0" w:firstColumn="1" w:lastColumn="0" w:noHBand="0" w:noVBand="1"/>
        <w:tblCaption w:val="Other gambling activity participation rate by activity"/>
        <w:tblDescription w:val="This table shows for each main activity the participation rates in secondary gambling activities.  For example, for sports bettors, 77.2% also bet on horse racing."/>
      </w:tblPr>
      <w:tblGrid>
        <w:gridCol w:w="1618"/>
        <w:gridCol w:w="992"/>
        <w:gridCol w:w="993"/>
        <w:gridCol w:w="993"/>
        <w:gridCol w:w="993"/>
        <w:gridCol w:w="992"/>
        <w:gridCol w:w="993"/>
        <w:gridCol w:w="993"/>
        <w:gridCol w:w="993"/>
      </w:tblGrid>
      <w:tr w:rsidR="00701E45" w:rsidRPr="00664E64" w14:paraId="4ECB0999" w14:textId="77777777" w:rsidTr="00E44E8E">
        <w:trPr>
          <w:cnfStyle w:val="100000000000" w:firstRow="1" w:lastRow="0" w:firstColumn="0" w:lastColumn="0" w:oddVBand="0" w:evenVBand="0" w:oddHBand="0" w:evenHBand="0" w:firstRowFirstColumn="0" w:firstRowLastColumn="0" w:lastRowFirstColumn="0" w:lastRowLastColumn="0"/>
          <w:trHeight w:val="696"/>
          <w:tblHeader/>
        </w:trPr>
        <w:tc>
          <w:tcPr>
            <w:tcW w:w="1618" w:type="dxa"/>
            <w:hideMark/>
          </w:tcPr>
          <w:p w14:paraId="3D1AADFF" w14:textId="76613953" w:rsidR="00701E45" w:rsidRPr="00664E64" w:rsidRDefault="00701E45" w:rsidP="00E44E8E">
            <w:pPr>
              <w:pStyle w:val="TableColHeadLeft"/>
              <w:rPr>
                <w:lang w:val="en-AU"/>
              </w:rPr>
            </w:pPr>
            <w:r>
              <w:rPr>
                <w:lang w:val="en-AU"/>
              </w:rPr>
              <w:t>A</w:t>
            </w:r>
            <w:r w:rsidRPr="00E86854">
              <w:rPr>
                <w:lang w:val="en-AU"/>
              </w:rPr>
              <w:t>ctivity</w:t>
            </w:r>
            <w:r>
              <w:rPr>
                <w:lang w:val="en-AU"/>
              </w:rPr>
              <w:t xml:space="preserve"> (</w:t>
            </w:r>
            <w:r w:rsidRPr="00E44E8E">
              <w:rPr>
                <w:lang w:val="en-AU"/>
              </w:rPr>
              <w:t>N</w:t>
            </w:r>
            <w:r>
              <w:rPr>
                <w:lang w:val="en-AU"/>
              </w:rPr>
              <w:t>)</w:t>
            </w:r>
          </w:p>
        </w:tc>
        <w:tc>
          <w:tcPr>
            <w:tcW w:w="7942" w:type="dxa"/>
            <w:gridSpan w:val="8"/>
            <w:hideMark/>
          </w:tcPr>
          <w:p w14:paraId="4391E355" w14:textId="38742F9C" w:rsidR="00701E45" w:rsidRPr="00664E64" w:rsidRDefault="00701E45" w:rsidP="00E44E8E">
            <w:pPr>
              <w:pStyle w:val="TableColHeadLeft"/>
              <w:jc w:val="center"/>
              <w:rPr>
                <w:lang w:val="en-AU"/>
              </w:rPr>
            </w:pPr>
            <w:r w:rsidRPr="00664E64">
              <w:rPr>
                <w:lang w:val="en-AU"/>
              </w:rPr>
              <w:t>Participation rate in other activities (%)</w:t>
            </w:r>
          </w:p>
        </w:tc>
      </w:tr>
      <w:tr w:rsidR="00B82C10" w:rsidRPr="00664E64" w14:paraId="2D2973F8" w14:textId="77777777" w:rsidTr="00B82C10">
        <w:trPr>
          <w:trHeight w:val="655"/>
        </w:trPr>
        <w:tc>
          <w:tcPr>
            <w:tcW w:w="2610" w:type="dxa"/>
            <w:gridSpan w:val="2"/>
            <w:hideMark/>
          </w:tcPr>
          <w:p w14:paraId="3F8A6A5B" w14:textId="64F2A4A6" w:rsidR="00B82C10" w:rsidRPr="0036418A" w:rsidRDefault="00B82C10" w:rsidP="00914CEA">
            <w:pPr>
              <w:pStyle w:val="TableHeading"/>
              <w:jc w:val="right"/>
              <w:rPr>
                <w:color w:val="auto"/>
                <w:lang w:val="en-AU"/>
              </w:rPr>
            </w:pPr>
            <w:r w:rsidRPr="0036418A">
              <w:rPr>
                <w:color w:val="auto"/>
                <w:lang w:val="en-AU"/>
              </w:rPr>
              <w:t>Sports</w:t>
            </w:r>
          </w:p>
        </w:tc>
        <w:tc>
          <w:tcPr>
            <w:tcW w:w="993" w:type="dxa"/>
          </w:tcPr>
          <w:p w14:paraId="3C1F050B" w14:textId="77777777" w:rsidR="00B82C10" w:rsidRPr="0036418A" w:rsidRDefault="00B82C10" w:rsidP="007D624D">
            <w:pPr>
              <w:pStyle w:val="TableHeading"/>
              <w:rPr>
                <w:b/>
                <w:bCs/>
                <w:color w:val="auto"/>
                <w:lang w:val="en-AU"/>
              </w:rPr>
            </w:pPr>
            <w:r w:rsidRPr="0036418A">
              <w:rPr>
                <w:color w:val="auto"/>
                <w:lang w:val="en-AU"/>
              </w:rPr>
              <w:t>Horse racing</w:t>
            </w:r>
          </w:p>
        </w:tc>
        <w:tc>
          <w:tcPr>
            <w:tcW w:w="993" w:type="dxa"/>
          </w:tcPr>
          <w:p w14:paraId="0D1144A0" w14:textId="77777777" w:rsidR="00B82C10" w:rsidRPr="0036418A" w:rsidRDefault="00B82C10" w:rsidP="007D624D">
            <w:pPr>
              <w:pStyle w:val="TableHeading"/>
              <w:rPr>
                <w:b/>
                <w:bCs/>
                <w:color w:val="auto"/>
                <w:highlight w:val="yellow"/>
                <w:lang w:val="en-AU"/>
              </w:rPr>
            </w:pPr>
            <w:r w:rsidRPr="0036418A">
              <w:rPr>
                <w:color w:val="auto"/>
                <w:lang w:val="en-AU"/>
              </w:rPr>
              <w:t>Harness racing</w:t>
            </w:r>
          </w:p>
        </w:tc>
        <w:tc>
          <w:tcPr>
            <w:tcW w:w="993" w:type="dxa"/>
          </w:tcPr>
          <w:p w14:paraId="6A82687E" w14:textId="77777777" w:rsidR="00B82C10" w:rsidRPr="0036418A" w:rsidRDefault="00B82C10" w:rsidP="007D624D">
            <w:pPr>
              <w:pStyle w:val="TableHeading"/>
              <w:rPr>
                <w:b/>
                <w:bCs/>
                <w:color w:val="auto"/>
                <w:highlight w:val="yellow"/>
                <w:lang w:val="en-AU"/>
              </w:rPr>
            </w:pPr>
            <w:r w:rsidRPr="0036418A">
              <w:rPr>
                <w:color w:val="auto"/>
                <w:lang w:val="en-AU"/>
              </w:rPr>
              <w:t>G’hound racing</w:t>
            </w:r>
          </w:p>
        </w:tc>
        <w:tc>
          <w:tcPr>
            <w:tcW w:w="992" w:type="dxa"/>
          </w:tcPr>
          <w:p w14:paraId="27EF96B9" w14:textId="77777777" w:rsidR="00B82C10" w:rsidRPr="0036418A" w:rsidRDefault="00B82C10" w:rsidP="007D624D">
            <w:pPr>
              <w:pStyle w:val="TableHeading"/>
              <w:rPr>
                <w:b/>
                <w:bCs/>
                <w:color w:val="auto"/>
                <w:highlight w:val="yellow"/>
                <w:lang w:val="en-AU"/>
              </w:rPr>
            </w:pPr>
            <w:r w:rsidRPr="0036418A">
              <w:rPr>
                <w:color w:val="auto"/>
                <w:lang w:val="en-AU"/>
              </w:rPr>
              <w:t>Fantasy sports</w:t>
            </w:r>
          </w:p>
        </w:tc>
        <w:tc>
          <w:tcPr>
            <w:tcW w:w="993" w:type="dxa"/>
          </w:tcPr>
          <w:p w14:paraId="2D75EEBB" w14:textId="77777777" w:rsidR="00B82C10" w:rsidRPr="0036418A" w:rsidRDefault="00B82C10" w:rsidP="007D624D">
            <w:pPr>
              <w:pStyle w:val="TableHeading"/>
              <w:rPr>
                <w:b/>
                <w:bCs/>
                <w:color w:val="auto"/>
                <w:highlight w:val="yellow"/>
                <w:lang w:val="en-AU"/>
              </w:rPr>
            </w:pPr>
            <w:r w:rsidRPr="0036418A">
              <w:rPr>
                <w:color w:val="auto"/>
                <w:lang w:val="en-AU"/>
              </w:rPr>
              <w:t>eSports</w:t>
            </w:r>
          </w:p>
        </w:tc>
        <w:tc>
          <w:tcPr>
            <w:tcW w:w="993" w:type="dxa"/>
          </w:tcPr>
          <w:p w14:paraId="20544644" w14:textId="77777777" w:rsidR="00B82C10" w:rsidRPr="0036418A" w:rsidRDefault="00B82C10" w:rsidP="007D624D">
            <w:pPr>
              <w:pStyle w:val="TableHeading"/>
              <w:rPr>
                <w:b/>
                <w:bCs/>
                <w:color w:val="auto"/>
                <w:highlight w:val="yellow"/>
                <w:lang w:val="en-AU"/>
              </w:rPr>
            </w:pPr>
            <w:r w:rsidRPr="0036418A">
              <w:rPr>
                <w:color w:val="auto"/>
                <w:lang w:val="en-AU"/>
              </w:rPr>
              <w:t>TV events/shows</w:t>
            </w:r>
          </w:p>
        </w:tc>
        <w:tc>
          <w:tcPr>
            <w:tcW w:w="993" w:type="dxa"/>
          </w:tcPr>
          <w:p w14:paraId="5C18595F" w14:textId="77777777" w:rsidR="00B82C10" w:rsidRPr="0036418A" w:rsidRDefault="00B82C10" w:rsidP="007D624D">
            <w:pPr>
              <w:pStyle w:val="TableHeading"/>
              <w:rPr>
                <w:b/>
                <w:bCs/>
                <w:color w:val="auto"/>
                <w:highlight w:val="yellow"/>
                <w:lang w:val="en-AU"/>
              </w:rPr>
            </w:pPr>
            <w:r w:rsidRPr="0036418A">
              <w:rPr>
                <w:color w:val="auto"/>
                <w:lang w:val="en-AU"/>
              </w:rPr>
              <w:t>Current affairs</w:t>
            </w:r>
          </w:p>
        </w:tc>
      </w:tr>
      <w:tr w:rsidR="005A1A29" w:rsidRPr="00664E64" w14:paraId="6307BC88" w14:textId="77777777" w:rsidTr="00E44E8E">
        <w:trPr>
          <w:trHeight w:val="512"/>
        </w:trPr>
        <w:tc>
          <w:tcPr>
            <w:tcW w:w="1618" w:type="dxa"/>
          </w:tcPr>
          <w:p w14:paraId="2A52BE7F" w14:textId="77777777" w:rsidR="005A1A29" w:rsidRPr="00664E64" w:rsidRDefault="005A1A29" w:rsidP="007D624D">
            <w:pPr>
              <w:pStyle w:val="TableText"/>
              <w:rPr>
                <w:lang w:val="en-AU"/>
              </w:rPr>
            </w:pPr>
            <w:r w:rsidRPr="00664E64">
              <w:rPr>
                <w:lang w:val="en-AU"/>
              </w:rPr>
              <w:t>Sports (2,683)</w:t>
            </w:r>
          </w:p>
        </w:tc>
        <w:tc>
          <w:tcPr>
            <w:tcW w:w="992" w:type="dxa"/>
            <w:hideMark/>
          </w:tcPr>
          <w:p w14:paraId="4362D9F7" w14:textId="77777777" w:rsidR="005A1A29" w:rsidRPr="00664E64" w:rsidRDefault="005A1A29" w:rsidP="007D624D">
            <w:pPr>
              <w:pStyle w:val="TableTextCentre"/>
              <w:rPr>
                <w:lang w:val="en-AU"/>
              </w:rPr>
            </w:pPr>
            <w:r w:rsidRPr="00664E64">
              <w:rPr>
                <w:lang w:val="en-AU"/>
              </w:rPr>
              <w:t>-</w:t>
            </w:r>
          </w:p>
        </w:tc>
        <w:tc>
          <w:tcPr>
            <w:tcW w:w="993" w:type="dxa"/>
          </w:tcPr>
          <w:p w14:paraId="4250ABAD" w14:textId="77777777" w:rsidR="005A1A29" w:rsidRPr="00664E64" w:rsidRDefault="005A1A29" w:rsidP="007D624D">
            <w:pPr>
              <w:pStyle w:val="TableTextCentre"/>
              <w:rPr>
                <w:lang w:val="en-AU"/>
              </w:rPr>
            </w:pPr>
            <w:r w:rsidRPr="00664E64">
              <w:rPr>
                <w:lang w:val="en-AU"/>
              </w:rPr>
              <w:t>77.2</w:t>
            </w:r>
          </w:p>
        </w:tc>
        <w:tc>
          <w:tcPr>
            <w:tcW w:w="993" w:type="dxa"/>
          </w:tcPr>
          <w:p w14:paraId="2BD6E89C" w14:textId="77777777" w:rsidR="005A1A29" w:rsidRPr="00664E64" w:rsidRDefault="005A1A29" w:rsidP="007D624D">
            <w:pPr>
              <w:pStyle w:val="TableTextCentre"/>
              <w:rPr>
                <w:lang w:val="en-AU"/>
              </w:rPr>
            </w:pPr>
            <w:r w:rsidRPr="00664E64">
              <w:rPr>
                <w:lang w:val="en-AU"/>
              </w:rPr>
              <w:t>30.9</w:t>
            </w:r>
          </w:p>
        </w:tc>
        <w:tc>
          <w:tcPr>
            <w:tcW w:w="993" w:type="dxa"/>
          </w:tcPr>
          <w:p w14:paraId="6EA67D90" w14:textId="77777777" w:rsidR="005A1A29" w:rsidRPr="00664E64" w:rsidRDefault="005A1A29" w:rsidP="007D624D">
            <w:pPr>
              <w:pStyle w:val="TableTextCentre"/>
              <w:rPr>
                <w:lang w:val="en-AU"/>
              </w:rPr>
            </w:pPr>
            <w:r w:rsidRPr="00664E64">
              <w:rPr>
                <w:lang w:val="en-AU"/>
              </w:rPr>
              <w:t>43.5</w:t>
            </w:r>
          </w:p>
        </w:tc>
        <w:tc>
          <w:tcPr>
            <w:tcW w:w="992" w:type="dxa"/>
          </w:tcPr>
          <w:p w14:paraId="042BF5CD" w14:textId="77777777" w:rsidR="005A1A29" w:rsidRPr="00664E64" w:rsidRDefault="005A1A29" w:rsidP="007D624D">
            <w:pPr>
              <w:pStyle w:val="TableTextCentre"/>
              <w:rPr>
                <w:lang w:val="en-AU"/>
              </w:rPr>
            </w:pPr>
            <w:r w:rsidRPr="00664E64">
              <w:rPr>
                <w:lang w:val="en-AU"/>
              </w:rPr>
              <w:t>6.2</w:t>
            </w:r>
          </w:p>
        </w:tc>
        <w:tc>
          <w:tcPr>
            <w:tcW w:w="993" w:type="dxa"/>
          </w:tcPr>
          <w:p w14:paraId="25816FF3" w14:textId="77777777" w:rsidR="005A1A29" w:rsidRPr="00664E64" w:rsidRDefault="005A1A29" w:rsidP="007D624D">
            <w:pPr>
              <w:pStyle w:val="TableTextCentre"/>
              <w:rPr>
                <w:lang w:val="en-AU"/>
              </w:rPr>
            </w:pPr>
            <w:r w:rsidRPr="00664E64">
              <w:rPr>
                <w:lang w:val="en-AU"/>
              </w:rPr>
              <w:t>4.2</w:t>
            </w:r>
          </w:p>
        </w:tc>
        <w:tc>
          <w:tcPr>
            <w:tcW w:w="993" w:type="dxa"/>
          </w:tcPr>
          <w:p w14:paraId="71B072C6" w14:textId="77777777" w:rsidR="005A1A29" w:rsidRPr="00664E64" w:rsidRDefault="005A1A29" w:rsidP="007D624D">
            <w:pPr>
              <w:pStyle w:val="TableTextCentre"/>
              <w:rPr>
                <w:lang w:val="en-AU"/>
              </w:rPr>
            </w:pPr>
            <w:r w:rsidRPr="00664E64">
              <w:rPr>
                <w:lang w:val="en-AU"/>
              </w:rPr>
              <w:t>5.7</w:t>
            </w:r>
          </w:p>
        </w:tc>
        <w:tc>
          <w:tcPr>
            <w:tcW w:w="993" w:type="dxa"/>
          </w:tcPr>
          <w:p w14:paraId="19300A4C" w14:textId="77777777" w:rsidR="005A1A29" w:rsidRPr="00664E64" w:rsidRDefault="005A1A29" w:rsidP="007D624D">
            <w:pPr>
              <w:pStyle w:val="TableTextCentre"/>
              <w:rPr>
                <w:lang w:val="en-AU"/>
              </w:rPr>
            </w:pPr>
            <w:r w:rsidRPr="00664E64">
              <w:rPr>
                <w:lang w:val="en-AU"/>
              </w:rPr>
              <w:t>4.2</w:t>
            </w:r>
          </w:p>
        </w:tc>
      </w:tr>
      <w:tr w:rsidR="005A1A29" w:rsidRPr="00664E64" w14:paraId="3074C1F1" w14:textId="77777777" w:rsidTr="00E44E8E">
        <w:trPr>
          <w:trHeight w:val="512"/>
        </w:trPr>
        <w:tc>
          <w:tcPr>
            <w:tcW w:w="1618" w:type="dxa"/>
          </w:tcPr>
          <w:p w14:paraId="3AD88CB7" w14:textId="77777777" w:rsidR="005A1A29" w:rsidRPr="00664E64" w:rsidRDefault="005A1A29" w:rsidP="007D624D">
            <w:pPr>
              <w:pStyle w:val="TableText"/>
              <w:rPr>
                <w:lang w:val="en-AU"/>
              </w:rPr>
            </w:pPr>
            <w:r w:rsidRPr="00664E64">
              <w:rPr>
                <w:lang w:val="en-AU"/>
              </w:rPr>
              <w:t>Horse racing (3,806)</w:t>
            </w:r>
          </w:p>
        </w:tc>
        <w:tc>
          <w:tcPr>
            <w:tcW w:w="992" w:type="dxa"/>
          </w:tcPr>
          <w:p w14:paraId="209B241F" w14:textId="77777777" w:rsidR="005A1A29" w:rsidRPr="00664E64" w:rsidRDefault="005A1A29" w:rsidP="007D624D">
            <w:pPr>
              <w:pStyle w:val="TableTextCentre"/>
              <w:rPr>
                <w:lang w:val="en-AU"/>
              </w:rPr>
            </w:pPr>
            <w:r w:rsidRPr="00664E64">
              <w:rPr>
                <w:lang w:val="en-AU"/>
              </w:rPr>
              <w:t>54.4</w:t>
            </w:r>
          </w:p>
        </w:tc>
        <w:tc>
          <w:tcPr>
            <w:tcW w:w="993" w:type="dxa"/>
          </w:tcPr>
          <w:p w14:paraId="7AC5725B" w14:textId="77777777" w:rsidR="005A1A29" w:rsidRPr="00664E64" w:rsidRDefault="005A1A29" w:rsidP="007D624D">
            <w:pPr>
              <w:pStyle w:val="TableTextCentre"/>
              <w:rPr>
                <w:lang w:val="en-AU"/>
              </w:rPr>
            </w:pPr>
            <w:r w:rsidRPr="00664E64">
              <w:rPr>
                <w:lang w:val="en-AU"/>
              </w:rPr>
              <w:t>-</w:t>
            </w:r>
          </w:p>
        </w:tc>
        <w:tc>
          <w:tcPr>
            <w:tcW w:w="993" w:type="dxa"/>
          </w:tcPr>
          <w:p w14:paraId="03C0F6A3" w14:textId="77777777" w:rsidR="005A1A29" w:rsidRPr="00664E64" w:rsidRDefault="005A1A29" w:rsidP="007D624D">
            <w:pPr>
              <w:pStyle w:val="TableTextCentre"/>
              <w:rPr>
                <w:lang w:val="en-AU"/>
              </w:rPr>
            </w:pPr>
            <w:r w:rsidRPr="00664E64">
              <w:rPr>
                <w:lang w:val="en-AU"/>
              </w:rPr>
              <w:t>29.4</w:t>
            </w:r>
          </w:p>
        </w:tc>
        <w:tc>
          <w:tcPr>
            <w:tcW w:w="993" w:type="dxa"/>
          </w:tcPr>
          <w:p w14:paraId="1CC27C25" w14:textId="77777777" w:rsidR="005A1A29" w:rsidRPr="00664E64" w:rsidRDefault="005A1A29" w:rsidP="007D624D">
            <w:pPr>
              <w:pStyle w:val="TableTextCentre"/>
              <w:rPr>
                <w:lang w:val="en-AU"/>
              </w:rPr>
            </w:pPr>
            <w:r w:rsidRPr="00664E64">
              <w:rPr>
                <w:lang w:val="en-AU"/>
              </w:rPr>
              <w:t>41</w:t>
            </w:r>
          </w:p>
        </w:tc>
        <w:tc>
          <w:tcPr>
            <w:tcW w:w="992" w:type="dxa"/>
          </w:tcPr>
          <w:p w14:paraId="6C21625E" w14:textId="77777777" w:rsidR="005A1A29" w:rsidRPr="00664E64" w:rsidRDefault="005A1A29" w:rsidP="007D624D">
            <w:pPr>
              <w:pStyle w:val="TableTextCentre"/>
              <w:rPr>
                <w:lang w:val="en-AU"/>
              </w:rPr>
            </w:pPr>
            <w:r w:rsidRPr="00664E64">
              <w:rPr>
                <w:lang w:val="en-AU"/>
              </w:rPr>
              <w:t>3.9</w:t>
            </w:r>
          </w:p>
        </w:tc>
        <w:tc>
          <w:tcPr>
            <w:tcW w:w="993" w:type="dxa"/>
          </w:tcPr>
          <w:p w14:paraId="57C7A290" w14:textId="77777777" w:rsidR="005A1A29" w:rsidRPr="00664E64" w:rsidRDefault="005A1A29" w:rsidP="007D624D">
            <w:pPr>
              <w:pStyle w:val="TableTextCentre"/>
              <w:rPr>
                <w:lang w:val="en-AU"/>
              </w:rPr>
            </w:pPr>
            <w:r w:rsidRPr="00664E64">
              <w:rPr>
                <w:lang w:val="en-AU"/>
              </w:rPr>
              <w:t>2.6</w:t>
            </w:r>
          </w:p>
        </w:tc>
        <w:tc>
          <w:tcPr>
            <w:tcW w:w="993" w:type="dxa"/>
          </w:tcPr>
          <w:p w14:paraId="20B4563E" w14:textId="77777777" w:rsidR="005A1A29" w:rsidRPr="00664E64" w:rsidRDefault="005A1A29" w:rsidP="007D624D">
            <w:pPr>
              <w:pStyle w:val="TableTextCentre"/>
              <w:rPr>
                <w:lang w:val="en-AU"/>
              </w:rPr>
            </w:pPr>
            <w:r w:rsidRPr="00664E64">
              <w:rPr>
                <w:lang w:val="en-AU"/>
              </w:rPr>
              <w:t>4</w:t>
            </w:r>
          </w:p>
        </w:tc>
        <w:tc>
          <w:tcPr>
            <w:tcW w:w="993" w:type="dxa"/>
          </w:tcPr>
          <w:p w14:paraId="415D3987" w14:textId="77777777" w:rsidR="005A1A29" w:rsidRPr="00664E64" w:rsidRDefault="005A1A29" w:rsidP="007D624D">
            <w:pPr>
              <w:pStyle w:val="TableTextCentre"/>
              <w:rPr>
                <w:lang w:val="en-AU"/>
              </w:rPr>
            </w:pPr>
            <w:r w:rsidRPr="00664E64">
              <w:rPr>
                <w:lang w:val="en-AU"/>
              </w:rPr>
              <w:t>2.8</w:t>
            </w:r>
          </w:p>
        </w:tc>
      </w:tr>
      <w:tr w:rsidR="005A1A29" w:rsidRPr="00664E64" w14:paraId="3F452423" w14:textId="77777777" w:rsidTr="00E44E8E">
        <w:trPr>
          <w:trHeight w:val="512"/>
        </w:trPr>
        <w:tc>
          <w:tcPr>
            <w:tcW w:w="1618" w:type="dxa"/>
          </w:tcPr>
          <w:p w14:paraId="0A41027C" w14:textId="77777777" w:rsidR="005A1A29" w:rsidRPr="00664E64" w:rsidRDefault="005A1A29" w:rsidP="007D624D">
            <w:pPr>
              <w:pStyle w:val="TableText"/>
              <w:rPr>
                <w:lang w:val="en-AU"/>
              </w:rPr>
            </w:pPr>
            <w:r w:rsidRPr="00664E64">
              <w:rPr>
                <w:lang w:val="en-AU"/>
              </w:rPr>
              <w:t>Harness racing (1,134)</w:t>
            </w:r>
          </w:p>
        </w:tc>
        <w:tc>
          <w:tcPr>
            <w:tcW w:w="992" w:type="dxa"/>
          </w:tcPr>
          <w:p w14:paraId="7B0910E8" w14:textId="77777777" w:rsidR="005A1A29" w:rsidRPr="00664E64" w:rsidRDefault="005A1A29" w:rsidP="007D624D">
            <w:pPr>
              <w:pStyle w:val="TableTextCentre"/>
              <w:rPr>
                <w:lang w:val="en-AU"/>
              </w:rPr>
            </w:pPr>
            <w:r w:rsidRPr="00664E64">
              <w:rPr>
                <w:lang w:val="en-AU"/>
              </w:rPr>
              <w:t>73</w:t>
            </w:r>
          </w:p>
        </w:tc>
        <w:tc>
          <w:tcPr>
            <w:tcW w:w="993" w:type="dxa"/>
          </w:tcPr>
          <w:p w14:paraId="25DA8786" w14:textId="77777777" w:rsidR="005A1A29" w:rsidRPr="00664E64" w:rsidRDefault="005A1A29" w:rsidP="007D624D">
            <w:pPr>
              <w:pStyle w:val="TableTextCentre"/>
              <w:rPr>
                <w:lang w:val="en-AU"/>
              </w:rPr>
            </w:pPr>
            <w:r w:rsidRPr="00664E64">
              <w:rPr>
                <w:lang w:val="en-AU"/>
              </w:rPr>
              <w:t>98.5</w:t>
            </w:r>
          </w:p>
        </w:tc>
        <w:tc>
          <w:tcPr>
            <w:tcW w:w="993" w:type="dxa"/>
          </w:tcPr>
          <w:p w14:paraId="4B8DE13E" w14:textId="77777777" w:rsidR="005A1A29" w:rsidRPr="00664E64" w:rsidRDefault="005A1A29" w:rsidP="007D624D">
            <w:pPr>
              <w:pStyle w:val="TableTextCentre"/>
              <w:rPr>
                <w:lang w:val="en-AU"/>
              </w:rPr>
            </w:pPr>
            <w:r w:rsidRPr="00664E64">
              <w:rPr>
                <w:lang w:val="en-AU"/>
              </w:rPr>
              <w:t>-</w:t>
            </w:r>
          </w:p>
        </w:tc>
        <w:tc>
          <w:tcPr>
            <w:tcW w:w="993" w:type="dxa"/>
          </w:tcPr>
          <w:p w14:paraId="1D06DEE4" w14:textId="77777777" w:rsidR="005A1A29" w:rsidRPr="00664E64" w:rsidRDefault="005A1A29" w:rsidP="007D624D">
            <w:pPr>
              <w:pStyle w:val="TableTextCentre"/>
              <w:rPr>
                <w:lang w:val="en-AU"/>
              </w:rPr>
            </w:pPr>
            <w:r w:rsidRPr="00664E64">
              <w:rPr>
                <w:lang w:val="en-AU"/>
              </w:rPr>
              <w:t>85.8</w:t>
            </w:r>
          </w:p>
        </w:tc>
        <w:tc>
          <w:tcPr>
            <w:tcW w:w="992" w:type="dxa"/>
          </w:tcPr>
          <w:p w14:paraId="2BA1A2BA" w14:textId="77777777" w:rsidR="005A1A29" w:rsidRPr="00664E64" w:rsidRDefault="005A1A29" w:rsidP="007D624D">
            <w:pPr>
              <w:pStyle w:val="TableTextCentre"/>
              <w:rPr>
                <w:lang w:val="en-AU"/>
              </w:rPr>
            </w:pPr>
            <w:r w:rsidRPr="00664E64">
              <w:rPr>
                <w:lang w:val="en-AU"/>
              </w:rPr>
              <w:t>7.1</w:t>
            </w:r>
          </w:p>
        </w:tc>
        <w:tc>
          <w:tcPr>
            <w:tcW w:w="993" w:type="dxa"/>
          </w:tcPr>
          <w:p w14:paraId="72EC8180" w14:textId="77777777" w:rsidR="005A1A29" w:rsidRPr="00664E64" w:rsidRDefault="005A1A29" w:rsidP="007D624D">
            <w:pPr>
              <w:pStyle w:val="TableTextCentre"/>
              <w:rPr>
                <w:lang w:val="en-AU"/>
              </w:rPr>
            </w:pPr>
            <w:r w:rsidRPr="00664E64">
              <w:rPr>
                <w:lang w:val="en-AU"/>
              </w:rPr>
              <w:t>4.7</w:t>
            </w:r>
          </w:p>
        </w:tc>
        <w:tc>
          <w:tcPr>
            <w:tcW w:w="993" w:type="dxa"/>
          </w:tcPr>
          <w:p w14:paraId="7630F3B9" w14:textId="77777777" w:rsidR="005A1A29" w:rsidRPr="00664E64" w:rsidRDefault="005A1A29" w:rsidP="007D624D">
            <w:pPr>
              <w:pStyle w:val="TableTextCentre"/>
              <w:rPr>
                <w:lang w:val="en-AU"/>
              </w:rPr>
            </w:pPr>
            <w:r w:rsidRPr="00664E64">
              <w:rPr>
                <w:lang w:val="en-AU"/>
              </w:rPr>
              <w:t>6.1</w:t>
            </w:r>
          </w:p>
        </w:tc>
        <w:tc>
          <w:tcPr>
            <w:tcW w:w="993" w:type="dxa"/>
          </w:tcPr>
          <w:p w14:paraId="4F02F385" w14:textId="77777777" w:rsidR="005A1A29" w:rsidRPr="00664E64" w:rsidRDefault="005A1A29" w:rsidP="007D624D">
            <w:pPr>
              <w:pStyle w:val="TableTextCentre"/>
              <w:rPr>
                <w:lang w:val="en-AU"/>
              </w:rPr>
            </w:pPr>
            <w:r w:rsidRPr="00664E64">
              <w:rPr>
                <w:lang w:val="en-AU"/>
              </w:rPr>
              <w:t>4.6</w:t>
            </w:r>
          </w:p>
        </w:tc>
      </w:tr>
      <w:tr w:rsidR="005A1A29" w:rsidRPr="00664E64" w14:paraId="1DA916DF" w14:textId="77777777" w:rsidTr="00E44E8E">
        <w:trPr>
          <w:trHeight w:val="512"/>
        </w:trPr>
        <w:tc>
          <w:tcPr>
            <w:tcW w:w="1618" w:type="dxa"/>
          </w:tcPr>
          <w:p w14:paraId="5A881EFE" w14:textId="77777777" w:rsidR="005A1A29" w:rsidRPr="00664E64" w:rsidRDefault="005A1A29" w:rsidP="007D624D">
            <w:pPr>
              <w:pStyle w:val="TableText"/>
              <w:rPr>
                <w:lang w:val="en-AU"/>
              </w:rPr>
            </w:pPr>
            <w:r w:rsidRPr="00664E64">
              <w:rPr>
                <w:lang w:val="en-AU"/>
              </w:rPr>
              <w:t>Greyhound racing (1,610)</w:t>
            </w:r>
          </w:p>
        </w:tc>
        <w:tc>
          <w:tcPr>
            <w:tcW w:w="992" w:type="dxa"/>
          </w:tcPr>
          <w:p w14:paraId="3319CCAB" w14:textId="77777777" w:rsidR="005A1A29" w:rsidRPr="00664E64" w:rsidRDefault="005A1A29" w:rsidP="007D624D">
            <w:pPr>
              <w:pStyle w:val="TableTextCentre"/>
              <w:rPr>
                <w:lang w:val="en-AU"/>
              </w:rPr>
            </w:pPr>
            <w:r w:rsidRPr="00664E64">
              <w:rPr>
                <w:lang w:val="en-AU"/>
              </w:rPr>
              <w:t>72.4</w:t>
            </w:r>
          </w:p>
        </w:tc>
        <w:tc>
          <w:tcPr>
            <w:tcW w:w="993" w:type="dxa"/>
          </w:tcPr>
          <w:p w14:paraId="7FCD8027" w14:textId="77777777" w:rsidR="005A1A29" w:rsidRPr="00664E64" w:rsidRDefault="005A1A29" w:rsidP="007D624D">
            <w:pPr>
              <w:pStyle w:val="TableTextCentre"/>
              <w:rPr>
                <w:lang w:val="en-AU"/>
              </w:rPr>
            </w:pPr>
            <w:r w:rsidRPr="00664E64">
              <w:rPr>
                <w:lang w:val="en-AU"/>
              </w:rPr>
              <w:t>97</w:t>
            </w:r>
          </w:p>
        </w:tc>
        <w:tc>
          <w:tcPr>
            <w:tcW w:w="993" w:type="dxa"/>
          </w:tcPr>
          <w:p w14:paraId="09BA55AD" w14:textId="77777777" w:rsidR="005A1A29" w:rsidRPr="00664E64" w:rsidRDefault="005A1A29" w:rsidP="007D624D">
            <w:pPr>
              <w:pStyle w:val="TableTextCentre"/>
              <w:rPr>
                <w:lang w:val="en-AU"/>
              </w:rPr>
            </w:pPr>
            <w:r w:rsidRPr="00664E64">
              <w:rPr>
                <w:lang w:val="en-AU"/>
              </w:rPr>
              <w:t>60.4</w:t>
            </w:r>
          </w:p>
        </w:tc>
        <w:tc>
          <w:tcPr>
            <w:tcW w:w="993" w:type="dxa"/>
          </w:tcPr>
          <w:p w14:paraId="4C758AEA" w14:textId="77777777" w:rsidR="005A1A29" w:rsidRPr="00664E64" w:rsidRDefault="005A1A29" w:rsidP="007D624D">
            <w:pPr>
              <w:pStyle w:val="TableTextCentre"/>
              <w:rPr>
                <w:lang w:val="en-AU"/>
              </w:rPr>
            </w:pPr>
            <w:r w:rsidRPr="00664E64">
              <w:rPr>
                <w:lang w:val="en-AU"/>
              </w:rPr>
              <w:t>-</w:t>
            </w:r>
          </w:p>
        </w:tc>
        <w:tc>
          <w:tcPr>
            <w:tcW w:w="992" w:type="dxa"/>
          </w:tcPr>
          <w:p w14:paraId="545F0E45" w14:textId="77777777" w:rsidR="005A1A29" w:rsidRPr="00664E64" w:rsidRDefault="005A1A29" w:rsidP="007D624D">
            <w:pPr>
              <w:pStyle w:val="TableTextCentre"/>
              <w:rPr>
                <w:lang w:val="en-AU"/>
              </w:rPr>
            </w:pPr>
            <w:r w:rsidRPr="00664E64">
              <w:rPr>
                <w:lang w:val="en-AU"/>
              </w:rPr>
              <w:t>6.8</w:t>
            </w:r>
          </w:p>
        </w:tc>
        <w:tc>
          <w:tcPr>
            <w:tcW w:w="993" w:type="dxa"/>
          </w:tcPr>
          <w:p w14:paraId="5DB3500C" w14:textId="77777777" w:rsidR="005A1A29" w:rsidRPr="00664E64" w:rsidRDefault="005A1A29" w:rsidP="007D624D">
            <w:pPr>
              <w:pStyle w:val="TableTextCentre"/>
              <w:rPr>
                <w:lang w:val="en-AU"/>
              </w:rPr>
            </w:pPr>
            <w:r w:rsidRPr="00664E64">
              <w:rPr>
                <w:lang w:val="en-AU"/>
              </w:rPr>
              <w:t>4.8</w:t>
            </w:r>
          </w:p>
        </w:tc>
        <w:tc>
          <w:tcPr>
            <w:tcW w:w="993" w:type="dxa"/>
          </w:tcPr>
          <w:p w14:paraId="4312B42D" w14:textId="77777777" w:rsidR="005A1A29" w:rsidRPr="00664E64" w:rsidRDefault="005A1A29" w:rsidP="007D624D">
            <w:pPr>
              <w:pStyle w:val="TableTextCentre"/>
              <w:rPr>
                <w:lang w:val="en-AU"/>
              </w:rPr>
            </w:pPr>
            <w:r w:rsidRPr="00664E64">
              <w:rPr>
                <w:lang w:val="en-AU"/>
              </w:rPr>
              <w:t>6</w:t>
            </w:r>
          </w:p>
        </w:tc>
        <w:tc>
          <w:tcPr>
            <w:tcW w:w="993" w:type="dxa"/>
          </w:tcPr>
          <w:p w14:paraId="3F96F7B1" w14:textId="77777777" w:rsidR="005A1A29" w:rsidRPr="00664E64" w:rsidRDefault="005A1A29" w:rsidP="007D624D">
            <w:pPr>
              <w:pStyle w:val="TableTextCentre"/>
              <w:rPr>
                <w:lang w:val="en-AU"/>
              </w:rPr>
            </w:pPr>
            <w:r w:rsidRPr="00664E64">
              <w:rPr>
                <w:lang w:val="en-AU"/>
              </w:rPr>
              <w:t>4</w:t>
            </w:r>
          </w:p>
        </w:tc>
      </w:tr>
      <w:tr w:rsidR="005A1A29" w:rsidRPr="00664E64" w14:paraId="2AB3C741" w14:textId="77777777" w:rsidTr="00E44E8E">
        <w:trPr>
          <w:trHeight w:val="512"/>
        </w:trPr>
        <w:tc>
          <w:tcPr>
            <w:tcW w:w="1618" w:type="dxa"/>
          </w:tcPr>
          <w:p w14:paraId="7ADF2D1E" w14:textId="77777777" w:rsidR="005A1A29" w:rsidRPr="00664E64" w:rsidRDefault="005A1A29" w:rsidP="007D624D">
            <w:pPr>
              <w:pStyle w:val="TableText"/>
              <w:rPr>
                <w:lang w:val="en-AU"/>
              </w:rPr>
            </w:pPr>
            <w:r w:rsidRPr="00664E64">
              <w:rPr>
                <w:lang w:val="en-AU"/>
              </w:rPr>
              <w:t>Fantasy sports (189)</w:t>
            </w:r>
          </w:p>
        </w:tc>
        <w:tc>
          <w:tcPr>
            <w:tcW w:w="992" w:type="dxa"/>
          </w:tcPr>
          <w:p w14:paraId="5ED2DC5F" w14:textId="77777777" w:rsidR="005A1A29" w:rsidRPr="00664E64" w:rsidRDefault="005A1A29" w:rsidP="007D624D">
            <w:pPr>
              <w:pStyle w:val="TableTextCentre"/>
              <w:rPr>
                <w:lang w:val="en-AU"/>
              </w:rPr>
            </w:pPr>
            <w:r w:rsidRPr="00664E64">
              <w:rPr>
                <w:lang w:val="en-AU"/>
              </w:rPr>
              <w:t>87.8</w:t>
            </w:r>
          </w:p>
        </w:tc>
        <w:tc>
          <w:tcPr>
            <w:tcW w:w="993" w:type="dxa"/>
          </w:tcPr>
          <w:p w14:paraId="5A5D07BF" w14:textId="77777777" w:rsidR="005A1A29" w:rsidRPr="00664E64" w:rsidRDefault="005A1A29" w:rsidP="007D624D">
            <w:pPr>
              <w:pStyle w:val="TableTextCentre"/>
              <w:rPr>
                <w:lang w:val="en-AU"/>
              </w:rPr>
            </w:pPr>
            <w:r w:rsidRPr="00664E64">
              <w:rPr>
                <w:lang w:val="en-AU"/>
              </w:rPr>
              <w:t>79.8</w:t>
            </w:r>
          </w:p>
        </w:tc>
        <w:tc>
          <w:tcPr>
            <w:tcW w:w="993" w:type="dxa"/>
          </w:tcPr>
          <w:p w14:paraId="3DFEFF0E" w14:textId="77777777" w:rsidR="005A1A29" w:rsidRPr="00664E64" w:rsidRDefault="005A1A29" w:rsidP="007D624D">
            <w:pPr>
              <w:pStyle w:val="TableTextCentre"/>
              <w:rPr>
                <w:lang w:val="en-AU"/>
              </w:rPr>
            </w:pPr>
            <w:r w:rsidRPr="00664E64">
              <w:rPr>
                <w:lang w:val="en-AU"/>
              </w:rPr>
              <w:t>42.3</w:t>
            </w:r>
          </w:p>
        </w:tc>
        <w:tc>
          <w:tcPr>
            <w:tcW w:w="993" w:type="dxa"/>
          </w:tcPr>
          <w:p w14:paraId="7A8B9FAA" w14:textId="77777777" w:rsidR="005A1A29" w:rsidRPr="00664E64" w:rsidRDefault="005A1A29" w:rsidP="007D624D">
            <w:pPr>
              <w:pStyle w:val="TableTextCentre"/>
              <w:rPr>
                <w:lang w:val="en-AU"/>
              </w:rPr>
            </w:pPr>
            <w:r w:rsidRPr="00664E64">
              <w:rPr>
                <w:lang w:val="en-AU"/>
              </w:rPr>
              <w:t>58.2</w:t>
            </w:r>
          </w:p>
        </w:tc>
        <w:tc>
          <w:tcPr>
            <w:tcW w:w="992" w:type="dxa"/>
          </w:tcPr>
          <w:p w14:paraId="597925F5" w14:textId="77777777" w:rsidR="005A1A29" w:rsidRPr="00664E64" w:rsidRDefault="005A1A29" w:rsidP="007D624D">
            <w:pPr>
              <w:pStyle w:val="TableTextCentre"/>
              <w:rPr>
                <w:lang w:val="en-AU"/>
              </w:rPr>
            </w:pPr>
            <w:r w:rsidRPr="00664E64">
              <w:rPr>
                <w:lang w:val="en-AU"/>
              </w:rPr>
              <w:t>-</w:t>
            </w:r>
          </w:p>
        </w:tc>
        <w:tc>
          <w:tcPr>
            <w:tcW w:w="993" w:type="dxa"/>
          </w:tcPr>
          <w:p w14:paraId="17B202BF" w14:textId="77777777" w:rsidR="005A1A29" w:rsidRPr="00664E64" w:rsidRDefault="005A1A29" w:rsidP="007D624D">
            <w:pPr>
              <w:pStyle w:val="TableTextCentre"/>
              <w:rPr>
                <w:lang w:val="en-AU"/>
              </w:rPr>
            </w:pPr>
            <w:r w:rsidRPr="00664E64">
              <w:rPr>
                <w:lang w:val="en-AU"/>
              </w:rPr>
              <w:t>15.9</w:t>
            </w:r>
          </w:p>
        </w:tc>
        <w:tc>
          <w:tcPr>
            <w:tcW w:w="993" w:type="dxa"/>
          </w:tcPr>
          <w:p w14:paraId="23200B97" w14:textId="77777777" w:rsidR="005A1A29" w:rsidRPr="00664E64" w:rsidRDefault="005A1A29" w:rsidP="007D624D">
            <w:pPr>
              <w:pStyle w:val="TableTextCentre"/>
              <w:rPr>
                <w:lang w:val="en-AU"/>
              </w:rPr>
            </w:pPr>
            <w:r w:rsidRPr="00664E64">
              <w:rPr>
                <w:lang w:val="en-AU"/>
              </w:rPr>
              <w:t>18</w:t>
            </w:r>
          </w:p>
        </w:tc>
        <w:tc>
          <w:tcPr>
            <w:tcW w:w="993" w:type="dxa"/>
          </w:tcPr>
          <w:p w14:paraId="1F696E28" w14:textId="77777777" w:rsidR="005A1A29" w:rsidRPr="00664E64" w:rsidRDefault="005A1A29" w:rsidP="007D624D">
            <w:pPr>
              <w:pStyle w:val="TableTextCentre"/>
              <w:rPr>
                <w:lang w:val="en-AU"/>
              </w:rPr>
            </w:pPr>
            <w:r w:rsidRPr="00664E64">
              <w:rPr>
                <w:lang w:val="en-AU"/>
              </w:rPr>
              <w:t>13.8</w:t>
            </w:r>
          </w:p>
        </w:tc>
      </w:tr>
      <w:tr w:rsidR="005A1A29" w:rsidRPr="00664E64" w14:paraId="7939B59F" w14:textId="77777777" w:rsidTr="00E44E8E">
        <w:trPr>
          <w:trHeight w:val="512"/>
        </w:trPr>
        <w:tc>
          <w:tcPr>
            <w:tcW w:w="1618" w:type="dxa"/>
          </w:tcPr>
          <w:p w14:paraId="4DEFD078" w14:textId="77777777" w:rsidR="005A1A29" w:rsidRPr="00664E64" w:rsidRDefault="005A1A29" w:rsidP="007D624D">
            <w:pPr>
              <w:pStyle w:val="TableText"/>
              <w:rPr>
                <w:lang w:val="en-AU"/>
              </w:rPr>
            </w:pPr>
            <w:r w:rsidRPr="00664E64">
              <w:rPr>
                <w:lang w:val="en-AU"/>
              </w:rPr>
              <w:t>eSports (130)</w:t>
            </w:r>
          </w:p>
        </w:tc>
        <w:tc>
          <w:tcPr>
            <w:tcW w:w="992" w:type="dxa"/>
          </w:tcPr>
          <w:p w14:paraId="041D6CDB" w14:textId="77777777" w:rsidR="005A1A29" w:rsidRPr="00664E64" w:rsidRDefault="005A1A29" w:rsidP="007D624D">
            <w:pPr>
              <w:pStyle w:val="TableTextCentre"/>
              <w:rPr>
                <w:lang w:val="en-AU"/>
              </w:rPr>
            </w:pPr>
            <w:r w:rsidRPr="00664E64">
              <w:rPr>
                <w:lang w:val="en-AU"/>
              </w:rPr>
              <w:t>86.2</w:t>
            </w:r>
          </w:p>
        </w:tc>
        <w:tc>
          <w:tcPr>
            <w:tcW w:w="993" w:type="dxa"/>
          </w:tcPr>
          <w:p w14:paraId="77E5B831" w14:textId="77777777" w:rsidR="005A1A29" w:rsidRPr="00664E64" w:rsidRDefault="005A1A29" w:rsidP="007D624D">
            <w:pPr>
              <w:pStyle w:val="TableTextCentre"/>
              <w:rPr>
                <w:lang w:val="en-AU"/>
              </w:rPr>
            </w:pPr>
            <w:r w:rsidRPr="00664E64">
              <w:rPr>
                <w:lang w:val="en-AU"/>
              </w:rPr>
              <w:t>74.6</w:t>
            </w:r>
          </w:p>
        </w:tc>
        <w:tc>
          <w:tcPr>
            <w:tcW w:w="993" w:type="dxa"/>
          </w:tcPr>
          <w:p w14:paraId="42D81734" w14:textId="77777777" w:rsidR="005A1A29" w:rsidRPr="00664E64" w:rsidRDefault="005A1A29" w:rsidP="007D624D">
            <w:pPr>
              <w:pStyle w:val="TableTextCentre"/>
              <w:rPr>
                <w:lang w:val="en-AU"/>
              </w:rPr>
            </w:pPr>
            <w:r w:rsidRPr="00664E64">
              <w:rPr>
                <w:lang w:val="en-AU"/>
              </w:rPr>
              <w:t>40.8</w:t>
            </w:r>
          </w:p>
        </w:tc>
        <w:tc>
          <w:tcPr>
            <w:tcW w:w="993" w:type="dxa"/>
          </w:tcPr>
          <w:p w14:paraId="76FEF2D7" w14:textId="77777777" w:rsidR="005A1A29" w:rsidRPr="00664E64" w:rsidRDefault="005A1A29" w:rsidP="007D624D">
            <w:pPr>
              <w:pStyle w:val="TableTextCentre"/>
              <w:rPr>
                <w:lang w:val="en-AU"/>
              </w:rPr>
            </w:pPr>
            <w:r w:rsidRPr="00664E64">
              <w:rPr>
                <w:lang w:val="en-AU"/>
              </w:rPr>
              <w:t>60</w:t>
            </w:r>
          </w:p>
        </w:tc>
        <w:tc>
          <w:tcPr>
            <w:tcW w:w="992" w:type="dxa"/>
          </w:tcPr>
          <w:p w14:paraId="2DB710DA" w14:textId="77777777" w:rsidR="005A1A29" w:rsidRPr="00664E64" w:rsidRDefault="005A1A29" w:rsidP="007D624D">
            <w:pPr>
              <w:pStyle w:val="TableTextCentre"/>
              <w:rPr>
                <w:lang w:val="en-AU"/>
              </w:rPr>
            </w:pPr>
            <w:r w:rsidRPr="00664E64">
              <w:rPr>
                <w:lang w:val="en-AU"/>
              </w:rPr>
              <w:t>23.1</w:t>
            </w:r>
          </w:p>
        </w:tc>
        <w:tc>
          <w:tcPr>
            <w:tcW w:w="993" w:type="dxa"/>
          </w:tcPr>
          <w:p w14:paraId="630E40A7" w14:textId="77777777" w:rsidR="005A1A29" w:rsidRPr="00664E64" w:rsidRDefault="005A1A29" w:rsidP="007D624D">
            <w:pPr>
              <w:pStyle w:val="TableTextCentre"/>
              <w:rPr>
                <w:lang w:val="en-AU"/>
              </w:rPr>
            </w:pPr>
            <w:r w:rsidRPr="00664E64">
              <w:rPr>
                <w:lang w:val="en-AU"/>
              </w:rPr>
              <w:t>-</w:t>
            </w:r>
          </w:p>
        </w:tc>
        <w:tc>
          <w:tcPr>
            <w:tcW w:w="993" w:type="dxa"/>
          </w:tcPr>
          <w:p w14:paraId="34D32F1E" w14:textId="77777777" w:rsidR="005A1A29" w:rsidRPr="00664E64" w:rsidRDefault="005A1A29" w:rsidP="007D624D">
            <w:pPr>
              <w:pStyle w:val="TableTextCentre"/>
              <w:rPr>
                <w:lang w:val="en-AU"/>
              </w:rPr>
            </w:pPr>
            <w:r w:rsidRPr="00664E64">
              <w:rPr>
                <w:lang w:val="en-AU"/>
              </w:rPr>
              <w:t>23.9</w:t>
            </w:r>
          </w:p>
        </w:tc>
        <w:tc>
          <w:tcPr>
            <w:tcW w:w="993" w:type="dxa"/>
          </w:tcPr>
          <w:p w14:paraId="24C373AF" w14:textId="77777777" w:rsidR="005A1A29" w:rsidRPr="00664E64" w:rsidRDefault="005A1A29" w:rsidP="007D624D">
            <w:pPr>
              <w:pStyle w:val="TableTextCentre"/>
              <w:rPr>
                <w:lang w:val="en-AU"/>
              </w:rPr>
            </w:pPr>
            <w:r w:rsidRPr="00664E64">
              <w:rPr>
                <w:lang w:val="en-AU"/>
              </w:rPr>
              <w:t>16.2</w:t>
            </w:r>
          </w:p>
        </w:tc>
      </w:tr>
      <w:tr w:rsidR="005A1A29" w:rsidRPr="00664E64" w14:paraId="3A0E81E1" w14:textId="77777777" w:rsidTr="00E44E8E">
        <w:trPr>
          <w:trHeight w:val="512"/>
        </w:trPr>
        <w:tc>
          <w:tcPr>
            <w:tcW w:w="1618" w:type="dxa"/>
          </w:tcPr>
          <w:p w14:paraId="35F985AE" w14:textId="77777777" w:rsidR="005A1A29" w:rsidRPr="00664E64" w:rsidRDefault="005A1A29" w:rsidP="007D624D">
            <w:pPr>
              <w:pStyle w:val="TableText"/>
              <w:rPr>
                <w:lang w:val="en-AU"/>
              </w:rPr>
            </w:pPr>
            <w:r w:rsidRPr="00664E64">
              <w:rPr>
                <w:lang w:val="en-AU"/>
              </w:rPr>
              <w:t>TV events/ shows (199)</w:t>
            </w:r>
          </w:p>
        </w:tc>
        <w:tc>
          <w:tcPr>
            <w:tcW w:w="992" w:type="dxa"/>
          </w:tcPr>
          <w:p w14:paraId="408A33DC" w14:textId="77777777" w:rsidR="005A1A29" w:rsidRPr="00664E64" w:rsidRDefault="005A1A29" w:rsidP="007D624D">
            <w:pPr>
              <w:pStyle w:val="TableTextCentre"/>
              <w:rPr>
                <w:lang w:val="en-AU"/>
              </w:rPr>
            </w:pPr>
            <w:r w:rsidRPr="00664E64">
              <w:rPr>
                <w:lang w:val="en-AU"/>
              </w:rPr>
              <w:t>77.4</w:t>
            </w:r>
          </w:p>
        </w:tc>
        <w:tc>
          <w:tcPr>
            <w:tcW w:w="993" w:type="dxa"/>
          </w:tcPr>
          <w:p w14:paraId="10F45BFC" w14:textId="77777777" w:rsidR="005A1A29" w:rsidRPr="00664E64" w:rsidRDefault="005A1A29" w:rsidP="007D624D">
            <w:pPr>
              <w:pStyle w:val="TableTextCentre"/>
              <w:rPr>
                <w:lang w:val="en-AU"/>
              </w:rPr>
            </w:pPr>
            <w:r w:rsidRPr="00664E64">
              <w:rPr>
                <w:lang w:val="en-AU"/>
              </w:rPr>
              <w:t>75.9</w:t>
            </w:r>
          </w:p>
        </w:tc>
        <w:tc>
          <w:tcPr>
            <w:tcW w:w="993" w:type="dxa"/>
          </w:tcPr>
          <w:p w14:paraId="09799CF4" w14:textId="77777777" w:rsidR="005A1A29" w:rsidRPr="00664E64" w:rsidRDefault="005A1A29" w:rsidP="007D624D">
            <w:pPr>
              <w:pStyle w:val="TableTextCentre"/>
              <w:rPr>
                <w:lang w:val="en-AU"/>
              </w:rPr>
            </w:pPr>
            <w:r w:rsidRPr="00664E64">
              <w:rPr>
                <w:lang w:val="en-AU"/>
              </w:rPr>
              <w:t>34.7</w:t>
            </w:r>
          </w:p>
        </w:tc>
        <w:tc>
          <w:tcPr>
            <w:tcW w:w="993" w:type="dxa"/>
          </w:tcPr>
          <w:p w14:paraId="1986FE48" w14:textId="77777777" w:rsidR="005A1A29" w:rsidRPr="00664E64" w:rsidRDefault="005A1A29" w:rsidP="007D624D">
            <w:pPr>
              <w:pStyle w:val="TableTextCentre"/>
              <w:rPr>
                <w:lang w:val="en-AU"/>
              </w:rPr>
            </w:pPr>
            <w:r w:rsidRPr="00664E64">
              <w:rPr>
                <w:lang w:val="en-AU"/>
              </w:rPr>
              <w:t>48.2</w:t>
            </w:r>
          </w:p>
        </w:tc>
        <w:tc>
          <w:tcPr>
            <w:tcW w:w="992" w:type="dxa"/>
          </w:tcPr>
          <w:p w14:paraId="6AD5C820" w14:textId="77777777" w:rsidR="005A1A29" w:rsidRPr="00664E64" w:rsidRDefault="005A1A29" w:rsidP="007D624D">
            <w:pPr>
              <w:pStyle w:val="TableTextCentre"/>
              <w:rPr>
                <w:lang w:val="en-AU"/>
              </w:rPr>
            </w:pPr>
            <w:r w:rsidRPr="00664E64">
              <w:rPr>
                <w:lang w:val="en-AU"/>
              </w:rPr>
              <w:t>17.1</w:t>
            </w:r>
          </w:p>
        </w:tc>
        <w:tc>
          <w:tcPr>
            <w:tcW w:w="993" w:type="dxa"/>
          </w:tcPr>
          <w:p w14:paraId="266B67C4" w14:textId="77777777" w:rsidR="005A1A29" w:rsidRPr="00664E64" w:rsidRDefault="005A1A29" w:rsidP="007D624D">
            <w:pPr>
              <w:pStyle w:val="TableTextCentre"/>
              <w:rPr>
                <w:lang w:val="en-AU"/>
              </w:rPr>
            </w:pPr>
            <w:r w:rsidRPr="00664E64">
              <w:rPr>
                <w:lang w:val="en-AU"/>
              </w:rPr>
              <w:t>15.6</w:t>
            </w:r>
          </w:p>
        </w:tc>
        <w:tc>
          <w:tcPr>
            <w:tcW w:w="993" w:type="dxa"/>
          </w:tcPr>
          <w:p w14:paraId="017892AA" w14:textId="77777777" w:rsidR="005A1A29" w:rsidRPr="00664E64" w:rsidRDefault="005A1A29" w:rsidP="007D624D">
            <w:pPr>
              <w:pStyle w:val="TableTextCentre"/>
              <w:rPr>
                <w:lang w:val="en-AU"/>
              </w:rPr>
            </w:pPr>
            <w:r w:rsidRPr="00664E64">
              <w:rPr>
                <w:lang w:val="en-AU"/>
              </w:rPr>
              <w:t>-</w:t>
            </w:r>
          </w:p>
        </w:tc>
        <w:tc>
          <w:tcPr>
            <w:tcW w:w="993" w:type="dxa"/>
          </w:tcPr>
          <w:p w14:paraId="099F29AD" w14:textId="77777777" w:rsidR="005A1A29" w:rsidRPr="00664E64" w:rsidRDefault="005A1A29" w:rsidP="007D624D">
            <w:pPr>
              <w:pStyle w:val="TableTextCentre"/>
              <w:rPr>
                <w:lang w:val="en-AU"/>
              </w:rPr>
            </w:pPr>
            <w:r w:rsidRPr="00664E64">
              <w:rPr>
                <w:lang w:val="en-AU"/>
              </w:rPr>
              <w:t>25.1</w:t>
            </w:r>
          </w:p>
        </w:tc>
      </w:tr>
      <w:tr w:rsidR="005A1A29" w:rsidRPr="00664E64" w14:paraId="17652CD5" w14:textId="77777777" w:rsidTr="00E44E8E">
        <w:trPr>
          <w:trHeight w:val="512"/>
        </w:trPr>
        <w:tc>
          <w:tcPr>
            <w:tcW w:w="1618" w:type="dxa"/>
          </w:tcPr>
          <w:p w14:paraId="59996446" w14:textId="77777777" w:rsidR="005A1A29" w:rsidRPr="00664E64" w:rsidRDefault="005A1A29" w:rsidP="007D624D">
            <w:pPr>
              <w:pStyle w:val="TableText"/>
              <w:rPr>
                <w:lang w:val="en-AU"/>
              </w:rPr>
            </w:pPr>
            <w:r w:rsidRPr="00664E64">
              <w:rPr>
                <w:lang w:val="en-AU"/>
              </w:rPr>
              <w:t>Current affairs (135)</w:t>
            </w:r>
          </w:p>
        </w:tc>
        <w:tc>
          <w:tcPr>
            <w:tcW w:w="992" w:type="dxa"/>
          </w:tcPr>
          <w:p w14:paraId="6CA8B72E" w14:textId="77777777" w:rsidR="005A1A29" w:rsidRPr="00664E64" w:rsidRDefault="005A1A29" w:rsidP="007D624D">
            <w:pPr>
              <w:pStyle w:val="TableTextCentre"/>
              <w:rPr>
                <w:lang w:val="en-AU"/>
              </w:rPr>
            </w:pPr>
            <w:r w:rsidRPr="00664E64">
              <w:rPr>
                <w:lang w:val="en-AU"/>
              </w:rPr>
              <w:t>83.7</w:t>
            </w:r>
          </w:p>
        </w:tc>
        <w:tc>
          <w:tcPr>
            <w:tcW w:w="993" w:type="dxa"/>
          </w:tcPr>
          <w:p w14:paraId="1F88532E" w14:textId="77777777" w:rsidR="005A1A29" w:rsidRPr="00664E64" w:rsidRDefault="005A1A29" w:rsidP="007D624D">
            <w:pPr>
              <w:pStyle w:val="TableTextCentre"/>
              <w:rPr>
                <w:lang w:val="en-AU"/>
              </w:rPr>
            </w:pPr>
            <w:r w:rsidRPr="00664E64">
              <w:rPr>
                <w:lang w:val="en-AU"/>
              </w:rPr>
              <w:t>77.8</w:t>
            </w:r>
          </w:p>
        </w:tc>
        <w:tc>
          <w:tcPr>
            <w:tcW w:w="993" w:type="dxa"/>
          </w:tcPr>
          <w:p w14:paraId="4BEBBBBD" w14:textId="77777777" w:rsidR="005A1A29" w:rsidRPr="00664E64" w:rsidRDefault="005A1A29" w:rsidP="007D624D">
            <w:pPr>
              <w:pStyle w:val="TableTextCentre"/>
              <w:rPr>
                <w:lang w:val="en-AU"/>
              </w:rPr>
            </w:pPr>
            <w:r w:rsidRPr="00664E64">
              <w:rPr>
                <w:lang w:val="en-AU"/>
              </w:rPr>
              <w:t>38.5</w:t>
            </w:r>
          </w:p>
        </w:tc>
        <w:tc>
          <w:tcPr>
            <w:tcW w:w="993" w:type="dxa"/>
          </w:tcPr>
          <w:p w14:paraId="2D8E2C0F" w14:textId="77777777" w:rsidR="005A1A29" w:rsidRPr="00664E64" w:rsidRDefault="005A1A29" w:rsidP="007D624D">
            <w:pPr>
              <w:pStyle w:val="TableTextCentre"/>
              <w:rPr>
                <w:lang w:val="en-AU"/>
              </w:rPr>
            </w:pPr>
            <w:r w:rsidRPr="00664E64">
              <w:rPr>
                <w:lang w:val="en-AU"/>
              </w:rPr>
              <w:t>48.2</w:t>
            </w:r>
          </w:p>
        </w:tc>
        <w:tc>
          <w:tcPr>
            <w:tcW w:w="992" w:type="dxa"/>
          </w:tcPr>
          <w:p w14:paraId="423D1297" w14:textId="77777777" w:rsidR="005A1A29" w:rsidRPr="00664E64" w:rsidRDefault="005A1A29" w:rsidP="007D624D">
            <w:pPr>
              <w:pStyle w:val="TableTextCentre"/>
              <w:rPr>
                <w:lang w:val="en-AU"/>
              </w:rPr>
            </w:pPr>
            <w:r w:rsidRPr="00664E64">
              <w:rPr>
                <w:lang w:val="en-AU"/>
              </w:rPr>
              <w:t>19.3</w:t>
            </w:r>
          </w:p>
        </w:tc>
        <w:tc>
          <w:tcPr>
            <w:tcW w:w="993" w:type="dxa"/>
          </w:tcPr>
          <w:p w14:paraId="3BFF0E36" w14:textId="77777777" w:rsidR="005A1A29" w:rsidRPr="00664E64" w:rsidRDefault="005A1A29" w:rsidP="007D624D">
            <w:pPr>
              <w:pStyle w:val="TableTextCentre"/>
              <w:rPr>
                <w:lang w:val="en-AU"/>
              </w:rPr>
            </w:pPr>
            <w:r w:rsidRPr="00664E64">
              <w:rPr>
                <w:lang w:val="en-AU"/>
              </w:rPr>
              <w:t>15.6</w:t>
            </w:r>
          </w:p>
        </w:tc>
        <w:tc>
          <w:tcPr>
            <w:tcW w:w="993" w:type="dxa"/>
          </w:tcPr>
          <w:p w14:paraId="42D101E9" w14:textId="77777777" w:rsidR="005A1A29" w:rsidRPr="00664E64" w:rsidRDefault="005A1A29" w:rsidP="007D624D">
            <w:pPr>
              <w:pStyle w:val="TableTextCentre"/>
              <w:rPr>
                <w:lang w:val="en-AU"/>
              </w:rPr>
            </w:pPr>
            <w:r w:rsidRPr="00664E64">
              <w:rPr>
                <w:lang w:val="en-AU"/>
              </w:rPr>
              <w:t>37</w:t>
            </w:r>
          </w:p>
        </w:tc>
        <w:tc>
          <w:tcPr>
            <w:tcW w:w="993" w:type="dxa"/>
          </w:tcPr>
          <w:p w14:paraId="67432EBE" w14:textId="77777777" w:rsidR="005A1A29" w:rsidRPr="00664E64" w:rsidRDefault="005A1A29" w:rsidP="00560F63">
            <w:pPr>
              <w:pStyle w:val="TableTextCentre"/>
              <w:rPr>
                <w:lang w:val="en-AU"/>
              </w:rPr>
            </w:pPr>
            <w:r w:rsidRPr="00664E64">
              <w:rPr>
                <w:lang w:val="en-AU"/>
              </w:rPr>
              <w:t>-</w:t>
            </w:r>
          </w:p>
        </w:tc>
      </w:tr>
    </w:tbl>
    <w:p w14:paraId="4BB43123" w14:textId="006B86F9" w:rsidR="00DB2613" w:rsidRPr="00F92894" w:rsidRDefault="00F92894" w:rsidP="00F10B4B">
      <w:pPr>
        <w:rPr>
          <w:rFonts w:ascii="Arial" w:hAnsi="Arial" w:cs="Arial"/>
          <w:sz w:val="18"/>
          <w:szCs w:val="18"/>
        </w:rPr>
      </w:pPr>
      <w:r w:rsidRPr="00F92894">
        <w:rPr>
          <w:rFonts w:ascii="Arial" w:hAnsi="Arial" w:cs="Arial"/>
          <w:sz w:val="18"/>
          <w:szCs w:val="18"/>
        </w:rPr>
        <w:t>Note: Proportions to be read across rows, e.g., among sports bettors, 77.2% reported also betting on horse racing, 30.9% on harness racing, 43.5% on greyhound racing etc.</w:t>
      </w:r>
    </w:p>
    <w:bookmarkEnd w:id="41"/>
    <w:bookmarkEnd w:id="42"/>
    <w:p w14:paraId="78899248" w14:textId="44B43B4D" w:rsidR="00A6004B" w:rsidRPr="0036418A" w:rsidRDefault="00A6004B" w:rsidP="00A55CD9">
      <w:pPr>
        <w:pStyle w:val="Heading3"/>
        <w:rPr>
          <w:color w:val="auto"/>
        </w:rPr>
      </w:pPr>
      <w:r w:rsidRPr="0036418A">
        <w:rPr>
          <w:color w:val="auto"/>
        </w:rPr>
        <w:t>Frequency of participation by wagering type</w:t>
      </w:r>
    </w:p>
    <w:p w14:paraId="4E991DC1" w14:textId="77777777" w:rsidR="00A6004B" w:rsidRPr="00664E64" w:rsidRDefault="00A6004B" w:rsidP="00A55CD9">
      <w:pPr>
        <w:pStyle w:val="BodyText"/>
      </w:pPr>
      <w:r w:rsidRPr="00664E64">
        <w:t xml:space="preserve">Participants were also asked about their frequency of betting on each activity during the previous 12 months. The distribution of wagering participation is presented below, along with the median frequency for each activity (Table 5.8). </w:t>
      </w:r>
    </w:p>
    <w:p w14:paraId="6317522C" w14:textId="1C7B80DC" w:rsidR="00A6004B" w:rsidRPr="00664E64" w:rsidRDefault="00A6004B" w:rsidP="00A55CD9">
      <w:pPr>
        <w:pStyle w:val="ListBullet"/>
      </w:pPr>
      <w:r w:rsidRPr="00664E64">
        <w:t>For sports and fantasy sports, the median frequency of betting was once a week (which is in line with the seasonal and weekly nature of a lot of sports)</w:t>
      </w:r>
      <w:r w:rsidR="00333D37" w:rsidRPr="00664E64">
        <w:t>.</w:t>
      </w:r>
    </w:p>
    <w:p w14:paraId="48F129EF" w14:textId="506A6838" w:rsidR="00D161F4" w:rsidRPr="00664E64" w:rsidRDefault="00A6004B" w:rsidP="00A55CD9">
      <w:pPr>
        <w:pStyle w:val="ListBullet"/>
      </w:pPr>
      <w:r w:rsidRPr="00664E64">
        <w:t>For horse, harness and greyhound racing the median frequency reported was 2</w:t>
      </w:r>
      <w:r w:rsidR="00333D37" w:rsidRPr="00664E64">
        <w:t>–</w:t>
      </w:r>
      <w:r w:rsidRPr="00664E64">
        <w:t>3 times a month, and for activities such as TV events and Current Affairs it was once or twice a year.</w:t>
      </w:r>
    </w:p>
    <w:p w14:paraId="66E27F07" w14:textId="77777777" w:rsidR="00D161F4" w:rsidRPr="00664E64" w:rsidRDefault="00D161F4" w:rsidP="00D161F4">
      <w:pPr>
        <w:rPr>
          <w:rFonts w:cs="Arial"/>
          <w:szCs w:val="20"/>
        </w:rPr>
        <w:sectPr w:rsidR="00D161F4" w:rsidRPr="00664E64" w:rsidSect="001422DD">
          <w:footerReference w:type="even" r:id="rId12"/>
          <w:footerReference w:type="default" r:id="rId13"/>
          <w:pgSz w:w="12240" w:h="15840"/>
          <w:pgMar w:top="1440" w:right="1440" w:bottom="1440" w:left="1440" w:header="709" w:footer="709" w:gutter="0"/>
          <w:cols w:space="708"/>
          <w:docGrid w:linePitch="360"/>
        </w:sectPr>
      </w:pPr>
    </w:p>
    <w:p w14:paraId="754F5DD0" w14:textId="77777777" w:rsidR="00054BD7" w:rsidRPr="00054BD7" w:rsidRDefault="00054BD7" w:rsidP="00054BD7">
      <w:pPr>
        <w:pBdr>
          <w:top w:val="single" w:sz="4" w:space="1" w:color="auto"/>
        </w:pBdr>
        <w:shd w:val="clear" w:color="auto" w:fill="FFFFFF" w:themeFill="background1"/>
        <w:rPr>
          <w:b/>
          <w:sz w:val="20"/>
          <w:szCs w:val="20"/>
        </w:rPr>
      </w:pPr>
    </w:p>
    <w:p w14:paraId="00CEF153" w14:textId="55BD6A41" w:rsidR="00054BD7" w:rsidRPr="0036418A" w:rsidRDefault="00054BD7" w:rsidP="00054BD7">
      <w:pPr>
        <w:pBdr>
          <w:top w:val="single" w:sz="4" w:space="1" w:color="auto"/>
        </w:pBdr>
        <w:shd w:val="clear" w:color="auto" w:fill="FFFFFF" w:themeFill="background1"/>
        <w:rPr>
          <w:rFonts w:ascii="Arial" w:hAnsi="Arial" w:cs="Arial"/>
          <w:b/>
          <w:sz w:val="20"/>
          <w:lang w:eastAsia="ja-JP" w:bidi="en-US"/>
        </w:rPr>
      </w:pPr>
      <w:r w:rsidRPr="0036418A">
        <w:rPr>
          <w:rFonts w:ascii="Arial" w:hAnsi="Arial" w:cs="Arial"/>
          <w:b/>
          <w:sz w:val="20"/>
          <w:lang w:eastAsia="ja-JP" w:bidi="en-US"/>
        </w:rPr>
        <w:t>Table 5.8: Frequency of participation for each activity during the past 12 months</w:t>
      </w:r>
    </w:p>
    <w:p w14:paraId="5EA22C8F" w14:textId="43530066" w:rsidR="00054BD7" w:rsidRPr="0036418A" w:rsidRDefault="00054BD7" w:rsidP="00054BD7">
      <w:pPr>
        <w:pBdr>
          <w:top w:val="single" w:sz="4" w:space="1" w:color="auto"/>
        </w:pBdr>
        <w:shd w:val="clear" w:color="auto" w:fill="FFFFFF" w:themeFill="background1"/>
        <w:rPr>
          <w:rFonts w:ascii="Arial" w:hAnsi="Arial" w:cs="Arial"/>
          <w:b/>
          <w:sz w:val="20"/>
          <w:lang w:eastAsia="ja-JP" w:bidi="en-US"/>
        </w:rPr>
      </w:pPr>
    </w:p>
    <w:p w14:paraId="62431DF2" w14:textId="6F8A9F1D" w:rsidR="00431CA5" w:rsidRPr="0036418A" w:rsidRDefault="00431CA5" w:rsidP="00054BD7">
      <w:pPr>
        <w:pBdr>
          <w:top w:val="single" w:sz="4" w:space="1" w:color="auto"/>
        </w:pBdr>
        <w:shd w:val="clear" w:color="auto" w:fill="FFFFFF" w:themeFill="background1"/>
        <w:rPr>
          <w:rFonts w:ascii="Arial" w:hAnsi="Arial" w:cs="Arial"/>
          <w:b/>
          <w:sz w:val="20"/>
          <w:lang w:eastAsia="ja-JP" w:bidi="en-US"/>
        </w:rPr>
      </w:pPr>
    </w:p>
    <w:tbl>
      <w:tblPr>
        <w:tblStyle w:val="TableGrid"/>
        <w:tblpPr w:leftFromText="180" w:rightFromText="180" w:vertAnchor="text" w:tblpY="1"/>
        <w:tblOverlap w:val="never"/>
        <w:tblW w:w="5000" w:type="pct"/>
        <w:tblLook w:val="04A0" w:firstRow="1" w:lastRow="0" w:firstColumn="1" w:lastColumn="0" w:noHBand="0" w:noVBand="1"/>
        <w:tblCaption w:val="Frequency of participation for each activity during the past 12 months"/>
        <w:tblDescription w:val="For each gambling activity, the percentage of participants who gamble from once or twice a year to 4 more times a week."/>
      </w:tblPr>
      <w:tblGrid>
        <w:gridCol w:w="1758"/>
        <w:gridCol w:w="1637"/>
        <w:gridCol w:w="1126"/>
        <w:gridCol w:w="1122"/>
        <w:gridCol w:w="1125"/>
        <w:gridCol w:w="1200"/>
        <w:gridCol w:w="1200"/>
        <w:gridCol w:w="1122"/>
        <w:gridCol w:w="1636"/>
        <w:gridCol w:w="1034"/>
      </w:tblGrid>
      <w:tr w:rsidR="00EF11BB" w:rsidRPr="00664E64" w14:paraId="7994E1D1" w14:textId="77777777" w:rsidTr="009B3CFB">
        <w:trPr>
          <w:cnfStyle w:val="100000000000" w:firstRow="1" w:lastRow="0" w:firstColumn="0" w:lastColumn="0" w:oddVBand="0" w:evenVBand="0" w:oddHBand="0" w:evenHBand="0" w:firstRowFirstColumn="0" w:firstRowLastColumn="0" w:lastRowFirstColumn="0" w:lastRowLastColumn="0"/>
          <w:trHeight w:val="286"/>
          <w:tblHeader/>
        </w:trPr>
        <w:tc>
          <w:tcPr>
            <w:tcW w:w="678" w:type="pct"/>
            <w:hideMark/>
          </w:tcPr>
          <w:p w14:paraId="5D49D679" w14:textId="77777777" w:rsidR="00EF11BB" w:rsidRPr="00664E64" w:rsidRDefault="00EF11BB" w:rsidP="007D624D">
            <w:pPr>
              <w:pStyle w:val="TableColHeadLeft"/>
              <w:rPr>
                <w:lang w:val="en-AU"/>
              </w:rPr>
            </w:pPr>
            <w:r w:rsidRPr="00664E64">
              <w:rPr>
                <w:lang w:val="en-AU"/>
              </w:rPr>
              <w:t>Activity (</w:t>
            </w:r>
            <w:r w:rsidRPr="00664E64">
              <w:rPr>
                <w:i/>
                <w:lang w:val="en-AU"/>
              </w:rPr>
              <w:t>N</w:t>
            </w:r>
            <w:r w:rsidRPr="00664E64">
              <w:rPr>
                <w:lang w:val="en-AU"/>
              </w:rPr>
              <w:t>)</w:t>
            </w:r>
          </w:p>
        </w:tc>
        <w:tc>
          <w:tcPr>
            <w:tcW w:w="631" w:type="pct"/>
          </w:tcPr>
          <w:p w14:paraId="74B5C854" w14:textId="77777777" w:rsidR="00EF11BB" w:rsidRPr="00664E64" w:rsidRDefault="00EF11BB" w:rsidP="007D624D">
            <w:pPr>
              <w:pStyle w:val="TableColHeadCentre"/>
              <w:rPr>
                <w:lang w:val="en-AU"/>
              </w:rPr>
            </w:pPr>
            <w:r w:rsidRPr="00664E64">
              <w:rPr>
                <w:lang w:val="en-AU"/>
              </w:rPr>
              <w:t>Median frequency</w:t>
            </w:r>
          </w:p>
        </w:tc>
        <w:tc>
          <w:tcPr>
            <w:tcW w:w="434" w:type="pct"/>
            <w:hideMark/>
          </w:tcPr>
          <w:p w14:paraId="7CD33FB0" w14:textId="77777777" w:rsidR="00EF11BB" w:rsidRPr="00664E64" w:rsidRDefault="00EF11BB" w:rsidP="007D624D">
            <w:pPr>
              <w:pStyle w:val="TableColHeadCentre"/>
              <w:rPr>
                <w:lang w:val="en-AU"/>
              </w:rPr>
            </w:pPr>
            <w:r w:rsidRPr="00664E64">
              <w:rPr>
                <w:lang w:val="en-AU"/>
              </w:rPr>
              <w:t>4+ times a week</w:t>
            </w:r>
          </w:p>
        </w:tc>
        <w:tc>
          <w:tcPr>
            <w:tcW w:w="433" w:type="pct"/>
            <w:hideMark/>
          </w:tcPr>
          <w:p w14:paraId="4F3F48D5" w14:textId="77777777" w:rsidR="00EF11BB" w:rsidRPr="00664E64" w:rsidRDefault="00EF11BB" w:rsidP="007D624D">
            <w:pPr>
              <w:pStyle w:val="TableColHeadCentre"/>
              <w:rPr>
                <w:lang w:val="en-AU"/>
              </w:rPr>
            </w:pPr>
            <w:r w:rsidRPr="00664E64">
              <w:rPr>
                <w:lang w:val="en-AU"/>
              </w:rPr>
              <w:t>2-3 times a week</w:t>
            </w:r>
          </w:p>
        </w:tc>
        <w:tc>
          <w:tcPr>
            <w:tcW w:w="434" w:type="pct"/>
            <w:hideMark/>
          </w:tcPr>
          <w:p w14:paraId="49DA03FF" w14:textId="77777777" w:rsidR="00EF11BB" w:rsidRPr="00664E64" w:rsidRDefault="00EF11BB" w:rsidP="007D624D">
            <w:pPr>
              <w:pStyle w:val="TableColHeadCentre"/>
              <w:rPr>
                <w:lang w:val="en-AU"/>
              </w:rPr>
            </w:pPr>
            <w:r w:rsidRPr="00664E64">
              <w:rPr>
                <w:lang w:val="en-AU"/>
              </w:rPr>
              <w:t>Once a week</w:t>
            </w:r>
          </w:p>
        </w:tc>
        <w:tc>
          <w:tcPr>
            <w:tcW w:w="463" w:type="pct"/>
            <w:hideMark/>
          </w:tcPr>
          <w:p w14:paraId="4BD827B3" w14:textId="77777777" w:rsidR="00EF11BB" w:rsidRPr="00664E64" w:rsidRDefault="00EF11BB" w:rsidP="007D624D">
            <w:pPr>
              <w:pStyle w:val="TableColHeadCentre"/>
              <w:rPr>
                <w:lang w:val="en-AU"/>
              </w:rPr>
            </w:pPr>
            <w:r w:rsidRPr="00664E64">
              <w:rPr>
                <w:lang w:val="en-AU"/>
              </w:rPr>
              <w:t>2-3 times a month</w:t>
            </w:r>
          </w:p>
        </w:tc>
        <w:tc>
          <w:tcPr>
            <w:tcW w:w="463" w:type="pct"/>
            <w:hideMark/>
          </w:tcPr>
          <w:p w14:paraId="3E77E49B" w14:textId="77777777" w:rsidR="00EF11BB" w:rsidRPr="00664E64" w:rsidRDefault="00EF11BB" w:rsidP="007D624D">
            <w:pPr>
              <w:pStyle w:val="TableColHeadCentre"/>
              <w:rPr>
                <w:lang w:val="en-AU"/>
              </w:rPr>
            </w:pPr>
            <w:r w:rsidRPr="00664E64">
              <w:rPr>
                <w:lang w:val="en-AU"/>
              </w:rPr>
              <w:t>Once a month</w:t>
            </w:r>
          </w:p>
        </w:tc>
        <w:tc>
          <w:tcPr>
            <w:tcW w:w="433" w:type="pct"/>
            <w:hideMark/>
          </w:tcPr>
          <w:p w14:paraId="1889DB56" w14:textId="77777777" w:rsidR="00EF11BB" w:rsidRPr="00664E64" w:rsidRDefault="00EF11BB" w:rsidP="007D624D">
            <w:pPr>
              <w:pStyle w:val="TableColHeadCentre"/>
              <w:rPr>
                <w:lang w:val="en-AU"/>
              </w:rPr>
            </w:pPr>
            <w:r w:rsidRPr="00664E64">
              <w:rPr>
                <w:lang w:val="en-AU"/>
              </w:rPr>
              <w:t>Few times a year</w:t>
            </w:r>
          </w:p>
        </w:tc>
        <w:tc>
          <w:tcPr>
            <w:tcW w:w="631" w:type="pct"/>
          </w:tcPr>
          <w:p w14:paraId="7BB04197" w14:textId="77777777" w:rsidR="00EF11BB" w:rsidRPr="00664E64" w:rsidRDefault="00EF11BB" w:rsidP="007D624D">
            <w:pPr>
              <w:pStyle w:val="TableColHeadCentre"/>
              <w:rPr>
                <w:lang w:val="en-AU"/>
              </w:rPr>
            </w:pPr>
            <w:r w:rsidRPr="00664E64">
              <w:rPr>
                <w:lang w:val="en-AU"/>
              </w:rPr>
              <w:t>Once/twice a year</w:t>
            </w:r>
          </w:p>
        </w:tc>
        <w:tc>
          <w:tcPr>
            <w:tcW w:w="399" w:type="pct"/>
          </w:tcPr>
          <w:p w14:paraId="33D12568" w14:textId="77777777" w:rsidR="00EF11BB" w:rsidRPr="00664E64" w:rsidRDefault="00EF11BB" w:rsidP="007D624D">
            <w:pPr>
              <w:pStyle w:val="TableColHeadCentre"/>
              <w:rPr>
                <w:lang w:val="en-AU"/>
              </w:rPr>
            </w:pPr>
            <w:r w:rsidRPr="00664E64">
              <w:rPr>
                <w:lang w:val="en-AU"/>
              </w:rPr>
              <w:t>Not sure</w:t>
            </w:r>
          </w:p>
        </w:tc>
      </w:tr>
      <w:tr w:rsidR="00EF11BB" w:rsidRPr="00664E64" w14:paraId="6EBFD55B" w14:textId="77777777" w:rsidTr="009B3CFB">
        <w:trPr>
          <w:trHeight w:val="175"/>
        </w:trPr>
        <w:tc>
          <w:tcPr>
            <w:tcW w:w="678" w:type="pct"/>
            <w:shd w:val="clear" w:color="auto" w:fill="auto"/>
            <w:hideMark/>
          </w:tcPr>
          <w:p w14:paraId="5FA8035D" w14:textId="77777777" w:rsidR="00EF11BB" w:rsidRPr="00664E64" w:rsidRDefault="00EF11BB" w:rsidP="007D624D">
            <w:pPr>
              <w:rPr>
                <w:rFonts w:cs="Arial"/>
                <w:szCs w:val="20"/>
              </w:rPr>
            </w:pPr>
          </w:p>
        </w:tc>
        <w:tc>
          <w:tcPr>
            <w:tcW w:w="631" w:type="pct"/>
            <w:shd w:val="clear" w:color="auto" w:fill="auto"/>
          </w:tcPr>
          <w:p w14:paraId="4B95EB1D" w14:textId="77777777" w:rsidR="00EF11BB" w:rsidRPr="00664E64" w:rsidRDefault="00EF11BB" w:rsidP="007D624D">
            <w:pPr>
              <w:jc w:val="center"/>
              <w:rPr>
                <w:rFonts w:cs="Arial"/>
                <w:color w:val="000000"/>
                <w:szCs w:val="20"/>
              </w:rPr>
            </w:pPr>
          </w:p>
        </w:tc>
        <w:tc>
          <w:tcPr>
            <w:tcW w:w="434" w:type="pct"/>
            <w:hideMark/>
          </w:tcPr>
          <w:p w14:paraId="516999B1"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433" w:type="pct"/>
            <w:hideMark/>
          </w:tcPr>
          <w:p w14:paraId="5B39F331"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434" w:type="pct"/>
            <w:hideMark/>
          </w:tcPr>
          <w:p w14:paraId="59337B1C"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463" w:type="pct"/>
            <w:hideMark/>
          </w:tcPr>
          <w:p w14:paraId="2706D8FC"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463" w:type="pct"/>
            <w:hideMark/>
          </w:tcPr>
          <w:p w14:paraId="4CBF0008"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433" w:type="pct"/>
            <w:hideMark/>
          </w:tcPr>
          <w:p w14:paraId="56710D7E"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631" w:type="pct"/>
            <w:hideMark/>
          </w:tcPr>
          <w:p w14:paraId="4A1F8BC4" w14:textId="77777777" w:rsidR="00EF11BB" w:rsidRPr="00664E64" w:rsidRDefault="00EF11BB" w:rsidP="007D624D">
            <w:pPr>
              <w:jc w:val="center"/>
              <w:rPr>
                <w:rFonts w:cs="Arial"/>
                <w:color w:val="000000"/>
                <w:szCs w:val="20"/>
              </w:rPr>
            </w:pPr>
            <w:r w:rsidRPr="00664E64">
              <w:rPr>
                <w:rFonts w:cs="Arial"/>
                <w:color w:val="000000"/>
                <w:szCs w:val="20"/>
              </w:rPr>
              <w:t>%</w:t>
            </w:r>
          </w:p>
        </w:tc>
        <w:tc>
          <w:tcPr>
            <w:tcW w:w="399" w:type="pct"/>
            <w:hideMark/>
          </w:tcPr>
          <w:p w14:paraId="3741B4BF" w14:textId="77777777" w:rsidR="00EF11BB" w:rsidRPr="00664E64" w:rsidRDefault="00EF11BB" w:rsidP="007D624D">
            <w:pPr>
              <w:jc w:val="center"/>
              <w:rPr>
                <w:rFonts w:cs="Arial"/>
                <w:color w:val="000000"/>
                <w:szCs w:val="20"/>
              </w:rPr>
            </w:pPr>
            <w:r w:rsidRPr="00664E64">
              <w:rPr>
                <w:rFonts w:cs="Arial"/>
                <w:color w:val="000000"/>
                <w:szCs w:val="20"/>
              </w:rPr>
              <w:t>%</w:t>
            </w:r>
          </w:p>
        </w:tc>
      </w:tr>
      <w:tr w:rsidR="00EF11BB" w:rsidRPr="00664E64" w14:paraId="3C1CACE5" w14:textId="77777777" w:rsidTr="009B3CFB">
        <w:trPr>
          <w:trHeight w:val="633"/>
        </w:trPr>
        <w:tc>
          <w:tcPr>
            <w:tcW w:w="678" w:type="pct"/>
            <w:hideMark/>
          </w:tcPr>
          <w:p w14:paraId="5068F952" w14:textId="77777777" w:rsidR="00EF11BB" w:rsidRPr="00664E64" w:rsidRDefault="00EF11BB" w:rsidP="007D624D">
            <w:pPr>
              <w:pStyle w:val="TableText"/>
              <w:rPr>
                <w:lang w:val="en-AU"/>
              </w:rPr>
            </w:pPr>
            <w:r w:rsidRPr="00664E64">
              <w:rPr>
                <w:lang w:val="en-AU"/>
              </w:rPr>
              <w:t>Sports (2,683)</w:t>
            </w:r>
          </w:p>
        </w:tc>
        <w:tc>
          <w:tcPr>
            <w:tcW w:w="631" w:type="pct"/>
          </w:tcPr>
          <w:p w14:paraId="6631A2F7" w14:textId="77777777" w:rsidR="00EF11BB" w:rsidRPr="00664E64" w:rsidRDefault="00EF11BB" w:rsidP="007D624D">
            <w:pPr>
              <w:pStyle w:val="TableTextCentre"/>
              <w:rPr>
                <w:lang w:val="en-AU"/>
              </w:rPr>
            </w:pPr>
            <w:r w:rsidRPr="00664E64">
              <w:rPr>
                <w:lang w:val="en-AU"/>
              </w:rPr>
              <w:t>Once a week</w:t>
            </w:r>
          </w:p>
        </w:tc>
        <w:tc>
          <w:tcPr>
            <w:tcW w:w="434" w:type="pct"/>
            <w:noWrap/>
          </w:tcPr>
          <w:p w14:paraId="1945D851" w14:textId="77777777" w:rsidR="00EF11BB" w:rsidRPr="00664E64" w:rsidRDefault="00EF11BB" w:rsidP="007D624D">
            <w:pPr>
              <w:pStyle w:val="TableTextCentre"/>
              <w:rPr>
                <w:lang w:val="en-AU"/>
              </w:rPr>
            </w:pPr>
            <w:r w:rsidRPr="00664E64">
              <w:rPr>
                <w:lang w:val="en-AU"/>
              </w:rPr>
              <w:t>23.4</w:t>
            </w:r>
          </w:p>
        </w:tc>
        <w:tc>
          <w:tcPr>
            <w:tcW w:w="433" w:type="pct"/>
            <w:noWrap/>
          </w:tcPr>
          <w:p w14:paraId="27885533" w14:textId="77777777" w:rsidR="00EF11BB" w:rsidRPr="00664E64" w:rsidRDefault="00EF11BB" w:rsidP="007D624D">
            <w:pPr>
              <w:pStyle w:val="TableTextCentre"/>
              <w:rPr>
                <w:lang w:val="en-AU"/>
              </w:rPr>
            </w:pPr>
            <w:r w:rsidRPr="00664E64">
              <w:rPr>
                <w:lang w:val="en-AU"/>
              </w:rPr>
              <w:t>17.0</w:t>
            </w:r>
          </w:p>
        </w:tc>
        <w:tc>
          <w:tcPr>
            <w:tcW w:w="434" w:type="pct"/>
            <w:noWrap/>
          </w:tcPr>
          <w:p w14:paraId="34393ABA" w14:textId="77777777" w:rsidR="00EF11BB" w:rsidRPr="00664E64" w:rsidRDefault="00EF11BB" w:rsidP="007D624D">
            <w:pPr>
              <w:pStyle w:val="TableTextCentre"/>
              <w:rPr>
                <w:lang w:val="en-AU"/>
              </w:rPr>
            </w:pPr>
            <w:r w:rsidRPr="00664E64">
              <w:rPr>
                <w:lang w:val="en-AU"/>
              </w:rPr>
              <w:t>15.0</w:t>
            </w:r>
          </w:p>
        </w:tc>
        <w:tc>
          <w:tcPr>
            <w:tcW w:w="463" w:type="pct"/>
            <w:noWrap/>
          </w:tcPr>
          <w:p w14:paraId="128ECA10" w14:textId="77777777" w:rsidR="00EF11BB" w:rsidRPr="00664E64" w:rsidRDefault="00EF11BB" w:rsidP="007D624D">
            <w:pPr>
              <w:pStyle w:val="TableTextCentre"/>
              <w:rPr>
                <w:lang w:val="en-AU"/>
              </w:rPr>
            </w:pPr>
            <w:r w:rsidRPr="00664E64">
              <w:rPr>
                <w:lang w:val="en-AU"/>
              </w:rPr>
              <w:t>13.4</w:t>
            </w:r>
          </w:p>
        </w:tc>
        <w:tc>
          <w:tcPr>
            <w:tcW w:w="463" w:type="pct"/>
            <w:noWrap/>
          </w:tcPr>
          <w:p w14:paraId="0AEA8F26" w14:textId="77777777" w:rsidR="00EF11BB" w:rsidRPr="00664E64" w:rsidRDefault="00EF11BB" w:rsidP="007D624D">
            <w:pPr>
              <w:pStyle w:val="TableTextCentre"/>
              <w:rPr>
                <w:lang w:val="en-AU"/>
              </w:rPr>
            </w:pPr>
            <w:r w:rsidRPr="00664E64">
              <w:rPr>
                <w:lang w:val="en-AU"/>
              </w:rPr>
              <w:t>7.0</w:t>
            </w:r>
          </w:p>
        </w:tc>
        <w:tc>
          <w:tcPr>
            <w:tcW w:w="433" w:type="pct"/>
            <w:noWrap/>
          </w:tcPr>
          <w:p w14:paraId="63825548" w14:textId="77777777" w:rsidR="00EF11BB" w:rsidRPr="00664E64" w:rsidRDefault="00EF11BB" w:rsidP="007D624D">
            <w:pPr>
              <w:pStyle w:val="TableTextCentre"/>
              <w:rPr>
                <w:lang w:val="en-AU"/>
              </w:rPr>
            </w:pPr>
            <w:r w:rsidRPr="00664E64">
              <w:rPr>
                <w:lang w:val="en-AU"/>
              </w:rPr>
              <w:t>18.0</w:t>
            </w:r>
          </w:p>
        </w:tc>
        <w:tc>
          <w:tcPr>
            <w:tcW w:w="631" w:type="pct"/>
            <w:noWrap/>
          </w:tcPr>
          <w:p w14:paraId="1A0E9901" w14:textId="77777777" w:rsidR="00EF11BB" w:rsidRPr="00664E64" w:rsidRDefault="00EF11BB" w:rsidP="007D624D">
            <w:pPr>
              <w:pStyle w:val="TableTextCentre"/>
              <w:rPr>
                <w:lang w:val="en-AU"/>
              </w:rPr>
            </w:pPr>
            <w:r w:rsidRPr="00664E64">
              <w:rPr>
                <w:lang w:val="en-AU"/>
              </w:rPr>
              <w:t>5.4</w:t>
            </w:r>
          </w:p>
        </w:tc>
        <w:tc>
          <w:tcPr>
            <w:tcW w:w="399" w:type="pct"/>
            <w:noWrap/>
          </w:tcPr>
          <w:p w14:paraId="3D1079C7" w14:textId="77777777" w:rsidR="00EF11BB" w:rsidRPr="00664E64" w:rsidRDefault="00EF11BB" w:rsidP="007D624D">
            <w:pPr>
              <w:jc w:val="center"/>
              <w:rPr>
                <w:rFonts w:cs="Arial"/>
                <w:szCs w:val="20"/>
              </w:rPr>
            </w:pPr>
            <w:r w:rsidRPr="00664E64">
              <w:rPr>
                <w:rFonts w:cs="Arial"/>
                <w:szCs w:val="20"/>
              </w:rPr>
              <w:t>0.9</w:t>
            </w:r>
          </w:p>
        </w:tc>
      </w:tr>
      <w:tr w:rsidR="00EF11BB" w:rsidRPr="00664E64" w14:paraId="0F0A81F3" w14:textId="77777777" w:rsidTr="009B3CFB">
        <w:trPr>
          <w:trHeight w:val="633"/>
        </w:trPr>
        <w:tc>
          <w:tcPr>
            <w:tcW w:w="678" w:type="pct"/>
            <w:hideMark/>
          </w:tcPr>
          <w:p w14:paraId="3321B2B8" w14:textId="77777777" w:rsidR="00EF11BB" w:rsidRPr="00664E64" w:rsidRDefault="00EF11BB" w:rsidP="007D624D">
            <w:pPr>
              <w:pStyle w:val="TableText"/>
              <w:rPr>
                <w:lang w:val="en-AU"/>
              </w:rPr>
            </w:pPr>
            <w:r w:rsidRPr="00664E64">
              <w:rPr>
                <w:lang w:val="en-AU"/>
              </w:rPr>
              <w:t>Horse racing (3,806)</w:t>
            </w:r>
          </w:p>
        </w:tc>
        <w:tc>
          <w:tcPr>
            <w:tcW w:w="631" w:type="pct"/>
          </w:tcPr>
          <w:p w14:paraId="2ED21B68" w14:textId="77777777" w:rsidR="00EF11BB" w:rsidRPr="00664E64" w:rsidRDefault="00EF11BB" w:rsidP="007D624D">
            <w:pPr>
              <w:pStyle w:val="TableTextCentre"/>
              <w:rPr>
                <w:lang w:val="en-AU"/>
              </w:rPr>
            </w:pPr>
            <w:r w:rsidRPr="00664E64">
              <w:rPr>
                <w:lang w:val="en-AU"/>
              </w:rPr>
              <w:t>2–3 times a month</w:t>
            </w:r>
          </w:p>
        </w:tc>
        <w:tc>
          <w:tcPr>
            <w:tcW w:w="434" w:type="pct"/>
            <w:noWrap/>
          </w:tcPr>
          <w:p w14:paraId="4D722119" w14:textId="77777777" w:rsidR="00EF11BB" w:rsidRPr="00664E64" w:rsidRDefault="00EF11BB" w:rsidP="007D624D">
            <w:pPr>
              <w:pStyle w:val="TableTextCentre"/>
              <w:rPr>
                <w:lang w:val="en-AU"/>
              </w:rPr>
            </w:pPr>
            <w:r w:rsidRPr="00664E64">
              <w:rPr>
                <w:lang w:val="en-AU"/>
              </w:rPr>
              <w:t>19.4</w:t>
            </w:r>
          </w:p>
        </w:tc>
        <w:tc>
          <w:tcPr>
            <w:tcW w:w="433" w:type="pct"/>
            <w:noWrap/>
          </w:tcPr>
          <w:p w14:paraId="2E6C9E64" w14:textId="77777777" w:rsidR="00EF11BB" w:rsidRPr="00664E64" w:rsidRDefault="00EF11BB" w:rsidP="007D624D">
            <w:pPr>
              <w:pStyle w:val="TableTextCentre"/>
              <w:rPr>
                <w:lang w:val="en-AU"/>
              </w:rPr>
            </w:pPr>
            <w:r w:rsidRPr="00664E64">
              <w:rPr>
                <w:lang w:val="en-AU"/>
              </w:rPr>
              <w:t>15.7</w:t>
            </w:r>
          </w:p>
        </w:tc>
        <w:tc>
          <w:tcPr>
            <w:tcW w:w="434" w:type="pct"/>
            <w:noWrap/>
          </w:tcPr>
          <w:p w14:paraId="180521CC" w14:textId="77777777" w:rsidR="00EF11BB" w:rsidRPr="00664E64" w:rsidRDefault="00EF11BB" w:rsidP="007D624D">
            <w:pPr>
              <w:pStyle w:val="TableTextCentre"/>
              <w:rPr>
                <w:lang w:val="en-AU"/>
              </w:rPr>
            </w:pPr>
            <w:r w:rsidRPr="00664E64">
              <w:rPr>
                <w:lang w:val="en-AU"/>
              </w:rPr>
              <w:t>12.6</w:t>
            </w:r>
          </w:p>
        </w:tc>
        <w:tc>
          <w:tcPr>
            <w:tcW w:w="463" w:type="pct"/>
            <w:noWrap/>
          </w:tcPr>
          <w:p w14:paraId="17EE3CD2" w14:textId="77777777" w:rsidR="00EF11BB" w:rsidRPr="00664E64" w:rsidRDefault="00EF11BB" w:rsidP="007D624D">
            <w:pPr>
              <w:pStyle w:val="TableTextCentre"/>
              <w:rPr>
                <w:lang w:val="en-AU"/>
              </w:rPr>
            </w:pPr>
            <w:r w:rsidRPr="00664E64">
              <w:rPr>
                <w:lang w:val="en-AU"/>
              </w:rPr>
              <w:t>11.2</w:t>
            </w:r>
          </w:p>
        </w:tc>
        <w:tc>
          <w:tcPr>
            <w:tcW w:w="463" w:type="pct"/>
            <w:noWrap/>
          </w:tcPr>
          <w:p w14:paraId="299FF020" w14:textId="77777777" w:rsidR="00EF11BB" w:rsidRPr="00664E64" w:rsidRDefault="00EF11BB" w:rsidP="007D624D">
            <w:pPr>
              <w:pStyle w:val="TableTextCentre"/>
              <w:rPr>
                <w:lang w:val="en-AU"/>
              </w:rPr>
            </w:pPr>
            <w:r w:rsidRPr="00664E64">
              <w:rPr>
                <w:lang w:val="en-AU"/>
              </w:rPr>
              <w:t>5.7</w:t>
            </w:r>
          </w:p>
        </w:tc>
        <w:tc>
          <w:tcPr>
            <w:tcW w:w="433" w:type="pct"/>
            <w:noWrap/>
          </w:tcPr>
          <w:p w14:paraId="77CBB910" w14:textId="77777777" w:rsidR="00EF11BB" w:rsidRPr="00664E64" w:rsidRDefault="00EF11BB" w:rsidP="007D624D">
            <w:pPr>
              <w:pStyle w:val="TableTextCentre"/>
              <w:rPr>
                <w:lang w:val="en-AU"/>
              </w:rPr>
            </w:pPr>
            <w:r w:rsidRPr="00664E64">
              <w:rPr>
                <w:lang w:val="en-AU"/>
              </w:rPr>
              <w:t>20.4</w:t>
            </w:r>
          </w:p>
        </w:tc>
        <w:tc>
          <w:tcPr>
            <w:tcW w:w="631" w:type="pct"/>
            <w:noWrap/>
          </w:tcPr>
          <w:p w14:paraId="5D8798EA" w14:textId="77777777" w:rsidR="00EF11BB" w:rsidRPr="00664E64" w:rsidRDefault="00EF11BB" w:rsidP="007D624D">
            <w:pPr>
              <w:pStyle w:val="TableTextCentre"/>
              <w:rPr>
                <w:lang w:val="en-AU"/>
              </w:rPr>
            </w:pPr>
            <w:r w:rsidRPr="00664E64">
              <w:rPr>
                <w:lang w:val="en-AU"/>
              </w:rPr>
              <w:t>14.3</w:t>
            </w:r>
          </w:p>
        </w:tc>
        <w:tc>
          <w:tcPr>
            <w:tcW w:w="399" w:type="pct"/>
            <w:noWrap/>
          </w:tcPr>
          <w:p w14:paraId="36023DD2" w14:textId="77777777" w:rsidR="00EF11BB" w:rsidRPr="00664E64" w:rsidRDefault="00EF11BB" w:rsidP="007D624D">
            <w:pPr>
              <w:jc w:val="center"/>
              <w:rPr>
                <w:rFonts w:cs="Arial"/>
                <w:szCs w:val="20"/>
              </w:rPr>
            </w:pPr>
            <w:r w:rsidRPr="00664E64">
              <w:rPr>
                <w:rFonts w:cs="Arial"/>
                <w:szCs w:val="20"/>
              </w:rPr>
              <w:t>0.7</w:t>
            </w:r>
          </w:p>
        </w:tc>
      </w:tr>
      <w:tr w:rsidR="00EF11BB" w:rsidRPr="00664E64" w14:paraId="1124A9FF" w14:textId="77777777" w:rsidTr="009B3CFB">
        <w:trPr>
          <w:trHeight w:val="633"/>
        </w:trPr>
        <w:tc>
          <w:tcPr>
            <w:tcW w:w="678" w:type="pct"/>
            <w:hideMark/>
          </w:tcPr>
          <w:p w14:paraId="212806E5" w14:textId="77777777" w:rsidR="00EF11BB" w:rsidRPr="00664E64" w:rsidRDefault="00EF11BB" w:rsidP="007D624D">
            <w:pPr>
              <w:pStyle w:val="TableText"/>
              <w:rPr>
                <w:lang w:val="en-AU"/>
              </w:rPr>
            </w:pPr>
            <w:r w:rsidRPr="00664E64">
              <w:rPr>
                <w:lang w:val="en-AU"/>
              </w:rPr>
              <w:t>Harness racing (1,134)</w:t>
            </w:r>
          </w:p>
        </w:tc>
        <w:tc>
          <w:tcPr>
            <w:tcW w:w="631" w:type="pct"/>
          </w:tcPr>
          <w:p w14:paraId="179D3AD6" w14:textId="77777777" w:rsidR="00EF11BB" w:rsidRPr="00664E64" w:rsidRDefault="00EF11BB" w:rsidP="007D624D">
            <w:pPr>
              <w:pStyle w:val="TableTextCentre"/>
              <w:rPr>
                <w:lang w:val="en-AU"/>
              </w:rPr>
            </w:pPr>
            <w:r w:rsidRPr="00664E64">
              <w:rPr>
                <w:lang w:val="en-AU"/>
              </w:rPr>
              <w:t>2–3 times a month</w:t>
            </w:r>
          </w:p>
        </w:tc>
        <w:tc>
          <w:tcPr>
            <w:tcW w:w="434" w:type="pct"/>
            <w:noWrap/>
          </w:tcPr>
          <w:p w14:paraId="05E6EDB3" w14:textId="77777777" w:rsidR="00EF11BB" w:rsidRPr="00664E64" w:rsidRDefault="00EF11BB" w:rsidP="007D624D">
            <w:pPr>
              <w:pStyle w:val="TableTextCentre"/>
              <w:rPr>
                <w:lang w:val="en-AU"/>
              </w:rPr>
            </w:pPr>
            <w:r w:rsidRPr="00664E64">
              <w:rPr>
                <w:lang w:val="en-AU"/>
              </w:rPr>
              <w:t>11.1</w:t>
            </w:r>
          </w:p>
        </w:tc>
        <w:tc>
          <w:tcPr>
            <w:tcW w:w="433" w:type="pct"/>
            <w:noWrap/>
          </w:tcPr>
          <w:p w14:paraId="0739AA39" w14:textId="77777777" w:rsidR="00EF11BB" w:rsidRPr="00664E64" w:rsidRDefault="00EF11BB" w:rsidP="007D624D">
            <w:pPr>
              <w:pStyle w:val="TableTextCentre"/>
              <w:rPr>
                <w:lang w:val="en-AU"/>
              </w:rPr>
            </w:pPr>
            <w:r w:rsidRPr="00664E64">
              <w:rPr>
                <w:lang w:val="en-AU"/>
              </w:rPr>
              <w:t>13.8</w:t>
            </w:r>
          </w:p>
        </w:tc>
        <w:tc>
          <w:tcPr>
            <w:tcW w:w="434" w:type="pct"/>
            <w:noWrap/>
          </w:tcPr>
          <w:p w14:paraId="4A43F70B" w14:textId="77777777" w:rsidR="00EF11BB" w:rsidRPr="00664E64" w:rsidRDefault="00EF11BB" w:rsidP="007D624D">
            <w:pPr>
              <w:pStyle w:val="TableTextCentre"/>
              <w:rPr>
                <w:lang w:val="en-AU"/>
              </w:rPr>
            </w:pPr>
            <w:r w:rsidRPr="00664E64">
              <w:rPr>
                <w:lang w:val="en-AU"/>
              </w:rPr>
              <w:t>16.0</w:t>
            </w:r>
          </w:p>
        </w:tc>
        <w:tc>
          <w:tcPr>
            <w:tcW w:w="463" w:type="pct"/>
            <w:noWrap/>
          </w:tcPr>
          <w:p w14:paraId="2C692C86" w14:textId="77777777" w:rsidR="00EF11BB" w:rsidRPr="00664E64" w:rsidRDefault="00EF11BB" w:rsidP="007D624D">
            <w:pPr>
              <w:pStyle w:val="TableTextCentre"/>
              <w:rPr>
                <w:lang w:val="en-AU"/>
              </w:rPr>
            </w:pPr>
            <w:r w:rsidRPr="00664E64">
              <w:rPr>
                <w:lang w:val="en-AU"/>
              </w:rPr>
              <w:t>12.5</w:t>
            </w:r>
          </w:p>
        </w:tc>
        <w:tc>
          <w:tcPr>
            <w:tcW w:w="463" w:type="pct"/>
            <w:noWrap/>
          </w:tcPr>
          <w:p w14:paraId="59DDEE1D" w14:textId="77777777" w:rsidR="00EF11BB" w:rsidRPr="00664E64" w:rsidRDefault="00EF11BB" w:rsidP="007D624D">
            <w:pPr>
              <w:pStyle w:val="TableTextCentre"/>
              <w:rPr>
                <w:lang w:val="en-AU"/>
              </w:rPr>
            </w:pPr>
            <w:r w:rsidRPr="00664E64">
              <w:rPr>
                <w:lang w:val="en-AU"/>
              </w:rPr>
              <w:t>13.0</w:t>
            </w:r>
          </w:p>
        </w:tc>
        <w:tc>
          <w:tcPr>
            <w:tcW w:w="433" w:type="pct"/>
            <w:noWrap/>
          </w:tcPr>
          <w:p w14:paraId="3204BBC8" w14:textId="77777777" w:rsidR="00EF11BB" w:rsidRPr="00664E64" w:rsidRDefault="00EF11BB" w:rsidP="007D624D">
            <w:pPr>
              <w:pStyle w:val="TableTextCentre"/>
              <w:rPr>
                <w:lang w:val="en-AU"/>
              </w:rPr>
            </w:pPr>
            <w:r w:rsidRPr="00664E64">
              <w:rPr>
                <w:lang w:val="en-AU"/>
              </w:rPr>
              <w:t>21.9</w:t>
            </w:r>
          </w:p>
        </w:tc>
        <w:tc>
          <w:tcPr>
            <w:tcW w:w="631" w:type="pct"/>
            <w:noWrap/>
          </w:tcPr>
          <w:p w14:paraId="7AA4BB0C" w14:textId="77777777" w:rsidR="00EF11BB" w:rsidRPr="00664E64" w:rsidRDefault="00EF11BB" w:rsidP="007D624D">
            <w:pPr>
              <w:pStyle w:val="TableTextCentre"/>
              <w:rPr>
                <w:lang w:val="en-AU"/>
              </w:rPr>
            </w:pPr>
            <w:r w:rsidRPr="00664E64">
              <w:rPr>
                <w:lang w:val="en-AU"/>
              </w:rPr>
              <w:t>8.5</w:t>
            </w:r>
          </w:p>
        </w:tc>
        <w:tc>
          <w:tcPr>
            <w:tcW w:w="399" w:type="pct"/>
            <w:noWrap/>
          </w:tcPr>
          <w:p w14:paraId="1CA8C1EF" w14:textId="77777777" w:rsidR="00EF11BB" w:rsidRPr="00664E64" w:rsidRDefault="00EF11BB" w:rsidP="007D624D">
            <w:pPr>
              <w:jc w:val="center"/>
              <w:rPr>
                <w:rFonts w:cs="Arial"/>
                <w:szCs w:val="20"/>
              </w:rPr>
            </w:pPr>
            <w:r w:rsidRPr="00664E64">
              <w:rPr>
                <w:rFonts w:cs="Arial"/>
                <w:szCs w:val="20"/>
              </w:rPr>
              <w:t>3.2</w:t>
            </w:r>
          </w:p>
        </w:tc>
      </w:tr>
      <w:tr w:rsidR="00EF11BB" w:rsidRPr="00664E64" w14:paraId="5199E348" w14:textId="77777777" w:rsidTr="009B3CFB">
        <w:trPr>
          <w:trHeight w:val="633"/>
        </w:trPr>
        <w:tc>
          <w:tcPr>
            <w:tcW w:w="678" w:type="pct"/>
            <w:hideMark/>
          </w:tcPr>
          <w:p w14:paraId="469A49A5" w14:textId="77777777" w:rsidR="00EF11BB" w:rsidRPr="00664E64" w:rsidRDefault="00EF11BB" w:rsidP="007D624D">
            <w:pPr>
              <w:pStyle w:val="TableText"/>
              <w:rPr>
                <w:lang w:val="en-AU"/>
              </w:rPr>
            </w:pPr>
            <w:r w:rsidRPr="00664E64">
              <w:rPr>
                <w:lang w:val="en-AU"/>
              </w:rPr>
              <w:t>Greyhound racing (1,610)</w:t>
            </w:r>
          </w:p>
        </w:tc>
        <w:tc>
          <w:tcPr>
            <w:tcW w:w="631" w:type="pct"/>
          </w:tcPr>
          <w:p w14:paraId="280806A6" w14:textId="77777777" w:rsidR="00EF11BB" w:rsidRPr="00664E64" w:rsidRDefault="00EF11BB" w:rsidP="007D624D">
            <w:pPr>
              <w:pStyle w:val="TableTextCentre"/>
              <w:rPr>
                <w:lang w:val="en-AU"/>
              </w:rPr>
            </w:pPr>
            <w:r w:rsidRPr="00664E64">
              <w:rPr>
                <w:lang w:val="en-AU"/>
              </w:rPr>
              <w:t>2–3 times a month</w:t>
            </w:r>
          </w:p>
        </w:tc>
        <w:tc>
          <w:tcPr>
            <w:tcW w:w="434" w:type="pct"/>
            <w:noWrap/>
          </w:tcPr>
          <w:p w14:paraId="56F3E1A0" w14:textId="77777777" w:rsidR="00EF11BB" w:rsidRPr="00664E64" w:rsidRDefault="00EF11BB" w:rsidP="007D624D">
            <w:pPr>
              <w:pStyle w:val="TableTextCentre"/>
              <w:rPr>
                <w:lang w:val="en-AU"/>
              </w:rPr>
            </w:pPr>
            <w:r w:rsidRPr="00664E64">
              <w:rPr>
                <w:lang w:val="en-AU"/>
              </w:rPr>
              <w:t>14.1</w:t>
            </w:r>
          </w:p>
        </w:tc>
        <w:tc>
          <w:tcPr>
            <w:tcW w:w="433" w:type="pct"/>
            <w:noWrap/>
          </w:tcPr>
          <w:p w14:paraId="6523905D" w14:textId="77777777" w:rsidR="00EF11BB" w:rsidRPr="00664E64" w:rsidRDefault="00EF11BB" w:rsidP="007D624D">
            <w:pPr>
              <w:pStyle w:val="TableTextCentre"/>
              <w:rPr>
                <w:lang w:val="en-AU"/>
              </w:rPr>
            </w:pPr>
            <w:r w:rsidRPr="00664E64">
              <w:rPr>
                <w:lang w:val="en-AU"/>
              </w:rPr>
              <w:t>13.9</w:t>
            </w:r>
          </w:p>
        </w:tc>
        <w:tc>
          <w:tcPr>
            <w:tcW w:w="434" w:type="pct"/>
            <w:noWrap/>
          </w:tcPr>
          <w:p w14:paraId="20662670" w14:textId="77777777" w:rsidR="00EF11BB" w:rsidRPr="00664E64" w:rsidRDefault="00EF11BB" w:rsidP="007D624D">
            <w:pPr>
              <w:pStyle w:val="TableTextCentre"/>
              <w:rPr>
                <w:lang w:val="en-AU"/>
              </w:rPr>
            </w:pPr>
            <w:r w:rsidRPr="00664E64">
              <w:rPr>
                <w:lang w:val="en-AU"/>
              </w:rPr>
              <w:t>15.2</w:t>
            </w:r>
          </w:p>
        </w:tc>
        <w:tc>
          <w:tcPr>
            <w:tcW w:w="463" w:type="pct"/>
            <w:noWrap/>
          </w:tcPr>
          <w:p w14:paraId="09DD6AB0" w14:textId="77777777" w:rsidR="00EF11BB" w:rsidRPr="00664E64" w:rsidRDefault="00EF11BB" w:rsidP="007D624D">
            <w:pPr>
              <w:pStyle w:val="TableTextCentre"/>
              <w:rPr>
                <w:lang w:val="en-AU"/>
              </w:rPr>
            </w:pPr>
            <w:r w:rsidRPr="00664E64">
              <w:rPr>
                <w:lang w:val="en-AU"/>
              </w:rPr>
              <w:t>14.8</w:t>
            </w:r>
          </w:p>
        </w:tc>
        <w:tc>
          <w:tcPr>
            <w:tcW w:w="463" w:type="pct"/>
            <w:noWrap/>
          </w:tcPr>
          <w:p w14:paraId="0E5286CE" w14:textId="77777777" w:rsidR="00EF11BB" w:rsidRPr="00664E64" w:rsidRDefault="00EF11BB" w:rsidP="007D624D">
            <w:pPr>
              <w:pStyle w:val="TableTextCentre"/>
              <w:rPr>
                <w:lang w:val="en-AU"/>
              </w:rPr>
            </w:pPr>
            <w:r w:rsidRPr="00664E64">
              <w:rPr>
                <w:lang w:val="en-AU"/>
              </w:rPr>
              <w:t>10.1</w:t>
            </w:r>
          </w:p>
        </w:tc>
        <w:tc>
          <w:tcPr>
            <w:tcW w:w="433" w:type="pct"/>
            <w:noWrap/>
          </w:tcPr>
          <w:p w14:paraId="0F0A4E67" w14:textId="77777777" w:rsidR="00EF11BB" w:rsidRPr="00664E64" w:rsidRDefault="00EF11BB" w:rsidP="007D624D">
            <w:pPr>
              <w:pStyle w:val="TableTextCentre"/>
              <w:rPr>
                <w:lang w:val="en-AU"/>
              </w:rPr>
            </w:pPr>
            <w:r w:rsidRPr="00664E64">
              <w:rPr>
                <w:lang w:val="en-AU"/>
              </w:rPr>
              <w:t>21.2</w:t>
            </w:r>
          </w:p>
        </w:tc>
        <w:tc>
          <w:tcPr>
            <w:tcW w:w="631" w:type="pct"/>
            <w:noWrap/>
          </w:tcPr>
          <w:p w14:paraId="196E766C" w14:textId="77777777" w:rsidR="00EF11BB" w:rsidRPr="00664E64" w:rsidRDefault="00EF11BB" w:rsidP="007D624D">
            <w:pPr>
              <w:pStyle w:val="TableTextCentre"/>
              <w:rPr>
                <w:lang w:val="en-AU"/>
              </w:rPr>
            </w:pPr>
            <w:r w:rsidRPr="00664E64">
              <w:rPr>
                <w:lang w:val="en-AU"/>
              </w:rPr>
              <w:t>8.3</w:t>
            </w:r>
          </w:p>
        </w:tc>
        <w:tc>
          <w:tcPr>
            <w:tcW w:w="399" w:type="pct"/>
            <w:noWrap/>
          </w:tcPr>
          <w:p w14:paraId="3DC1DF22" w14:textId="77777777" w:rsidR="00EF11BB" w:rsidRPr="00664E64" w:rsidRDefault="00EF11BB" w:rsidP="007D624D">
            <w:pPr>
              <w:jc w:val="center"/>
              <w:rPr>
                <w:rFonts w:cs="Arial"/>
                <w:szCs w:val="20"/>
              </w:rPr>
            </w:pPr>
            <w:r w:rsidRPr="00664E64">
              <w:rPr>
                <w:rFonts w:cs="Arial"/>
                <w:szCs w:val="20"/>
              </w:rPr>
              <w:t>2.5</w:t>
            </w:r>
          </w:p>
        </w:tc>
      </w:tr>
      <w:tr w:rsidR="00EF11BB" w:rsidRPr="00664E64" w14:paraId="3DCC8149" w14:textId="77777777" w:rsidTr="009B3CFB">
        <w:trPr>
          <w:trHeight w:val="633"/>
        </w:trPr>
        <w:tc>
          <w:tcPr>
            <w:tcW w:w="678" w:type="pct"/>
            <w:hideMark/>
          </w:tcPr>
          <w:p w14:paraId="17B12962" w14:textId="77777777" w:rsidR="00EF11BB" w:rsidRPr="00664E64" w:rsidRDefault="00EF11BB" w:rsidP="007D624D">
            <w:pPr>
              <w:pStyle w:val="TableText"/>
              <w:rPr>
                <w:lang w:val="en-AU"/>
              </w:rPr>
            </w:pPr>
            <w:r w:rsidRPr="00664E64">
              <w:rPr>
                <w:lang w:val="en-AU"/>
              </w:rPr>
              <w:t>Fantasy sports (189)</w:t>
            </w:r>
          </w:p>
        </w:tc>
        <w:tc>
          <w:tcPr>
            <w:tcW w:w="631" w:type="pct"/>
          </w:tcPr>
          <w:p w14:paraId="028D617B" w14:textId="77777777" w:rsidR="00EF11BB" w:rsidRPr="00664E64" w:rsidRDefault="00EF11BB" w:rsidP="007D624D">
            <w:pPr>
              <w:pStyle w:val="TableTextCentre"/>
              <w:rPr>
                <w:lang w:val="en-AU"/>
              </w:rPr>
            </w:pPr>
            <w:r w:rsidRPr="00664E64">
              <w:rPr>
                <w:lang w:val="en-AU"/>
              </w:rPr>
              <w:t>Once a week</w:t>
            </w:r>
          </w:p>
        </w:tc>
        <w:tc>
          <w:tcPr>
            <w:tcW w:w="434" w:type="pct"/>
            <w:noWrap/>
          </w:tcPr>
          <w:p w14:paraId="04E16D1A" w14:textId="77777777" w:rsidR="00EF11BB" w:rsidRPr="00664E64" w:rsidRDefault="00EF11BB" w:rsidP="007D624D">
            <w:pPr>
              <w:pStyle w:val="TableTextCentre"/>
              <w:rPr>
                <w:lang w:val="en-AU"/>
              </w:rPr>
            </w:pPr>
            <w:r w:rsidRPr="00664E64">
              <w:rPr>
                <w:lang w:val="en-AU"/>
              </w:rPr>
              <w:t>32.8</w:t>
            </w:r>
          </w:p>
        </w:tc>
        <w:tc>
          <w:tcPr>
            <w:tcW w:w="433" w:type="pct"/>
            <w:noWrap/>
          </w:tcPr>
          <w:p w14:paraId="57232183" w14:textId="77777777" w:rsidR="00EF11BB" w:rsidRPr="00664E64" w:rsidRDefault="00EF11BB" w:rsidP="007D624D">
            <w:pPr>
              <w:pStyle w:val="TableTextCentre"/>
              <w:rPr>
                <w:lang w:val="en-AU"/>
              </w:rPr>
            </w:pPr>
            <w:r w:rsidRPr="00664E64">
              <w:rPr>
                <w:lang w:val="en-AU"/>
              </w:rPr>
              <w:t>12.7</w:t>
            </w:r>
          </w:p>
        </w:tc>
        <w:tc>
          <w:tcPr>
            <w:tcW w:w="434" w:type="pct"/>
            <w:noWrap/>
          </w:tcPr>
          <w:p w14:paraId="79C98FB8" w14:textId="77777777" w:rsidR="00EF11BB" w:rsidRPr="00664E64" w:rsidRDefault="00EF11BB" w:rsidP="007D624D">
            <w:pPr>
              <w:pStyle w:val="TableTextCentre"/>
              <w:rPr>
                <w:lang w:val="en-AU"/>
              </w:rPr>
            </w:pPr>
            <w:r w:rsidRPr="00664E64">
              <w:rPr>
                <w:lang w:val="en-AU"/>
              </w:rPr>
              <w:t>14.3</w:t>
            </w:r>
          </w:p>
        </w:tc>
        <w:tc>
          <w:tcPr>
            <w:tcW w:w="463" w:type="pct"/>
            <w:noWrap/>
          </w:tcPr>
          <w:p w14:paraId="449B8167" w14:textId="77777777" w:rsidR="00EF11BB" w:rsidRPr="00664E64" w:rsidRDefault="00EF11BB" w:rsidP="007D624D">
            <w:pPr>
              <w:pStyle w:val="TableTextCentre"/>
              <w:rPr>
                <w:lang w:val="en-AU"/>
              </w:rPr>
            </w:pPr>
            <w:r w:rsidRPr="00664E64">
              <w:rPr>
                <w:lang w:val="en-AU"/>
              </w:rPr>
              <w:t>7.4</w:t>
            </w:r>
          </w:p>
        </w:tc>
        <w:tc>
          <w:tcPr>
            <w:tcW w:w="463" w:type="pct"/>
            <w:noWrap/>
          </w:tcPr>
          <w:p w14:paraId="1CC01420" w14:textId="77777777" w:rsidR="00EF11BB" w:rsidRPr="00664E64" w:rsidRDefault="00EF11BB" w:rsidP="007D624D">
            <w:pPr>
              <w:pStyle w:val="TableTextCentre"/>
              <w:rPr>
                <w:lang w:val="en-AU"/>
              </w:rPr>
            </w:pPr>
            <w:r w:rsidRPr="00664E64">
              <w:rPr>
                <w:lang w:val="en-AU"/>
              </w:rPr>
              <w:t>6.9</w:t>
            </w:r>
          </w:p>
        </w:tc>
        <w:tc>
          <w:tcPr>
            <w:tcW w:w="433" w:type="pct"/>
            <w:noWrap/>
          </w:tcPr>
          <w:p w14:paraId="0FD0E2F3" w14:textId="77777777" w:rsidR="00EF11BB" w:rsidRPr="00664E64" w:rsidRDefault="00EF11BB" w:rsidP="007D624D">
            <w:pPr>
              <w:pStyle w:val="TableTextCentre"/>
              <w:rPr>
                <w:lang w:val="en-AU"/>
              </w:rPr>
            </w:pPr>
            <w:r w:rsidRPr="00664E64">
              <w:rPr>
                <w:lang w:val="en-AU"/>
              </w:rPr>
              <w:t>10.1</w:t>
            </w:r>
          </w:p>
        </w:tc>
        <w:tc>
          <w:tcPr>
            <w:tcW w:w="631" w:type="pct"/>
            <w:noWrap/>
          </w:tcPr>
          <w:p w14:paraId="5B9F3727" w14:textId="77777777" w:rsidR="00EF11BB" w:rsidRPr="00664E64" w:rsidRDefault="00EF11BB" w:rsidP="007D624D">
            <w:pPr>
              <w:pStyle w:val="TableTextCentre"/>
              <w:rPr>
                <w:lang w:val="en-AU"/>
              </w:rPr>
            </w:pPr>
            <w:r w:rsidRPr="00664E64">
              <w:rPr>
                <w:lang w:val="en-AU"/>
              </w:rPr>
              <w:t>8.5</w:t>
            </w:r>
          </w:p>
        </w:tc>
        <w:tc>
          <w:tcPr>
            <w:tcW w:w="399" w:type="pct"/>
            <w:noWrap/>
          </w:tcPr>
          <w:p w14:paraId="0613B9D3" w14:textId="77777777" w:rsidR="00EF11BB" w:rsidRPr="00664E64" w:rsidRDefault="00EF11BB" w:rsidP="007D624D">
            <w:pPr>
              <w:jc w:val="center"/>
              <w:rPr>
                <w:rFonts w:cs="Arial"/>
                <w:szCs w:val="20"/>
              </w:rPr>
            </w:pPr>
            <w:r w:rsidRPr="00664E64">
              <w:rPr>
                <w:rFonts w:cs="Arial"/>
                <w:szCs w:val="20"/>
              </w:rPr>
              <w:t>7.4</w:t>
            </w:r>
          </w:p>
        </w:tc>
      </w:tr>
      <w:tr w:rsidR="00EF11BB" w:rsidRPr="00664E64" w14:paraId="29B32E9D" w14:textId="77777777" w:rsidTr="009B3CFB">
        <w:trPr>
          <w:trHeight w:val="633"/>
        </w:trPr>
        <w:tc>
          <w:tcPr>
            <w:tcW w:w="678" w:type="pct"/>
            <w:hideMark/>
          </w:tcPr>
          <w:p w14:paraId="698898BF" w14:textId="77777777" w:rsidR="00EF11BB" w:rsidRPr="00664E64" w:rsidRDefault="00EF11BB" w:rsidP="007D624D">
            <w:pPr>
              <w:pStyle w:val="TableText"/>
              <w:rPr>
                <w:lang w:val="en-AU"/>
              </w:rPr>
            </w:pPr>
            <w:r w:rsidRPr="00664E64">
              <w:rPr>
                <w:lang w:val="en-AU"/>
              </w:rPr>
              <w:t>eSports (130)</w:t>
            </w:r>
          </w:p>
        </w:tc>
        <w:tc>
          <w:tcPr>
            <w:tcW w:w="631" w:type="pct"/>
          </w:tcPr>
          <w:p w14:paraId="3858BF50" w14:textId="77777777" w:rsidR="00EF11BB" w:rsidRPr="00664E64" w:rsidRDefault="00EF11BB" w:rsidP="007D624D">
            <w:pPr>
              <w:pStyle w:val="TableTextCentre"/>
              <w:rPr>
                <w:lang w:val="en-AU"/>
              </w:rPr>
            </w:pPr>
            <w:r w:rsidRPr="00664E64">
              <w:rPr>
                <w:lang w:val="en-AU"/>
              </w:rPr>
              <w:t>Once a month</w:t>
            </w:r>
          </w:p>
        </w:tc>
        <w:tc>
          <w:tcPr>
            <w:tcW w:w="434" w:type="pct"/>
            <w:noWrap/>
          </w:tcPr>
          <w:p w14:paraId="3FB0376E" w14:textId="77777777" w:rsidR="00EF11BB" w:rsidRPr="00664E64" w:rsidRDefault="00EF11BB" w:rsidP="007D624D">
            <w:pPr>
              <w:pStyle w:val="TableTextCentre"/>
              <w:rPr>
                <w:lang w:val="en-AU"/>
              </w:rPr>
            </w:pPr>
            <w:r w:rsidRPr="00664E64">
              <w:rPr>
                <w:lang w:val="en-AU"/>
              </w:rPr>
              <w:t>11.5</w:t>
            </w:r>
          </w:p>
        </w:tc>
        <w:tc>
          <w:tcPr>
            <w:tcW w:w="433" w:type="pct"/>
            <w:noWrap/>
          </w:tcPr>
          <w:p w14:paraId="664B48DB" w14:textId="77777777" w:rsidR="00EF11BB" w:rsidRPr="00664E64" w:rsidRDefault="00EF11BB" w:rsidP="007D624D">
            <w:pPr>
              <w:pStyle w:val="TableTextCentre"/>
              <w:rPr>
                <w:lang w:val="en-AU"/>
              </w:rPr>
            </w:pPr>
            <w:r w:rsidRPr="00664E64">
              <w:rPr>
                <w:lang w:val="en-AU"/>
              </w:rPr>
              <w:t>10.0</w:t>
            </w:r>
          </w:p>
        </w:tc>
        <w:tc>
          <w:tcPr>
            <w:tcW w:w="434" w:type="pct"/>
            <w:noWrap/>
          </w:tcPr>
          <w:p w14:paraId="7136E7DA" w14:textId="77777777" w:rsidR="00EF11BB" w:rsidRPr="00664E64" w:rsidRDefault="00EF11BB" w:rsidP="007D624D">
            <w:pPr>
              <w:pStyle w:val="TableTextCentre"/>
              <w:rPr>
                <w:lang w:val="en-AU"/>
              </w:rPr>
            </w:pPr>
            <w:r w:rsidRPr="00664E64">
              <w:rPr>
                <w:lang w:val="en-AU"/>
              </w:rPr>
              <w:t>12.3</w:t>
            </w:r>
          </w:p>
        </w:tc>
        <w:tc>
          <w:tcPr>
            <w:tcW w:w="463" w:type="pct"/>
            <w:noWrap/>
          </w:tcPr>
          <w:p w14:paraId="62697E6B" w14:textId="77777777" w:rsidR="00EF11BB" w:rsidRPr="00664E64" w:rsidRDefault="00EF11BB" w:rsidP="007D624D">
            <w:pPr>
              <w:pStyle w:val="TableTextCentre"/>
              <w:rPr>
                <w:lang w:val="en-AU"/>
              </w:rPr>
            </w:pPr>
            <w:r w:rsidRPr="00664E64">
              <w:rPr>
                <w:lang w:val="en-AU"/>
              </w:rPr>
              <w:t>8.5</w:t>
            </w:r>
          </w:p>
        </w:tc>
        <w:tc>
          <w:tcPr>
            <w:tcW w:w="463" w:type="pct"/>
            <w:noWrap/>
          </w:tcPr>
          <w:p w14:paraId="0423C231" w14:textId="77777777" w:rsidR="00EF11BB" w:rsidRPr="00664E64" w:rsidRDefault="00EF11BB" w:rsidP="007D624D">
            <w:pPr>
              <w:pStyle w:val="TableTextCentre"/>
              <w:rPr>
                <w:lang w:val="en-AU"/>
              </w:rPr>
            </w:pPr>
            <w:r w:rsidRPr="00664E64">
              <w:rPr>
                <w:lang w:val="en-AU"/>
              </w:rPr>
              <w:t>11.5</w:t>
            </w:r>
          </w:p>
        </w:tc>
        <w:tc>
          <w:tcPr>
            <w:tcW w:w="433" w:type="pct"/>
            <w:noWrap/>
          </w:tcPr>
          <w:p w14:paraId="6ADD73D1" w14:textId="77777777" w:rsidR="00EF11BB" w:rsidRPr="00664E64" w:rsidRDefault="00EF11BB" w:rsidP="007D624D">
            <w:pPr>
              <w:pStyle w:val="TableTextCentre"/>
              <w:rPr>
                <w:lang w:val="en-AU"/>
              </w:rPr>
            </w:pPr>
            <w:r w:rsidRPr="00664E64">
              <w:rPr>
                <w:lang w:val="en-AU"/>
              </w:rPr>
              <w:t>23.1</w:t>
            </w:r>
          </w:p>
        </w:tc>
        <w:tc>
          <w:tcPr>
            <w:tcW w:w="631" w:type="pct"/>
            <w:noWrap/>
          </w:tcPr>
          <w:p w14:paraId="4CB10499" w14:textId="77777777" w:rsidR="00EF11BB" w:rsidRPr="00664E64" w:rsidRDefault="00EF11BB" w:rsidP="007D624D">
            <w:pPr>
              <w:pStyle w:val="TableTextCentre"/>
              <w:rPr>
                <w:lang w:val="en-AU"/>
              </w:rPr>
            </w:pPr>
            <w:r w:rsidRPr="00664E64">
              <w:rPr>
                <w:lang w:val="en-AU"/>
              </w:rPr>
              <w:t>17.7</w:t>
            </w:r>
          </w:p>
        </w:tc>
        <w:tc>
          <w:tcPr>
            <w:tcW w:w="399" w:type="pct"/>
            <w:noWrap/>
          </w:tcPr>
          <w:p w14:paraId="3E0A3C2C" w14:textId="77777777" w:rsidR="00EF11BB" w:rsidRPr="00664E64" w:rsidRDefault="00EF11BB" w:rsidP="007D624D">
            <w:pPr>
              <w:jc w:val="center"/>
              <w:rPr>
                <w:rFonts w:cs="Arial"/>
                <w:szCs w:val="20"/>
              </w:rPr>
            </w:pPr>
            <w:r w:rsidRPr="00664E64">
              <w:rPr>
                <w:rFonts w:cs="Arial"/>
                <w:szCs w:val="20"/>
              </w:rPr>
              <w:t>5.4</w:t>
            </w:r>
          </w:p>
        </w:tc>
      </w:tr>
      <w:tr w:rsidR="00EF11BB" w:rsidRPr="00664E64" w14:paraId="53864359" w14:textId="77777777" w:rsidTr="009B3CFB">
        <w:trPr>
          <w:trHeight w:val="633"/>
        </w:trPr>
        <w:tc>
          <w:tcPr>
            <w:tcW w:w="678" w:type="pct"/>
            <w:hideMark/>
          </w:tcPr>
          <w:p w14:paraId="5A101393" w14:textId="77777777" w:rsidR="00EF11BB" w:rsidRPr="00664E64" w:rsidRDefault="00EF11BB" w:rsidP="007D624D">
            <w:pPr>
              <w:pStyle w:val="TableText"/>
              <w:rPr>
                <w:lang w:val="en-AU"/>
              </w:rPr>
            </w:pPr>
            <w:r w:rsidRPr="00664E64">
              <w:rPr>
                <w:lang w:val="en-AU"/>
              </w:rPr>
              <w:t>TV event/shows (199)</w:t>
            </w:r>
          </w:p>
        </w:tc>
        <w:tc>
          <w:tcPr>
            <w:tcW w:w="631" w:type="pct"/>
          </w:tcPr>
          <w:p w14:paraId="35CBE6BD" w14:textId="77777777" w:rsidR="00EF11BB" w:rsidRPr="00664E64" w:rsidRDefault="00EF11BB" w:rsidP="007D624D">
            <w:pPr>
              <w:pStyle w:val="TableTextCentre"/>
              <w:rPr>
                <w:lang w:val="en-AU"/>
              </w:rPr>
            </w:pPr>
            <w:r w:rsidRPr="00664E64">
              <w:rPr>
                <w:lang w:val="en-AU"/>
              </w:rPr>
              <w:t>Once/twice a year</w:t>
            </w:r>
          </w:p>
        </w:tc>
        <w:tc>
          <w:tcPr>
            <w:tcW w:w="434" w:type="pct"/>
            <w:noWrap/>
          </w:tcPr>
          <w:p w14:paraId="6A5FAF8F" w14:textId="77777777" w:rsidR="00EF11BB" w:rsidRPr="00664E64" w:rsidRDefault="00EF11BB" w:rsidP="007D624D">
            <w:pPr>
              <w:pStyle w:val="TableTextCentre"/>
              <w:rPr>
                <w:lang w:val="en-AU"/>
              </w:rPr>
            </w:pPr>
            <w:r w:rsidRPr="00664E64">
              <w:rPr>
                <w:lang w:val="en-AU"/>
              </w:rPr>
              <w:t>3.0</w:t>
            </w:r>
          </w:p>
        </w:tc>
        <w:tc>
          <w:tcPr>
            <w:tcW w:w="433" w:type="pct"/>
            <w:noWrap/>
          </w:tcPr>
          <w:p w14:paraId="73DEE50D" w14:textId="77777777" w:rsidR="00EF11BB" w:rsidRPr="00664E64" w:rsidRDefault="00EF11BB" w:rsidP="007D624D">
            <w:pPr>
              <w:pStyle w:val="TableTextCentre"/>
              <w:rPr>
                <w:lang w:val="en-AU"/>
              </w:rPr>
            </w:pPr>
            <w:r w:rsidRPr="00664E64">
              <w:rPr>
                <w:lang w:val="en-AU"/>
              </w:rPr>
              <w:t>4.0</w:t>
            </w:r>
          </w:p>
        </w:tc>
        <w:tc>
          <w:tcPr>
            <w:tcW w:w="434" w:type="pct"/>
            <w:noWrap/>
          </w:tcPr>
          <w:p w14:paraId="49061756" w14:textId="77777777" w:rsidR="00EF11BB" w:rsidRPr="00664E64" w:rsidRDefault="00EF11BB" w:rsidP="007D624D">
            <w:pPr>
              <w:pStyle w:val="TableTextCentre"/>
              <w:rPr>
                <w:lang w:val="en-AU"/>
              </w:rPr>
            </w:pPr>
            <w:r w:rsidRPr="00664E64">
              <w:rPr>
                <w:lang w:val="en-AU"/>
              </w:rPr>
              <w:t>7.0</w:t>
            </w:r>
          </w:p>
        </w:tc>
        <w:tc>
          <w:tcPr>
            <w:tcW w:w="463" w:type="pct"/>
            <w:noWrap/>
          </w:tcPr>
          <w:p w14:paraId="09BA2293" w14:textId="77777777" w:rsidR="00EF11BB" w:rsidRPr="00664E64" w:rsidRDefault="00EF11BB" w:rsidP="007D624D">
            <w:pPr>
              <w:pStyle w:val="TableTextCentre"/>
              <w:rPr>
                <w:lang w:val="en-AU"/>
              </w:rPr>
            </w:pPr>
            <w:r w:rsidRPr="00664E64">
              <w:rPr>
                <w:lang w:val="en-AU"/>
              </w:rPr>
              <w:t>3.0</w:t>
            </w:r>
          </w:p>
        </w:tc>
        <w:tc>
          <w:tcPr>
            <w:tcW w:w="463" w:type="pct"/>
            <w:noWrap/>
          </w:tcPr>
          <w:p w14:paraId="44CD1D32" w14:textId="77777777" w:rsidR="00EF11BB" w:rsidRPr="00664E64" w:rsidRDefault="00EF11BB" w:rsidP="007D624D">
            <w:pPr>
              <w:pStyle w:val="TableTextCentre"/>
              <w:rPr>
                <w:lang w:val="en-AU"/>
              </w:rPr>
            </w:pPr>
            <w:r w:rsidRPr="00664E64">
              <w:rPr>
                <w:lang w:val="en-AU"/>
              </w:rPr>
              <w:t>5.5</w:t>
            </w:r>
          </w:p>
        </w:tc>
        <w:tc>
          <w:tcPr>
            <w:tcW w:w="433" w:type="pct"/>
            <w:noWrap/>
          </w:tcPr>
          <w:p w14:paraId="0BE5DF0F" w14:textId="77777777" w:rsidR="00EF11BB" w:rsidRPr="00664E64" w:rsidRDefault="00EF11BB" w:rsidP="007D624D">
            <w:pPr>
              <w:pStyle w:val="TableTextCentre"/>
              <w:rPr>
                <w:lang w:val="en-AU"/>
              </w:rPr>
            </w:pPr>
            <w:r w:rsidRPr="00664E64">
              <w:rPr>
                <w:lang w:val="en-AU"/>
              </w:rPr>
              <w:t>23.6</w:t>
            </w:r>
          </w:p>
        </w:tc>
        <w:tc>
          <w:tcPr>
            <w:tcW w:w="631" w:type="pct"/>
            <w:noWrap/>
          </w:tcPr>
          <w:p w14:paraId="0CAAF867" w14:textId="77777777" w:rsidR="00EF11BB" w:rsidRPr="00664E64" w:rsidRDefault="00EF11BB" w:rsidP="007D624D">
            <w:pPr>
              <w:pStyle w:val="TableTextCentre"/>
              <w:rPr>
                <w:lang w:val="en-AU"/>
              </w:rPr>
            </w:pPr>
            <w:r w:rsidRPr="00664E64">
              <w:rPr>
                <w:lang w:val="en-AU"/>
              </w:rPr>
              <w:t>51.3</w:t>
            </w:r>
          </w:p>
        </w:tc>
        <w:tc>
          <w:tcPr>
            <w:tcW w:w="399" w:type="pct"/>
            <w:noWrap/>
          </w:tcPr>
          <w:p w14:paraId="16083281" w14:textId="77777777" w:rsidR="00EF11BB" w:rsidRPr="00664E64" w:rsidRDefault="00EF11BB" w:rsidP="007D624D">
            <w:pPr>
              <w:jc w:val="center"/>
              <w:rPr>
                <w:rFonts w:cs="Arial"/>
                <w:szCs w:val="20"/>
              </w:rPr>
            </w:pPr>
            <w:r w:rsidRPr="00664E64">
              <w:rPr>
                <w:rFonts w:cs="Arial"/>
                <w:szCs w:val="20"/>
              </w:rPr>
              <w:t>2.5</w:t>
            </w:r>
          </w:p>
        </w:tc>
      </w:tr>
      <w:tr w:rsidR="00EF11BB" w:rsidRPr="00664E64" w14:paraId="2AB94A26" w14:textId="77777777" w:rsidTr="009B3CFB">
        <w:trPr>
          <w:trHeight w:val="633"/>
        </w:trPr>
        <w:tc>
          <w:tcPr>
            <w:tcW w:w="678" w:type="pct"/>
            <w:hideMark/>
          </w:tcPr>
          <w:p w14:paraId="60D287EB" w14:textId="77777777" w:rsidR="00EF11BB" w:rsidRPr="00664E64" w:rsidRDefault="00EF11BB" w:rsidP="007D624D">
            <w:pPr>
              <w:pStyle w:val="TableText"/>
              <w:rPr>
                <w:lang w:val="en-AU"/>
              </w:rPr>
            </w:pPr>
            <w:r w:rsidRPr="00664E64">
              <w:rPr>
                <w:lang w:val="en-AU"/>
              </w:rPr>
              <w:t>Current affairs (135)</w:t>
            </w:r>
          </w:p>
        </w:tc>
        <w:tc>
          <w:tcPr>
            <w:tcW w:w="631" w:type="pct"/>
          </w:tcPr>
          <w:p w14:paraId="07B5335E" w14:textId="77777777" w:rsidR="00EF11BB" w:rsidRPr="00664E64" w:rsidRDefault="00EF11BB" w:rsidP="007D624D">
            <w:pPr>
              <w:pStyle w:val="TableTextCentre"/>
              <w:rPr>
                <w:lang w:val="en-AU"/>
              </w:rPr>
            </w:pPr>
            <w:r w:rsidRPr="00664E64">
              <w:rPr>
                <w:lang w:val="en-AU"/>
              </w:rPr>
              <w:t>Once/twice a year</w:t>
            </w:r>
          </w:p>
        </w:tc>
        <w:tc>
          <w:tcPr>
            <w:tcW w:w="434" w:type="pct"/>
            <w:noWrap/>
          </w:tcPr>
          <w:p w14:paraId="4D804D54" w14:textId="77777777" w:rsidR="00EF11BB" w:rsidRPr="00664E64" w:rsidRDefault="00EF11BB" w:rsidP="007D624D">
            <w:pPr>
              <w:pStyle w:val="TableTextCentre"/>
              <w:rPr>
                <w:lang w:val="en-AU"/>
              </w:rPr>
            </w:pPr>
            <w:r w:rsidRPr="00664E64">
              <w:rPr>
                <w:lang w:val="en-AU"/>
              </w:rPr>
              <w:t>3.0</w:t>
            </w:r>
          </w:p>
        </w:tc>
        <w:tc>
          <w:tcPr>
            <w:tcW w:w="433" w:type="pct"/>
            <w:noWrap/>
          </w:tcPr>
          <w:p w14:paraId="4E23617D" w14:textId="77777777" w:rsidR="00EF11BB" w:rsidRPr="00664E64" w:rsidRDefault="00EF11BB" w:rsidP="007D624D">
            <w:pPr>
              <w:pStyle w:val="TableTextCentre"/>
              <w:rPr>
                <w:lang w:val="en-AU"/>
              </w:rPr>
            </w:pPr>
            <w:r w:rsidRPr="00664E64">
              <w:rPr>
                <w:lang w:val="en-AU"/>
              </w:rPr>
              <w:t>2.2</w:t>
            </w:r>
          </w:p>
        </w:tc>
        <w:tc>
          <w:tcPr>
            <w:tcW w:w="434" w:type="pct"/>
            <w:noWrap/>
          </w:tcPr>
          <w:p w14:paraId="3E5FC74F" w14:textId="77777777" w:rsidR="00EF11BB" w:rsidRPr="00664E64" w:rsidRDefault="00EF11BB" w:rsidP="007D624D">
            <w:pPr>
              <w:pStyle w:val="TableTextCentre"/>
              <w:rPr>
                <w:lang w:val="en-AU"/>
              </w:rPr>
            </w:pPr>
            <w:r w:rsidRPr="00664E64">
              <w:rPr>
                <w:lang w:val="en-AU"/>
              </w:rPr>
              <w:t>3.7</w:t>
            </w:r>
          </w:p>
        </w:tc>
        <w:tc>
          <w:tcPr>
            <w:tcW w:w="463" w:type="pct"/>
            <w:noWrap/>
          </w:tcPr>
          <w:p w14:paraId="7B6E05CD" w14:textId="77777777" w:rsidR="00EF11BB" w:rsidRPr="00664E64" w:rsidRDefault="00EF11BB" w:rsidP="007D624D">
            <w:pPr>
              <w:pStyle w:val="TableTextCentre"/>
              <w:rPr>
                <w:lang w:val="en-AU"/>
              </w:rPr>
            </w:pPr>
            <w:r w:rsidRPr="00664E64">
              <w:rPr>
                <w:lang w:val="en-AU"/>
              </w:rPr>
              <w:t>1.5</w:t>
            </w:r>
          </w:p>
        </w:tc>
        <w:tc>
          <w:tcPr>
            <w:tcW w:w="463" w:type="pct"/>
            <w:noWrap/>
          </w:tcPr>
          <w:p w14:paraId="46E17D16" w14:textId="77777777" w:rsidR="00EF11BB" w:rsidRPr="00664E64" w:rsidRDefault="00EF11BB" w:rsidP="007D624D">
            <w:pPr>
              <w:pStyle w:val="TableTextCentre"/>
              <w:rPr>
                <w:lang w:val="en-AU"/>
              </w:rPr>
            </w:pPr>
            <w:r w:rsidRPr="00664E64">
              <w:rPr>
                <w:lang w:val="en-AU"/>
              </w:rPr>
              <w:t>3.7</w:t>
            </w:r>
          </w:p>
        </w:tc>
        <w:tc>
          <w:tcPr>
            <w:tcW w:w="433" w:type="pct"/>
            <w:noWrap/>
          </w:tcPr>
          <w:p w14:paraId="53889952" w14:textId="77777777" w:rsidR="00EF11BB" w:rsidRPr="00664E64" w:rsidRDefault="00EF11BB" w:rsidP="007D624D">
            <w:pPr>
              <w:pStyle w:val="TableTextCentre"/>
              <w:rPr>
                <w:lang w:val="en-AU"/>
              </w:rPr>
            </w:pPr>
            <w:r w:rsidRPr="00664E64">
              <w:rPr>
                <w:lang w:val="en-AU"/>
              </w:rPr>
              <w:t>20.0</w:t>
            </w:r>
          </w:p>
        </w:tc>
        <w:tc>
          <w:tcPr>
            <w:tcW w:w="631" w:type="pct"/>
            <w:noWrap/>
          </w:tcPr>
          <w:p w14:paraId="3A6EC0F2" w14:textId="77777777" w:rsidR="00EF11BB" w:rsidRPr="00664E64" w:rsidRDefault="00EF11BB" w:rsidP="007D624D">
            <w:pPr>
              <w:pStyle w:val="TableTextCentre"/>
              <w:rPr>
                <w:lang w:val="en-AU"/>
              </w:rPr>
            </w:pPr>
            <w:r w:rsidRPr="00664E64">
              <w:rPr>
                <w:lang w:val="en-AU"/>
              </w:rPr>
              <w:t>59.3</w:t>
            </w:r>
          </w:p>
        </w:tc>
        <w:tc>
          <w:tcPr>
            <w:tcW w:w="399" w:type="pct"/>
            <w:noWrap/>
          </w:tcPr>
          <w:p w14:paraId="45ECDBCE" w14:textId="77777777" w:rsidR="00EF11BB" w:rsidRPr="00664E64" w:rsidRDefault="00EF11BB" w:rsidP="007D624D">
            <w:pPr>
              <w:jc w:val="center"/>
              <w:rPr>
                <w:rFonts w:cs="Arial"/>
                <w:szCs w:val="20"/>
              </w:rPr>
            </w:pPr>
            <w:r w:rsidRPr="00664E64">
              <w:rPr>
                <w:rFonts w:cs="Arial"/>
                <w:szCs w:val="20"/>
              </w:rPr>
              <w:t>6.7</w:t>
            </w:r>
          </w:p>
        </w:tc>
      </w:tr>
      <w:tr w:rsidR="00EF11BB" w:rsidRPr="00664E64" w14:paraId="63FA0C19" w14:textId="77777777" w:rsidTr="009B3CFB">
        <w:trPr>
          <w:trHeight w:val="633"/>
        </w:trPr>
        <w:tc>
          <w:tcPr>
            <w:tcW w:w="678" w:type="pct"/>
          </w:tcPr>
          <w:p w14:paraId="215E6541" w14:textId="77777777" w:rsidR="00EF11BB" w:rsidRPr="00664E64" w:rsidRDefault="00EF11BB" w:rsidP="007D624D">
            <w:pPr>
              <w:pStyle w:val="TableText"/>
              <w:rPr>
                <w:b/>
                <w:lang w:val="en-AU"/>
              </w:rPr>
            </w:pPr>
            <w:r w:rsidRPr="00664E64">
              <w:rPr>
                <w:b/>
                <w:lang w:val="en-AU"/>
              </w:rPr>
              <w:t>Any betting (5,076)</w:t>
            </w:r>
          </w:p>
        </w:tc>
        <w:tc>
          <w:tcPr>
            <w:tcW w:w="631" w:type="pct"/>
          </w:tcPr>
          <w:p w14:paraId="3D5F3319" w14:textId="77777777" w:rsidR="00EF11BB" w:rsidRPr="00664E64" w:rsidRDefault="00EF11BB" w:rsidP="007D624D">
            <w:pPr>
              <w:pStyle w:val="TableTextCentre"/>
              <w:rPr>
                <w:lang w:val="en-AU"/>
              </w:rPr>
            </w:pPr>
            <w:r w:rsidRPr="00664E64">
              <w:rPr>
                <w:lang w:val="en-AU"/>
              </w:rPr>
              <w:t>-</w:t>
            </w:r>
          </w:p>
        </w:tc>
        <w:tc>
          <w:tcPr>
            <w:tcW w:w="434" w:type="pct"/>
            <w:noWrap/>
          </w:tcPr>
          <w:p w14:paraId="083820AD" w14:textId="77777777" w:rsidR="00EF11BB" w:rsidRPr="00664E64" w:rsidRDefault="00EF11BB" w:rsidP="007D624D">
            <w:pPr>
              <w:pStyle w:val="TableTextCentre"/>
              <w:rPr>
                <w:lang w:val="en-AU"/>
              </w:rPr>
            </w:pPr>
            <w:r w:rsidRPr="00664E64">
              <w:rPr>
                <w:lang w:val="en-AU"/>
              </w:rPr>
              <w:t>21.4</w:t>
            </w:r>
          </w:p>
        </w:tc>
        <w:tc>
          <w:tcPr>
            <w:tcW w:w="433" w:type="pct"/>
            <w:noWrap/>
          </w:tcPr>
          <w:p w14:paraId="6C4A311C" w14:textId="77777777" w:rsidR="00EF11BB" w:rsidRPr="00664E64" w:rsidRDefault="00EF11BB" w:rsidP="007D624D">
            <w:pPr>
              <w:pStyle w:val="TableTextCentre"/>
              <w:rPr>
                <w:lang w:val="en-AU"/>
              </w:rPr>
            </w:pPr>
            <w:r w:rsidRPr="00664E64">
              <w:rPr>
                <w:lang w:val="en-AU"/>
              </w:rPr>
              <w:t>19.9</w:t>
            </w:r>
          </w:p>
        </w:tc>
        <w:tc>
          <w:tcPr>
            <w:tcW w:w="434" w:type="pct"/>
            <w:noWrap/>
          </w:tcPr>
          <w:p w14:paraId="754AFC13" w14:textId="77777777" w:rsidR="00EF11BB" w:rsidRPr="00664E64" w:rsidRDefault="00EF11BB" w:rsidP="007D624D">
            <w:pPr>
              <w:pStyle w:val="TableTextCentre"/>
              <w:rPr>
                <w:lang w:val="en-AU"/>
              </w:rPr>
            </w:pPr>
            <w:r w:rsidRPr="00664E64">
              <w:rPr>
                <w:lang w:val="en-AU"/>
              </w:rPr>
              <w:t>19.4</w:t>
            </w:r>
          </w:p>
        </w:tc>
        <w:tc>
          <w:tcPr>
            <w:tcW w:w="463" w:type="pct"/>
            <w:noWrap/>
          </w:tcPr>
          <w:p w14:paraId="58B55D50" w14:textId="77777777" w:rsidR="00EF11BB" w:rsidRPr="00664E64" w:rsidRDefault="00EF11BB" w:rsidP="007D624D">
            <w:pPr>
              <w:pStyle w:val="TableTextCentre"/>
              <w:rPr>
                <w:lang w:val="en-AU"/>
              </w:rPr>
            </w:pPr>
            <w:r w:rsidRPr="00664E64">
              <w:rPr>
                <w:lang w:val="en-AU"/>
              </w:rPr>
              <w:t>17.5</w:t>
            </w:r>
          </w:p>
        </w:tc>
        <w:tc>
          <w:tcPr>
            <w:tcW w:w="463" w:type="pct"/>
            <w:noWrap/>
          </w:tcPr>
          <w:p w14:paraId="40C99C01" w14:textId="77777777" w:rsidR="00EF11BB" w:rsidRPr="00664E64" w:rsidRDefault="00EF11BB" w:rsidP="007D624D">
            <w:pPr>
              <w:pStyle w:val="TableTextCentre"/>
              <w:rPr>
                <w:lang w:val="en-AU"/>
              </w:rPr>
            </w:pPr>
            <w:r w:rsidRPr="00664E64">
              <w:rPr>
                <w:lang w:val="en-AU"/>
              </w:rPr>
              <w:t>12</w:t>
            </w:r>
          </w:p>
        </w:tc>
        <w:tc>
          <w:tcPr>
            <w:tcW w:w="433" w:type="pct"/>
            <w:noWrap/>
          </w:tcPr>
          <w:p w14:paraId="1172B951" w14:textId="77777777" w:rsidR="00EF11BB" w:rsidRPr="00664E64" w:rsidRDefault="00EF11BB" w:rsidP="007D624D">
            <w:pPr>
              <w:pStyle w:val="TableTextCentre"/>
              <w:rPr>
                <w:lang w:val="en-AU"/>
              </w:rPr>
            </w:pPr>
            <w:r w:rsidRPr="00664E64">
              <w:rPr>
                <w:lang w:val="en-AU"/>
              </w:rPr>
              <w:t>29.2</w:t>
            </w:r>
          </w:p>
        </w:tc>
        <w:tc>
          <w:tcPr>
            <w:tcW w:w="631" w:type="pct"/>
            <w:noWrap/>
          </w:tcPr>
          <w:p w14:paraId="793C21ED" w14:textId="77777777" w:rsidR="00EF11BB" w:rsidRPr="00664E64" w:rsidRDefault="00EF11BB" w:rsidP="007D624D">
            <w:pPr>
              <w:pStyle w:val="TableTextCentre"/>
              <w:rPr>
                <w:lang w:val="en-AU"/>
              </w:rPr>
            </w:pPr>
            <w:r w:rsidRPr="00664E64">
              <w:rPr>
                <w:lang w:val="en-AU"/>
              </w:rPr>
              <w:t>19.2</w:t>
            </w:r>
          </w:p>
        </w:tc>
        <w:tc>
          <w:tcPr>
            <w:tcW w:w="399" w:type="pct"/>
            <w:noWrap/>
          </w:tcPr>
          <w:p w14:paraId="12EE8892" w14:textId="77777777" w:rsidR="00EF11BB" w:rsidRPr="00664E64" w:rsidRDefault="00EF11BB" w:rsidP="007D624D">
            <w:pPr>
              <w:jc w:val="center"/>
              <w:rPr>
                <w:rFonts w:cs="Arial"/>
                <w:szCs w:val="20"/>
              </w:rPr>
            </w:pPr>
            <w:r w:rsidRPr="00664E64">
              <w:rPr>
                <w:rFonts w:cs="Arial"/>
                <w:szCs w:val="20"/>
              </w:rPr>
              <w:t>2.3</w:t>
            </w:r>
          </w:p>
        </w:tc>
      </w:tr>
    </w:tbl>
    <w:p w14:paraId="22792DFE" w14:textId="10D0616F" w:rsidR="00431CA5" w:rsidRPr="0095146B" w:rsidRDefault="009B3CFB" w:rsidP="004F49B4">
      <w:pPr>
        <w:pBdr>
          <w:top w:val="single" w:sz="4" w:space="1" w:color="auto"/>
          <w:bottom w:val="single" w:sz="4" w:space="1" w:color="auto"/>
        </w:pBdr>
        <w:shd w:val="clear" w:color="auto" w:fill="FFFFFF" w:themeFill="background1"/>
        <w:rPr>
          <w:rFonts w:ascii="Arial" w:hAnsi="Arial" w:cs="Arial"/>
          <w:b/>
          <w:sz w:val="20"/>
          <w:lang w:eastAsia="ja-JP" w:bidi="en-US"/>
        </w:rPr>
      </w:pPr>
      <w:r w:rsidRPr="009B3CFB">
        <w:rPr>
          <w:rFonts w:ascii="Arial" w:hAnsi="Arial" w:cs="Arial"/>
          <w:sz w:val="18"/>
          <w:szCs w:val="18"/>
          <w:lang w:eastAsia="ja-JP" w:bidi="en-US"/>
        </w:rPr>
        <w:t>Note: Except for the last row, frequency cell values represent proportions for a particular activity, totalling 100% for each row.</w:t>
      </w:r>
      <w:r w:rsidR="004F49B4" w:rsidRPr="0095146B">
        <w:rPr>
          <w:rFonts w:ascii="Arial" w:hAnsi="Arial" w:cs="Arial"/>
          <w:b/>
          <w:sz w:val="20"/>
          <w:lang w:eastAsia="ja-JP" w:bidi="en-US"/>
        </w:rPr>
        <w:t xml:space="preserve"> </w:t>
      </w:r>
    </w:p>
    <w:p w14:paraId="4309F110" w14:textId="77777777" w:rsidR="009004EA" w:rsidRPr="00523E94" w:rsidRDefault="009004EA" w:rsidP="00523E94">
      <w:pPr>
        <w:rPr>
          <w:rFonts w:ascii="Arial" w:eastAsiaTheme="minorEastAsia" w:hAnsi="Arial" w:cs="Arial"/>
          <w:color w:val="8064A2" w:themeColor="accent4"/>
          <w:kern w:val="32"/>
          <w:sz w:val="18"/>
          <w:szCs w:val="18"/>
        </w:rPr>
      </w:pPr>
      <w:r w:rsidRPr="00523E94">
        <w:rPr>
          <w:rFonts w:ascii="Arial" w:hAnsi="Arial" w:cs="Arial"/>
          <w:sz w:val="18"/>
          <w:szCs w:val="18"/>
        </w:rPr>
        <w:br w:type="page"/>
      </w:r>
    </w:p>
    <w:p w14:paraId="68FB8AFC" w14:textId="224B6FBA" w:rsidR="00D161F4" w:rsidRPr="0036418A" w:rsidRDefault="00DD5644" w:rsidP="00A55CD9">
      <w:pPr>
        <w:pStyle w:val="Heading3"/>
        <w:rPr>
          <w:color w:val="auto"/>
        </w:rPr>
      </w:pPr>
      <w:r w:rsidRPr="0036418A">
        <w:rPr>
          <w:color w:val="auto"/>
        </w:rPr>
        <w:lastRenderedPageBreak/>
        <w:t>Wagering m</w:t>
      </w:r>
      <w:r w:rsidR="00D161F4" w:rsidRPr="0036418A">
        <w:rPr>
          <w:color w:val="auto"/>
        </w:rPr>
        <w:t>ethods</w:t>
      </w:r>
    </w:p>
    <w:p w14:paraId="36F7901D" w14:textId="5240B4B1" w:rsidR="00D161F4" w:rsidRDefault="00D161F4" w:rsidP="00DF2954">
      <w:pPr>
        <w:spacing w:before="120" w:line="280" w:lineRule="atLeast"/>
        <w:jc w:val="both"/>
        <w:rPr>
          <w:rFonts w:ascii="Arial" w:hAnsi="Arial" w:cs="Arial"/>
          <w:sz w:val="20"/>
          <w:szCs w:val="20"/>
        </w:rPr>
      </w:pPr>
      <w:r w:rsidRPr="00664E64">
        <w:rPr>
          <w:rFonts w:ascii="Arial" w:hAnsi="Arial" w:cs="Arial"/>
          <w:sz w:val="20"/>
          <w:szCs w:val="20"/>
        </w:rPr>
        <w:t>In general, 80</w:t>
      </w:r>
      <w:r w:rsidR="00356CE2" w:rsidRPr="00664E64">
        <w:rPr>
          <w:rFonts w:ascii="Arial" w:hAnsi="Arial" w:cs="Arial"/>
          <w:sz w:val="20"/>
          <w:szCs w:val="20"/>
        </w:rPr>
        <w:t>–</w:t>
      </w:r>
      <w:r w:rsidRPr="00664E64">
        <w:rPr>
          <w:rFonts w:ascii="Arial" w:hAnsi="Arial" w:cs="Arial"/>
          <w:sz w:val="20"/>
          <w:szCs w:val="20"/>
        </w:rPr>
        <w:t xml:space="preserve">90% of the participants within each activity </w:t>
      </w:r>
      <w:r w:rsidR="00DD5644" w:rsidRPr="00664E64">
        <w:rPr>
          <w:rFonts w:ascii="Arial" w:hAnsi="Arial" w:cs="Arial"/>
          <w:sz w:val="20"/>
          <w:szCs w:val="20"/>
        </w:rPr>
        <w:t xml:space="preserve">reported </w:t>
      </w:r>
      <w:r w:rsidRPr="00664E64">
        <w:rPr>
          <w:rFonts w:ascii="Arial" w:hAnsi="Arial" w:cs="Arial"/>
          <w:sz w:val="20"/>
          <w:szCs w:val="20"/>
        </w:rPr>
        <w:t>plac</w:t>
      </w:r>
      <w:r w:rsidR="00DD5644" w:rsidRPr="00664E64">
        <w:rPr>
          <w:rFonts w:ascii="Arial" w:hAnsi="Arial" w:cs="Arial"/>
          <w:sz w:val="20"/>
          <w:szCs w:val="20"/>
        </w:rPr>
        <w:t>ing</w:t>
      </w:r>
      <w:r w:rsidRPr="00664E64">
        <w:rPr>
          <w:rFonts w:ascii="Arial" w:hAnsi="Arial" w:cs="Arial"/>
          <w:sz w:val="20"/>
          <w:szCs w:val="20"/>
        </w:rPr>
        <w:t xml:space="preserve"> bets online using portable devices</w:t>
      </w:r>
      <w:r w:rsidR="0030560E" w:rsidRPr="00664E64">
        <w:rPr>
          <w:rFonts w:ascii="Arial" w:hAnsi="Arial" w:cs="Arial"/>
          <w:sz w:val="20"/>
          <w:szCs w:val="20"/>
        </w:rPr>
        <w:t xml:space="preserve"> </w:t>
      </w:r>
      <w:r w:rsidR="00DD5644" w:rsidRPr="00664E64">
        <w:rPr>
          <w:rFonts w:ascii="Arial" w:hAnsi="Arial" w:cs="Arial"/>
          <w:sz w:val="20"/>
          <w:szCs w:val="20"/>
        </w:rPr>
        <w:t>during</w:t>
      </w:r>
      <w:r w:rsidR="00AD499F" w:rsidRPr="00664E64">
        <w:rPr>
          <w:rFonts w:ascii="Arial" w:hAnsi="Arial" w:cs="Arial"/>
          <w:sz w:val="20"/>
          <w:szCs w:val="20"/>
        </w:rPr>
        <w:t xml:space="preserve"> the past 12 months</w:t>
      </w:r>
      <w:r w:rsidRPr="00664E64">
        <w:rPr>
          <w:rFonts w:ascii="Arial" w:hAnsi="Arial" w:cs="Arial"/>
          <w:sz w:val="20"/>
          <w:szCs w:val="20"/>
        </w:rPr>
        <w:t xml:space="preserve"> (Table 5.9). </w:t>
      </w:r>
      <w:r w:rsidR="00AD499F" w:rsidRPr="00664E64">
        <w:rPr>
          <w:rFonts w:ascii="Arial" w:hAnsi="Arial" w:cs="Arial"/>
          <w:sz w:val="20"/>
          <w:szCs w:val="20"/>
        </w:rPr>
        <w:t>O</w:t>
      </w:r>
      <w:r w:rsidRPr="00664E64">
        <w:rPr>
          <w:rFonts w:ascii="Arial" w:hAnsi="Arial" w:cs="Arial"/>
          <w:sz w:val="20"/>
          <w:szCs w:val="20"/>
        </w:rPr>
        <w:t xml:space="preserve">nline </w:t>
      </w:r>
      <w:r w:rsidR="00AD499F" w:rsidRPr="00664E64">
        <w:rPr>
          <w:rFonts w:ascii="Arial" w:hAnsi="Arial" w:cs="Arial"/>
          <w:sz w:val="20"/>
          <w:szCs w:val="20"/>
        </w:rPr>
        <w:t xml:space="preserve">via </w:t>
      </w:r>
      <w:r w:rsidRPr="00664E64">
        <w:rPr>
          <w:rFonts w:ascii="Arial" w:hAnsi="Arial" w:cs="Arial"/>
          <w:sz w:val="20"/>
          <w:szCs w:val="20"/>
        </w:rPr>
        <w:t xml:space="preserve">computers was reported as the second </w:t>
      </w:r>
      <w:r w:rsidR="00AD499F" w:rsidRPr="00664E64">
        <w:rPr>
          <w:rFonts w:ascii="Arial" w:hAnsi="Arial" w:cs="Arial"/>
          <w:sz w:val="20"/>
          <w:szCs w:val="20"/>
        </w:rPr>
        <w:t>most common</w:t>
      </w:r>
      <w:r w:rsidRPr="00664E64">
        <w:rPr>
          <w:rFonts w:ascii="Arial" w:hAnsi="Arial" w:cs="Arial"/>
          <w:sz w:val="20"/>
          <w:szCs w:val="20"/>
        </w:rPr>
        <w:t xml:space="preserve"> method,</w:t>
      </w:r>
      <w:r w:rsidR="00AD499F" w:rsidRPr="00664E64">
        <w:rPr>
          <w:rFonts w:ascii="Arial" w:hAnsi="Arial" w:cs="Arial"/>
          <w:sz w:val="20"/>
          <w:szCs w:val="20"/>
        </w:rPr>
        <w:t xml:space="preserve"> followed by self-service terminal and in</w:t>
      </w:r>
      <w:r w:rsidR="00356CE2" w:rsidRPr="00664E64">
        <w:rPr>
          <w:rFonts w:ascii="Arial" w:hAnsi="Arial" w:cs="Arial"/>
          <w:sz w:val="20"/>
          <w:szCs w:val="20"/>
        </w:rPr>
        <w:t xml:space="preserve"> </w:t>
      </w:r>
      <w:r w:rsidR="00AD499F" w:rsidRPr="00664E64">
        <w:rPr>
          <w:rFonts w:ascii="Arial" w:hAnsi="Arial" w:cs="Arial"/>
          <w:sz w:val="20"/>
          <w:szCs w:val="20"/>
        </w:rPr>
        <w:t>person.</w:t>
      </w:r>
      <w:r w:rsidRPr="00664E64">
        <w:rPr>
          <w:rFonts w:ascii="Arial" w:hAnsi="Arial" w:cs="Arial"/>
          <w:sz w:val="20"/>
          <w:szCs w:val="20"/>
        </w:rPr>
        <w:t xml:space="preserve"> </w:t>
      </w:r>
      <w:r w:rsidR="00AD499F" w:rsidRPr="00664E64">
        <w:rPr>
          <w:rFonts w:ascii="Arial" w:hAnsi="Arial" w:cs="Arial"/>
          <w:sz w:val="20"/>
          <w:szCs w:val="20"/>
        </w:rPr>
        <w:t>O</w:t>
      </w:r>
      <w:r w:rsidRPr="00664E64">
        <w:rPr>
          <w:rFonts w:ascii="Arial" w:hAnsi="Arial" w:cs="Arial"/>
          <w:sz w:val="20"/>
          <w:szCs w:val="20"/>
        </w:rPr>
        <w:t>nly a minority of</w:t>
      </w:r>
      <w:r w:rsidR="0030560E" w:rsidRPr="00664E64">
        <w:rPr>
          <w:rFonts w:ascii="Arial" w:hAnsi="Arial" w:cs="Arial"/>
          <w:sz w:val="20"/>
          <w:szCs w:val="20"/>
        </w:rPr>
        <w:t xml:space="preserve"> </w:t>
      </w:r>
      <w:r w:rsidRPr="00664E64">
        <w:rPr>
          <w:rFonts w:ascii="Arial" w:hAnsi="Arial" w:cs="Arial"/>
          <w:sz w:val="20"/>
          <w:szCs w:val="20"/>
        </w:rPr>
        <w:t xml:space="preserve">participants </w:t>
      </w:r>
      <w:r w:rsidR="00AD499F" w:rsidRPr="00664E64">
        <w:rPr>
          <w:rFonts w:ascii="Arial" w:hAnsi="Arial" w:cs="Arial"/>
          <w:sz w:val="20"/>
          <w:szCs w:val="20"/>
        </w:rPr>
        <w:t xml:space="preserve">reported </w:t>
      </w:r>
      <w:r w:rsidRPr="00664E64">
        <w:rPr>
          <w:rFonts w:ascii="Arial" w:hAnsi="Arial" w:cs="Arial"/>
          <w:sz w:val="20"/>
          <w:szCs w:val="20"/>
        </w:rPr>
        <w:t>us</w:t>
      </w:r>
      <w:r w:rsidR="00AD499F" w:rsidRPr="00664E64">
        <w:rPr>
          <w:rFonts w:ascii="Arial" w:hAnsi="Arial" w:cs="Arial"/>
          <w:sz w:val="20"/>
          <w:szCs w:val="20"/>
        </w:rPr>
        <w:t>ing an</w:t>
      </w:r>
      <w:r w:rsidRPr="00664E64">
        <w:rPr>
          <w:rFonts w:ascii="Arial" w:hAnsi="Arial" w:cs="Arial"/>
          <w:sz w:val="20"/>
          <w:szCs w:val="20"/>
        </w:rPr>
        <w:t xml:space="preserve"> internet enabled </w:t>
      </w:r>
      <w:r w:rsidR="00CD2FCD" w:rsidRPr="00664E64">
        <w:rPr>
          <w:rFonts w:ascii="Arial" w:hAnsi="Arial" w:cs="Arial"/>
          <w:sz w:val="20"/>
          <w:szCs w:val="20"/>
        </w:rPr>
        <w:t>tele</w:t>
      </w:r>
      <w:r w:rsidRPr="00664E64">
        <w:rPr>
          <w:rFonts w:ascii="Arial" w:hAnsi="Arial" w:cs="Arial"/>
          <w:sz w:val="20"/>
          <w:szCs w:val="20"/>
        </w:rPr>
        <w:t>phone to place bets during the past 12 months</w:t>
      </w:r>
      <w:r w:rsidR="00CD2FCD" w:rsidRPr="00664E64">
        <w:rPr>
          <w:rFonts w:ascii="Arial" w:hAnsi="Arial" w:cs="Arial"/>
          <w:sz w:val="20"/>
          <w:szCs w:val="20"/>
        </w:rPr>
        <w:t>.</w:t>
      </w:r>
      <w:r w:rsidR="00357014" w:rsidRPr="00664E64">
        <w:rPr>
          <w:rFonts w:ascii="Arial" w:hAnsi="Arial" w:cs="Arial"/>
          <w:sz w:val="20"/>
          <w:szCs w:val="20"/>
        </w:rPr>
        <w:t xml:space="preserve"> </w:t>
      </w:r>
    </w:p>
    <w:p w14:paraId="6C26A8CE" w14:textId="4285C3B1" w:rsidR="004F3852" w:rsidRPr="0036418A" w:rsidRDefault="00216D6D" w:rsidP="00216D6D">
      <w:pPr>
        <w:pStyle w:val="FigureCaption"/>
        <w:rPr>
          <w:color w:val="auto"/>
          <w:szCs w:val="20"/>
        </w:rPr>
      </w:pPr>
      <w:bookmarkStart w:id="43" w:name="_Toc11864572"/>
      <w:bookmarkStart w:id="44" w:name="_Toc12549569"/>
      <w:r w:rsidRPr="0036418A">
        <w:rPr>
          <w:color w:val="auto"/>
          <w:lang w:val="en-AU"/>
        </w:rPr>
        <w:t>Table 5.</w:t>
      </w:r>
      <w:r w:rsidRPr="0036418A">
        <w:rPr>
          <w:color w:val="auto"/>
          <w:lang w:val="en-AU"/>
        </w:rPr>
        <w:fldChar w:fldCharType="begin"/>
      </w:r>
      <w:r w:rsidRPr="0036418A">
        <w:rPr>
          <w:color w:val="auto"/>
          <w:lang w:val="en-AU"/>
        </w:rPr>
        <w:instrText xml:space="preserve"> SEQ Table_5. \* ARABIC </w:instrText>
      </w:r>
      <w:r w:rsidRPr="0036418A">
        <w:rPr>
          <w:color w:val="auto"/>
          <w:lang w:val="en-AU"/>
        </w:rPr>
        <w:fldChar w:fldCharType="separate"/>
      </w:r>
      <w:r w:rsidRPr="0036418A">
        <w:rPr>
          <w:noProof/>
          <w:color w:val="auto"/>
          <w:lang w:val="en-AU"/>
        </w:rPr>
        <w:t>9</w:t>
      </w:r>
      <w:r w:rsidRPr="0036418A">
        <w:rPr>
          <w:noProof/>
          <w:color w:val="auto"/>
          <w:lang w:val="en-AU"/>
        </w:rPr>
        <w:fldChar w:fldCharType="end"/>
      </w:r>
      <w:r w:rsidRPr="0036418A">
        <w:rPr>
          <w:color w:val="auto"/>
          <w:lang w:val="en-AU"/>
        </w:rPr>
        <w:t>: Methods used for each betting activity during the past 12 months</w:t>
      </w:r>
      <w:bookmarkEnd w:id="43"/>
      <w:bookmarkEnd w:id="44"/>
    </w:p>
    <w:tbl>
      <w:tblPr>
        <w:tblStyle w:val="TableGrid"/>
        <w:tblpPr w:leftFromText="180" w:rightFromText="180" w:vertAnchor="text" w:tblpY="1"/>
        <w:tblOverlap w:val="never"/>
        <w:tblW w:w="5000" w:type="pct"/>
        <w:tblLook w:val="04A0" w:firstRow="1" w:lastRow="0" w:firstColumn="1" w:lastColumn="0" w:noHBand="0" w:noVBand="1"/>
        <w:tblCaption w:val="Methods used for each betting activity during the past 12 months"/>
        <w:tblDescription w:val="This table shows how particpants made bets for each activity from in person through to online using a portable device."/>
      </w:tblPr>
      <w:tblGrid>
        <w:gridCol w:w="1670"/>
        <w:gridCol w:w="1402"/>
        <w:gridCol w:w="1511"/>
        <w:gridCol w:w="1389"/>
        <w:gridCol w:w="1558"/>
        <w:gridCol w:w="1625"/>
        <w:gridCol w:w="1389"/>
        <w:gridCol w:w="1291"/>
        <w:gridCol w:w="1125"/>
      </w:tblGrid>
      <w:tr w:rsidR="004F3852" w:rsidRPr="00664E64" w14:paraId="14B78DFC" w14:textId="77777777" w:rsidTr="00426BD3">
        <w:trPr>
          <w:cnfStyle w:val="100000000000" w:firstRow="1" w:lastRow="0" w:firstColumn="0" w:lastColumn="0" w:oddVBand="0" w:evenVBand="0" w:oddHBand="0" w:evenHBand="0" w:firstRowFirstColumn="0" w:firstRowLastColumn="0" w:lastRowFirstColumn="0" w:lastRowLastColumn="0"/>
          <w:trHeight w:val="295"/>
          <w:tblHeader/>
        </w:trPr>
        <w:tc>
          <w:tcPr>
            <w:tcW w:w="644" w:type="pct"/>
            <w:tcBorders>
              <w:bottom w:val="single" w:sz="2" w:space="0" w:color="auto"/>
            </w:tcBorders>
            <w:hideMark/>
          </w:tcPr>
          <w:p w14:paraId="4D440C4E" w14:textId="77777777" w:rsidR="004F3852" w:rsidRPr="00664E64" w:rsidRDefault="004F3852" w:rsidP="007D624D">
            <w:pPr>
              <w:pStyle w:val="TableColHeadLeft"/>
              <w:rPr>
                <w:lang w:val="en-AU"/>
              </w:rPr>
            </w:pPr>
            <w:r w:rsidRPr="00664E64">
              <w:rPr>
                <w:lang w:val="en-AU"/>
              </w:rPr>
              <w:t>Activity (</w:t>
            </w:r>
            <w:r w:rsidRPr="00664E64">
              <w:rPr>
                <w:i/>
                <w:lang w:val="en-AU"/>
              </w:rPr>
              <w:t>N</w:t>
            </w:r>
            <w:r w:rsidRPr="00664E64">
              <w:rPr>
                <w:lang w:val="en-AU"/>
              </w:rPr>
              <w:t xml:space="preserve">)  </w:t>
            </w:r>
          </w:p>
        </w:tc>
        <w:tc>
          <w:tcPr>
            <w:tcW w:w="541" w:type="pct"/>
          </w:tcPr>
          <w:p w14:paraId="4698DA56" w14:textId="77777777" w:rsidR="004F3852" w:rsidRPr="00664E64" w:rsidRDefault="004F3852" w:rsidP="007D624D">
            <w:pPr>
              <w:pStyle w:val="TableColHeadCentre"/>
              <w:rPr>
                <w:b/>
                <w:lang w:val="en-AU"/>
              </w:rPr>
            </w:pPr>
            <w:r w:rsidRPr="00664E64">
              <w:rPr>
                <w:lang w:val="en-AU"/>
              </w:rPr>
              <w:t>Online using portable devices</w:t>
            </w:r>
          </w:p>
        </w:tc>
        <w:tc>
          <w:tcPr>
            <w:tcW w:w="583" w:type="pct"/>
          </w:tcPr>
          <w:p w14:paraId="70FCF273" w14:textId="77777777" w:rsidR="004F3852" w:rsidRPr="00664E64" w:rsidRDefault="004F3852" w:rsidP="007D624D">
            <w:pPr>
              <w:pStyle w:val="TableColHeadCentre"/>
              <w:rPr>
                <w:b/>
                <w:lang w:val="en-AU"/>
              </w:rPr>
            </w:pPr>
            <w:r w:rsidRPr="00664E64">
              <w:rPr>
                <w:lang w:val="en-AU"/>
              </w:rPr>
              <w:t>Online using computer</w:t>
            </w:r>
          </w:p>
        </w:tc>
        <w:tc>
          <w:tcPr>
            <w:tcW w:w="536" w:type="pct"/>
          </w:tcPr>
          <w:p w14:paraId="32EE247B" w14:textId="77777777" w:rsidR="004F3852" w:rsidRPr="00664E64" w:rsidRDefault="004F3852" w:rsidP="007D624D">
            <w:pPr>
              <w:pStyle w:val="TableColHeadCentre"/>
              <w:rPr>
                <w:b/>
                <w:lang w:val="en-AU"/>
              </w:rPr>
            </w:pPr>
            <w:r w:rsidRPr="00664E64">
              <w:rPr>
                <w:lang w:val="en-AU"/>
              </w:rPr>
              <w:t>Online using internet enabled TV</w:t>
            </w:r>
          </w:p>
        </w:tc>
        <w:tc>
          <w:tcPr>
            <w:tcW w:w="601" w:type="pct"/>
          </w:tcPr>
          <w:p w14:paraId="74FA6284" w14:textId="77777777" w:rsidR="004F3852" w:rsidRPr="00664E64" w:rsidRDefault="004F3852" w:rsidP="007D624D">
            <w:pPr>
              <w:pStyle w:val="TableColHeadCentre"/>
              <w:rPr>
                <w:b/>
                <w:lang w:val="en-AU"/>
              </w:rPr>
            </w:pPr>
            <w:r w:rsidRPr="00664E64">
              <w:rPr>
                <w:lang w:val="en-AU"/>
              </w:rPr>
              <w:t>Online using internet enabled telephone</w:t>
            </w:r>
          </w:p>
        </w:tc>
        <w:tc>
          <w:tcPr>
            <w:tcW w:w="627" w:type="pct"/>
          </w:tcPr>
          <w:p w14:paraId="44A24801" w14:textId="77777777" w:rsidR="004F3852" w:rsidRPr="00664E64" w:rsidRDefault="004F3852" w:rsidP="007D624D">
            <w:pPr>
              <w:pStyle w:val="TableColHeadCentre"/>
              <w:rPr>
                <w:b/>
                <w:lang w:val="en-AU"/>
              </w:rPr>
            </w:pPr>
            <w:r w:rsidRPr="00664E64">
              <w:rPr>
                <w:lang w:val="en-AU"/>
              </w:rPr>
              <w:t>Telephone call</w:t>
            </w:r>
          </w:p>
        </w:tc>
        <w:tc>
          <w:tcPr>
            <w:tcW w:w="536" w:type="pct"/>
          </w:tcPr>
          <w:p w14:paraId="20B1377D" w14:textId="77777777" w:rsidR="004F3852" w:rsidRPr="00664E64" w:rsidRDefault="004F3852" w:rsidP="007D624D">
            <w:pPr>
              <w:pStyle w:val="TableColHeadCentre"/>
              <w:rPr>
                <w:b/>
                <w:lang w:val="en-AU"/>
              </w:rPr>
            </w:pPr>
            <w:r w:rsidRPr="00664E64">
              <w:rPr>
                <w:lang w:val="en-AU"/>
              </w:rPr>
              <w:t>Self-service terminal</w:t>
            </w:r>
          </w:p>
        </w:tc>
        <w:tc>
          <w:tcPr>
            <w:tcW w:w="498" w:type="pct"/>
          </w:tcPr>
          <w:p w14:paraId="49AA8A2E" w14:textId="77777777" w:rsidR="004F3852" w:rsidRPr="00664E64" w:rsidRDefault="004F3852" w:rsidP="007D624D">
            <w:pPr>
              <w:pStyle w:val="TableColHeadCentre"/>
              <w:rPr>
                <w:b/>
                <w:lang w:val="en-AU"/>
              </w:rPr>
            </w:pPr>
            <w:r w:rsidRPr="00664E64">
              <w:rPr>
                <w:lang w:val="en-AU"/>
              </w:rPr>
              <w:t>In person</w:t>
            </w:r>
          </w:p>
        </w:tc>
        <w:tc>
          <w:tcPr>
            <w:tcW w:w="435" w:type="pct"/>
          </w:tcPr>
          <w:p w14:paraId="2E83E366" w14:textId="77777777" w:rsidR="004F3852" w:rsidRPr="00664E64" w:rsidRDefault="004F3852" w:rsidP="007D624D">
            <w:pPr>
              <w:jc w:val="center"/>
              <w:rPr>
                <w:rFonts w:cs="Arial"/>
                <w:b/>
                <w:color w:val="FFFFFF" w:themeColor="background1"/>
              </w:rPr>
            </w:pPr>
            <w:r w:rsidRPr="00664E64">
              <w:rPr>
                <w:rFonts w:cs="Arial"/>
                <w:color w:val="FFFFFF" w:themeColor="background1"/>
              </w:rPr>
              <w:t>Other</w:t>
            </w:r>
          </w:p>
        </w:tc>
      </w:tr>
      <w:tr w:rsidR="004F3852" w:rsidRPr="00664E64" w14:paraId="582E40F0" w14:textId="77777777" w:rsidTr="00163B5C">
        <w:trPr>
          <w:trHeight w:val="295"/>
        </w:trPr>
        <w:tc>
          <w:tcPr>
            <w:tcW w:w="644" w:type="pct"/>
            <w:tcBorders>
              <w:top w:val="single" w:sz="2" w:space="0" w:color="auto"/>
              <w:bottom w:val="single" w:sz="2" w:space="0" w:color="auto"/>
            </w:tcBorders>
            <w:shd w:val="clear" w:color="auto" w:fill="auto"/>
            <w:hideMark/>
          </w:tcPr>
          <w:p w14:paraId="60CEAC6D" w14:textId="77777777" w:rsidR="004F3852" w:rsidRPr="00664E64" w:rsidRDefault="004F3852" w:rsidP="007D624D">
            <w:pPr>
              <w:jc w:val="center"/>
              <w:rPr>
                <w:rFonts w:cs="Arial"/>
                <w:szCs w:val="20"/>
              </w:rPr>
            </w:pPr>
          </w:p>
        </w:tc>
        <w:tc>
          <w:tcPr>
            <w:tcW w:w="541" w:type="pct"/>
            <w:hideMark/>
          </w:tcPr>
          <w:p w14:paraId="73B9AE0E" w14:textId="77777777" w:rsidR="004F3852" w:rsidRPr="00664E64" w:rsidRDefault="004F3852" w:rsidP="007D624D">
            <w:pPr>
              <w:pStyle w:val="TableHeading"/>
              <w:jc w:val="center"/>
              <w:rPr>
                <w:lang w:val="en-AU"/>
              </w:rPr>
            </w:pPr>
            <w:r w:rsidRPr="00664E64">
              <w:rPr>
                <w:lang w:val="en-AU"/>
              </w:rPr>
              <w:t>%</w:t>
            </w:r>
          </w:p>
        </w:tc>
        <w:tc>
          <w:tcPr>
            <w:tcW w:w="583" w:type="pct"/>
            <w:hideMark/>
          </w:tcPr>
          <w:p w14:paraId="355754D5" w14:textId="77777777" w:rsidR="004F3852" w:rsidRPr="00664E64" w:rsidRDefault="004F3852" w:rsidP="007D624D">
            <w:pPr>
              <w:pStyle w:val="TableHeading"/>
              <w:jc w:val="center"/>
              <w:rPr>
                <w:lang w:val="en-AU"/>
              </w:rPr>
            </w:pPr>
            <w:r w:rsidRPr="00664E64">
              <w:rPr>
                <w:lang w:val="en-AU"/>
              </w:rPr>
              <w:t>%</w:t>
            </w:r>
          </w:p>
        </w:tc>
        <w:tc>
          <w:tcPr>
            <w:tcW w:w="536" w:type="pct"/>
            <w:hideMark/>
          </w:tcPr>
          <w:p w14:paraId="725E520F" w14:textId="77777777" w:rsidR="004F3852" w:rsidRPr="00664E64" w:rsidRDefault="004F3852" w:rsidP="007D624D">
            <w:pPr>
              <w:pStyle w:val="TableHeading"/>
              <w:jc w:val="center"/>
              <w:rPr>
                <w:lang w:val="en-AU"/>
              </w:rPr>
            </w:pPr>
            <w:r w:rsidRPr="00664E64">
              <w:rPr>
                <w:lang w:val="en-AU"/>
              </w:rPr>
              <w:t>%</w:t>
            </w:r>
          </w:p>
        </w:tc>
        <w:tc>
          <w:tcPr>
            <w:tcW w:w="601" w:type="pct"/>
            <w:hideMark/>
          </w:tcPr>
          <w:p w14:paraId="277EEBC2" w14:textId="77777777" w:rsidR="004F3852" w:rsidRPr="00664E64" w:rsidRDefault="004F3852" w:rsidP="007D624D">
            <w:pPr>
              <w:pStyle w:val="TableHeading"/>
              <w:jc w:val="center"/>
              <w:rPr>
                <w:lang w:val="en-AU"/>
              </w:rPr>
            </w:pPr>
            <w:r w:rsidRPr="00664E64">
              <w:rPr>
                <w:lang w:val="en-AU"/>
              </w:rPr>
              <w:t>%</w:t>
            </w:r>
          </w:p>
        </w:tc>
        <w:tc>
          <w:tcPr>
            <w:tcW w:w="627" w:type="pct"/>
            <w:hideMark/>
          </w:tcPr>
          <w:p w14:paraId="4B2730F1" w14:textId="77777777" w:rsidR="004F3852" w:rsidRPr="00664E64" w:rsidRDefault="004F3852" w:rsidP="007D624D">
            <w:pPr>
              <w:pStyle w:val="TableHeading"/>
              <w:jc w:val="center"/>
              <w:rPr>
                <w:lang w:val="en-AU"/>
              </w:rPr>
            </w:pPr>
            <w:r w:rsidRPr="00664E64">
              <w:rPr>
                <w:lang w:val="en-AU"/>
              </w:rPr>
              <w:t>%</w:t>
            </w:r>
          </w:p>
        </w:tc>
        <w:tc>
          <w:tcPr>
            <w:tcW w:w="536" w:type="pct"/>
            <w:hideMark/>
          </w:tcPr>
          <w:p w14:paraId="398D619F" w14:textId="77777777" w:rsidR="004F3852" w:rsidRPr="00664E64" w:rsidRDefault="004F3852" w:rsidP="007D624D">
            <w:pPr>
              <w:pStyle w:val="TableHeading"/>
              <w:jc w:val="center"/>
              <w:rPr>
                <w:lang w:val="en-AU"/>
              </w:rPr>
            </w:pPr>
            <w:r w:rsidRPr="00664E64">
              <w:rPr>
                <w:lang w:val="en-AU"/>
              </w:rPr>
              <w:t>%</w:t>
            </w:r>
          </w:p>
        </w:tc>
        <w:tc>
          <w:tcPr>
            <w:tcW w:w="498" w:type="pct"/>
            <w:hideMark/>
          </w:tcPr>
          <w:p w14:paraId="7FE6E2F4" w14:textId="77777777" w:rsidR="004F3852" w:rsidRPr="00664E64" w:rsidRDefault="004F3852" w:rsidP="007D624D">
            <w:pPr>
              <w:pStyle w:val="TableHeading"/>
              <w:jc w:val="center"/>
              <w:rPr>
                <w:lang w:val="en-AU"/>
              </w:rPr>
            </w:pPr>
            <w:r w:rsidRPr="00664E64">
              <w:rPr>
                <w:lang w:val="en-AU"/>
              </w:rPr>
              <w:t>%</w:t>
            </w:r>
          </w:p>
        </w:tc>
        <w:tc>
          <w:tcPr>
            <w:tcW w:w="435" w:type="pct"/>
            <w:hideMark/>
          </w:tcPr>
          <w:p w14:paraId="579DB4CF" w14:textId="77777777" w:rsidR="004F3852" w:rsidRPr="00664E64" w:rsidRDefault="004F3852" w:rsidP="007D624D">
            <w:pPr>
              <w:jc w:val="center"/>
              <w:rPr>
                <w:rFonts w:cs="Arial"/>
                <w:color w:val="000000"/>
                <w:szCs w:val="20"/>
              </w:rPr>
            </w:pPr>
            <w:r w:rsidRPr="00664E64">
              <w:rPr>
                <w:rFonts w:cs="Arial"/>
                <w:color w:val="000000"/>
                <w:szCs w:val="20"/>
              </w:rPr>
              <w:t>%</w:t>
            </w:r>
          </w:p>
        </w:tc>
      </w:tr>
      <w:tr w:rsidR="004F3852" w:rsidRPr="00664E64" w14:paraId="2AF86366" w14:textId="77777777" w:rsidTr="00163B5C">
        <w:trPr>
          <w:trHeight w:val="523"/>
        </w:trPr>
        <w:tc>
          <w:tcPr>
            <w:tcW w:w="644" w:type="pct"/>
            <w:tcBorders>
              <w:top w:val="single" w:sz="2" w:space="0" w:color="auto"/>
            </w:tcBorders>
            <w:hideMark/>
          </w:tcPr>
          <w:p w14:paraId="017E2BEE" w14:textId="77777777" w:rsidR="004F3852" w:rsidRPr="00664E64" w:rsidRDefault="004F3852" w:rsidP="007D624D">
            <w:pPr>
              <w:pStyle w:val="TableText"/>
              <w:rPr>
                <w:lang w:val="en-AU"/>
              </w:rPr>
            </w:pPr>
            <w:r w:rsidRPr="00664E64">
              <w:rPr>
                <w:lang w:val="en-AU"/>
              </w:rPr>
              <w:t>Sports (2,683)</w:t>
            </w:r>
          </w:p>
        </w:tc>
        <w:tc>
          <w:tcPr>
            <w:tcW w:w="541" w:type="pct"/>
            <w:noWrap/>
          </w:tcPr>
          <w:p w14:paraId="6067FCC9" w14:textId="77777777" w:rsidR="004F3852" w:rsidRPr="00664E64" w:rsidRDefault="004F3852" w:rsidP="007D624D">
            <w:pPr>
              <w:pStyle w:val="TableTextCentre"/>
              <w:rPr>
                <w:lang w:val="en-AU"/>
              </w:rPr>
            </w:pPr>
            <w:r w:rsidRPr="00664E64">
              <w:rPr>
                <w:lang w:val="en-AU"/>
              </w:rPr>
              <w:t xml:space="preserve">90.0 </w:t>
            </w:r>
          </w:p>
        </w:tc>
        <w:tc>
          <w:tcPr>
            <w:tcW w:w="583" w:type="pct"/>
            <w:noWrap/>
          </w:tcPr>
          <w:p w14:paraId="1059951F" w14:textId="77777777" w:rsidR="004F3852" w:rsidRPr="00664E64" w:rsidRDefault="004F3852" w:rsidP="007D624D">
            <w:pPr>
              <w:pStyle w:val="TableTextCentre"/>
              <w:rPr>
                <w:lang w:val="en-AU"/>
              </w:rPr>
            </w:pPr>
            <w:r w:rsidRPr="00664E64">
              <w:rPr>
                <w:lang w:val="en-AU"/>
              </w:rPr>
              <w:t xml:space="preserve">46.0 </w:t>
            </w:r>
          </w:p>
        </w:tc>
        <w:tc>
          <w:tcPr>
            <w:tcW w:w="536" w:type="pct"/>
            <w:noWrap/>
          </w:tcPr>
          <w:p w14:paraId="57BA8CFE" w14:textId="77777777" w:rsidR="004F3852" w:rsidRPr="00664E64" w:rsidRDefault="004F3852" w:rsidP="007D624D">
            <w:pPr>
              <w:pStyle w:val="TableTextCentre"/>
              <w:rPr>
                <w:lang w:val="en-AU"/>
              </w:rPr>
            </w:pPr>
            <w:r w:rsidRPr="00664E64">
              <w:rPr>
                <w:lang w:val="en-AU"/>
              </w:rPr>
              <w:t xml:space="preserve">4.1 </w:t>
            </w:r>
          </w:p>
        </w:tc>
        <w:tc>
          <w:tcPr>
            <w:tcW w:w="601" w:type="pct"/>
            <w:noWrap/>
          </w:tcPr>
          <w:p w14:paraId="2ABFD819" w14:textId="77777777" w:rsidR="004F3852" w:rsidRPr="00664E64" w:rsidRDefault="004F3852" w:rsidP="007D624D">
            <w:pPr>
              <w:pStyle w:val="TableTextCentre"/>
              <w:rPr>
                <w:lang w:val="en-AU"/>
              </w:rPr>
            </w:pPr>
            <w:r w:rsidRPr="00664E64">
              <w:rPr>
                <w:lang w:val="en-AU"/>
              </w:rPr>
              <w:t xml:space="preserve">2.4 </w:t>
            </w:r>
          </w:p>
        </w:tc>
        <w:tc>
          <w:tcPr>
            <w:tcW w:w="627" w:type="pct"/>
            <w:noWrap/>
          </w:tcPr>
          <w:p w14:paraId="1CD1F92C" w14:textId="77777777" w:rsidR="004F3852" w:rsidRPr="00664E64" w:rsidRDefault="004F3852" w:rsidP="007D624D">
            <w:pPr>
              <w:pStyle w:val="TableTextCentre"/>
              <w:rPr>
                <w:lang w:val="en-AU"/>
              </w:rPr>
            </w:pPr>
            <w:r w:rsidRPr="00664E64">
              <w:rPr>
                <w:lang w:val="en-AU"/>
              </w:rPr>
              <w:t xml:space="preserve">8.5 </w:t>
            </w:r>
          </w:p>
        </w:tc>
        <w:tc>
          <w:tcPr>
            <w:tcW w:w="536" w:type="pct"/>
            <w:noWrap/>
          </w:tcPr>
          <w:p w14:paraId="3E50C867" w14:textId="77777777" w:rsidR="004F3852" w:rsidRPr="00664E64" w:rsidRDefault="004F3852" w:rsidP="007D624D">
            <w:pPr>
              <w:pStyle w:val="TableTextCentre"/>
              <w:rPr>
                <w:lang w:val="en-AU"/>
              </w:rPr>
            </w:pPr>
            <w:r w:rsidRPr="00664E64">
              <w:rPr>
                <w:lang w:val="en-AU"/>
              </w:rPr>
              <w:t xml:space="preserve">27.2 </w:t>
            </w:r>
          </w:p>
        </w:tc>
        <w:tc>
          <w:tcPr>
            <w:tcW w:w="498" w:type="pct"/>
            <w:noWrap/>
          </w:tcPr>
          <w:p w14:paraId="3C24F2D5" w14:textId="77777777" w:rsidR="004F3852" w:rsidRPr="00664E64" w:rsidRDefault="004F3852" w:rsidP="007D624D">
            <w:pPr>
              <w:pStyle w:val="TableTextCentre"/>
              <w:rPr>
                <w:lang w:val="en-AU"/>
              </w:rPr>
            </w:pPr>
            <w:r w:rsidRPr="00664E64">
              <w:rPr>
                <w:lang w:val="en-AU"/>
              </w:rPr>
              <w:t xml:space="preserve">24.4 </w:t>
            </w:r>
          </w:p>
        </w:tc>
        <w:tc>
          <w:tcPr>
            <w:tcW w:w="435" w:type="pct"/>
            <w:noWrap/>
          </w:tcPr>
          <w:p w14:paraId="70849FEE" w14:textId="77777777" w:rsidR="004F3852" w:rsidRPr="00664E64" w:rsidRDefault="004F3852" w:rsidP="007D624D">
            <w:pPr>
              <w:jc w:val="center"/>
              <w:rPr>
                <w:rFonts w:cs="Arial"/>
                <w:color w:val="000000"/>
                <w:szCs w:val="20"/>
              </w:rPr>
            </w:pPr>
            <w:r w:rsidRPr="00664E64">
              <w:rPr>
                <w:rFonts w:cs="Arial"/>
                <w:color w:val="000000"/>
                <w:szCs w:val="20"/>
              </w:rPr>
              <w:t xml:space="preserve">0.1 </w:t>
            </w:r>
          </w:p>
        </w:tc>
      </w:tr>
      <w:tr w:rsidR="004F3852" w:rsidRPr="00664E64" w14:paraId="3CCD9AAC" w14:textId="77777777" w:rsidTr="00163B5C">
        <w:trPr>
          <w:trHeight w:val="523"/>
        </w:trPr>
        <w:tc>
          <w:tcPr>
            <w:tcW w:w="644" w:type="pct"/>
            <w:hideMark/>
          </w:tcPr>
          <w:p w14:paraId="160A164D" w14:textId="77777777" w:rsidR="004F3852" w:rsidRPr="00664E64" w:rsidRDefault="004F3852" w:rsidP="007D624D">
            <w:pPr>
              <w:pStyle w:val="TableText"/>
              <w:rPr>
                <w:lang w:val="en-AU"/>
              </w:rPr>
            </w:pPr>
            <w:r w:rsidRPr="00664E64">
              <w:rPr>
                <w:lang w:val="en-AU"/>
              </w:rPr>
              <w:t>Horse racing (3,806)</w:t>
            </w:r>
          </w:p>
        </w:tc>
        <w:tc>
          <w:tcPr>
            <w:tcW w:w="541" w:type="pct"/>
            <w:noWrap/>
          </w:tcPr>
          <w:p w14:paraId="1C063E13" w14:textId="77777777" w:rsidR="004F3852" w:rsidRPr="00664E64" w:rsidRDefault="004F3852" w:rsidP="007D624D">
            <w:pPr>
              <w:pStyle w:val="TableTextCentre"/>
              <w:rPr>
                <w:lang w:val="en-AU"/>
              </w:rPr>
            </w:pPr>
            <w:r w:rsidRPr="00664E64">
              <w:rPr>
                <w:lang w:val="en-AU"/>
              </w:rPr>
              <w:t xml:space="preserve">82.7 </w:t>
            </w:r>
          </w:p>
        </w:tc>
        <w:tc>
          <w:tcPr>
            <w:tcW w:w="583" w:type="pct"/>
            <w:noWrap/>
          </w:tcPr>
          <w:p w14:paraId="368817EC" w14:textId="77777777" w:rsidR="004F3852" w:rsidRPr="00664E64" w:rsidRDefault="004F3852" w:rsidP="007D624D">
            <w:pPr>
              <w:pStyle w:val="TableTextCentre"/>
              <w:rPr>
                <w:lang w:val="en-AU"/>
              </w:rPr>
            </w:pPr>
            <w:r w:rsidRPr="00664E64">
              <w:rPr>
                <w:lang w:val="en-AU"/>
              </w:rPr>
              <w:t xml:space="preserve">43.9 </w:t>
            </w:r>
          </w:p>
        </w:tc>
        <w:tc>
          <w:tcPr>
            <w:tcW w:w="536" w:type="pct"/>
            <w:noWrap/>
          </w:tcPr>
          <w:p w14:paraId="1E0A9B58" w14:textId="77777777" w:rsidR="004F3852" w:rsidRPr="00664E64" w:rsidRDefault="004F3852" w:rsidP="007D624D">
            <w:pPr>
              <w:pStyle w:val="TableTextCentre"/>
              <w:rPr>
                <w:lang w:val="en-AU"/>
              </w:rPr>
            </w:pPr>
            <w:r w:rsidRPr="00664E64">
              <w:rPr>
                <w:lang w:val="en-AU"/>
              </w:rPr>
              <w:t xml:space="preserve">3.0 </w:t>
            </w:r>
          </w:p>
        </w:tc>
        <w:tc>
          <w:tcPr>
            <w:tcW w:w="601" w:type="pct"/>
            <w:noWrap/>
          </w:tcPr>
          <w:p w14:paraId="17F633F2" w14:textId="77777777" w:rsidR="004F3852" w:rsidRPr="00664E64" w:rsidRDefault="004F3852" w:rsidP="007D624D">
            <w:pPr>
              <w:pStyle w:val="TableTextCentre"/>
              <w:rPr>
                <w:lang w:val="en-AU"/>
              </w:rPr>
            </w:pPr>
            <w:r w:rsidRPr="00664E64">
              <w:rPr>
                <w:lang w:val="en-AU"/>
              </w:rPr>
              <w:t xml:space="preserve">1.5 </w:t>
            </w:r>
          </w:p>
        </w:tc>
        <w:tc>
          <w:tcPr>
            <w:tcW w:w="627" w:type="pct"/>
            <w:noWrap/>
          </w:tcPr>
          <w:p w14:paraId="5B338E80" w14:textId="77777777" w:rsidR="004F3852" w:rsidRPr="00664E64" w:rsidRDefault="004F3852" w:rsidP="007D624D">
            <w:pPr>
              <w:pStyle w:val="TableTextCentre"/>
              <w:rPr>
                <w:lang w:val="en-AU"/>
              </w:rPr>
            </w:pPr>
            <w:r w:rsidRPr="00664E64">
              <w:rPr>
                <w:lang w:val="en-AU"/>
              </w:rPr>
              <w:t xml:space="preserve">3.5 </w:t>
            </w:r>
          </w:p>
        </w:tc>
        <w:tc>
          <w:tcPr>
            <w:tcW w:w="536" w:type="pct"/>
            <w:noWrap/>
          </w:tcPr>
          <w:p w14:paraId="63EE9831" w14:textId="77777777" w:rsidR="004F3852" w:rsidRPr="00664E64" w:rsidRDefault="004F3852" w:rsidP="007D624D">
            <w:pPr>
              <w:pStyle w:val="TableTextCentre"/>
              <w:rPr>
                <w:lang w:val="en-AU"/>
              </w:rPr>
            </w:pPr>
            <w:r w:rsidRPr="00664E64">
              <w:rPr>
                <w:lang w:val="en-AU"/>
              </w:rPr>
              <w:t xml:space="preserve">27.0 </w:t>
            </w:r>
          </w:p>
        </w:tc>
        <w:tc>
          <w:tcPr>
            <w:tcW w:w="498" w:type="pct"/>
            <w:noWrap/>
          </w:tcPr>
          <w:p w14:paraId="53518BE2" w14:textId="77777777" w:rsidR="004F3852" w:rsidRPr="00664E64" w:rsidRDefault="004F3852" w:rsidP="007D624D">
            <w:pPr>
              <w:pStyle w:val="TableTextCentre"/>
              <w:rPr>
                <w:lang w:val="en-AU"/>
              </w:rPr>
            </w:pPr>
            <w:r w:rsidRPr="00664E64">
              <w:rPr>
                <w:lang w:val="en-AU"/>
              </w:rPr>
              <w:t xml:space="preserve">27.9 </w:t>
            </w:r>
          </w:p>
        </w:tc>
        <w:tc>
          <w:tcPr>
            <w:tcW w:w="435" w:type="pct"/>
            <w:noWrap/>
          </w:tcPr>
          <w:p w14:paraId="7A702F25" w14:textId="77777777" w:rsidR="004F3852" w:rsidRPr="00664E64" w:rsidRDefault="004F3852" w:rsidP="007D624D">
            <w:pPr>
              <w:jc w:val="center"/>
              <w:rPr>
                <w:rFonts w:cs="Arial"/>
                <w:color w:val="000000"/>
                <w:szCs w:val="20"/>
              </w:rPr>
            </w:pPr>
            <w:r w:rsidRPr="00664E64">
              <w:rPr>
                <w:rFonts w:cs="Arial"/>
                <w:color w:val="000000"/>
                <w:szCs w:val="20"/>
              </w:rPr>
              <w:t xml:space="preserve">0.1 </w:t>
            </w:r>
          </w:p>
        </w:tc>
      </w:tr>
      <w:tr w:rsidR="004F3852" w:rsidRPr="00664E64" w14:paraId="503C8749" w14:textId="77777777" w:rsidTr="00163B5C">
        <w:trPr>
          <w:trHeight w:val="523"/>
        </w:trPr>
        <w:tc>
          <w:tcPr>
            <w:tcW w:w="644" w:type="pct"/>
            <w:hideMark/>
          </w:tcPr>
          <w:p w14:paraId="36B3989E" w14:textId="77777777" w:rsidR="004F3852" w:rsidRPr="00664E64" w:rsidRDefault="004F3852" w:rsidP="007D624D">
            <w:pPr>
              <w:pStyle w:val="TableText"/>
              <w:rPr>
                <w:lang w:val="en-AU"/>
              </w:rPr>
            </w:pPr>
            <w:r w:rsidRPr="00664E64">
              <w:rPr>
                <w:lang w:val="en-AU"/>
              </w:rPr>
              <w:t>Harness racing (1,134)</w:t>
            </w:r>
          </w:p>
        </w:tc>
        <w:tc>
          <w:tcPr>
            <w:tcW w:w="541" w:type="pct"/>
            <w:noWrap/>
          </w:tcPr>
          <w:p w14:paraId="22F2C0F7" w14:textId="77777777" w:rsidR="004F3852" w:rsidRPr="00664E64" w:rsidRDefault="004F3852" w:rsidP="007D624D">
            <w:pPr>
              <w:pStyle w:val="TableTextCentre"/>
              <w:rPr>
                <w:lang w:val="en-AU"/>
              </w:rPr>
            </w:pPr>
            <w:r w:rsidRPr="00664E64">
              <w:rPr>
                <w:lang w:val="en-AU"/>
              </w:rPr>
              <w:t xml:space="preserve">82.7 </w:t>
            </w:r>
          </w:p>
        </w:tc>
        <w:tc>
          <w:tcPr>
            <w:tcW w:w="583" w:type="pct"/>
            <w:noWrap/>
          </w:tcPr>
          <w:p w14:paraId="55E175DB" w14:textId="77777777" w:rsidR="004F3852" w:rsidRPr="00664E64" w:rsidRDefault="004F3852" w:rsidP="007D624D">
            <w:pPr>
              <w:pStyle w:val="TableTextCentre"/>
              <w:rPr>
                <w:lang w:val="en-AU"/>
              </w:rPr>
            </w:pPr>
            <w:r w:rsidRPr="00664E64">
              <w:rPr>
                <w:lang w:val="en-AU"/>
              </w:rPr>
              <w:t xml:space="preserve">40.3 </w:t>
            </w:r>
          </w:p>
        </w:tc>
        <w:tc>
          <w:tcPr>
            <w:tcW w:w="536" w:type="pct"/>
            <w:noWrap/>
          </w:tcPr>
          <w:p w14:paraId="45734041" w14:textId="77777777" w:rsidR="004F3852" w:rsidRPr="00664E64" w:rsidRDefault="004F3852" w:rsidP="007D624D">
            <w:pPr>
              <w:pStyle w:val="TableTextCentre"/>
              <w:rPr>
                <w:lang w:val="en-AU"/>
              </w:rPr>
            </w:pPr>
            <w:r w:rsidRPr="00664E64">
              <w:rPr>
                <w:lang w:val="en-AU"/>
              </w:rPr>
              <w:t xml:space="preserve">4.3 </w:t>
            </w:r>
          </w:p>
        </w:tc>
        <w:tc>
          <w:tcPr>
            <w:tcW w:w="601" w:type="pct"/>
            <w:noWrap/>
          </w:tcPr>
          <w:p w14:paraId="7174D474" w14:textId="77777777" w:rsidR="004F3852" w:rsidRPr="00664E64" w:rsidRDefault="004F3852" w:rsidP="007D624D">
            <w:pPr>
              <w:pStyle w:val="TableTextCentre"/>
              <w:rPr>
                <w:lang w:val="en-AU"/>
              </w:rPr>
            </w:pPr>
            <w:r w:rsidRPr="00664E64">
              <w:rPr>
                <w:lang w:val="en-AU"/>
              </w:rPr>
              <w:t xml:space="preserve">2.6 </w:t>
            </w:r>
          </w:p>
        </w:tc>
        <w:tc>
          <w:tcPr>
            <w:tcW w:w="627" w:type="pct"/>
            <w:noWrap/>
          </w:tcPr>
          <w:p w14:paraId="2A0753FD" w14:textId="77777777" w:rsidR="004F3852" w:rsidRPr="00664E64" w:rsidRDefault="004F3852" w:rsidP="007D624D">
            <w:pPr>
              <w:pStyle w:val="TableTextCentre"/>
              <w:rPr>
                <w:lang w:val="en-AU"/>
              </w:rPr>
            </w:pPr>
            <w:r w:rsidRPr="00664E64">
              <w:rPr>
                <w:lang w:val="en-AU"/>
              </w:rPr>
              <w:t xml:space="preserve">2.8 </w:t>
            </w:r>
          </w:p>
        </w:tc>
        <w:tc>
          <w:tcPr>
            <w:tcW w:w="536" w:type="pct"/>
            <w:noWrap/>
          </w:tcPr>
          <w:p w14:paraId="762DCF79" w14:textId="77777777" w:rsidR="004F3852" w:rsidRPr="00664E64" w:rsidRDefault="004F3852" w:rsidP="007D624D">
            <w:pPr>
              <w:pStyle w:val="TableTextCentre"/>
              <w:rPr>
                <w:lang w:val="en-AU"/>
              </w:rPr>
            </w:pPr>
            <w:r w:rsidRPr="00664E64">
              <w:rPr>
                <w:lang w:val="en-AU"/>
              </w:rPr>
              <w:t xml:space="preserve">25.3 </w:t>
            </w:r>
          </w:p>
        </w:tc>
        <w:tc>
          <w:tcPr>
            <w:tcW w:w="498" w:type="pct"/>
            <w:noWrap/>
          </w:tcPr>
          <w:p w14:paraId="567D487F" w14:textId="77777777" w:rsidR="004F3852" w:rsidRPr="00664E64" w:rsidRDefault="004F3852" w:rsidP="007D624D">
            <w:pPr>
              <w:pStyle w:val="TableTextCentre"/>
              <w:rPr>
                <w:lang w:val="en-AU"/>
              </w:rPr>
            </w:pPr>
            <w:r w:rsidRPr="00664E64">
              <w:rPr>
                <w:lang w:val="en-AU"/>
              </w:rPr>
              <w:t xml:space="preserve">20.8 </w:t>
            </w:r>
          </w:p>
        </w:tc>
        <w:tc>
          <w:tcPr>
            <w:tcW w:w="435" w:type="pct"/>
            <w:noWrap/>
          </w:tcPr>
          <w:p w14:paraId="1F530D93" w14:textId="77777777" w:rsidR="004F3852" w:rsidRPr="00664E64" w:rsidRDefault="004F3852" w:rsidP="007D624D">
            <w:pPr>
              <w:jc w:val="center"/>
              <w:rPr>
                <w:rFonts w:cs="Arial"/>
                <w:color w:val="000000"/>
                <w:szCs w:val="20"/>
              </w:rPr>
            </w:pPr>
            <w:r w:rsidRPr="00664E64">
              <w:rPr>
                <w:rFonts w:cs="Arial"/>
                <w:color w:val="000000"/>
                <w:szCs w:val="20"/>
              </w:rPr>
              <w:t xml:space="preserve">0.2 </w:t>
            </w:r>
          </w:p>
        </w:tc>
      </w:tr>
      <w:tr w:rsidR="004F3852" w:rsidRPr="00664E64" w14:paraId="74F87D36" w14:textId="77777777" w:rsidTr="00163B5C">
        <w:trPr>
          <w:trHeight w:val="523"/>
        </w:trPr>
        <w:tc>
          <w:tcPr>
            <w:tcW w:w="644" w:type="pct"/>
            <w:hideMark/>
          </w:tcPr>
          <w:p w14:paraId="3D1ECEEA" w14:textId="77777777" w:rsidR="004F3852" w:rsidRPr="00664E64" w:rsidRDefault="004F3852" w:rsidP="007D624D">
            <w:pPr>
              <w:pStyle w:val="TableText"/>
              <w:rPr>
                <w:lang w:val="en-AU"/>
              </w:rPr>
            </w:pPr>
            <w:r w:rsidRPr="00664E64">
              <w:rPr>
                <w:lang w:val="en-AU"/>
              </w:rPr>
              <w:t>Greyhound racing (1,610)</w:t>
            </w:r>
          </w:p>
        </w:tc>
        <w:tc>
          <w:tcPr>
            <w:tcW w:w="541" w:type="pct"/>
            <w:noWrap/>
          </w:tcPr>
          <w:p w14:paraId="61F4C737" w14:textId="77777777" w:rsidR="004F3852" w:rsidRPr="00664E64" w:rsidRDefault="004F3852" w:rsidP="007D624D">
            <w:pPr>
              <w:pStyle w:val="TableTextCentre"/>
              <w:rPr>
                <w:lang w:val="en-AU"/>
              </w:rPr>
            </w:pPr>
            <w:r w:rsidRPr="00664E64">
              <w:rPr>
                <w:lang w:val="en-AU"/>
              </w:rPr>
              <w:t xml:space="preserve">84.2 </w:t>
            </w:r>
          </w:p>
        </w:tc>
        <w:tc>
          <w:tcPr>
            <w:tcW w:w="583" w:type="pct"/>
            <w:noWrap/>
          </w:tcPr>
          <w:p w14:paraId="068B6B84" w14:textId="77777777" w:rsidR="004F3852" w:rsidRPr="00664E64" w:rsidRDefault="004F3852" w:rsidP="007D624D">
            <w:pPr>
              <w:pStyle w:val="TableTextCentre"/>
              <w:rPr>
                <w:lang w:val="en-AU"/>
              </w:rPr>
            </w:pPr>
            <w:r w:rsidRPr="00664E64">
              <w:rPr>
                <w:lang w:val="en-AU"/>
              </w:rPr>
              <w:t xml:space="preserve">36.9 </w:t>
            </w:r>
          </w:p>
        </w:tc>
        <w:tc>
          <w:tcPr>
            <w:tcW w:w="536" w:type="pct"/>
            <w:noWrap/>
          </w:tcPr>
          <w:p w14:paraId="2DA854F6" w14:textId="77777777" w:rsidR="004F3852" w:rsidRPr="00664E64" w:rsidRDefault="004F3852" w:rsidP="007D624D">
            <w:pPr>
              <w:pStyle w:val="TableTextCentre"/>
              <w:rPr>
                <w:lang w:val="en-AU"/>
              </w:rPr>
            </w:pPr>
            <w:r w:rsidRPr="00664E64">
              <w:rPr>
                <w:lang w:val="en-AU"/>
              </w:rPr>
              <w:t xml:space="preserve">4.3 </w:t>
            </w:r>
          </w:p>
        </w:tc>
        <w:tc>
          <w:tcPr>
            <w:tcW w:w="601" w:type="pct"/>
            <w:noWrap/>
          </w:tcPr>
          <w:p w14:paraId="2DD02913" w14:textId="77777777" w:rsidR="004F3852" w:rsidRPr="00664E64" w:rsidRDefault="004F3852" w:rsidP="007D624D">
            <w:pPr>
              <w:pStyle w:val="TableTextCentre"/>
              <w:rPr>
                <w:lang w:val="en-AU"/>
              </w:rPr>
            </w:pPr>
            <w:r w:rsidRPr="00664E64">
              <w:rPr>
                <w:lang w:val="en-AU"/>
              </w:rPr>
              <w:t xml:space="preserve">2.3 </w:t>
            </w:r>
          </w:p>
        </w:tc>
        <w:tc>
          <w:tcPr>
            <w:tcW w:w="627" w:type="pct"/>
            <w:noWrap/>
          </w:tcPr>
          <w:p w14:paraId="25C49139" w14:textId="77777777" w:rsidR="004F3852" w:rsidRPr="00664E64" w:rsidRDefault="004F3852" w:rsidP="007D624D">
            <w:pPr>
              <w:pStyle w:val="TableTextCentre"/>
              <w:rPr>
                <w:lang w:val="en-AU"/>
              </w:rPr>
            </w:pPr>
            <w:r w:rsidRPr="00664E64">
              <w:rPr>
                <w:lang w:val="en-AU"/>
              </w:rPr>
              <w:t xml:space="preserve">2.6 </w:t>
            </w:r>
          </w:p>
        </w:tc>
        <w:tc>
          <w:tcPr>
            <w:tcW w:w="536" w:type="pct"/>
            <w:noWrap/>
          </w:tcPr>
          <w:p w14:paraId="010410F3" w14:textId="77777777" w:rsidR="004F3852" w:rsidRPr="00664E64" w:rsidRDefault="004F3852" w:rsidP="007D624D">
            <w:pPr>
              <w:pStyle w:val="TableTextCentre"/>
              <w:rPr>
                <w:lang w:val="en-AU"/>
              </w:rPr>
            </w:pPr>
            <w:r w:rsidRPr="00664E64">
              <w:rPr>
                <w:lang w:val="en-AU"/>
              </w:rPr>
              <w:t xml:space="preserve">30.1 </w:t>
            </w:r>
          </w:p>
        </w:tc>
        <w:tc>
          <w:tcPr>
            <w:tcW w:w="498" w:type="pct"/>
            <w:noWrap/>
          </w:tcPr>
          <w:p w14:paraId="140AFA92" w14:textId="77777777" w:rsidR="004F3852" w:rsidRPr="00664E64" w:rsidRDefault="004F3852" w:rsidP="007D624D">
            <w:pPr>
              <w:pStyle w:val="TableTextCentre"/>
              <w:rPr>
                <w:lang w:val="en-AU"/>
              </w:rPr>
            </w:pPr>
            <w:r w:rsidRPr="00664E64">
              <w:rPr>
                <w:lang w:val="en-AU"/>
              </w:rPr>
              <w:t xml:space="preserve">21.6 </w:t>
            </w:r>
          </w:p>
        </w:tc>
        <w:tc>
          <w:tcPr>
            <w:tcW w:w="435" w:type="pct"/>
            <w:noWrap/>
          </w:tcPr>
          <w:p w14:paraId="043B60AD" w14:textId="77777777" w:rsidR="004F3852" w:rsidRPr="00664E64" w:rsidRDefault="004F3852" w:rsidP="007D624D">
            <w:pPr>
              <w:jc w:val="center"/>
              <w:rPr>
                <w:rFonts w:cs="Arial"/>
                <w:color w:val="000000"/>
                <w:szCs w:val="20"/>
              </w:rPr>
            </w:pPr>
            <w:r w:rsidRPr="00664E64">
              <w:rPr>
                <w:rFonts w:cs="Arial"/>
                <w:color w:val="000000"/>
                <w:szCs w:val="20"/>
              </w:rPr>
              <w:t xml:space="preserve">0.1 </w:t>
            </w:r>
          </w:p>
        </w:tc>
      </w:tr>
      <w:tr w:rsidR="004F3852" w:rsidRPr="00664E64" w14:paraId="536ECDBE" w14:textId="77777777" w:rsidTr="00163B5C">
        <w:trPr>
          <w:trHeight w:val="523"/>
        </w:trPr>
        <w:tc>
          <w:tcPr>
            <w:tcW w:w="644" w:type="pct"/>
            <w:hideMark/>
          </w:tcPr>
          <w:p w14:paraId="7BE87730" w14:textId="77777777" w:rsidR="004F3852" w:rsidRPr="00664E64" w:rsidRDefault="004F3852" w:rsidP="007D624D">
            <w:pPr>
              <w:pStyle w:val="TableText"/>
              <w:rPr>
                <w:lang w:val="en-AU"/>
              </w:rPr>
            </w:pPr>
            <w:r w:rsidRPr="00664E64">
              <w:rPr>
                <w:lang w:val="en-AU"/>
              </w:rPr>
              <w:t xml:space="preserve">Fantasy sports (189) </w:t>
            </w:r>
          </w:p>
        </w:tc>
        <w:tc>
          <w:tcPr>
            <w:tcW w:w="541" w:type="pct"/>
            <w:noWrap/>
          </w:tcPr>
          <w:p w14:paraId="20316AB2" w14:textId="77777777" w:rsidR="004F3852" w:rsidRPr="00664E64" w:rsidRDefault="004F3852" w:rsidP="007D624D">
            <w:pPr>
              <w:pStyle w:val="TableTextCentre"/>
              <w:rPr>
                <w:lang w:val="en-AU"/>
              </w:rPr>
            </w:pPr>
            <w:r w:rsidRPr="00664E64">
              <w:rPr>
                <w:lang w:val="en-AU"/>
              </w:rPr>
              <w:t xml:space="preserve">81.5 </w:t>
            </w:r>
          </w:p>
        </w:tc>
        <w:tc>
          <w:tcPr>
            <w:tcW w:w="583" w:type="pct"/>
            <w:noWrap/>
          </w:tcPr>
          <w:p w14:paraId="22D6E4B1" w14:textId="77777777" w:rsidR="004F3852" w:rsidRPr="00664E64" w:rsidRDefault="004F3852" w:rsidP="007D624D">
            <w:pPr>
              <w:pStyle w:val="TableTextCentre"/>
              <w:rPr>
                <w:lang w:val="en-AU"/>
              </w:rPr>
            </w:pPr>
            <w:r w:rsidRPr="00664E64">
              <w:rPr>
                <w:lang w:val="en-AU"/>
              </w:rPr>
              <w:t xml:space="preserve">55.6 </w:t>
            </w:r>
          </w:p>
        </w:tc>
        <w:tc>
          <w:tcPr>
            <w:tcW w:w="536" w:type="pct"/>
            <w:noWrap/>
          </w:tcPr>
          <w:p w14:paraId="29100C5B" w14:textId="77777777" w:rsidR="004F3852" w:rsidRPr="00664E64" w:rsidRDefault="004F3852" w:rsidP="007D624D">
            <w:pPr>
              <w:pStyle w:val="TableTextCentre"/>
              <w:rPr>
                <w:lang w:val="en-AU"/>
              </w:rPr>
            </w:pPr>
            <w:r w:rsidRPr="00664E64">
              <w:rPr>
                <w:lang w:val="en-AU"/>
              </w:rPr>
              <w:t xml:space="preserve">4.8 </w:t>
            </w:r>
          </w:p>
        </w:tc>
        <w:tc>
          <w:tcPr>
            <w:tcW w:w="601" w:type="pct"/>
            <w:noWrap/>
          </w:tcPr>
          <w:p w14:paraId="67B6BF6B" w14:textId="77777777" w:rsidR="004F3852" w:rsidRPr="00664E64" w:rsidRDefault="004F3852" w:rsidP="007D624D">
            <w:pPr>
              <w:pStyle w:val="TableTextCentre"/>
              <w:rPr>
                <w:lang w:val="en-AU"/>
              </w:rPr>
            </w:pPr>
            <w:r w:rsidRPr="00664E64">
              <w:rPr>
                <w:lang w:val="en-AU"/>
              </w:rPr>
              <w:t xml:space="preserve">3.2 </w:t>
            </w:r>
          </w:p>
        </w:tc>
        <w:tc>
          <w:tcPr>
            <w:tcW w:w="627" w:type="pct"/>
            <w:noWrap/>
          </w:tcPr>
          <w:p w14:paraId="68DA6D32" w14:textId="77777777" w:rsidR="004F3852" w:rsidRPr="00664E64" w:rsidRDefault="004F3852" w:rsidP="007D624D">
            <w:pPr>
              <w:pStyle w:val="TableTextCentre"/>
              <w:rPr>
                <w:lang w:val="en-AU"/>
              </w:rPr>
            </w:pPr>
            <w:r w:rsidRPr="00664E64">
              <w:rPr>
                <w:lang w:val="en-AU"/>
              </w:rPr>
              <w:t xml:space="preserve">2.1 </w:t>
            </w:r>
          </w:p>
        </w:tc>
        <w:tc>
          <w:tcPr>
            <w:tcW w:w="536" w:type="pct"/>
            <w:noWrap/>
          </w:tcPr>
          <w:p w14:paraId="1E9C04A3" w14:textId="77777777" w:rsidR="004F3852" w:rsidRPr="00664E64" w:rsidRDefault="004F3852" w:rsidP="007D624D">
            <w:pPr>
              <w:pStyle w:val="TableTextCentre"/>
              <w:rPr>
                <w:lang w:val="en-AU"/>
              </w:rPr>
            </w:pPr>
            <w:r w:rsidRPr="00664E64">
              <w:rPr>
                <w:lang w:val="en-AU"/>
              </w:rPr>
              <w:t xml:space="preserve">7.4 </w:t>
            </w:r>
          </w:p>
        </w:tc>
        <w:tc>
          <w:tcPr>
            <w:tcW w:w="498" w:type="pct"/>
            <w:noWrap/>
          </w:tcPr>
          <w:p w14:paraId="626AA326" w14:textId="77777777" w:rsidR="004F3852" w:rsidRPr="00664E64" w:rsidRDefault="004F3852" w:rsidP="007D624D">
            <w:pPr>
              <w:pStyle w:val="TableTextCentre"/>
              <w:rPr>
                <w:lang w:val="en-AU"/>
              </w:rPr>
            </w:pPr>
            <w:r w:rsidRPr="00664E64">
              <w:rPr>
                <w:lang w:val="en-AU"/>
              </w:rPr>
              <w:t xml:space="preserve">4.2 </w:t>
            </w:r>
          </w:p>
        </w:tc>
        <w:tc>
          <w:tcPr>
            <w:tcW w:w="435" w:type="pct"/>
            <w:noWrap/>
          </w:tcPr>
          <w:p w14:paraId="3001E304" w14:textId="77777777" w:rsidR="004F3852" w:rsidRPr="00664E64" w:rsidRDefault="004F3852" w:rsidP="007D624D">
            <w:pPr>
              <w:jc w:val="center"/>
              <w:rPr>
                <w:rFonts w:cs="Arial"/>
                <w:color w:val="000000"/>
                <w:szCs w:val="20"/>
              </w:rPr>
            </w:pPr>
            <w:r w:rsidRPr="00664E64">
              <w:rPr>
                <w:rFonts w:cs="Arial"/>
                <w:color w:val="000000"/>
                <w:szCs w:val="20"/>
              </w:rPr>
              <w:t xml:space="preserve">0.0 </w:t>
            </w:r>
          </w:p>
        </w:tc>
      </w:tr>
      <w:tr w:rsidR="004F3852" w:rsidRPr="00664E64" w14:paraId="4643F4A1" w14:textId="77777777" w:rsidTr="00163B5C">
        <w:trPr>
          <w:trHeight w:val="523"/>
        </w:trPr>
        <w:tc>
          <w:tcPr>
            <w:tcW w:w="644" w:type="pct"/>
            <w:hideMark/>
          </w:tcPr>
          <w:p w14:paraId="5CD7E231" w14:textId="77777777" w:rsidR="004F3852" w:rsidRPr="00664E64" w:rsidRDefault="004F3852" w:rsidP="007D624D">
            <w:pPr>
              <w:pStyle w:val="TableText"/>
              <w:rPr>
                <w:lang w:val="en-AU"/>
              </w:rPr>
            </w:pPr>
            <w:r w:rsidRPr="00664E64">
              <w:rPr>
                <w:lang w:val="en-AU"/>
              </w:rPr>
              <w:t>eSports (130)</w:t>
            </w:r>
          </w:p>
        </w:tc>
        <w:tc>
          <w:tcPr>
            <w:tcW w:w="541" w:type="pct"/>
            <w:noWrap/>
          </w:tcPr>
          <w:p w14:paraId="610D486B" w14:textId="77777777" w:rsidR="004F3852" w:rsidRPr="00664E64" w:rsidRDefault="004F3852" w:rsidP="007D624D">
            <w:pPr>
              <w:pStyle w:val="TableTextCentre"/>
              <w:rPr>
                <w:lang w:val="en-AU"/>
              </w:rPr>
            </w:pPr>
            <w:r w:rsidRPr="00664E64">
              <w:rPr>
                <w:lang w:val="en-AU"/>
              </w:rPr>
              <w:t xml:space="preserve">80.8 </w:t>
            </w:r>
          </w:p>
        </w:tc>
        <w:tc>
          <w:tcPr>
            <w:tcW w:w="583" w:type="pct"/>
            <w:noWrap/>
          </w:tcPr>
          <w:p w14:paraId="55A009CF" w14:textId="77777777" w:rsidR="004F3852" w:rsidRPr="00664E64" w:rsidRDefault="004F3852" w:rsidP="007D624D">
            <w:pPr>
              <w:pStyle w:val="TableTextCentre"/>
              <w:rPr>
                <w:lang w:val="en-AU"/>
              </w:rPr>
            </w:pPr>
            <w:r w:rsidRPr="00664E64">
              <w:rPr>
                <w:lang w:val="en-AU"/>
              </w:rPr>
              <w:t xml:space="preserve">49.2 </w:t>
            </w:r>
          </w:p>
        </w:tc>
        <w:tc>
          <w:tcPr>
            <w:tcW w:w="536" w:type="pct"/>
            <w:noWrap/>
          </w:tcPr>
          <w:p w14:paraId="77A53B56" w14:textId="77777777" w:rsidR="004F3852" w:rsidRPr="00664E64" w:rsidRDefault="004F3852" w:rsidP="007D624D">
            <w:pPr>
              <w:pStyle w:val="TableTextCentre"/>
              <w:rPr>
                <w:lang w:val="en-AU"/>
              </w:rPr>
            </w:pPr>
            <w:r w:rsidRPr="00664E64">
              <w:rPr>
                <w:lang w:val="en-AU"/>
              </w:rPr>
              <w:t xml:space="preserve">6.2 </w:t>
            </w:r>
          </w:p>
        </w:tc>
        <w:tc>
          <w:tcPr>
            <w:tcW w:w="601" w:type="pct"/>
            <w:noWrap/>
          </w:tcPr>
          <w:p w14:paraId="18E25D16" w14:textId="77777777" w:rsidR="004F3852" w:rsidRPr="00664E64" w:rsidRDefault="004F3852" w:rsidP="007D624D">
            <w:pPr>
              <w:pStyle w:val="TableTextCentre"/>
              <w:rPr>
                <w:lang w:val="en-AU"/>
              </w:rPr>
            </w:pPr>
            <w:r w:rsidRPr="00664E64">
              <w:rPr>
                <w:lang w:val="en-AU"/>
              </w:rPr>
              <w:t xml:space="preserve">6.9 </w:t>
            </w:r>
          </w:p>
        </w:tc>
        <w:tc>
          <w:tcPr>
            <w:tcW w:w="627" w:type="pct"/>
            <w:noWrap/>
          </w:tcPr>
          <w:p w14:paraId="3F19DECC" w14:textId="77777777" w:rsidR="004F3852" w:rsidRPr="00664E64" w:rsidRDefault="004F3852" w:rsidP="007D624D">
            <w:pPr>
              <w:pStyle w:val="TableTextCentre"/>
              <w:rPr>
                <w:lang w:val="en-AU"/>
              </w:rPr>
            </w:pPr>
            <w:r w:rsidRPr="00664E64">
              <w:rPr>
                <w:lang w:val="en-AU"/>
              </w:rPr>
              <w:t xml:space="preserve">3.1 </w:t>
            </w:r>
          </w:p>
        </w:tc>
        <w:tc>
          <w:tcPr>
            <w:tcW w:w="536" w:type="pct"/>
            <w:noWrap/>
          </w:tcPr>
          <w:p w14:paraId="5E850EBA" w14:textId="77777777" w:rsidR="004F3852" w:rsidRPr="00664E64" w:rsidRDefault="004F3852" w:rsidP="007D624D">
            <w:pPr>
              <w:pStyle w:val="TableTextCentre"/>
              <w:rPr>
                <w:lang w:val="en-AU"/>
              </w:rPr>
            </w:pPr>
            <w:r w:rsidRPr="00664E64">
              <w:rPr>
                <w:lang w:val="en-AU"/>
              </w:rPr>
              <w:t xml:space="preserve">10.0 </w:t>
            </w:r>
          </w:p>
        </w:tc>
        <w:tc>
          <w:tcPr>
            <w:tcW w:w="498" w:type="pct"/>
            <w:noWrap/>
          </w:tcPr>
          <w:p w14:paraId="3192CE83" w14:textId="77777777" w:rsidR="004F3852" w:rsidRPr="00664E64" w:rsidRDefault="004F3852" w:rsidP="007D624D">
            <w:pPr>
              <w:pStyle w:val="TableTextCentre"/>
              <w:rPr>
                <w:lang w:val="en-AU"/>
              </w:rPr>
            </w:pPr>
            <w:r w:rsidRPr="00664E64">
              <w:rPr>
                <w:lang w:val="en-AU"/>
              </w:rPr>
              <w:t xml:space="preserve">3.8 </w:t>
            </w:r>
          </w:p>
        </w:tc>
        <w:tc>
          <w:tcPr>
            <w:tcW w:w="435" w:type="pct"/>
            <w:noWrap/>
          </w:tcPr>
          <w:p w14:paraId="6809425E" w14:textId="77777777" w:rsidR="004F3852" w:rsidRPr="00664E64" w:rsidRDefault="004F3852" w:rsidP="007D624D">
            <w:pPr>
              <w:jc w:val="center"/>
              <w:rPr>
                <w:rFonts w:cs="Arial"/>
                <w:color w:val="000000"/>
                <w:szCs w:val="20"/>
              </w:rPr>
            </w:pPr>
            <w:r w:rsidRPr="00664E64">
              <w:rPr>
                <w:rFonts w:cs="Arial"/>
                <w:color w:val="000000"/>
                <w:szCs w:val="20"/>
              </w:rPr>
              <w:t xml:space="preserve">0.0 </w:t>
            </w:r>
          </w:p>
        </w:tc>
      </w:tr>
      <w:tr w:rsidR="004F3852" w:rsidRPr="00664E64" w14:paraId="2D4CC97B" w14:textId="77777777" w:rsidTr="00163B5C">
        <w:trPr>
          <w:trHeight w:val="523"/>
        </w:trPr>
        <w:tc>
          <w:tcPr>
            <w:tcW w:w="644" w:type="pct"/>
            <w:hideMark/>
          </w:tcPr>
          <w:p w14:paraId="380C8E38" w14:textId="77777777" w:rsidR="004F3852" w:rsidRPr="00664E64" w:rsidRDefault="004F3852" w:rsidP="007D624D">
            <w:pPr>
              <w:pStyle w:val="TableText"/>
              <w:rPr>
                <w:lang w:val="en-AU"/>
              </w:rPr>
            </w:pPr>
            <w:r w:rsidRPr="00664E64">
              <w:rPr>
                <w:lang w:val="en-AU"/>
              </w:rPr>
              <w:t xml:space="preserve">TV shows (199) </w:t>
            </w:r>
          </w:p>
        </w:tc>
        <w:tc>
          <w:tcPr>
            <w:tcW w:w="541" w:type="pct"/>
            <w:noWrap/>
          </w:tcPr>
          <w:p w14:paraId="54B8C9FE" w14:textId="77777777" w:rsidR="004F3852" w:rsidRPr="00664E64" w:rsidRDefault="004F3852" w:rsidP="007D624D">
            <w:pPr>
              <w:pStyle w:val="TableTextCentre"/>
              <w:rPr>
                <w:lang w:val="en-AU"/>
              </w:rPr>
            </w:pPr>
            <w:r w:rsidRPr="00664E64">
              <w:rPr>
                <w:lang w:val="en-AU"/>
              </w:rPr>
              <w:t xml:space="preserve">84.9 </w:t>
            </w:r>
          </w:p>
        </w:tc>
        <w:tc>
          <w:tcPr>
            <w:tcW w:w="583" w:type="pct"/>
            <w:noWrap/>
          </w:tcPr>
          <w:p w14:paraId="5029F255" w14:textId="77777777" w:rsidR="004F3852" w:rsidRPr="00664E64" w:rsidRDefault="004F3852" w:rsidP="007D624D">
            <w:pPr>
              <w:pStyle w:val="TableTextCentre"/>
              <w:rPr>
                <w:lang w:val="en-AU"/>
              </w:rPr>
            </w:pPr>
            <w:r w:rsidRPr="00664E64">
              <w:rPr>
                <w:lang w:val="en-AU"/>
              </w:rPr>
              <w:t xml:space="preserve">29.1 </w:t>
            </w:r>
          </w:p>
        </w:tc>
        <w:tc>
          <w:tcPr>
            <w:tcW w:w="536" w:type="pct"/>
            <w:noWrap/>
          </w:tcPr>
          <w:p w14:paraId="744297A5" w14:textId="77777777" w:rsidR="004F3852" w:rsidRPr="00664E64" w:rsidRDefault="004F3852" w:rsidP="007D624D">
            <w:pPr>
              <w:pStyle w:val="TableTextCentre"/>
              <w:rPr>
                <w:lang w:val="en-AU"/>
              </w:rPr>
            </w:pPr>
            <w:r w:rsidRPr="00664E64">
              <w:rPr>
                <w:lang w:val="en-AU"/>
              </w:rPr>
              <w:t xml:space="preserve">5.0 </w:t>
            </w:r>
          </w:p>
        </w:tc>
        <w:tc>
          <w:tcPr>
            <w:tcW w:w="601" w:type="pct"/>
            <w:noWrap/>
          </w:tcPr>
          <w:p w14:paraId="39C07CF1" w14:textId="77777777" w:rsidR="004F3852" w:rsidRPr="00664E64" w:rsidRDefault="004F3852" w:rsidP="007D624D">
            <w:pPr>
              <w:pStyle w:val="TableTextCentre"/>
              <w:rPr>
                <w:lang w:val="en-AU"/>
              </w:rPr>
            </w:pPr>
            <w:r w:rsidRPr="00664E64">
              <w:rPr>
                <w:lang w:val="en-AU"/>
              </w:rPr>
              <w:t xml:space="preserve">2.0 </w:t>
            </w:r>
          </w:p>
        </w:tc>
        <w:tc>
          <w:tcPr>
            <w:tcW w:w="627" w:type="pct"/>
            <w:noWrap/>
          </w:tcPr>
          <w:p w14:paraId="288607E3" w14:textId="77777777" w:rsidR="004F3852" w:rsidRPr="00664E64" w:rsidRDefault="004F3852" w:rsidP="007D624D">
            <w:pPr>
              <w:pStyle w:val="TableTextCentre"/>
              <w:rPr>
                <w:lang w:val="en-AU"/>
              </w:rPr>
            </w:pPr>
            <w:r w:rsidRPr="00664E64">
              <w:rPr>
                <w:lang w:val="en-AU"/>
              </w:rPr>
              <w:t xml:space="preserve">3.5 </w:t>
            </w:r>
          </w:p>
        </w:tc>
        <w:tc>
          <w:tcPr>
            <w:tcW w:w="536" w:type="pct"/>
            <w:noWrap/>
          </w:tcPr>
          <w:p w14:paraId="38E95D3E" w14:textId="77777777" w:rsidR="004F3852" w:rsidRPr="00664E64" w:rsidRDefault="004F3852" w:rsidP="007D624D">
            <w:pPr>
              <w:pStyle w:val="TableTextCentre"/>
              <w:rPr>
                <w:lang w:val="en-AU"/>
              </w:rPr>
            </w:pPr>
            <w:r w:rsidRPr="00664E64">
              <w:rPr>
                <w:lang w:val="en-AU"/>
              </w:rPr>
              <w:t xml:space="preserve">3.5 </w:t>
            </w:r>
          </w:p>
        </w:tc>
        <w:tc>
          <w:tcPr>
            <w:tcW w:w="498" w:type="pct"/>
            <w:noWrap/>
          </w:tcPr>
          <w:p w14:paraId="6BAADBD4" w14:textId="77777777" w:rsidR="004F3852" w:rsidRPr="00664E64" w:rsidRDefault="004F3852" w:rsidP="007D624D">
            <w:pPr>
              <w:pStyle w:val="TableTextCentre"/>
              <w:rPr>
                <w:lang w:val="en-AU"/>
              </w:rPr>
            </w:pPr>
            <w:r w:rsidRPr="00664E64">
              <w:rPr>
                <w:lang w:val="en-AU"/>
              </w:rPr>
              <w:t xml:space="preserve">4.5 </w:t>
            </w:r>
          </w:p>
        </w:tc>
        <w:tc>
          <w:tcPr>
            <w:tcW w:w="435" w:type="pct"/>
            <w:noWrap/>
          </w:tcPr>
          <w:p w14:paraId="14C038B9" w14:textId="77777777" w:rsidR="004F3852" w:rsidRPr="00664E64" w:rsidRDefault="004F3852" w:rsidP="007D624D">
            <w:pPr>
              <w:jc w:val="center"/>
              <w:rPr>
                <w:rFonts w:cs="Arial"/>
                <w:color w:val="000000"/>
                <w:szCs w:val="20"/>
              </w:rPr>
            </w:pPr>
            <w:r w:rsidRPr="00664E64">
              <w:rPr>
                <w:rFonts w:cs="Arial"/>
                <w:color w:val="000000"/>
                <w:szCs w:val="20"/>
              </w:rPr>
              <w:t xml:space="preserve">0.0 </w:t>
            </w:r>
          </w:p>
        </w:tc>
      </w:tr>
      <w:tr w:rsidR="004F3852" w:rsidRPr="00664E64" w14:paraId="4F43B82B" w14:textId="77777777" w:rsidTr="00163B5C">
        <w:trPr>
          <w:trHeight w:val="523"/>
        </w:trPr>
        <w:tc>
          <w:tcPr>
            <w:tcW w:w="644" w:type="pct"/>
            <w:hideMark/>
          </w:tcPr>
          <w:p w14:paraId="75DA36F7" w14:textId="77777777" w:rsidR="004F3852" w:rsidRPr="00664E64" w:rsidRDefault="004F3852" w:rsidP="007D624D">
            <w:pPr>
              <w:pStyle w:val="TableText"/>
              <w:rPr>
                <w:lang w:val="en-AU"/>
              </w:rPr>
            </w:pPr>
            <w:r w:rsidRPr="00664E64">
              <w:rPr>
                <w:lang w:val="en-AU"/>
              </w:rPr>
              <w:t>Current affairs (135)</w:t>
            </w:r>
          </w:p>
        </w:tc>
        <w:tc>
          <w:tcPr>
            <w:tcW w:w="541" w:type="pct"/>
            <w:noWrap/>
          </w:tcPr>
          <w:p w14:paraId="4F7BA647" w14:textId="77777777" w:rsidR="004F3852" w:rsidRPr="00664E64" w:rsidRDefault="004F3852" w:rsidP="007D624D">
            <w:pPr>
              <w:pStyle w:val="TableTextCentre"/>
              <w:rPr>
                <w:lang w:val="en-AU"/>
              </w:rPr>
            </w:pPr>
            <w:r w:rsidRPr="00664E64">
              <w:rPr>
                <w:lang w:val="en-AU"/>
              </w:rPr>
              <w:t xml:space="preserve">76.3 </w:t>
            </w:r>
          </w:p>
        </w:tc>
        <w:tc>
          <w:tcPr>
            <w:tcW w:w="583" w:type="pct"/>
            <w:noWrap/>
          </w:tcPr>
          <w:p w14:paraId="55A6D812" w14:textId="77777777" w:rsidR="004F3852" w:rsidRPr="00664E64" w:rsidRDefault="004F3852" w:rsidP="007D624D">
            <w:pPr>
              <w:pStyle w:val="TableTextCentre"/>
              <w:rPr>
                <w:lang w:val="en-AU"/>
              </w:rPr>
            </w:pPr>
            <w:r w:rsidRPr="00664E64">
              <w:rPr>
                <w:lang w:val="en-AU"/>
              </w:rPr>
              <w:t xml:space="preserve">37.8 </w:t>
            </w:r>
          </w:p>
        </w:tc>
        <w:tc>
          <w:tcPr>
            <w:tcW w:w="536" w:type="pct"/>
            <w:noWrap/>
          </w:tcPr>
          <w:p w14:paraId="7CBC020D" w14:textId="77777777" w:rsidR="004F3852" w:rsidRPr="00664E64" w:rsidRDefault="004F3852" w:rsidP="007D624D">
            <w:pPr>
              <w:pStyle w:val="TableTextCentre"/>
              <w:rPr>
                <w:lang w:val="en-AU"/>
              </w:rPr>
            </w:pPr>
            <w:r w:rsidRPr="00664E64">
              <w:rPr>
                <w:lang w:val="en-AU"/>
              </w:rPr>
              <w:t xml:space="preserve">1.5 </w:t>
            </w:r>
          </w:p>
        </w:tc>
        <w:tc>
          <w:tcPr>
            <w:tcW w:w="601" w:type="pct"/>
            <w:noWrap/>
          </w:tcPr>
          <w:p w14:paraId="53A7B2EB" w14:textId="77777777" w:rsidR="004F3852" w:rsidRPr="00664E64" w:rsidRDefault="004F3852" w:rsidP="007D624D">
            <w:pPr>
              <w:pStyle w:val="TableTextCentre"/>
              <w:rPr>
                <w:lang w:val="en-AU"/>
              </w:rPr>
            </w:pPr>
            <w:r w:rsidRPr="00664E64">
              <w:rPr>
                <w:lang w:val="en-AU"/>
              </w:rPr>
              <w:t xml:space="preserve">0.0 </w:t>
            </w:r>
          </w:p>
        </w:tc>
        <w:tc>
          <w:tcPr>
            <w:tcW w:w="627" w:type="pct"/>
            <w:noWrap/>
          </w:tcPr>
          <w:p w14:paraId="6387C77F" w14:textId="77777777" w:rsidR="004F3852" w:rsidRPr="00664E64" w:rsidRDefault="004F3852" w:rsidP="007D624D">
            <w:pPr>
              <w:pStyle w:val="TableTextCentre"/>
              <w:rPr>
                <w:lang w:val="en-AU"/>
              </w:rPr>
            </w:pPr>
            <w:r w:rsidRPr="00664E64">
              <w:rPr>
                <w:lang w:val="en-AU"/>
              </w:rPr>
              <w:t xml:space="preserve">1.5 </w:t>
            </w:r>
          </w:p>
        </w:tc>
        <w:tc>
          <w:tcPr>
            <w:tcW w:w="536" w:type="pct"/>
            <w:noWrap/>
          </w:tcPr>
          <w:p w14:paraId="6AFD4314" w14:textId="77777777" w:rsidR="004F3852" w:rsidRPr="00664E64" w:rsidRDefault="004F3852" w:rsidP="007D624D">
            <w:pPr>
              <w:pStyle w:val="TableTextCentre"/>
              <w:rPr>
                <w:lang w:val="en-AU"/>
              </w:rPr>
            </w:pPr>
            <w:r w:rsidRPr="00664E64">
              <w:rPr>
                <w:lang w:val="en-AU"/>
              </w:rPr>
              <w:t xml:space="preserve">4.4 </w:t>
            </w:r>
          </w:p>
        </w:tc>
        <w:tc>
          <w:tcPr>
            <w:tcW w:w="498" w:type="pct"/>
            <w:noWrap/>
          </w:tcPr>
          <w:p w14:paraId="11033E58" w14:textId="77777777" w:rsidR="004F3852" w:rsidRPr="00664E64" w:rsidRDefault="004F3852" w:rsidP="007D624D">
            <w:pPr>
              <w:pStyle w:val="TableTextCentre"/>
              <w:rPr>
                <w:lang w:val="en-AU"/>
              </w:rPr>
            </w:pPr>
            <w:r w:rsidRPr="00664E64">
              <w:rPr>
                <w:lang w:val="en-AU"/>
              </w:rPr>
              <w:t xml:space="preserve">2.2 </w:t>
            </w:r>
          </w:p>
        </w:tc>
        <w:tc>
          <w:tcPr>
            <w:tcW w:w="435" w:type="pct"/>
            <w:noWrap/>
          </w:tcPr>
          <w:p w14:paraId="447B74FC" w14:textId="77777777" w:rsidR="004F3852" w:rsidRPr="00664E64" w:rsidRDefault="004F3852" w:rsidP="007D624D">
            <w:pPr>
              <w:jc w:val="center"/>
              <w:rPr>
                <w:rFonts w:cs="Arial"/>
                <w:color w:val="000000"/>
                <w:szCs w:val="20"/>
              </w:rPr>
            </w:pPr>
            <w:r w:rsidRPr="00664E64">
              <w:rPr>
                <w:rFonts w:cs="Arial"/>
                <w:color w:val="000000"/>
                <w:szCs w:val="20"/>
              </w:rPr>
              <w:t xml:space="preserve">0.0 </w:t>
            </w:r>
          </w:p>
        </w:tc>
      </w:tr>
      <w:tr w:rsidR="004F3852" w:rsidRPr="00664E64" w14:paraId="083A2B89" w14:textId="77777777" w:rsidTr="00163B5C">
        <w:trPr>
          <w:trHeight w:val="523"/>
        </w:trPr>
        <w:tc>
          <w:tcPr>
            <w:tcW w:w="644" w:type="pct"/>
          </w:tcPr>
          <w:p w14:paraId="73FD348A" w14:textId="77777777" w:rsidR="004F3852" w:rsidRPr="00664E64" w:rsidRDefault="004F3852" w:rsidP="007D624D">
            <w:pPr>
              <w:pStyle w:val="TableText"/>
              <w:rPr>
                <w:b/>
                <w:lang w:val="en-AU"/>
              </w:rPr>
            </w:pPr>
            <w:r w:rsidRPr="00664E64">
              <w:rPr>
                <w:b/>
                <w:lang w:val="en-AU"/>
              </w:rPr>
              <w:t>Any betting (5076)</w:t>
            </w:r>
          </w:p>
        </w:tc>
        <w:tc>
          <w:tcPr>
            <w:tcW w:w="541" w:type="pct"/>
            <w:noWrap/>
          </w:tcPr>
          <w:p w14:paraId="53D59A0D" w14:textId="77777777" w:rsidR="004F3852" w:rsidRPr="00664E64" w:rsidRDefault="004F3852" w:rsidP="007D624D">
            <w:pPr>
              <w:pStyle w:val="TableTextCentre"/>
              <w:rPr>
                <w:lang w:val="en-AU"/>
              </w:rPr>
            </w:pPr>
            <w:r w:rsidRPr="00664E64">
              <w:rPr>
                <w:lang w:val="en-AU"/>
              </w:rPr>
              <w:t>83.0</w:t>
            </w:r>
          </w:p>
        </w:tc>
        <w:tc>
          <w:tcPr>
            <w:tcW w:w="583" w:type="pct"/>
            <w:noWrap/>
          </w:tcPr>
          <w:p w14:paraId="4483D1BE" w14:textId="77777777" w:rsidR="004F3852" w:rsidRPr="00664E64" w:rsidRDefault="004F3852" w:rsidP="007D624D">
            <w:pPr>
              <w:pStyle w:val="TableTextCentre"/>
              <w:rPr>
                <w:lang w:val="en-AU"/>
              </w:rPr>
            </w:pPr>
            <w:r w:rsidRPr="00664E64">
              <w:rPr>
                <w:lang w:val="en-AU"/>
              </w:rPr>
              <w:t>40.4</w:t>
            </w:r>
          </w:p>
        </w:tc>
        <w:tc>
          <w:tcPr>
            <w:tcW w:w="536" w:type="pct"/>
            <w:noWrap/>
          </w:tcPr>
          <w:p w14:paraId="10124AE1" w14:textId="77777777" w:rsidR="004F3852" w:rsidRPr="00664E64" w:rsidRDefault="004F3852" w:rsidP="007D624D">
            <w:pPr>
              <w:pStyle w:val="TableTextCentre"/>
              <w:rPr>
                <w:lang w:val="en-AU"/>
              </w:rPr>
            </w:pPr>
            <w:r w:rsidRPr="00664E64">
              <w:rPr>
                <w:lang w:val="en-AU"/>
              </w:rPr>
              <w:t>3.9</w:t>
            </w:r>
          </w:p>
        </w:tc>
        <w:tc>
          <w:tcPr>
            <w:tcW w:w="601" w:type="pct"/>
            <w:noWrap/>
          </w:tcPr>
          <w:p w14:paraId="28CF5FF3" w14:textId="77777777" w:rsidR="004F3852" w:rsidRPr="00664E64" w:rsidRDefault="004F3852" w:rsidP="007D624D">
            <w:pPr>
              <w:pStyle w:val="TableTextCentre"/>
              <w:rPr>
                <w:lang w:val="en-AU"/>
              </w:rPr>
            </w:pPr>
            <w:r w:rsidRPr="00664E64">
              <w:rPr>
                <w:lang w:val="en-AU"/>
              </w:rPr>
              <w:t>2.1</w:t>
            </w:r>
          </w:p>
        </w:tc>
        <w:tc>
          <w:tcPr>
            <w:tcW w:w="627" w:type="pct"/>
            <w:noWrap/>
          </w:tcPr>
          <w:p w14:paraId="36A0A852" w14:textId="77777777" w:rsidR="004F3852" w:rsidRPr="00664E64" w:rsidRDefault="004F3852" w:rsidP="007D624D">
            <w:pPr>
              <w:pStyle w:val="TableTextCentre"/>
              <w:rPr>
                <w:lang w:val="en-AU"/>
              </w:rPr>
            </w:pPr>
            <w:r w:rsidRPr="00664E64">
              <w:rPr>
                <w:lang w:val="en-AU"/>
              </w:rPr>
              <w:t>5.8</w:t>
            </w:r>
          </w:p>
        </w:tc>
        <w:tc>
          <w:tcPr>
            <w:tcW w:w="536" w:type="pct"/>
            <w:noWrap/>
          </w:tcPr>
          <w:p w14:paraId="4C6630B9" w14:textId="77777777" w:rsidR="004F3852" w:rsidRPr="00664E64" w:rsidRDefault="004F3852" w:rsidP="007D624D">
            <w:pPr>
              <w:pStyle w:val="TableTextCentre"/>
              <w:rPr>
                <w:lang w:val="en-AU"/>
              </w:rPr>
            </w:pPr>
            <w:r w:rsidRPr="00664E64">
              <w:rPr>
                <w:lang w:val="en-AU"/>
              </w:rPr>
              <w:t>24.9</w:t>
            </w:r>
          </w:p>
        </w:tc>
        <w:tc>
          <w:tcPr>
            <w:tcW w:w="498" w:type="pct"/>
            <w:noWrap/>
          </w:tcPr>
          <w:p w14:paraId="0768085F" w14:textId="77777777" w:rsidR="004F3852" w:rsidRPr="00664E64" w:rsidRDefault="004F3852" w:rsidP="007D624D">
            <w:pPr>
              <w:pStyle w:val="TableTextCentre"/>
              <w:rPr>
                <w:lang w:val="en-AU"/>
              </w:rPr>
            </w:pPr>
            <w:r w:rsidRPr="00664E64">
              <w:rPr>
                <w:lang w:val="en-AU"/>
              </w:rPr>
              <w:t>24.4</w:t>
            </w:r>
          </w:p>
        </w:tc>
        <w:tc>
          <w:tcPr>
            <w:tcW w:w="435" w:type="pct"/>
            <w:noWrap/>
          </w:tcPr>
          <w:p w14:paraId="3D15CBD9" w14:textId="77777777" w:rsidR="004F3852" w:rsidRPr="00664E64" w:rsidRDefault="004F3852" w:rsidP="007D624D">
            <w:pPr>
              <w:jc w:val="center"/>
              <w:rPr>
                <w:rFonts w:cs="Arial"/>
                <w:color w:val="000000"/>
                <w:szCs w:val="20"/>
              </w:rPr>
            </w:pPr>
            <w:r w:rsidRPr="00664E64">
              <w:rPr>
                <w:rFonts w:cs="Arial"/>
                <w:color w:val="000000"/>
                <w:szCs w:val="20"/>
              </w:rPr>
              <w:t>0.1</w:t>
            </w:r>
          </w:p>
        </w:tc>
      </w:tr>
    </w:tbl>
    <w:p w14:paraId="081D1496" w14:textId="77777777" w:rsidR="004F3852" w:rsidRDefault="004F3852" w:rsidP="00216D6D">
      <w:pPr>
        <w:pBdr>
          <w:bottom w:val="single" w:sz="4" w:space="1" w:color="auto"/>
        </w:pBdr>
        <w:jc w:val="both"/>
        <w:rPr>
          <w:rFonts w:ascii="Arial" w:hAnsi="Arial" w:cs="Arial"/>
          <w:sz w:val="18"/>
          <w:szCs w:val="18"/>
        </w:rPr>
      </w:pPr>
      <w:r w:rsidRPr="004F3852">
        <w:rPr>
          <w:rFonts w:ascii="Arial" w:hAnsi="Arial" w:cs="Arial"/>
          <w:sz w:val="18"/>
          <w:szCs w:val="18"/>
        </w:rPr>
        <w:t xml:space="preserve">Notes: For each activity, cell values represent proportions for that particular activity.  Values for a row do not total 100% due to multiple responses to this </w:t>
      </w:r>
    </w:p>
    <w:p w14:paraId="76A6E50F" w14:textId="2BD85386" w:rsidR="004F3852" w:rsidRPr="004F3852" w:rsidRDefault="004F3852" w:rsidP="00216D6D">
      <w:pPr>
        <w:pBdr>
          <w:bottom w:val="single" w:sz="4" w:space="1" w:color="auto"/>
        </w:pBdr>
        <w:jc w:val="both"/>
        <w:rPr>
          <w:rFonts w:ascii="Arial" w:hAnsi="Arial" w:cs="Arial"/>
          <w:sz w:val="18"/>
          <w:szCs w:val="18"/>
        </w:rPr>
      </w:pPr>
      <w:r>
        <w:rPr>
          <w:rFonts w:ascii="Arial" w:hAnsi="Arial" w:cs="Arial"/>
          <w:sz w:val="18"/>
          <w:szCs w:val="18"/>
        </w:rPr>
        <w:t>q</w:t>
      </w:r>
      <w:r w:rsidRPr="004F3852">
        <w:rPr>
          <w:rFonts w:ascii="Arial" w:hAnsi="Arial" w:cs="Arial"/>
          <w:sz w:val="18"/>
          <w:szCs w:val="18"/>
        </w:rPr>
        <w:t>uestion.</w:t>
      </w:r>
    </w:p>
    <w:p w14:paraId="5298E962" w14:textId="1E277D95" w:rsidR="00D161F4" w:rsidRPr="0036418A" w:rsidRDefault="00F12CD7" w:rsidP="00A55CD9">
      <w:pPr>
        <w:pStyle w:val="Heading3"/>
        <w:rPr>
          <w:color w:val="auto"/>
        </w:rPr>
      </w:pPr>
      <w:r w:rsidRPr="0036418A">
        <w:rPr>
          <w:color w:val="auto"/>
        </w:rPr>
        <w:lastRenderedPageBreak/>
        <w:t>Wagering l</w:t>
      </w:r>
      <w:r w:rsidR="00D161F4" w:rsidRPr="0036418A">
        <w:rPr>
          <w:color w:val="auto"/>
        </w:rPr>
        <w:t>ocation</w:t>
      </w:r>
      <w:r w:rsidRPr="0036418A">
        <w:rPr>
          <w:color w:val="auto"/>
        </w:rPr>
        <w:t>s</w:t>
      </w:r>
    </w:p>
    <w:p w14:paraId="1BA3766E" w14:textId="60FF9224" w:rsidR="00AC684F" w:rsidRPr="00664E64" w:rsidRDefault="00D161F4" w:rsidP="00DF2954">
      <w:pPr>
        <w:spacing w:before="120" w:line="280" w:lineRule="atLeast"/>
        <w:jc w:val="both"/>
        <w:rPr>
          <w:rFonts w:ascii="Arial" w:hAnsi="Arial" w:cs="Arial"/>
          <w:sz w:val="20"/>
          <w:szCs w:val="20"/>
        </w:rPr>
      </w:pPr>
      <w:r w:rsidRPr="00664E64">
        <w:rPr>
          <w:rFonts w:ascii="Arial" w:hAnsi="Arial" w:cs="Arial"/>
          <w:sz w:val="20"/>
          <w:szCs w:val="20"/>
        </w:rPr>
        <w:t xml:space="preserve">Irrespective of the activity in which they </w:t>
      </w:r>
      <w:r w:rsidR="00E553F4" w:rsidRPr="00664E64">
        <w:rPr>
          <w:rFonts w:ascii="Arial" w:hAnsi="Arial" w:cs="Arial"/>
          <w:sz w:val="20"/>
          <w:szCs w:val="20"/>
        </w:rPr>
        <w:t xml:space="preserve">reported having </w:t>
      </w:r>
      <w:r w:rsidRPr="00664E64">
        <w:rPr>
          <w:rFonts w:ascii="Arial" w:hAnsi="Arial" w:cs="Arial"/>
          <w:sz w:val="20"/>
          <w:szCs w:val="20"/>
        </w:rPr>
        <w:t xml:space="preserve">engaged, survey respondents </w:t>
      </w:r>
      <w:r w:rsidR="00E553F4" w:rsidRPr="00664E64">
        <w:rPr>
          <w:rFonts w:ascii="Arial" w:hAnsi="Arial" w:cs="Arial"/>
          <w:sz w:val="20"/>
          <w:szCs w:val="20"/>
        </w:rPr>
        <w:t xml:space="preserve">most commonly </w:t>
      </w:r>
      <w:r w:rsidRPr="00664E64">
        <w:rPr>
          <w:rFonts w:ascii="Arial" w:hAnsi="Arial" w:cs="Arial"/>
          <w:sz w:val="20"/>
          <w:szCs w:val="20"/>
        </w:rPr>
        <w:t xml:space="preserve">reported </w:t>
      </w:r>
      <w:r w:rsidR="00E553F4" w:rsidRPr="00664E64">
        <w:rPr>
          <w:rFonts w:ascii="Arial" w:hAnsi="Arial" w:cs="Arial"/>
          <w:sz w:val="20"/>
          <w:szCs w:val="20"/>
        </w:rPr>
        <w:t xml:space="preserve">having </w:t>
      </w:r>
      <w:r w:rsidRPr="00664E64">
        <w:rPr>
          <w:rFonts w:ascii="Arial" w:hAnsi="Arial" w:cs="Arial"/>
          <w:sz w:val="20"/>
          <w:szCs w:val="20"/>
        </w:rPr>
        <w:t>plac</w:t>
      </w:r>
      <w:r w:rsidR="00E553F4" w:rsidRPr="00664E64">
        <w:rPr>
          <w:rFonts w:ascii="Arial" w:hAnsi="Arial" w:cs="Arial"/>
          <w:sz w:val="20"/>
          <w:szCs w:val="20"/>
        </w:rPr>
        <w:t>ed</w:t>
      </w:r>
      <w:r w:rsidRPr="00664E64">
        <w:rPr>
          <w:rFonts w:ascii="Arial" w:hAnsi="Arial" w:cs="Arial"/>
          <w:sz w:val="20"/>
          <w:szCs w:val="20"/>
        </w:rPr>
        <w:t xml:space="preserve"> bets primarily from </w:t>
      </w:r>
      <w:r w:rsidR="00E553F4" w:rsidRPr="00664E64">
        <w:rPr>
          <w:rFonts w:ascii="Arial" w:hAnsi="Arial" w:cs="Arial"/>
          <w:sz w:val="20"/>
          <w:szCs w:val="20"/>
        </w:rPr>
        <w:t xml:space="preserve">their own </w:t>
      </w:r>
      <w:r w:rsidRPr="00664E64">
        <w:rPr>
          <w:rFonts w:ascii="Arial" w:hAnsi="Arial" w:cs="Arial"/>
          <w:sz w:val="20"/>
          <w:szCs w:val="20"/>
        </w:rPr>
        <w:t>home</w:t>
      </w:r>
      <w:r w:rsidR="00E553F4" w:rsidRPr="00664E64">
        <w:rPr>
          <w:rFonts w:ascii="Arial" w:hAnsi="Arial" w:cs="Arial"/>
          <w:sz w:val="20"/>
          <w:szCs w:val="20"/>
        </w:rPr>
        <w:t xml:space="preserve"> (or a friend/family members’ home) or a licenced venue</w:t>
      </w:r>
      <w:r w:rsidRPr="00664E64">
        <w:rPr>
          <w:rFonts w:ascii="Arial" w:hAnsi="Arial" w:cs="Arial"/>
          <w:sz w:val="20"/>
          <w:szCs w:val="20"/>
        </w:rPr>
        <w:t xml:space="preserve"> (Table 5.10). </w:t>
      </w:r>
    </w:p>
    <w:p w14:paraId="23498BFC" w14:textId="3064620E" w:rsidR="00D161F4" w:rsidRPr="0036418A" w:rsidRDefault="00D161F4" w:rsidP="00415C73">
      <w:pPr>
        <w:pStyle w:val="FigureCaption"/>
        <w:rPr>
          <w:color w:val="auto"/>
          <w:lang w:val="en-AU"/>
        </w:rPr>
      </w:pPr>
      <w:bookmarkStart w:id="45" w:name="_Toc11864573"/>
      <w:bookmarkStart w:id="46" w:name="_Toc12549570"/>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10</w:t>
      </w:r>
      <w:r w:rsidR="00777624" w:rsidRPr="0036418A">
        <w:rPr>
          <w:noProof/>
          <w:color w:val="auto"/>
          <w:lang w:val="en-AU"/>
        </w:rPr>
        <w:fldChar w:fldCharType="end"/>
      </w:r>
      <w:r w:rsidR="00356CE2" w:rsidRPr="0036418A">
        <w:rPr>
          <w:color w:val="auto"/>
          <w:lang w:val="en-AU"/>
        </w:rPr>
        <w:t>:</w:t>
      </w:r>
      <w:r w:rsidRPr="0036418A">
        <w:rPr>
          <w:color w:val="auto"/>
          <w:lang w:val="en-AU"/>
        </w:rPr>
        <w:t xml:space="preserve"> Location of participation for each activity during the past 12 months</w:t>
      </w:r>
      <w:bookmarkEnd w:id="45"/>
      <w:bookmarkEnd w:id="46"/>
    </w:p>
    <w:tbl>
      <w:tblPr>
        <w:tblStyle w:val="TableGrid"/>
        <w:tblW w:w="5000" w:type="pct"/>
        <w:jc w:val="center"/>
        <w:tblLook w:val="04A0" w:firstRow="1" w:lastRow="0" w:firstColumn="1" w:lastColumn="0" w:noHBand="0" w:noVBand="1"/>
        <w:tblCaption w:val="Location of participants when placing bets "/>
        <w:tblDescription w:val="Shows different locations and the percentage of particpants who had placed a bet from that location in the last 12 months by the different gambling activities. Locations range from licensed venue or sporting events to at home or while commuting."/>
      </w:tblPr>
      <w:tblGrid>
        <w:gridCol w:w="1624"/>
        <w:gridCol w:w="750"/>
        <w:gridCol w:w="1047"/>
        <w:gridCol w:w="1047"/>
        <w:gridCol w:w="1750"/>
        <w:gridCol w:w="1047"/>
        <w:gridCol w:w="1047"/>
        <w:gridCol w:w="1047"/>
        <w:gridCol w:w="1351"/>
        <w:gridCol w:w="1195"/>
        <w:gridCol w:w="1055"/>
      </w:tblGrid>
      <w:tr w:rsidR="00D161F4" w:rsidRPr="00664E64" w14:paraId="573DFDDF" w14:textId="77777777" w:rsidTr="00523E94">
        <w:trPr>
          <w:cnfStyle w:val="100000000000" w:firstRow="1" w:lastRow="0" w:firstColumn="0" w:lastColumn="0" w:oddVBand="0" w:evenVBand="0" w:oddHBand="0" w:evenHBand="0" w:firstRowFirstColumn="0" w:firstRowLastColumn="0" w:lastRowFirstColumn="0" w:lastRowLastColumn="0"/>
          <w:trHeight w:val="320"/>
          <w:tblHeader/>
          <w:jc w:val="center"/>
        </w:trPr>
        <w:tc>
          <w:tcPr>
            <w:tcW w:w="627" w:type="pct"/>
            <w:hideMark/>
          </w:tcPr>
          <w:p w14:paraId="578C0B9A" w14:textId="77777777" w:rsidR="00D161F4" w:rsidRPr="00664E64" w:rsidRDefault="00D161F4" w:rsidP="00A55CD9">
            <w:pPr>
              <w:pStyle w:val="TableColHeadLeft"/>
              <w:rPr>
                <w:lang w:val="en-AU"/>
              </w:rPr>
            </w:pPr>
            <w:r w:rsidRPr="00664E64">
              <w:rPr>
                <w:lang w:val="en-AU"/>
              </w:rPr>
              <w:t>Activity (</w:t>
            </w:r>
            <w:r w:rsidRPr="00664E64">
              <w:rPr>
                <w:i/>
                <w:lang w:val="en-AU"/>
              </w:rPr>
              <w:t>N</w:t>
            </w:r>
            <w:r w:rsidRPr="00664E64">
              <w:rPr>
                <w:lang w:val="en-AU"/>
              </w:rPr>
              <w:t>)</w:t>
            </w:r>
          </w:p>
        </w:tc>
        <w:tc>
          <w:tcPr>
            <w:tcW w:w="289" w:type="pct"/>
          </w:tcPr>
          <w:p w14:paraId="32A5F09B" w14:textId="77777777" w:rsidR="00D161F4" w:rsidRPr="00664E64" w:rsidRDefault="00D161F4" w:rsidP="00A55CD9">
            <w:pPr>
              <w:pStyle w:val="TableColHeadCentre"/>
              <w:rPr>
                <w:bCs/>
                <w:lang w:val="en-AU"/>
              </w:rPr>
            </w:pPr>
            <w:r w:rsidRPr="00664E64">
              <w:rPr>
                <w:bCs/>
                <w:lang w:val="en-AU"/>
              </w:rPr>
              <w:t>Home</w:t>
            </w:r>
          </w:p>
        </w:tc>
        <w:tc>
          <w:tcPr>
            <w:tcW w:w="404" w:type="pct"/>
          </w:tcPr>
          <w:p w14:paraId="230C4619" w14:textId="2F4DE63C" w:rsidR="00D161F4" w:rsidRPr="00664E64" w:rsidRDefault="00D161F4" w:rsidP="00A55CD9">
            <w:pPr>
              <w:pStyle w:val="TableColHeadCentre"/>
              <w:rPr>
                <w:lang w:val="en-AU"/>
              </w:rPr>
            </w:pPr>
            <w:r w:rsidRPr="00664E64">
              <w:rPr>
                <w:bCs/>
                <w:lang w:val="en-AU"/>
              </w:rPr>
              <w:t xml:space="preserve">Home of friend/ family </w:t>
            </w:r>
          </w:p>
        </w:tc>
        <w:tc>
          <w:tcPr>
            <w:tcW w:w="404" w:type="pct"/>
          </w:tcPr>
          <w:p w14:paraId="28E9F41E" w14:textId="77777777" w:rsidR="00D161F4" w:rsidRPr="00664E64" w:rsidRDefault="00D161F4" w:rsidP="00A55CD9">
            <w:pPr>
              <w:pStyle w:val="TableColHeadCentre"/>
              <w:rPr>
                <w:lang w:val="en-AU"/>
              </w:rPr>
            </w:pPr>
            <w:r w:rsidRPr="00664E64">
              <w:rPr>
                <w:bCs/>
                <w:lang w:val="en-AU"/>
              </w:rPr>
              <w:t>Work</w:t>
            </w:r>
          </w:p>
        </w:tc>
        <w:tc>
          <w:tcPr>
            <w:tcW w:w="675" w:type="pct"/>
          </w:tcPr>
          <w:p w14:paraId="3246DDDE" w14:textId="77777777" w:rsidR="00D161F4" w:rsidRPr="00664E64" w:rsidRDefault="00D161F4" w:rsidP="00A55CD9">
            <w:pPr>
              <w:pStyle w:val="TableColHeadCentre"/>
              <w:rPr>
                <w:lang w:val="en-AU"/>
              </w:rPr>
            </w:pPr>
            <w:r w:rsidRPr="00664E64">
              <w:rPr>
                <w:bCs/>
                <w:lang w:val="en-AU"/>
              </w:rPr>
              <w:t>School/TAFE/Uni</w:t>
            </w:r>
          </w:p>
        </w:tc>
        <w:tc>
          <w:tcPr>
            <w:tcW w:w="404" w:type="pct"/>
          </w:tcPr>
          <w:p w14:paraId="63BA659D" w14:textId="77777777" w:rsidR="00D161F4" w:rsidRPr="00664E64" w:rsidRDefault="00D161F4" w:rsidP="00A55CD9">
            <w:pPr>
              <w:pStyle w:val="TableColHeadCentre"/>
              <w:rPr>
                <w:lang w:val="en-AU"/>
              </w:rPr>
            </w:pPr>
            <w:r w:rsidRPr="00664E64">
              <w:rPr>
                <w:bCs/>
                <w:lang w:val="en-AU"/>
              </w:rPr>
              <w:t>Licensed venue</w:t>
            </w:r>
          </w:p>
        </w:tc>
        <w:tc>
          <w:tcPr>
            <w:tcW w:w="404" w:type="pct"/>
          </w:tcPr>
          <w:p w14:paraId="00D91B52" w14:textId="77777777" w:rsidR="00D161F4" w:rsidRPr="00664E64" w:rsidRDefault="00D161F4" w:rsidP="00A55CD9">
            <w:pPr>
              <w:pStyle w:val="TableColHeadCentre"/>
              <w:rPr>
                <w:lang w:val="en-AU"/>
              </w:rPr>
            </w:pPr>
            <w:r w:rsidRPr="00664E64">
              <w:rPr>
                <w:bCs/>
                <w:lang w:val="en-AU"/>
              </w:rPr>
              <w:t>Casino</w:t>
            </w:r>
          </w:p>
        </w:tc>
        <w:tc>
          <w:tcPr>
            <w:tcW w:w="404" w:type="pct"/>
          </w:tcPr>
          <w:p w14:paraId="23F9BFC1" w14:textId="77777777" w:rsidR="00D161F4" w:rsidRPr="00664E64" w:rsidRDefault="00D161F4" w:rsidP="00A55CD9">
            <w:pPr>
              <w:pStyle w:val="TableColHeadCentre"/>
              <w:rPr>
                <w:lang w:val="en-AU"/>
              </w:rPr>
            </w:pPr>
            <w:r w:rsidRPr="00664E64">
              <w:rPr>
                <w:bCs/>
                <w:lang w:val="en-AU"/>
              </w:rPr>
              <w:t>Sporting event or racetrack</w:t>
            </w:r>
          </w:p>
        </w:tc>
        <w:tc>
          <w:tcPr>
            <w:tcW w:w="521" w:type="pct"/>
          </w:tcPr>
          <w:p w14:paraId="3F3E13F9" w14:textId="77777777" w:rsidR="00D161F4" w:rsidRPr="00664E64" w:rsidRDefault="00D161F4" w:rsidP="00A55CD9">
            <w:pPr>
              <w:pStyle w:val="TableColHeadCentre"/>
              <w:rPr>
                <w:lang w:val="en-AU"/>
              </w:rPr>
            </w:pPr>
            <w:r w:rsidRPr="00664E64">
              <w:rPr>
                <w:bCs/>
                <w:lang w:val="en-AU"/>
              </w:rPr>
              <w:t>TAB/UBET agency/shop</w:t>
            </w:r>
          </w:p>
        </w:tc>
        <w:tc>
          <w:tcPr>
            <w:tcW w:w="461" w:type="pct"/>
          </w:tcPr>
          <w:p w14:paraId="4B911A06" w14:textId="77777777" w:rsidR="00D161F4" w:rsidRPr="00664E64" w:rsidRDefault="00D161F4" w:rsidP="00A55CD9">
            <w:pPr>
              <w:pStyle w:val="TableColHeadCentre"/>
              <w:rPr>
                <w:lang w:val="en-AU"/>
              </w:rPr>
            </w:pPr>
            <w:r w:rsidRPr="00664E64">
              <w:rPr>
                <w:bCs/>
                <w:lang w:val="en-AU"/>
              </w:rPr>
              <w:t>While commuting</w:t>
            </w:r>
          </w:p>
        </w:tc>
        <w:tc>
          <w:tcPr>
            <w:tcW w:w="407" w:type="pct"/>
          </w:tcPr>
          <w:p w14:paraId="18A0432E" w14:textId="77777777" w:rsidR="00D161F4" w:rsidRPr="00664E64" w:rsidRDefault="00D161F4" w:rsidP="00A55CD9">
            <w:pPr>
              <w:pStyle w:val="TableColHeadCentre"/>
              <w:rPr>
                <w:lang w:val="en-AU"/>
              </w:rPr>
            </w:pPr>
            <w:r w:rsidRPr="00664E64">
              <w:rPr>
                <w:bCs/>
                <w:lang w:val="en-AU"/>
              </w:rPr>
              <w:t>Other</w:t>
            </w:r>
          </w:p>
        </w:tc>
      </w:tr>
      <w:tr w:rsidR="00D161F4" w:rsidRPr="00664E64" w14:paraId="7FEC512D" w14:textId="77777777" w:rsidTr="00523E94">
        <w:trPr>
          <w:trHeight w:val="320"/>
          <w:jc w:val="center"/>
        </w:trPr>
        <w:tc>
          <w:tcPr>
            <w:tcW w:w="627" w:type="pct"/>
            <w:shd w:val="clear" w:color="auto" w:fill="auto"/>
            <w:hideMark/>
          </w:tcPr>
          <w:p w14:paraId="00413CC4" w14:textId="77777777" w:rsidR="00D161F4" w:rsidRPr="00664E64" w:rsidRDefault="00D161F4" w:rsidP="0079372B">
            <w:pPr>
              <w:rPr>
                <w:rFonts w:cs="Arial"/>
                <w:szCs w:val="20"/>
              </w:rPr>
            </w:pPr>
          </w:p>
        </w:tc>
        <w:tc>
          <w:tcPr>
            <w:tcW w:w="289" w:type="pct"/>
          </w:tcPr>
          <w:p w14:paraId="61C4DC21" w14:textId="77777777" w:rsidR="00D161F4" w:rsidRPr="00664E64" w:rsidRDefault="00D161F4" w:rsidP="00A55CD9">
            <w:pPr>
              <w:pStyle w:val="TableHeading"/>
              <w:jc w:val="center"/>
              <w:rPr>
                <w:lang w:val="en-AU"/>
              </w:rPr>
            </w:pPr>
            <w:r w:rsidRPr="00664E64">
              <w:rPr>
                <w:lang w:val="en-AU"/>
              </w:rPr>
              <w:t>%</w:t>
            </w:r>
          </w:p>
        </w:tc>
        <w:tc>
          <w:tcPr>
            <w:tcW w:w="404" w:type="pct"/>
            <w:hideMark/>
          </w:tcPr>
          <w:p w14:paraId="583DCF48" w14:textId="77777777" w:rsidR="00D161F4" w:rsidRPr="00664E64" w:rsidRDefault="00D161F4" w:rsidP="00A55CD9">
            <w:pPr>
              <w:pStyle w:val="TableHeading"/>
              <w:jc w:val="center"/>
              <w:rPr>
                <w:lang w:val="en-AU"/>
              </w:rPr>
            </w:pPr>
            <w:r w:rsidRPr="00664E64">
              <w:rPr>
                <w:lang w:val="en-AU"/>
              </w:rPr>
              <w:t>%</w:t>
            </w:r>
          </w:p>
        </w:tc>
        <w:tc>
          <w:tcPr>
            <w:tcW w:w="404" w:type="pct"/>
            <w:hideMark/>
          </w:tcPr>
          <w:p w14:paraId="5645D798" w14:textId="77777777" w:rsidR="00D161F4" w:rsidRPr="00664E64" w:rsidRDefault="00D161F4" w:rsidP="00A55CD9">
            <w:pPr>
              <w:pStyle w:val="TableHeading"/>
              <w:jc w:val="center"/>
              <w:rPr>
                <w:lang w:val="en-AU"/>
              </w:rPr>
            </w:pPr>
            <w:r w:rsidRPr="00664E64">
              <w:rPr>
                <w:lang w:val="en-AU"/>
              </w:rPr>
              <w:t>%</w:t>
            </w:r>
          </w:p>
        </w:tc>
        <w:tc>
          <w:tcPr>
            <w:tcW w:w="675" w:type="pct"/>
            <w:hideMark/>
          </w:tcPr>
          <w:p w14:paraId="506CC546" w14:textId="77777777" w:rsidR="00D161F4" w:rsidRPr="00664E64" w:rsidRDefault="00D161F4" w:rsidP="00A55CD9">
            <w:pPr>
              <w:pStyle w:val="TableHeading"/>
              <w:jc w:val="center"/>
              <w:rPr>
                <w:lang w:val="en-AU"/>
              </w:rPr>
            </w:pPr>
            <w:r w:rsidRPr="00664E64">
              <w:rPr>
                <w:lang w:val="en-AU"/>
              </w:rPr>
              <w:t>%</w:t>
            </w:r>
          </w:p>
        </w:tc>
        <w:tc>
          <w:tcPr>
            <w:tcW w:w="404" w:type="pct"/>
            <w:hideMark/>
          </w:tcPr>
          <w:p w14:paraId="77D8ED36" w14:textId="77777777" w:rsidR="00D161F4" w:rsidRPr="00664E64" w:rsidRDefault="00D161F4" w:rsidP="00A55CD9">
            <w:pPr>
              <w:pStyle w:val="TableHeading"/>
              <w:jc w:val="center"/>
              <w:rPr>
                <w:lang w:val="en-AU"/>
              </w:rPr>
            </w:pPr>
            <w:r w:rsidRPr="00664E64">
              <w:rPr>
                <w:lang w:val="en-AU"/>
              </w:rPr>
              <w:t>%</w:t>
            </w:r>
          </w:p>
        </w:tc>
        <w:tc>
          <w:tcPr>
            <w:tcW w:w="404" w:type="pct"/>
            <w:hideMark/>
          </w:tcPr>
          <w:p w14:paraId="58112834" w14:textId="77777777" w:rsidR="00D161F4" w:rsidRPr="00664E64" w:rsidRDefault="00D161F4" w:rsidP="00A55CD9">
            <w:pPr>
              <w:pStyle w:val="TableHeading"/>
              <w:jc w:val="center"/>
              <w:rPr>
                <w:lang w:val="en-AU"/>
              </w:rPr>
            </w:pPr>
            <w:r w:rsidRPr="00664E64">
              <w:rPr>
                <w:lang w:val="en-AU"/>
              </w:rPr>
              <w:t>%</w:t>
            </w:r>
          </w:p>
        </w:tc>
        <w:tc>
          <w:tcPr>
            <w:tcW w:w="404" w:type="pct"/>
            <w:hideMark/>
          </w:tcPr>
          <w:p w14:paraId="254028D6" w14:textId="77777777" w:rsidR="00D161F4" w:rsidRPr="00664E64" w:rsidRDefault="00D161F4" w:rsidP="00A55CD9">
            <w:pPr>
              <w:pStyle w:val="TableHeading"/>
              <w:jc w:val="center"/>
              <w:rPr>
                <w:lang w:val="en-AU"/>
              </w:rPr>
            </w:pPr>
            <w:r w:rsidRPr="00664E64">
              <w:rPr>
                <w:lang w:val="en-AU"/>
              </w:rPr>
              <w:t>%</w:t>
            </w:r>
          </w:p>
        </w:tc>
        <w:tc>
          <w:tcPr>
            <w:tcW w:w="521" w:type="pct"/>
            <w:hideMark/>
          </w:tcPr>
          <w:p w14:paraId="296B5A55" w14:textId="77777777" w:rsidR="00D161F4" w:rsidRPr="00664E64" w:rsidRDefault="00D161F4" w:rsidP="00A55CD9">
            <w:pPr>
              <w:pStyle w:val="TableHeading"/>
              <w:jc w:val="center"/>
              <w:rPr>
                <w:lang w:val="en-AU"/>
              </w:rPr>
            </w:pPr>
            <w:r w:rsidRPr="00664E64">
              <w:rPr>
                <w:lang w:val="en-AU"/>
              </w:rPr>
              <w:t>%</w:t>
            </w:r>
          </w:p>
        </w:tc>
        <w:tc>
          <w:tcPr>
            <w:tcW w:w="461" w:type="pct"/>
            <w:hideMark/>
          </w:tcPr>
          <w:p w14:paraId="16753863" w14:textId="77777777" w:rsidR="00D161F4" w:rsidRPr="00664E64" w:rsidRDefault="00D161F4" w:rsidP="00A55CD9">
            <w:pPr>
              <w:pStyle w:val="TableHeading"/>
              <w:jc w:val="center"/>
              <w:rPr>
                <w:lang w:val="en-AU"/>
              </w:rPr>
            </w:pPr>
            <w:r w:rsidRPr="00664E64">
              <w:rPr>
                <w:lang w:val="en-AU"/>
              </w:rPr>
              <w:t>%</w:t>
            </w:r>
          </w:p>
        </w:tc>
        <w:tc>
          <w:tcPr>
            <w:tcW w:w="407" w:type="pct"/>
          </w:tcPr>
          <w:p w14:paraId="2A00E8B6" w14:textId="77777777" w:rsidR="00D161F4" w:rsidRPr="00664E64" w:rsidRDefault="00D161F4" w:rsidP="00A55CD9">
            <w:pPr>
              <w:pStyle w:val="TableHeading"/>
              <w:jc w:val="center"/>
              <w:rPr>
                <w:lang w:val="en-AU"/>
              </w:rPr>
            </w:pPr>
            <w:r w:rsidRPr="00664E64">
              <w:rPr>
                <w:lang w:val="en-AU"/>
              </w:rPr>
              <w:t>%</w:t>
            </w:r>
          </w:p>
        </w:tc>
      </w:tr>
      <w:tr w:rsidR="00D161F4" w:rsidRPr="00664E64" w14:paraId="3B9954D4" w14:textId="77777777" w:rsidTr="00523E94">
        <w:trPr>
          <w:trHeight w:val="567"/>
          <w:jc w:val="center"/>
        </w:trPr>
        <w:tc>
          <w:tcPr>
            <w:tcW w:w="627" w:type="pct"/>
          </w:tcPr>
          <w:p w14:paraId="27F31AFE" w14:textId="0E4C7CAE" w:rsidR="00D161F4" w:rsidRPr="00664E64" w:rsidRDefault="00D161F4" w:rsidP="00A55CD9">
            <w:pPr>
              <w:pStyle w:val="TableText"/>
              <w:rPr>
                <w:lang w:val="en-AU"/>
              </w:rPr>
            </w:pPr>
            <w:r w:rsidRPr="00664E64">
              <w:rPr>
                <w:lang w:val="en-AU"/>
              </w:rPr>
              <w:t>Sports (2</w:t>
            </w:r>
            <w:r w:rsidR="00356CE2" w:rsidRPr="00664E64">
              <w:rPr>
                <w:lang w:val="en-AU"/>
              </w:rPr>
              <w:t>,</w:t>
            </w:r>
            <w:r w:rsidRPr="00664E64">
              <w:rPr>
                <w:lang w:val="en-AU"/>
              </w:rPr>
              <w:t>683)</w:t>
            </w:r>
          </w:p>
        </w:tc>
        <w:tc>
          <w:tcPr>
            <w:tcW w:w="289" w:type="pct"/>
          </w:tcPr>
          <w:p w14:paraId="345F4EA0" w14:textId="77777777" w:rsidR="00D161F4" w:rsidRPr="00664E64" w:rsidRDefault="00D161F4" w:rsidP="00A55CD9">
            <w:pPr>
              <w:pStyle w:val="TableTextCentre"/>
              <w:rPr>
                <w:lang w:val="en-AU"/>
              </w:rPr>
            </w:pPr>
            <w:r w:rsidRPr="00664E64">
              <w:rPr>
                <w:lang w:val="en-AU"/>
              </w:rPr>
              <w:t>95.2</w:t>
            </w:r>
          </w:p>
        </w:tc>
        <w:tc>
          <w:tcPr>
            <w:tcW w:w="404" w:type="pct"/>
            <w:noWrap/>
          </w:tcPr>
          <w:p w14:paraId="47582D7C" w14:textId="77777777" w:rsidR="00D161F4" w:rsidRPr="00664E64" w:rsidRDefault="00D161F4" w:rsidP="00A55CD9">
            <w:pPr>
              <w:pStyle w:val="TableTextCentre"/>
              <w:rPr>
                <w:lang w:val="en-AU"/>
              </w:rPr>
            </w:pPr>
            <w:r w:rsidRPr="00664E64">
              <w:rPr>
                <w:lang w:val="en-AU"/>
              </w:rPr>
              <w:t>27.6</w:t>
            </w:r>
          </w:p>
        </w:tc>
        <w:tc>
          <w:tcPr>
            <w:tcW w:w="404" w:type="pct"/>
            <w:noWrap/>
          </w:tcPr>
          <w:p w14:paraId="1CD5D454" w14:textId="77777777" w:rsidR="00D161F4" w:rsidRPr="00664E64" w:rsidRDefault="00D161F4" w:rsidP="00A55CD9">
            <w:pPr>
              <w:pStyle w:val="TableTextCentre"/>
              <w:rPr>
                <w:lang w:val="en-AU"/>
              </w:rPr>
            </w:pPr>
            <w:r w:rsidRPr="00664E64">
              <w:rPr>
                <w:lang w:val="en-AU"/>
              </w:rPr>
              <w:t>33.9</w:t>
            </w:r>
          </w:p>
        </w:tc>
        <w:tc>
          <w:tcPr>
            <w:tcW w:w="675" w:type="pct"/>
            <w:noWrap/>
          </w:tcPr>
          <w:p w14:paraId="523F4BAB" w14:textId="77777777" w:rsidR="00D161F4" w:rsidRPr="00664E64" w:rsidRDefault="00D161F4" w:rsidP="00A55CD9">
            <w:pPr>
              <w:pStyle w:val="TableTextCentre"/>
              <w:rPr>
                <w:lang w:val="en-AU"/>
              </w:rPr>
            </w:pPr>
            <w:r w:rsidRPr="00664E64">
              <w:rPr>
                <w:lang w:val="en-AU"/>
              </w:rPr>
              <w:t>2.6</w:t>
            </w:r>
          </w:p>
        </w:tc>
        <w:tc>
          <w:tcPr>
            <w:tcW w:w="404" w:type="pct"/>
            <w:noWrap/>
          </w:tcPr>
          <w:p w14:paraId="6146BEF4" w14:textId="77777777" w:rsidR="00D161F4" w:rsidRPr="00664E64" w:rsidRDefault="00D161F4" w:rsidP="00A55CD9">
            <w:pPr>
              <w:pStyle w:val="TableTextCentre"/>
              <w:rPr>
                <w:lang w:val="en-AU"/>
              </w:rPr>
            </w:pPr>
            <w:r w:rsidRPr="00664E64">
              <w:rPr>
                <w:lang w:val="en-AU"/>
              </w:rPr>
              <w:t>34.1</w:t>
            </w:r>
          </w:p>
        </w:tc>
        <w:tc>
          <w:tcPr>
            <w:tcW w:w="404" w:type="pct"/>
            <w:noWrap/>
          </w:tcPr>
          <w:p w14:paraId="72187CB1" w14:textId="77777777" w:rsidR="00D161F4" w:rsidRPr="00664E64" w:rsidRDefault="00D161F4" w:rsidP="00A55CD9">
            <w:pPr>
              <w:pStyle w:val="TableTextCentre"/>
              <w:rPr>
                <w:lang w:val="en-AU"/>
              </w:rPr>
            </w:pPr>
            <w:r w:rsidRPr="00664E64">
              <w:rPr>
                <w:lang w:val="en-AU"/>
              </w:rPr>
              <w:t>9.9</w:t>
            </w:r>
          </w:p>
        </w:tc>
        <w:tc>
          <w:tcPr>
            <w:tcW w:w="404" w:type="pct"/>
            <w:noWrap/>
          </w:tcPr>
          <w:p w14:paraId="30747B47" w14:textId="77777777" w:rsidR="00D161F4" w:rsidRPr="00664E64" w:rsidRDefault="00D161F4" w:rsidP="00A55CD9">
            <w:pPr>
              <w:pStyle w:val="TableTextCentre"/>
              <w:rPr>
                <w:lang w:val="en-AU"/>
              </w:rPr>
            </w:pPr>
            <w:r w:rsidRPr="00664E64">
              <w:rPr>
                <w:lang w:val="en-AU"/>
              </w:rPr>
              <w:t>24.6</w:t>
            </w:r>
          </w:p>
        </w:tc>
        <w:tc>
          <w:tcPr>
            <w:tcW w:w="521" w:type="pct"/>
            <w:noWrap/>
          </w:tcPr>
          <w:p w14:paraId="7FAA18B3" w14:textId="77777777" w:rsidR="00D161F4" w:rsidRPr="00664E64" w:rsidRDefault="00D161F4" w:rsidP="00A55CD9">
            <w:pPr>
              <w:pStyle w:val="TableTextCentre"/>
              <w:rPr>
                <w:lang w:val="en-AU"/>
              </w:rPr>
            </w:pPr>
            <w:r w:rsidRPr="00664E64">
              <w:rPr>
                <w:lang w:val="en-AU"/>
              </w:rPr>
              <w:t>16.3</w:t>
            </w:r>
          </w:p>
        </w:tc>
        <w:tc>
          <w:tcPr>
            <w:tcW w:w="461" w:type="pct"/>
            <w:noWrap/>
          </w:tcPr>
          <w:p w14:paraId="3B8276ED" w14:textId="77777777" w:rsidR="00D161F4" w:rsidRPr="00664E64" w:rsidRDefault="00D161F4" w:rsidP="00A55CD9">
            <w:pPr>
              <w:pStyle w:val="TableTextCentre"/>
              <w:rPr>
                <w:lang w:val="en-AU"/>
              </w:rPr>
            </w:pPr>
            <w:r w:rsidRPr="00664E64">
              <w:rPr>
                <w:lang w:val="en-AU"/>
              </w:rPr>
              <w:t>15.7</w:t>
            </w:r>
          </w:p>
        </w:tc>
        <w:tc>
          <w:tcPr>
            <w:tcW w:w="407" w:type="pct"/>
          </w:tcPr>
          <w:p w14:paraId="17192B28" w14:textId="77777777" w:rsidR="00D161F4" w:rsidRPr="00664E64" w:rsidRDefault="00D161F4" w:rsidP="00A55CD9">
            <w:pPr>
              <w:pStyle w:val="TableTextCentre"/>
              <w:rPr>
                <w:lang w:val="en-AU"/>
              </w:rPr>
            </w:pPr>
            <w:r w:rsidRPr="00664E64">
              <w:rPr>
                <w:lang w:val="en-AU"/>
              </w:rPr>
              <w:t>0.5</w:t>
            </w:r>
          </w:p>
        </w:tc>
      </w:tr>
      <w:tr w:rsidR="00D161F4" w:rsidRPr="00664E64" w14:paraId="15673041" w14:textId="77777777" w:rsidTr="00523E94">
        <w:trPr>
          <w:trHeight w:val="567"/>
          <w:jc w:val="center"/>
        </w:trPr>
        <w:tc>
          <w:tcPr>
            <w:tcW w:w="627" w:type="pct"/>
          </w:tcPr>
          <w:p w14:paraId="045824CF" w14:textId="2757CE45" w:rsidR="00D161F4" w:rsidRPr="00664E64" w:rsidRDefault="00D161F4" w:rsidP="00A55CD9">
            <w:pPr>
              <w:pStyle w:val="TableText"/>
              <w:rPr>
                <w:lang w:val="en-AU"/>
              </w:rPr>
            </w:pPr>
            <w:r w:rsidRPr="00664E64">
              <w:rPr>
                <w:lang w:val="en-AU"/>
              </w:rPr>
              <w:t>Horse racing (3</w:t>
            </w:r>
            <w:r w:rsidR="00356CE2" w:rsidRPr="00664E64">
              <w:rPr>
                <w:lang w:val="en-AU"/>
              </w:rPr>
              <w:t>,</w:t>
            </w:r>
            <w:r w:rsidRPr="00664E64">
              <w:rPr>
                <w:lang w:val="en-AU"/>
              </w:rPr>
              <w:t>806)</w:t>
            </w:r>
          </w:p>
        </w:tc>
        <w:tc>
          <w:tcPr>
            <w:tcW w:w="289" w:type="pct"/>
          </w:tcPr>
          <w:p w14:paraId="4488B9DE" w14:textId="77777777" w:rsidR="00D161F4" w:rsidRPr="00664E64" w:rsidRDefault="00D161F4" w:rsidP="00A55CD9">
            <w:pPr>
              <w:pStyle w:val="TableTextCentre"/>
              <w:rPr>
                <w:lang w:val="en-AU"/>
              </w:rPr>
            </w:pPr>
            <w:r w:rsidRPr="00664E64">
              <w:rPr>
                <w:lang w:val="en-AU"/>
              </w:rPr>
              <w:t>91.1</w:t>
            </w:r>
          </w:p>
        </w:tc>
        <w:tc>
          <w:tcPr>
            <w:tcW w:w="404" w:type="pct"/>
            <w:noWrap/>
          </w:tcPr>
          <w:p w14:paraId="4C4F5AFB" w14:textId="77777777" w:rsidR="00D161F4" w:rsidRPr="00664E64" w:rsidRDefault="00D161F4" w:rsidP="00A55CD9">
            <w:pPr>
              <w:pStyle w:val="TableTextCentre"/>
              <w:rPr>
                <w:lang w:val="en-AU"/>
              </w:rPr>
            </w:pPr>
            <w:r w:rsidRPr="00664E64">
              <w:rPr>
                <w:lang w:val="en-AU"/>
              </w:rPr>
              <w:t>24.3</w:t>
            </w:r>
          </w:p>
        </w:tc>
        <w:tc>
          <w:tcPr>
            <w:tcW w:w="404" w:type="pct"/>
            <w:noWrap/>
          </w:tcPr>
          <w:p w14:paraId="1B622727" w14:textId="77777777" w:rsidR="00D161F4" w:rsidRPr="00664E64" w:rsidRDefault="00D161F4" w:rsidP="00A55CD9">
            <w:pPr>
              <w:pStyle w:val="TableTextCentre"/>
              <w:rPr>
                <w:lang w:val="en-AU"/>
              </w:rPr>
            </w:pPr>
            <w:r w:rsidRPr="00664E64">
              <w:rPr>
                <w:lang w:val="en-AU"/>
              </w:rPr>
              <w:t>25.1</w:t>
            </w:r>
          </w:p>
        </w:tc>
        <w:tc>
          <w:tcPr>
            <w:tcW w:w="675" w:type="pct"/>
            <w:noWrap/>
          </w:tcPr>
          <w:p w14:paraId="1F84C016" w14:textId="77777777" w:rsidR="00D161F4" w:rsidRPr="00664E64" w:rsidRDefault="00D161F4" w:rsidP="00A55CD9">
            <w:pPr>
              <w:pStyle w:val="TableTextCentre"/>
              <w:rPr>
                <w:lang w:val="en-AU"/>
              </w:rPr>
            </w:pPr>
            <w:r w:rsidRPr="00664E64">
              <w:rPr>
                <w:lang w:val="en-AU"/>
              </w:rPr>
              <w:t>1.5</w:t>
            </w:r>
          </w:p>
        </w:tc>
        <w:tc>
          <w:tcPr>
            <w:tcW w:w="404" w:type="pct"/>
            <w:noWrap/>
          </w:tcPr>
          <w:p w14:paraId="42C9D951" w14:textId="77777777" w:rsidR="00D161F4" w:rsidRPr="00664E64" w:rsidRDefault="00D161F4" w:rsidP="00A55CD9">
            <w:pPr>
              <w:pStyle w:val="TableTextCentre"/>
              <w:rPr>
                <w:lang w:val="en-AU"/>
              </w:rPr>
            </w:pPr>
            <w:r w:rsidRPr="00664E64">
              <w:rPr>
                <w:lang w:val="en-AU"/>
              </w:rPr>
              <w:t>31.9</w:t>
            </w:r>
          </w:p>
        </w:tc>
        <w:tc>
          <w:tcPr>
            <w:tcW w:w="404" w:type="pct"/>
            <w:noWrap/>
          </w:tcPr>
          <w:p w14:paraId="54A2E3A6" w14:textId="77777777" w:rsidR="00D161F4" w:rsidRPr="00664E64" w:rsidRDefault="00D161F4" w:rsidP="00A55CD9">
            <w:pPr>
              <w:pStyle w:val="TableTextCentre"/>
              <w:rPr>
                <w:lang w:val="en-AU"/>
              </w:rPr>
            </w:pPr>
            <w:r w:rsidRPr="00664E64">
              <w:rPr>
                <w:lang w:val="en-AU"/>
              </w:rPr>
              <w:t>5.6</w:t>
            </w:r>
          </w:p>
        </w:tc>
        <w:tc>
          <w:tcPr>
            <w:tcW w:w="404" w:type="pct"/>
            <w:noWrap/>
          </w:tcPr>
          <w:p w14:paraId="08042E60" w14:textId="77777777" w:rsidR="00D161F4" w:rsidRPr="00664E64" w:rsidRDefault="00D161F4" w:rsidP="00A55CD9">
            <w:pPr>
              <w:pStyle w:val="TableTextCentre"/>
              <w:rPr>
                <w:lang w:val="en-AU"/>
              </w:rPr>
            </w:pPr>
            <w:r w:rsidRPr="00664E64">
              <w:rPr>
                <w:lang w:val="en-AU"/>
              </w:rPr>
              <w:t>24.6</w:t>
            </w:r>
          </w:p>
        </w:tc>
        <w:tc>
          <w:tcPr>
            <w:tcW w:w="521" w:type="pct"/>
            <w:noWrap/>
          </w:tcPr>
          <w:p w14:paraId="2373CEE6" w14:textId="77777777" w:rsidR="00D161F4" w:rsidRPr="00664E64" w:rsidRDefault="00D161F4" w:rsidP="00A55CD9">
            <w:pPr>
              <w:pStyle w:val="TableTextCentre"/>
              <w:rPr>
                <w:lang w:val="en-AU"/>
              </w:rPr>
            </w:pPr>
            <w:r w:rsidRPr="00664E64">
              <w:rPr>
                <w:lang w:val="en-AU"/>
              </w:rPr>
              <w:t>16.8</w:t>
            </w:r>
          </w:p>
        </w:tc>
        <w:tc>
          <w:tcPr>
            <w:tcW w:w="461" w:type="pct"/>
            <w:noWrap/>
          </w:tcPr>
          <w:p w14:paraId="2CD525F9" w14:textId="77777777" w:rsidR="00D161F4" w:rsidRPr="00664E64" w:rsidRDefault="00D161F4" w:rsidP="00A55CD9">
            <w:pPr>
              <w:pStyle w:val="TableTextCentre"/>
              <w:rPr>
                <w:lang w:val="en-AU"/>
              </w:rPr>
            </w:pPr>
            <w:r w:rsidRPr="00664E64">
              <w:rPr>
                <w:lang w:val="en-AU"/>
              </w:rPr>
              <w:t>8.0</w:t>
            </w:r>
          </w:p>
        </w:tc>
        <w:tc>
          <w:tcPr>
            <w:tcW w:w="407" w:type="pct"/>
          </w:tcPr>
          <w:p w14:paraId="081E81D3" w14:textId="77777777" w:rsidR="00D161F4" w:rsidRPr="00664E64" w:rsidRDefault="00D161F4" w:rsidP="00A55CD9">
            <w:pPr>
              <w:pStyle w:val="TableTextCentre"/>
              <w:rPr>
                <w:lang w:val="en-AU"/>
              </w:rPr>
            </w:pPr>
            <w:r w:rsidRPr="00664E64">
              <w:rPr>
                <w:lang w:val="en-AU"/>
              </w:rPr>
              <w:t>0.7</w:t>
            </w:r>
          </w:p>
        </w:tc>
      </w:tr>
      <w:tr w:rsidR="00D161F4" w:rsidRPr="00664E64" w14:paraId="38D8B3A5" w14:textId="77777777" w:rsidTr="00523E94">
        <w:trPr>
          <w:trHeight w:val="567"/>
          <w:jc w:val="center"/>
        </w:trPr>
        <w:tc>
          <w:tcPr>
            <w:tcW w:w="627" w:type="pct"/>
          </w:tcPr>
          <w:p w14:paraId="32B2F4B9" w14:textId="6E90E33D" w:rsidR="00D161F4" w:rsidRPr="00664E64" w:rsidRDefault="00D161F4" w:rsidP="00A55CD9">
            <w:pPr>
              <w:pStyle w:val="TableText"/>
              <w:rPr>
                <w:lang w:val="en-AU"/>
              </w:rPr>
            </w:pPr>
            <w:r w:rsidRPr="00664E64">
              <w:rPr>
                <w:lang w:val="en-AU"/>
              </w:rPr>
              <w:t>Harness racing (1</w:t>
            </w:r>
            <w:r w:rsidR="00356CE2" w:rsidRPr="00664E64">
              <w:rPr>
                <w:lang w:val="en-AU"/>
              </w:rPr>
              <w:t>,</w:t>
            </w:r>
            <w:r w:rsidRPr="00664E64">
              <w:rPr>
                <w:lang w:val="en-AU"/>
              </w:rPr>
              <w:t>134)</w:t>
            </w:r>
          </w:p>
        </w:tc>
        <w:tc>
          <w:tcPr>
            <w:tcW w:w="289" w:type="pct"/>
          </w:tcPr>
          <w:p w14:paraId="16631F26" w14:textId="77777777" w:rsidR="00D161F4" w:rsidRPr="00664E64" w:rsidRDefault="00D161F4" w:rsidP="00A55CD9">
            <w:pPr>
              <w:pStyle w:val="TableTextCentre"/>
              <w:rPr>
                <w:lang w:val="en-AU"/>
              </w:rPr>
            </w:pPr>
            <w:r w:rsidRPr="00664E64">
              <w:rPr>
                <w:lang w:val="en-AU"/>
              </w:rPr>
              <w:t>89.9</w:t>
            </w:r>
          </w:p>
        </w:tc>
        <w:tc>
          <w:tcPr>
            <w:tcW w:w="404" w:type="pct"/>
            <w:noWrap/>
          </w:tcPr>
          <w:p w14:paraId="73AEA249" w14:textId="77777777" w:rsidR="00D161F4" w:rsidRPr="00664E64" w:rsidRDefault="00D161F4" w:rsidP="00A55CD9">
            <w:pPr>
              <w:pStyle w:val="TableTextCentre"/>
              <w:rPr>
                <w:lang w:val="en-AU"/>
              </w:rPr>
            </w:pPr>
            <w:r w:rsidRPr="00664E64">
              <w:rPr>
                <w:lang w:val="en-AU"/>
              </w:rPr>
              <w:t>23.5</w:t>
            </w:r>
          </w:p>
        </w:tc>
        <w:tc>
          <w:tcPr>
            <w:tcW w:w="404" w:type="pct"/>
            <w:noWrap/>
          </w:tcPr>
          <w:p w14:paraId="0D94AE2D" w14:textId="77777777" w:rsidR="00D161F4" w:rsidRPr="00664E64" w:rsidRDefault="00D161F4" w:rsidP="00A55CD9">
            <w:pPr>
              <w:pStyle w:val="TableTextCentre"/>
              <w:rPr>
                <w:lang w:val="en-AU"/>
              </w:rPr>
            </w:pPr>
            <w:r w:rsidRPr="00664E64">
              <w:rPr>
                <w:lang w:val="en-AU"/>
              </w:rPr>
              <w:t>19.2</w:t>
            </w:r>
          </w:p>
        </w:tc>
        <w:tc>
          <w:tcPr>
            <w:tcW w:w="675" w:type="pct"/>
            <w:noWrap/>
          </w:tcPr>
          <w:p w14:paraId="1BEABE4E" w14:textId="77777777" w:rsidR="00D161F4" w:rsidRPr="00664E64" w:rsidRDefault="00D161F4" w:rsidP="00A55CD9">
            <w:pPr>
              <w:pStyle w:val="TableTextCentre"/>
              <w:rPr>
                <w:lang w:val="en-AU"/>
              </w:rPr>
            </w:pPr>
            <w:r w:rsidRPr="00664E64">
              <w:rPr>
                <w:lang w:val="en-AU"/>
              </w:rPr>
              <w:t>1.5</w:t>
            </w:r>
          </w:p>
        </w:tc>
        <w:tc>
          <w:tcPr>
            <w:tcW w:w="404" w:type="pct"/>
            <w:noWrap/>
          </w:tcPr>
          <w:p w14:paraId="17937487" w14:textId="77777777" w:rsidR="00D161F4" w:rsidRPr="00664E64" w:rsidRDefault="00D161F4" w:rsidP="00A55CD9">
            <w:pPr>
              <w:pStyle w:val="TableTextCentre"/>
              <w:rPr>
                <w:lang w:val="en-AU"/>
              </w:rPr>
            </w:pPr>
            <w:r w:rsidRPr="00664E64">
              <w:rPr>
                <w:lang w:val="en-AU"/>
              </w:rPr>
              <w:t>29.1</w:t>
            </w:r>
          </w:p>
        </w:tc>
        <w:tc>
          <w:tcPr>
            <w:tcW w:w="404" w:type="pct"/>
            <w:noWrap/>
          </w:tcPr>
          <w:p w14:paraId="0EEA2FBE" w14:textId="77777777" w:rsidR="00D161F4" w:rsidRPr="00664E64" w:rsidRDefault="00D161F4" w:rsidP="00A55CD9">
            <w:pPr>
              <w:pStyle w:val="TableTextCentre"/>
              <w:rPr>
                <w:lang w:val="en-AU"/>
              </w:rPr>
            </w:pPr>
            <w:r w:rsidRPr="00664E64">
              <w:rPr>
                <w:lang w:val="en-AU"/>
              </w:rPr>
              <w:t>6.0</w:t>
            </w:r>
          </w:p>
        </w:tc>
        <w:tc>
          <w:tcPr>
            <w:tcW w:w="404" w:type="pct"/>
            <w:noWrap/>
          </w:tcPr>
          <w:p w14:paraId="4936578D" w14:textId="77777777" w:rsidR="00D161F4" w:rsidRPr="00664E64" w:rsidRDefault="00D161F4" w:rsidP="00A55CD9">
            <w:pPr>
              <w:pStyle w:val="TableTextCentre"/>
              <w:rPr>
                <w:lang w:val="en-AU"/>
              </w:rPr>
            </w:pPr>
            <w:r w:rsidRPr="00664E64">
              <w:rPr>
                <w:lang w:val="en-AU"/>
              </w:rPr>
              <w:t>15.3</w:t>
            </w:r>
          </w:p>
        </w:tc>
        <w:tc>
          <w:tcPr>
            <w:tcW w:w="521" w:type="pct"/>
            <w:noWrap/>
          </w:tcPr>
          <w:p w14:paraId="44C999A9" w14:textId="77777777" w:rsidR="00D161F4" w:rsidRPr="00664E64" w:rsidRDefault="00D161F4" w:rsidP="00A55CD9">
            <w:pPr>
              <w:pStyle w:val="TableTextCentre"/>
              <w:rPr>
                <w:lang w:val="en-AU"/>
              </w:rPr>
            </w:pPr>
            <w:r w:rsidRPr="00664E64">
              <w:rPr>
                <w:lang w:val="en-AU"/>
              </w:rPr>
              <w:t>20.0</w:t>
            </w:r>
          </w:p>
        </w:tc>
        <w:tc>
          <w:tcPr>
            <w:tcW w:w="461" w:type="pct"/>
            <w:noWrap/>
          </w:tcPr>
          <w:p w14:paraId="0518AF48" w14:textId="77777777" w:rsidR="00D161F4" w:rsidRPr="00664E64" w:rsidRDefault="00D161F4" w:rsidP="00A55CD9">
            <w:pPr>
              <w:pStyle w:val="TableTextCentre"/>
              <w:rPr>
                <w:lang w:val="en-AU"/>
              </w:rPr>
            </w:pPr>
            <w:r w:rsidRPr="00664E64">
              <w:rPr>
                <w:lang w:val="en-AU"/>
              </w:rPr>
              <w:t>6.3</w:t>
            </w:r>
          </w:p>
        </w:tc>
        <w:tc>
          <w:tcPr>
            <w:tcW w:w="407" w:type="pct"/>
          </w:tcPr>
          <w:p w14:paraId="1F090A31" w14:textId="77777777" w:rsidR="00D161F4" w:rsidRPr="00664E64" w:rsidRDefault="00D161F4" w:rsidP="00A55CD9">
            <w:pPr>
              <w:pStyle w:val="TableTextCentre"/>
              <w:rPr>
                <w:lang w:val="en-AU"/>
              </w:rPr>
            </w:pPr>
            <w:r w:rsidRPr="00664E64">
              <w:rPr>
                <w:lang w:val="en-AU"/>
              </w:rPr>
              <w:t>0.3</w:t>
            </w:r>
          </w:p>
        </w:tc>
      </w:tr>
      <w:tr w:rsidR="00D161F4" w:rsidRPr="00664E64" w14:paraId="3EDE55DC" w14:textId="77777777" w:rsidTr="00523E94">
        <w:trPr>
          <w:trHeight w:val="567"/>
          <w:jc w:val="center"/>
        </w:trPr>
        <w:tc>
          <w:tcPr>
            <w:tcW w:w="627" w:type="pct"/>
          </w:tcPr>
          <w:p w14:paraId="6C70A378" w14:textId="476A8183" w:rsidR="00D161F4" w:rsidRPr="00664E64" w:rsidRDefault="00D161F4" w:rsidP="00A55CD9">
            <w:pPr>
              <w:pStyle w:val="TableText"/>
              <w:rPr>
                <w:lang w:val="en-AU"/>
              </w:rPr>
            </w:pPr>
            <w:r w:rsidRPr="00664E64">
              <w:rPr>
                <w:lang w:val="en-AU"/>
              </w:rPr>
              <w:t>Greyhound racing (1</w:t>
            </w:r>
            <w:r w:rsidR="00356CE2" w:rsidRPr="00664E64">
              <w:rPr>
                <w:lang w:val="en-AU"/>
              </w:rPr>
              <w:t>,</w:t>
            </w:r>
            <w:r w:rsidRPr="00664E64">
              <w:rPr>
                <w:lang w:val="en-AU"/>
              </w:rPr>
              <w:t>610)</w:t>
            </w:r>
          </w:p>
        </w:tc>
        <w:tc>
          <w:tcPr>
            <w:tcW w:w="289" w:type="pct"/>
          </w:tcPr>
          <w:p w14:paraId="383C2D54" w14:textId="77777777" w:rsidR="00D161F4" w:rsidRPr="00664E64" w:rsidRDefault="00D161F4" w:rsidP="00A55CD9">
            <w:pPr>
              <w:pStyle w:val="TableTextCentre"/>
              <w:rPr>
                <w:lang w:val="en-AU"/>
              </w:rPr>
            </w:pPr>
            <w:r w:rsidRPr="00664E64">
              <w:rPr>
                <w:lang w:val="en-AU"/>
              </w:rPr>
              <w:t>90.8</w:t>
            </w:r>
          </w:p>
        </w:tc>
        <w:tc>
          <w:tcPr>
            <w:tcW w:w="404" w:type="pct"/>
            <w:noWrap/>
          </w:tcPr>
          <w:p w14:paraId="77A3B75E" w14:textId="77777777" w:rsidR="00D161F4" w:rsidRPr="00664E64" w:rsidRDefault="00D161F4" w:rsidP="00A55CD9">
            <w:pPr>
              <w:pStyle w:val="TableTextCentre"/>
              <w:rPr>
                <w:lang w:val="en-AU"/>
              </w:rPr>
            </w:pPr>
            <w:r w:rsidRPr="00664E64">
              <w:rPr>
                <w:lang w:val="en-AU"/>
              </w:rPr>
              <w:t>25.7</w:t>
            </w:r>
          </w:p>
        </w:tc>
        <w:tc>
          <w:tcPr>
            <w:tcW w:w="404" w:type="pct"/>
            <w:noWrap/>
          </w:tcPr>
          <w:p w14:paraId="5EBE98C4" w14:textId="77777777" w:rsidR="00D161F4" w:rsidRPr="00664E64" w:rsidRDefault="00D161F4" w:rsidP="00A55CD9">
            <w:pPr>
              <w:pStyle w:val="TableTextCentre"/>
              <w:rPr>
                <w:lang w:val="en-AU"/>
              </w:rPr>
            </w:pPr>
            <w:r w:rsidRPr="00664E64">
              <w:rPr>
                <w:lang w:val="en-AU"/>
              </w:rPr>
              <w:t>21.1</w:t>
            </w:r>
          </w:p>
        </w:tc>
        <w:tc>
          <w:tcPr>
            <w:tcW w:w="675" w:type="pct"/>
            <w:noWrap/>
          </w:tcPr>
          <w:p w14:paraId="50F78EB7" w14:textId="77777777" w:rsidR="00D161F4" w:rsidRPr="00664E64" w:rsidRDefault="00D161F4" w:rsidP="00A55CD9">
            <w:pPr>
              <w:pStyle w:val="TableTextCentre"/>
              <w:rPr>
                <w:lang w:val="en-AU"/>
              </w:rPr>
            </w:pPr>
            <w:r w:rsidRPr="00664E64">
              <w:rPr>
                <w:lang w:val="en-AU"/>
              </w:rPr>
              <w:t>2.2</w:t>
            </w:r>
          </w:p>
        </w:tc>
        <w:tc>
          <w:tcPr>
            <w:tcW w:w="404" w:type="pct"/>
            <w:noWrap/>
          </w:tcPr>
          <w:p w14:paraId="442AD174" w14:textId="77777777" w:rsidR="00D161F4" w:rsidRPr="00664E64" w:rsidRDefault="00D161F4" w:rsidP="00A55CD9">
            <w:pPr>
              <w:pStyle w:val="TableTextCentre"/>
              <w:rPr>
                <w:lang w:val="en-AU"/>
              </w:rPr>
            </w:pPr>
            <w:r w:rsidRPr="00664E64">
              <w:rPr>
                <w:lang w:val="en-AU"/>
              </w:rPr>
              <w:t>33.0</w:t>
            </w:r>
          </w:p>
        </w:tc>
        <w:tc>
          <w:tcPr>
            <w:tcW w:w="404" w:type="pct"/>
            <w:noWrap/>
          </w:tcPr>
          <w:p w14:paraId="39B23A37" w14:textId="77777777" w:rsidR="00D161F4" w:rsidRPr="00664E64" w:rsidRDefault="00D161F4" w:rsidP="00A55CD9">
            <w:pPr>
              <w:pStyle w:val="TableTextCentre"/>
              <w:rPr>
                <w:lang w:val="en-AU"/>
              </w:rPr>
            </w:pPr>
            <w:r w:rsidRPr="00664E64">
              <w:rPr>
                <w:lang w:val="en-AU"/>
              </w:rPr>
              <w:t>6.5</w:t>
            </w:r>
          </w:p>
        </w:tc>
        <w:tc>
          <w:tcPr>
            <w:tcW w:w="404" w:type="pct"/>
            <w:noWrap/>
          </w:tcPr>
          <w:p w14:paraId="0570191D" w14:textId="77777777" w:rsidR="00D161F4" w:rsidRPr="00664E64" w:rsidRDefault="00D161F4" w:rsidP="00A55CD9">
            <w:pPr>
              <w:pStyle w:val="TableTextCentre"/>
              <w:rPr>
                <w:lang w:val="en-AU"/>
              </w:rPr>
            </w:pPr>
            <w:r w:rsidRPr="00664E64">
              <w:rPr>
                <w:lang w:val="en-AU"/>
              </w:rPr>
              <w:t>14.5</w:t>
            </w:r>
          </w:p>
        </w:tc>
        <w:tc>
          <w:tcPr>
            <w:tcW w:w="521" w:type="pct"/>
            <w:noWrap/>
          </w:tcPr>
          <w:p w14:paraId="38802BCD" w14:textId="77777777" w:rsidR="00D161F4" w:rsidRPr="00664E64" w:rsidRDefault="00D161F4" w:rsidP="00A55CD9">
            <w:pPr>
              <w:pStyle w:val="TableTextCentre"/>
              <w:rPr>
                <w:lang w:val="en-AU"/>
              </w:rPr>
            </w:pPr>
            <w:r w:rsidRPr="00664E64">
              <w:rPr>
                <w:lang w:val="en-AU"/>
              </w:rPr>
              <w:t>21.0</w:t>
            </w:r>
          </w:p>
        </w:tc>
        <w:tc>
          <w:tcPr>
            <w:tcW w:w="461" w:type="pct"/>
            <w:noWrap/>
          </w:tcPr>
          <w:p w14:paraId="281D2F24" w14:textId="77777777" w:rsidR="00D161F4" w:rsidRPr="00664E64" w:rsidRDefault="00D161F4" w:rsidP="00A55CD9">
            <w:pPr>
              <w:pStyle w:val="TableTextCentre"/>
              <w:rPr>
                <w:lang w:val="en-AU"/>
              </w:rPr>
            </w:pPr>
            <w:r w:rsidRPr="00664E64">
              <w:rPr>
                <w:lang w:val="en-AU"/>
              </w:rPr>
              <w:t>6.8</w:t>
            </w:r>
          </w:p>
        </w:tc>
        <w:tc>
          <w:tcPr>
            <w:tcW w:w="407" w:type="pct"/>
          </w:tcPr>
          <w:p w14:paraId="02A63F7D" w14:textId="77777777" w:rsidR="00D161F4" w:rsidRPr="00664E64" w:rsidRDefault="00D161F4" w:rsidP="00A55CD9">
            <w:pPr>
              <w:pStyle w:val="TableTextCentre"/>
              <w:rPr>
                <w:lang w:val="en-AU"/>
              </w:rPr>
            </w:pPr>
            <w:r w:rsidRPr="00664E64">
              <w:rPr>
                <w:lang w:val="en-AU"/>
              </w:rPr>
              <w:t>0.4</w:t>
            </w:r>
          </w:p>
        </w:tc>
      </w:tr>
      <w:tr w:rsidR="00D161F4" w:rsidRPr="00664E64" w14:paraId="0211A854" w14:textId="77777777" w:rsidTr="00523E94">
        <w:trPr>
          <w:trHeight w:val="567"/>
          <w:jc w:val="center"/>
        </w:trPr>
        <w:tc>
          <w:tcPr>
            <w:tcW w:w="627" w:type="pct"/>
          </w:tcPr>
          <w:p w14:paraId="72909C48" w14:textId="77777777" w:rsidR="00D161F4" w:rsidRPr="00664E64" w:rsidRDefault="00D161F4" w:rsidP="00A55CD9">
            <w:pPr>
              <w:pStyle w:val="TableText"/>
              <w:rPr>
                <w:lang w:val="en-AU"/>
              </w:rPr>
            </w:pPr>
            <w:r w:rsidRPr="00664E64">
              <w:rPr>
                <w:lang w:val="en-AU"/>
              </w:rPr>
              <w:t xml:space="preserve">Fantasy sports (189) </w:t>
            </w:r>
          </w:p>
        </w:tc>
        <w:tc>
          <w:tcPr>
            <w:tcW w:w="289" w:type="pct"/>
          </w:tcPr>
          <w:p w14:paraId="30C87250" w14:textId="77777777" w:rsidR="00D161F4" w:rsidRPr="00664E64" w:rsidRDefault="00D161F4" w:rsidP="00A55CD9">
            <w:pPr>
              <w:pStyle w:val="TableTextCentre"/>
              <w:rPr>
                <w:lang w:val="en-AU"/>
              </w:rPr>
            </w:pPr>
            <w:r w:rsidRPr="00664E64">
              <w:rPr>
                <w:lang w:val="en-AU"/>
              </w:rPr>
              <w:t>88.4</w:t>
            </w:r>
          </w:p>
        </w:tc>
        <w:tc>
          <w:tcPr>
            <w:tcW w:w="404" w:type="pct"/>
            <w:noWrap/>
          </w:tcPr>
          <w:p w14:paraId="14D64028" w14:textId="77777777" w:rsidR="00D161F4" w:rsidRPr="00664E64" w:rsidRDefault="00D161F4" w:rsidP="00A55CD9">
            <w:pPr>
              <w:pStyle w:val="TableTextCentre"/>
              <w:rPr>
                <w:lang w:val="en-AU"/>
              </w:rPr>
            </w:pPr>
            <w:r w:rsidRPr="00664E64">
              <w:rPr>
                <w:lang w:val="en-AU"/>
              </w:rPr>
              <w:t>24.9</w:t>
            </w:r>
          </w:p>
        </w:tc>
        <w:tc>
          <w:tcPr>
            <w:tcW w:w="404" w:type="pct"/>
            <w:noWrap/>
          </w:tcPr>
          <w:p w14:paraId="7A67F0E1" w14:textId="77777777" w:rsidR="00D161F4" w:rsidRPr="00664E64" w:rsidRDefault="00D161F4" w:rsidP="00A55CD9">
            <w:pPr>
              <w:pStyle w:val="TableTextCentre"/>
              <w:rPr>
                <w:lang w:val="en-AU"/>
              </w:rPr>
            </w:pPr>
            <w:r w:rsidRPr="00664E64">
              <w:rPr>
                <w:lang w:val="en-AU"/>
              </w:rPr>
              <w:t>31.7</w:t>
            </w:r>
          </w:p>
        </w:tc>
        <w:tc>
          <w:tcPr>
            <w:tcW w:w="675" w:type="pct"/>
            <w:noWrap/>
          </w:tcPr>
          <w:p w14:paraId="0090EA58" w14:textId="77777777" w:rsidR="00D161F4" w:rsidRPr="00664E64" w:rsidRDefault="00D161F4" w:rsidP="00A55CD9">
            <w:pPr>
              <w:pStyle w:val="TableTextCentre"/>
              <w:rPr>
                <w:lang w:val="en-AU"/>
              </w:rPr>
            </w:pPr>
            <w:r w:rsidRPr="00664E64">
              <w:rPr>
                <w:lang w:val="en-AU"/>
              </w:rPr>
              <w:t>3.2</w:t>
            </w:r>
          </w:p>
        </w:tc>
        <w:tc>
          <w:tcPr>
            <w:tcW w:w="404" w:type="pct"/>
            <w:noWrap/>
          </w:tcPr>
          <w:p w14:paraId="527AD629" w14:textId="77777777" w:rsidR="00D161F4" w:rsidRPr="00664E64" w:rsidRDefault="00D161F4" w:rsidP="00A55CD9">
            <w:pPr>
              <w:pStyle w:val="TableTextCentre"/>
              <w:rPr>
                <w:lang w:val="en-AU"/>
              </w:rPr>
            </w:pPr>
            <w:r w:rsidRPr="00664E64">
              <w:rPr>
                <w:lang w:val="en-AU"/>
              </w:rPr>
              <w:t>10.1</w:t>
            </w:r>
          </w:p>
        </w:tc>
        <w:tc>
          <w:tcPr>
            <w:tcW w:w="404" w:type="pct"/>
            <w:noWrap/>
          </w:tcPr>
          <w:p w14:paraId="4D76B278" w14:textId="77777777" w:rsidR="00D161F4" w:rsidRPr="00664E64" w:rsidRDefault="00D161F4" w:rsidP="00A55CD9">
            <w:pPr>
              <w:pStyle w:val="TableTextCentre"/>
              <w:rPr>
                <w:lang w:val="en-AU"/>
              </w:rPr>
            </w:pPr>
            <w:r w:rsidRPr="00664E64">
              <w:rPr>
                <w:lang w:val="en-AU"/>
              </w:rPr>
              <w:t>4.2</w:t>
            </w:r>
          </w:p>
        </w:tc>
        <w:tc>
          <w:tcPr>
            <w:tcW w:w="404" w:type="pct"/>
            <w:noWrap/>
          </w:tcPr>
          <w:p w14:paraId="5DA98726" w14:textId="77777777" w:rsidR="00D161F4" w:rsidRPr="00664E64" w:rsidRDefault="00D161F4" w:rsidP="00A55CD9">
            <w:pPr>
              <w:pStyle w:val="TableTextCentre"/>
              <w:rPr>
                <w:lang w:val="en-AU"/>
              </w:rPr>
            </w:pPr>
            <w:r w:rsidRPr="00664E64">
              <w:rPr>
                <w:lang w:val="en-AU"/>
              </w:rPr>
              <w:t>4.8</w:t>
            </w:r>
          </w:p>
        </w:tc>
        <w:tc>
          <w:tcPr>
            <w:tcW w:w="521" w:type="pct"/>
            <w:noWrap/>
          </w:tcPr>
          <w:p w14:paraId="4BB2A9AD" w14:textId="77777777" w:rsidR="00D161F4" w:rsidRPr="00664E64" w:rsidRDefault="00D161F4" w:rsidP="00A55CD9">
            <w:pPr>
              <w:pStyle w:val="TableTextCentre"/>
              <w:rPr>
                <w:lang w:val="en-AU"/>
              </w:rPr>
            </w:pPr>
            <w:r w:rsidRPr="00664E64">
              <w:rPr>
                <w:lang w:val="en-AU"/>
              </w:rPr>
              <w:t>5.3</w:t>
            </w:r>
          </w:p>
        </w:tc>
        <w:tc>
          <w:tcPr>
            <w:tcW w:w="461" w:type="pct"/>
            <w:noWrap/>
          </w:tcPr>
          <w:p w14:paraId="202428C4" w14:textId="77777777" w:rsidR="00D161F4" w:rsidRPr="00664E64" w:rsidRDefault="00D161F4" w:rsidP="00A55CD9">
            <w:pPr>
              <w:pStyle w:val="TableTextCentre"/>
              <w:rPr>
                <w:lang w:val="en-AU"/>
              </w:rPr>
            </w:pPr>
            <w:r w:rsidRPr="00664E64">
              <w:rPr>
                <w:lang w:val="en-AU"/>
              </w:rPr>
              <w:t>13.8</w:t>
            </w:r>
          </w:p>
        </w:tc>
        <w:tc>
          <w:tcPr>
            <w:tcW w:w="407" w:type="pct"/>
          </w:tcPr>
          <w:p w14:paraId="263CB5A8" w14:textId="77777777" w:rsidR="00D161F4" w:rsidRPr="00664E64" w:rsidRDefault="00D161F4" w:rsidP="00A55CD9">
            <w:pPr>
              <w:pStyle w:val="TableTextCentre"/>
              <w:rPr>
                <w:lang w:val="en-AU"/>
              </w:rPr>
            </w:pPr>
            <w:r w:rsidRPr="00664E64">
              <w:rPr>
                <w:lang w:val="en-AU"/>
              </w:rPr>
              <w:t>0.5</w:t>
            </w:r>
          </w:p>
        </w:tc>
      </w:tr>
      <w:tr w:rsidR="00D161F4" w:rsidRPr="00664E64" w14:paraId="320081CB" w14:textId="77777777" w:rsidTr="00523E94">
        <w:trPr>
          <w:trHeight w:val="567"/>
          <w:jc w:val="center"/>
        </w:trPr>
        <w:tc>
          <w:tcPr>
            <w:tcW w:w="627" w:type="pct"/>
          </w:tcPr>
          <w:p w14:paraId="7A735E20" w14:textId="77777777" w:rsidR="00D161F4" w:rsidRPr="00664E64" w:rsidRDefault="00D161F4" w:rsidP="00A55CD9">
            <w:pPr>
              <w:pStyle w:val="TableText"/>
              <w:rPr>
                <w:lang w:val="en-AU"/>
              </w:rPr>
            </w:pPr>
            <w:r w:rsidRPr="00664E64">
              <w:rPr>
                <w:lang w:val="en-AU"/>
              </w:rPr>
              <w:t>eSports (130)</w:t>
            </w:r>
          </w:p>
        </w:tc>
        <w:tc>
          <w:tcPr>
            <w:tcW w:w="289" w:type="pct"/>
          </w:tcPr>
          <w:p w14:paraId="36EEF9FF" w14:textId="77777777" w:rsidR="00D161F4" w:rsidRPr="00664E64" w:rsidRDefault="00D161F4" w:rsidP="00A55CD9">
            <w:pPr>
              <w:pStyle w:val="TableTextCentre"/>
              <w:rPr>
                <w:lang w:val="en-AU"/>
              </w:rPr>
            </w:pPr>
            <w:r w:rsidRPr="00664E64">
              <w:rPr>
                <w:lang w:val="en-AU"/>
              </w:rPr>
              <w:t>88.5</w:t>
            </w:r>
          </w:p>
        </w:tc>
        <w:tc>
          <w:tcPr>
            <w:tcW w:w="404" w:type="pct"/>
            <w:noWrap/>
          </w:tcPr>
          <w:p w14:paraId="08F98CAC" w14:textId="77777777" w:rsidR="00D161F4" w:rsidRPr="00664E64" w:rsidRDefault="00D161F4" w:rsidP="00A55CD9">
            <w:pPr>
              <w:pStyle w:val="TableTextCentre"/>
              <w:rPr>
                <w:lang w:val="en-AU"/>
              </w:rPr>
            </w:pPr>
            <w:r w:rsidRPr="00664E64">
              <w:rPr>
                <w:lang w:val="en-AU"/>
              </w:rPr>
              <w:t>18.5</w:t>
            </w:r>
          </w:p>
        </w:tc>
        <w:tc>
          <w:tcPr>
            <w:tcW w:w="404" w:type="pct"/>
            <w:noWrap/>
          </w:tcPr>
          <w:p w14:paraId="68965E93" w14:textId="77777777" w:rsidR="00D161F4" w:rsidRPr="00664E64" w:rsidRDefault="00D161F4" w:rsidP="00A55CD9">
            <w:pPr>
              <w:pStyle w:val="TableTextCentre"/>
              <w:rPr>
                <w:lang w:val="en-AU"/>
              </w:rPr>
            </w:pPr>
            <w:r w:rsidRPr="00664E64">
              <w:rPr>
                <w:lang w:val="en-AU"/>
              </w:rPr>
              <w:t>24.6</w:t>
            </w:r>
          </w:p>
        </w:tc>
        <w:tc>
          <w:tcPr>
            <w:tcW w:w="675" w:type="pct"/>
            <w:noWrap/>
          </w:tcPr>
          <w:p w14:paraId="6BB7212A" w14:textId="77777777" w:rsidR="00D161F4" w:rsidRPr="00664E64" w:rsidRDefault="00D161F4" w:rsidP="00A55CD9">
            <w:pPr>
              <w:pStyle w:val="TableTextCentre"/>
              <w:rPr>
                <w:lang w:val="en-AU"/>
              </w:rPr>
            </w:pPr>
            <w:r w:rsidRPr="00664E64">
              <w:rPr>
                <w:lang w:val="en-AU"/>
              </w:rPr>
              <w:t>7.7</w:t>
            </w:r>
          </w:p>
        </w:tc>
        <w:tc>
          <w:tcPr>
            <w:tcW w:w="404" w:type="pct"/>
            <w:noWrap/>
          </w:tcPr>
          <w:p w14:paraId="6B803A72" w14:textId="77777777" w:rsidR="00D161F4" w:rsidRPr="00664E64" w:rsidRDefault="00D161F4" w:rsidP="00A55CD9">
            <w:pPr>
              <w:pStyle w:val="TableTextCentre"/>
              <w:rPr>
                <w:lang w:val="en-AU"/>
              </w:rPr>
            </w:pPr>
            <w:r w:rsidRPr="00664E64">
              <w:rPr>
                <w:lang w:val="en-AU"/>
              </w:rPr>
              <w:t>13.1</w:t>
            </w:r>
          </w:p>
        </w:tc>
        <w:tc>
          <w:tcPr>
            <w:tcW w:w="404" w:type="pct"/>
            <w:noWrap/>
          </w:tcPr>
          <w:p w14:paraId="314F20B9" w14:textId="77777777" w:rsidR="00D161F4" w:rsidRPr="00664E64" w:rsidRDefault="00D161F4" w:rsidP="00A55CD9">
            <w:pPr>
              <w:pStyle w:val="TableTextCentre"/>
              <w:rPr>
                <w:lang w:val="en-AU"/>
              </w:rPr>
            </w:pPr>
            <w:r w:rsidRPr="00664E64">
              <w:rPr>
                <w:lang w:val="en-AU"/>
              </w:rPr>
              <w:t>7.7</w:t>
            </w:r>
          </w:p>
        </w:tc>
        <w:tc>
          <w:tcPr>
            <w:tcW w:w="404" w:type="pct"/>
            <w:noWrap/>
          </w:tcPr>
          <w:p w14:paraId="43A7360B" w14:textId="77777777" w:rsidR="00D161F4" w:rsidRPr="00664E64" w:rsidRDefault="00D161F4" w:rsidP="00A55CD9">
            <w:pPr>
              <w:pStyle w:val="TableTextCentre"/>
              <w:rPr>
                <w:lang w:val="en-AU"/>
              </w:rPr>
            </w:pPr>
            <w:r w:rsidRPr="00664E64">
              <w:rPr>
                <w:lang w:val="en-AU"/>
              </w:rPr>
              <w:t>7.7</w:t>
            </w:r>
          </w:p>
        </w:tc>
        <w:tc>
          <w:tcPr>
            <w:tcW w:w="521" w:type="pct"/>
            <w:noWrap/>
          </w:tcPr>
          <w:p w14:paraId="00D11FDD" w14:textId="77777777" w:rsidR="00D161F4" w:rsidRPr="00664E64" w:rsidRDefault="00D161F4" w:rsidP="00A55CD9">
            <w:pPr>
              <w:pStyle w:val="TableTextCentre"/>
              <w:rPr>
                <w:lang w:val="en-AU"/>
              </w:rPr>
            </w:pPr>
            <w:r w:rsidRPr="00664E64">
              <w:rPr>
                <w:lang w:val="en-AU"/>
              </w:rPr>
              <w:t>7.7</w:t>
            </w:r>
          </w:p>
        </w:tc>
        <w:tc>
          <w:tcPr>
            <w:tcW w:w="461" w:type="pct"/>
            <w:noWrap/>
          </w:tcPr>
          <w:p w14:paraId="71C008EB" w14:textId="77777777" w:rsidR="00D161F4" w:rsidRPr="00664E64" w:rsidRDefault="00D161F4" w:rsidP="00A55CD9">
            <w:pPr>
              <w:pStyle w:val="TableTextCentre"/>
              <w:rPr>
                <w:lang w:val="en-AU"/>
              </w:rPr>
            </w:pPr>
            <w:r w:rsidRPr="00664E64">
              <w:rPr>
                <w:lang w:val="en-AU"/>
              </w:rPr>
              <w:t>6.2</w:t>
            </w:r>
          </w:p>
        </w:tc>
        <w:tc>
          <w:tcPr>
            <w:tcW w:w="407" w:type="pct"/>
          </w:tcPr>
          <w:p w14:paraId="6F2322F2" w14:textId="77777777" w:rsidR="00D161F4" w:rsidRPr="00664E64" w:rsidRDefault="00D161F4" w:rsidP="00A55CD9">
            <w:pPr>
              <w:pStyle w:val="TableTextCentre"/>
              <w:rPr>
                <w:lang w:val="en-AU"/>
              </w:rPr>
            </w:pPr>
            <w:r w:rsidRPr="00664E64">
              <w:rPr>
                <w:lang w:val="en-AU"/>
              </w:rPr>
              <w:t>0.0</w:t>
            </w:r>
          </w:p>
        </w:tc>
      </w:tr>
      <w:tr w:rsidR="00D161F4" w:rsidRPr="00664E64" w14:paraId="0BD30BF9" w14:textId="77777777" w:rsidTr="00523E94">
        <w:trPr>
          <w:trHeight w:val="567"/>
          <w:jc w:val="center"/>
        </w:trPr>
        <w:tc>
          <w:tcPr>
            <w:tcW w:w="627" w:type="pct"/>
          </w:tcPr>
          <w:p w14:paraId="58802787" w14:textId="77777777" w:rsidR="00D161F4" w:rsidRPr="00664E64" w:rsidRDefault="00D161F4" w:rsidP="00A55CD9">
            <w:pPr>
              <w:pStyle w:val="TableText"/>
              <w:rPr>
                <w:lang w:val="en-AU"/>
              </w:rPr>
            </w:pPr>
            <w:r w:rsidRPr="00664E64">
              <w:rPr>
                <w:lang w:val="en-AU"/>
              </w:rPr>
              <w:t xml:space="preserve">TV shows (199) </w:t>
            </w:r>
          </w:p>
        </w:tc>
        <w:tc>
          <w:tcPr>
            <w:tcW w:w="289" w:type="pct"/>
          </w:tcPr>
          <w:p w14:paraId="47795DA1" w14:textId="77777777" w:rsidR="00D161F4" w:rsidRPr="00664E64" w:rsidRDefault="00D161F4" w:rsidP="00A55CD9">
            <w:pPr>
              <w:pStyle w:val="TableTextCentre"/>
              <w:rPr>
                <w:lang w:val="en-AU"/>
              </w:rPr>
            </w:pPr>
            <w:r w:rsidRPr="00664E64">
              <w:rPr>
                <w:lang w:val="en-AU"/>
              </w:rPr>
              <w:t>89.4</w:t>
            </w:r>
          </w:p>
        </w:tc>
        <w:tc>
          <w:tcPr>
            <w:tcW w:w="404" w:type="pct"/>
            <w:noWrap/>
          </w:tcPr>
          <w:p w14:paraId="1609BF6F" w14:textId="77777777" w:rsidR="00D161F4" w:rsidRPr="00664E64" w:rsidRDefault="00D161F4" w:rsidP="00A55CD9">
            <w:pPr>
              <w:pStyle w:val="TableTextCentre"/>
              <w:rPr>
                <w:lang w:val="en-AU"/>
              </w:rPr>
            </w:pPr>
            <w:r w:rsidRPr="00664E64">
              <w:rPr>
                <w:lang w:val="en-AU"/>
              </w:rPr>
              <w:t>17.1</w:t>
            </w:r>
          </w:p>
        </w:tc>
        <w:tc>
          <w:tcPr>
            <w:tcW w:w="404" w:type="pct"/>
            <w:noWrap/>
          </w:tcPr>
          <w:p w14:paraId="0F01C5EA" w14:textId="77777777" w:rsidR="00D161F4" w:rsidRPr="00664E64" w:rsidRDefault="00D161F4" w:rsidP="00A55CD9">
            <w:pPr>
              <w:pStyle w:val="TableTextCentre"/>
              <w:rPr>
                <w:lang w:val="en-AU"/>
              </w:rPr>
            </w:pPr>
            <w:r w:rsidRPr="00664E64">
              <w:rPr>
                <w:lang w:val="en-AU"/>
              </w:rPr>
              <w:t>14.1</w:t>
            </w:r>
          </w:p>
        </w:tc>
        <w:tc>
          <w:tcPr>
            <w:tcW w:w="675" w:type="pct"/>
            <w:noWrap/>
          </w:tcPr>
          <w:p w14:paraId="52126B83" w14:textId="77777777" w:rsidR="00D161F4" w:rsidRPr="00664E64" w:rsidRDefault="00D161F4" w:rsidP="00A55CD9">
            <w:pPr>
              <w:pStyle w:val="TableTextCentre"/>
              <w:rPr>
                <w:lang w:val="en-AU"/>
              </w:rPr>
            </w:pPr>
            <w:r w:rsidRPr="00664E64">
              <w:rPr>
                <w:lang w:val="en-AU"/>
              </w:rPr>
              <w:t>1.0</w:t>
            </w:r>
          </w:p>
        </w:tc>
        <w:tc>
          <w:tcPr>
            <w:tcW w:w="404" w:type="pct"/>
            <w:noWrap/>
          </w:tcPr>
          <w:p w14:paraId="27B361B3" w14:textId="77777777" w:rsidR="00D161F4" w:rsidRPr="00664E64" w:rsidRDefault="00D161F4" w:rsidP="00A55CD9">
            <w:pPr>
              <w:pStyle w:val="TableTextCentre"/>
              <w:rPr>
                <w:lang w:val="en-AU"/>
              </w:rPr>
            </w:pPr>
            <w:r w:rsidRPr="00664E64">
              <w:rPr>
                <w:lang w:val="en-AU"/>
              </w:rPr>
              <w:t>2.5</w:t>
            </w:r>
          </w:p>
        </w:tc>
        <w:tc>
          <w:tcPr>
            <w:tcW w:w="404" w:type="pct"/>
            <w:noWrap/>
          </w:tcPr>
          <w:p w14:paraId="27B7D317" w14:textId="77777777" w:rsidR="00D161F4" w:rsidRPr="00664E64" w:rsidRDefault="00D161F4" w:rsidP="00A55CD9">
            <w:pPr>
              <w:pStyle w:val="TableTextCentre"/>
              <w:rPr>
                <w:lang w:val="en-AU"/>
              </w:rPr>
            </w:pPr>
            <w:r w:rsidRPr="00664E64">
              <w:rPr>
                <w:lang w:val="en-AU"/>
              </w:rPr>
              <w:t>2.5</w:t>
            </w:r>
          </w:p>
        </w:tc>
        <w:tc>
          <w:tcPr>
            <w:tcW w:w="404" w:type="pct"/>
            <w:noWrap/>
          </w:tcPr>
          <w:p w14:paraId="5229E2A2" w14:textId="77777777" w:rsidR="00D161F4" w:rsidRPr="00664E64" w:rsidRDefault="00D161F4" w:rsidP="00A55CD9">
            <w:pPr>
              <w:pStyle w:val="TableTextCentre"/>
              <w:rPr>
                <w:lang w:val="en-AU"/>
              </w:rPr>
            </w:pPr>
            <w:r w:rsidRPr="00664E64">
              <w:rPr>
                <w:lang w:val="en-AU"/>
              </w:rPr>
              <w:t>2.0</w:t>
            </w:r>
          </w:p>
        </w:tc>
        <w:tc>
          <w:tcPr>
            <w:tcW w:w="521" w:type="pct"/>
            <w:noWrap/>
          </w:tcPr>
          <w:p w14:paraId="2BE8536B" w14:textId="77777777" w:rsidR="00D161F4" w:rsidRPr="00664E64" w:rsidRDefault="00D161F4" w:rsidP="00A55CD9">
            <w:pPr>
              <w:pStyle w:val="TableTextCentre"/>
              <w:rPr>
                <w:lang w:val="en-AU"/>
              </w:rPr>
            </w:pPr>
            <w:r w:rsidRPr="00664E64">
              <w:rPr>
                <w:lang w:val="en-AU"/>
              </w:rPr>
              <w:t>3.5</w:t>
            </w:r>
          </w:p>
        </w:tc>
        <w:tc>
          <w:tcPr>
            <w:tcW w:w="461" w:type="pct"/>
            <w:noWrap/>
          </w:tcPr>
          <w:p w14:paraId="0AD4FF4C" w14:textId="77777777" w:rsidR="00D161F4" w:rsidRPr="00664E64" w:rsidRDefault="00D161F4" w:rsidP="00A55CD9">
            <w:pPr>
              <w:pStyle w:val="TableTextCentre"/>
              <w:rPr>
                <w:lang w:val="en-AU"/>
              </w:rPr>
            </w:pPr>
            <w:r w:rsidRPr="00664E64">
              <w:rPr>
                <w:lang w:val="en-AU"/>
              </w:rPr>
              <w:t>2.5</w:t>
            </w:r>
          </w:p>
        </w:tc>
        <w:tc>
          <w:tcPr>
            <w:tcW w:w="407" w:type="pct"/>
          </w:tcPr>
          <w:p w14:paraId="2852CEC4" w14:textId="77777777" w:rsidR="00D161F4" w:rsidRPr="00664E64" w:rsidRDefault="00D161F4" w:rsidP="00A55CD9">
            <w:pPr>
              <w:pStyle w:val="TableTextCentre"/>
              <w:rPr>
                <w:lang w:val="en-AU"/>
              </w:rPr>
            </w:pPr>
            <w:r w:rsidRPr="00664E64">
              <w:rPr>
                <w:lang w:val="en-AU"/>
              </w:rPr>
              <w:t>0.0</w:t>
            </w:r>
          </w:p>
        </w:tc>
      </w:tr>
      <w:tr w:rsidR="00D161F4" w:rsidRPr="00664E64" w14:paraId="53A5D219" w14:textId="77777777" w:rsidTr="00523E94">
        <w:trPr>
          <w:trHeight w:val="567"/>
          <w:jc w:val="center"/>
        </w:trPr>
        <w:tc>
          <w:tcPr>
            <w:tcW w:w="627" w:type="pct"/>
          </w:tcPr>
          <w:p w14:paraId="3A7F0FF9" w14:textId="77777777" w:rsidR="00D161F4" w:rsidRPr="00664E64" w:rsidRDefault="00D161F4" w:rsidP="00A55CD9">
            <w:pPr>
              <w:pStyle w:val="TableText"/>
              <w:rPr>
                <w:lang w:val="en-AU"/>
              </w:rPr>
            </w:pPr>
            <w:r w:rsidRPr="00664E64">
              <w:rPr>
                <w:lang w:val="en-AU"/>
              </w:rPr>
              <w:t>Current affairs (135)</w:t>
            </w:r>
          </w:p>
        </w:tc>
        <w:tc>
          <w:tcPr>
            <w:tcW w:w="289" w:type="pct"/>
          </w:tcPr>
          <w:p w14:paraId="379485FF" w14:textId="77777777" w:rsidR="00D161F4" w:rsidRPr="00664E64" w:rsidRDefault="00D161F4" w:rsidP="00A55CD9">
            <w:pPr>
              <w:pStyle w:val="TableTextCentre"/>
              <w:rPr>
                <w:lang w:val="en-AU"/>
              </w:rPr>
            </w:pPr>
            <w:r w:rsidRPr="00664E64">
              <w:rPr>
                <w:lang w:val="en-AU"/>
              </w:rPr>
              <w:t>87.4</w:t>
            </w:r>
          </w:p>
        </w:tc>
        <w:tc>
          <w:tcPr>
            <w:tcW w:w="404" w:type="pct"/>
            <w:noWrap/>
          </w:tcPr>
          <w:p w14:paraId="57E54680" w14:textId="77777777" w:rsidR="00D161F4" w:rsidRPr="00664E64" w:rsidRDefault="00D161F4" w:rsidP="00A55CD9">
            <w:pPr>
              <w:pStyle w:val="TableTextCentre"/>
              <w:rPr>
                <w:lang w:val="en-AU"/>
              </w:rPr>
            </w:pPr>
            <w:r w:rsidRPr="00664E64">
              <w:rPr>
                <w:lang w:val="en-AU"/>
              </w:rPr>
              <w:t>8.9</w:t>
            </w:r>
          </w:p>
        </w:tc>
        <w:tc>
          <w:tcPr>
            <w:tcW w:w="404" w:type="pct"/>
            <w:noWrap/>
          </w:tcPr>
          <w:p w14:paraId="11CE858D" w14:textId="77777777" w:rsidR="00D161F4" w:rsidRPr="00664E64" w:rsidRDefault="00D161F4" w:rsidP="00A55CD9">
            <w:pPr>
              <w:pStyle w:val="TableTextCentre"/>
              <w:rPr>
                <w:lang w:val="en-AU"/>
              </w:rPr>
            </w:pPr>
            <w:r w:rsidRPr="00664E64">
              <w:rPr>
                <w:lang w:val="en-AU"/>
              </w:rPr>
              <w:t>12.6</w:t>
            </w:r>
          </w:p>
        </w:tc>
        <w:tc>
          <w:tcPr>
            <w:tcW w:w="675" w:type="pct"/>
            <w:noWrap/>
          </w:tcPr>
          <w:p w14:paraId="3AE63F06" w14:textId="77777777" w:rsidR="00D161F4" w:rsidRPr="00664E64" w:rsidRDefault="00D161F4" w:rsidP="00A55CD9">
            <w:pPr>
              <w:pStyle w:val="TableTextCentre"/>
              <w:rPr>
                <w:lang w:val="en-AU"/>
              </w:rPr>
            </w:pPr>
            <w:r w:rsidRPr="00664E64">
              <w:rPr>
                <w:lang w:val="en-AU"/>
              </w:rPr>
              <w:t>0.7</w:t>
            </w:r>
          </w:p>
        </w:tc>
        <w:tc>
          <w:tcPr>
            <w:tcW w:w="404" w:type="pct"/>
            <w:noWrap/>
          </w:tcPr>
          <w:p w14:paraId="2E0CA9FD" w14:textId="77777777" w:rsidR="00D161F4" w:rsidRPr="00664E64" w:rsidRDefault="00D161F4" w:rsidP="00A55CD9">
            <w:pPr>
              <w:pStyle w:val="TableTextCentre"/>
              <w:rPr>
                <w:lang w:val="en-AU"/>
              </w:rPr>
            </w:pPr>
            <w:r w:rsidRPr="00664E64">
              <w:rPr>
                <w:lang w:val="en-AU"/>
              </w:rPr>
              <w:t>4.4</w:t>
            </w:r>
          </w:p>
        </w:tc>
        <w:tc>
          <w:tcPr>
            <w:tcW w:w="404" w:type="pct"/>
            <w:noWrap/>
          </w:tcPr>
          <w:p w14:paraId="36E21C76" w14:textId="77777777" w:rsidR="00D161F4" w:rsidRPr="00664E64" w:rsidRDefault="00D161F4" w:rsidP="00A55CD9">
            <w:pPr>
              <w:pStyle w:val="TableTextCentre"/>
              <w:rPr>
                <w:lang w:val="en-AU"/>
              </w:rPr>
            </w:pPr>
            <w:r w:rsidRPr="00664E64">
              <w:rPr>
                <w:lang w:val="en-AU"/>
              </w:rPr>
              <w:t>2.2</w:t>
            </w:r>
          </w:p>
        </w:tc>
        <w:tc>
          <w:tcPr>
            <w:tcW w:w="404" w:type="pct"/>
            <w:noWrap/>
          </w:tcPr>
          <w:p w14:paraId="1B6AB4A2" w14:textId="77777777" w:rsidR="00D161F4" w:rsidRPr="00664E64" w:rsidRDefault="00D161F4" w:rsidP="00A55CD9">
            <w:pPr>
              <w:pStyle w:val="TableTextCentre"/>
              <w:rPr>
                <w:lang w:val="en-AU"/>
              </w:rPr>
            </w:pPr>
            <w:r w:rsidRPr="00664E64">
              <w:rPr>
                <w:lang w:val="en-AU"/>
              </w:rPr>
              <w:t>1.5</w:t>
            </w:r>
          </w:p>
        </w:tc>
        <w:tc>
          <w:tcPr>
            <w:tcW w:w="521" w:type="pct"/>
            <w:noWrap/>
          </w:tcPr>
          <w:p w14:paraId="67A0758E" w14:textId="77777777" w:rsidR="00D161F4" w:rsidRPr="00664E64" w:rsidRDefault="00D161F4" w:rsidP="00A55CD9">
            <w:pPr>
              <w:pStyle w:val="TableTextCentre"/>
              <w:rPr>
                <w:lang w:val="en-AU"/>
              </w:rPr>
            </w:pPr>
            <w:r w:rsidRPr="00664E64">
              <w:rPr>
                <w:lang w:val="en-AU"/>
              </w:rPr>
              <w:t>4.4</w:t>
            </w:r>
          </w:p>
        </w:tc>
        <w:tc>
          <w:tcPr>
            <w:tcW w:w="461" w:type="pct"/>
            <w:noWrap/>
          </w:tcPr>
          <w:p w14:paraId="11CAA619" w14:textId="77777777" w:rsidR="00D161F4" w:rsidRPr="00664E64" w:rsidRDefault="00D161F4" w:rsidP="00A55CD9">
            <w:pPr>
              <w:pStyle w:val="TableTextCentre"/>
              <w:rPr>
                <w:lang w:val="en-AU"/>
              </w:rPr>
            </w:pPr>
            <w:r w:rsidRPr="00664E64">
              <w:rPr>
                <w:lang w:val="en-AU"/>
              </w:rPr>
              <w:t>3.0</w:t>
            </w:r>
          </w:p>
        </w:tc>
        <w:tc>
          <w:tcPr>
            <w:tcW w:w="407" w:type="pct"/>
          </w:tcPr>
          <w:p w14:paraId="2652DAEF" w14:textId="77777777" w:rsidR="00D161F4" w:rsidRPr="00664E64" w:rsidRDefault="00D161F4" w:rsidP="00A55CD9">
            <w:pPr>
              <w:pStyle w:val="TableTextCentre"/>
              <w:rPr>
                <w:lang w:val="en-AU"/>
              </w:rPr>
            </w:pPr>
            <w:r w:rsidRPr="00664E64">
              <w:rPr>
                <w:lang w:val="en-AU"/>
              </w:rPr>
              <w:t>0.0</w:t>
            </w:r>
          </w:p>
        </w:tc>
      </w:tr>
      <w:tr w:rsidR="00D161F4" w:rsidRPr="00664E64" w14:paraId="625F5162" w14:textId="77777777" w:rsidTr="00523E94">
        <w:trPr>
          <w:trHeight w:val="567"/>
          <w:jc w:val="center"/>
        </w:trPr>
        <w:tc>
          <w:tcPr>
            <w:tcW w:w="627" w:type="pct"/>
          </w:tcPr>
          <w:p w14:paraId="1B79E9AB" w14:textId="5BF75D39" w:rsidR="00D161F4" w:rsidRPr="00664E64" w:rsidRDefault="00D161F4" w:rsidP="00A55CD9">
            <w:pPr>
              <w:pStyle w:val="TableText"/>
              <w:rPr>
                <w:lang w:val="en-AU"/>
              </w:rPr>
            </w:pPr>
            <w:r w:rsidRPr="00664E64">
              <w:rPr>
                <w:lang w:val="en-AU"/>
              </w:rPr>
              <w:t>Any betting (5</w:t>
            </w:r>
            <w:r w:rsidR="00356CE2" w:rsidRPr="00664E64">
              <w:rPr>
                <w:lang w:val="en-AU"/>
              </w:rPr>
              <w:t>,</w:t>
            </w:r>
            <w:r w:rsidRPr="00664E64">
              <w:rPr>
                <w:lang w:val="en-AU"/>
              </w:rPr>
              <w:t>076)</w:t>
            </w:r>
          </w:p>
        </w:tc>
        <w:tc>
          <w:tcPr>
            <w:tcW w:w="289" w:type="pct"/>
          </w:tcPr>
          <w:p w14:paraId="2F05FDC5" w14:textId="77777777" w:rsidR="00D161F4" w:rsidRPr="00664E64" w:rsidRDefault="00D161F4" w:rsidP="00A55CD9">
            <w:pPr>
              <w:pStyle w:val="TableTextCentre"/>
              <w:rPr>
                <w:lang w:val="en-AU"/>
              </w:rPr>
            </w:pPr>
            <w:r w:rsidRPr="00664E64">
              <w:rPr>
                <w:lang w:val="en-AU"/>
              </w:rPr>
              <w:t>82.9</w:t>
            </w:r>
          </w:p>
        </w:tc>
        <w:tc>
          <w:tcPr>
            <w:tcW w:w="404" w:type="pct"/>
            <w:noWrap/>
          </w:tcPr>
          <w:p w14:paraId="13E52E55" w14:textId="77777777" w:rsidR="00D161F4" w:rsidRPr="00664E64" w:rsidRDefault="00D161F4" w:rsidP="00A55CD9">
            <w:pPr>
              <w:pStyle w:val="TableTextCentre"/>
              <w:rPr>
                <w:lang w:val="en-AU"/>
              </w:rPr>
            </w:pPr>
            <w:r w:rsidRPr="00664E64">
              <w:rPr>
                <w:lang w:val="en-AU"/>
              </w:rPr>
              <w:t>23.2</w:t>
            </w:r>
          </w:p>
        </w:tc>
        <w:tc>
          <w:tcPr>
            <w:tcW w:w="404" w:type="pct"/>
            <w:noWrap/>
          </w:tcPr>
          <w:p w14:paraId="5A2F3C75" w14:textId="77777777" w:rsidR="00D161F4" w:rsidRPr="00664E64" w:rsidRDefault="00D161F4" w:rsidP="00A55CD9">
            <w:pPr>
              <w:pStyle w:val="TableTextCentre"/>
              <w:rPr>
                <w:lang w:val="en-AU"/>
              </w:rPr>
            </w:pPr>
            <w:r w:rsidRPr="00664E64">
              <w:rPr>
                <w:lang w:val="en-AU"/>
              </w:rPr>
              <w:t>25.4</w:t>
            </w:r>
          </w:p>
        </w:tc>
        <w:tc>
          <w:tcPr>
            <w:tcW w:w="675" w:type="pct"/>
            <w:noWrap/>
          </w:tcPr>
          <w:p w14:paraId="612F3C94" w14:textId="77777777" w:rsidR="00D161F4" w:rsidRPr="00664E64" w:rsidRDefault="00D161F4" w:rsidP="00A55CD9">
            <w:pPr>
              <w:pStyle w:val="TableTextCentre"/>
              <w:rPr>
                <w:lang w:val="en-AU"/>
              </w:rPr>
            </w:pPr>
            <w:r w:rsidRPr="00664E64">
              <w:rPr>
                <w:lang w:val="en-AU"/>
              </w:rPr>
              <w:t>2.1</w:t>
            </w:r>
          </w:p>
        </w:tc>
        <w:tc>
          <w:tcPr>
            <w:tcW w:w="404" w:type="pct"/>
            <w:noWrap/>
          </w:tcPr>
          <w:p w14:paraId="6C33DF11" w14:textId="77777777" w:rsidR="00D161F4" w:rsidRPr="00664E64" w:rsidRDefault="00D161F4" w:rsidP="00A55CD9">
            <w:pPr>
              <w:pStyle w:val="TableTextCentre"/>
              <w:rPr>
                <w:lang w:val="en-AU"/>
              </w:rPr>
            </w:pPr>
            <w:r w:rsidRPr="00664E64">
              <w:rPr>
                <w:lang w:val="en-AU"/>
              </w:rPr>
              <w:t>30.4</w:t>
            </w:r>
          </w:p>
        </w:tc>
        <w:tc>
          <w:tcPr>
            <w:tcW w:w="404" w:type="pct"/>
            <w:noWrap/>
          </w:tcPr>
          <w:p w14:paraId="1D017F32" w14:textId="77777777" w:rsidR="00D161F4" w:rsidRPr="00664E64" w:rsidRDefault="00D161F4" w:rsidP="00A55CD9">
            <w:pPr>
              <w:pStyle w:val="TableTextCentre"/>
              <w:rPr>
                <w:lang w:val="en-AU"/>
              </w:rPr>
            </w:pPr>
            <w:r w:rsidRPr="00664E64">
              <w:rPr>
                <w:lang w:val="en-AU"/>
              </w:rPr>
              <w:t>7.1</w:t>
            </w:r>
          </w:p>
        </w:tc>
        <w:tc>
          <w:tcPr>
            <w:tcW w:w="404" w:type="pct"/>
            <w:noWrap/>
          </w:tcPr>
          <w:p w14:paraId="5D7969EB" w14:textId="77777777" w:rsidR="00D161F4" w:rsidRPr="00664E64" w:rsidRDefault="00D161F4" w:rsidP="00A55CD9">
            <w:pPr>
              <w:pStyle w:val="TableTextCentre"/>
              <w:rPr>
                <w:lang w:val="en-AU"/>
              </w:rPr>
            </w:pPr>
            <w:r w:rsidRPr="00664E64">
              <w:rPr>
                <w:lang w:val="en-AU"/>
              </w:rPr>
              <w:t>23.2</w:t>
            </w:r>
          </w:p>
        </w:tc>
        <w:tc>
          <w:tcPr>
            <w:tcW w:w="521" w:type="pct"/>
            <w:noWrap/>
          </w:tcPr>
          <w:p w14:paraId="15E14486" w14:textId="77777777" w:rsidR="00D161F4" w:rsidRPr="00664E64" w:rsidRDefault="00D161F4" w:rsidP="00A55CD9">
            <w:pPr>
              <w:pStyle w:val="TableTextCentre"/>
              <w:rPr>
                <w:lang w:val="en-AU"/>
              </w:rPr>
            </w:pPr>
            <w:r w:rsidRPr="00664E64">
              <w:rPr>
                <w:lang w:val="en-AU"/>
              </w:rPr>
              <w:t>17.1</w:t>
            </w:r>
          </w:p>
        </w:tc>
        <w:tc>
          <w:tcPr>
            <w:tcW w:w="461" w:type="pct"/>
            <w:noWrap/>
          </w:tcPr>
          <w:p w14:paraId="7E0E8E96" w14:textId="77777777" w:rsidR="00D161F4" w:rsidRPr="00664E64" w:rsidRDefault="00D161F4" w:rsidP="00A55CD9">
            <w:pPr>
              <w:pStyle w:val="TableTextCentre"/>
              <w:rPr>
                <w:lang w:val="en-AU"/>
              </w:rPr>
            </w:pPr>
            <w:r w:rsidRPr="00664E64">
              <w:rPr>
                <w:lang w:val="en-AU"/>
              </w:rPr>
              <w:t>10.4</w:t>
            </w:r>
          </w:p>
        </w:tc>
        <w:tc>
          <w:tcPr>
            <w:tcW w:w="407" w:type="pct"/>
          </w:tcPr>
          <w:p w14:paraId="0F80FC64" w14:textId="77777777" w:rsidR="00D161F4" w:rsidRPr="00664E64" w:rsidRDefault="00D161F4" w:rsidP="00A55CD9">
            <w:pPr>
              <w:pStyle w:val="TableTextCentre"/>
              <w:rPr>
                <w:lang w:val="en-AU"/>
              </w:rPr>
            </w:pPr>
            <w:r w:rsidRPr="00664E64">
              <w:rPr>
                <w:lang w:val="en-AU"/>
              </w:rPr>
              <w:t>0.7</w:t>
            </w:r>
          </w:p>
        </w:tc>
      </w:tr>
    </w:tbl>
    <w:p w14:paraId="51669118" w14:textId="4480041C" w:rsidR="00D161F4" w:rsidRPr="00523E94" w:rsidRDefault="00523E94" w:rsidP="00523E94">
      <w:pPr>
        <w:pBdr>
          <w:bottom w:val="single" w:sz="4" w:space="1" w:color="auto"/>
        </w:pBdr>
        <w:rPr>
          <w:rFonts w:ascii="Arial" w:hAnsi="Arial" w:cs="Arial"/>
          <w:sz w:val="18"/>
          <w:szCs w:val="18"/>
        </w:rPr>
      </w:pPr>
      <w:r w:rsidRPr="00523E94">
        <w:rPr>
          <w:rFonts w:ascii="Arial" w:hAnsi="Arial" w:cs="Arial"/>
          <w:sz w:val="18"/>
          <w:szCs w:val="18"/>
        </w:rPr>
        <w:t>Notes: For each activity, cell values represent proportions for that particular activity. Cell values for a row, however, do not total 100% due to multiple responses to this question</w:t>
      </w:r>
    </w:p>
    <w:p w14:paraId="7CC68037" w14:textId="0DC8E0ED" w:rsidR="00523E94" w:rsidRDefault="00523E94" w:rsidP="00D161F4">
      <w:pPr>
        <w:rPr>
          <w:rFonts w:cs="Arial"/>
        </w:rPr>
      </w:pPr>
    </w:p>
    <w:p w14:paraId="6E69ABE0" w14:textId="77777777" w:rsidR="00523E94" w:rsidRPr="00664E64" w:rsidRDefault="00523E94" w:rsidP="00D161F4">
      <w:pPr>
        <w:rPr>
          <w:rFonts w:cs="Arial"/>
        </w:rPr>
        <w:sectPr w:rsidR="00523E94" w:rsidRPr="00664E64" w:rsidSect="001422DD">
          <w:pgSz w:w="15840" w:h="12240" w:orient="landscape"/>
          <w:pgMar w:top="1440" w:right="1440" w:bottom="1440" w:left="1440" w:header="708" w:footer="708" w:gutter="0"/>
          <w:cols w:space="708"/>
          <w:docGrid w:linePitch="360"/>
        </w:sectPr>
      </w:pPr>
    </w:p>
    <w:p w14:paraId="66D92E04" w14:textId="614A77DE" w:rsidR="00D161F4" w:rsidRPr="0036418A" w:rsidRDefault="00D161F4" w:rsidP="00A55CD9">
      <w:pPr>
        <w:pStyle w:val="Heading3"/>
        <w:rPr>
          <w:color w:val="auto"/>
        </w:rPr>
      </w:pPr>
      <w:r w:rsidRPr="0036418A">
        <w:rPr>
          <w:color w:val="auto"/>
        </w:rPr>
        <w:lastRenderedPageBreak/>
        <w:t xml:space="preserve">Expenditure on </w:t>
      </w:r>
      <w:r w:rsidR="00B96C70" w:rsidRPr="0036418A">
        <w:rPr>
          <w:color w:val="auto"/>
        </w:rPr>
        <w:t>wagering</w:t>
      </w:r>
    </w:p>
    <w:p w14:paraId="4B8EB894" w14:textId="41789242" w:rsidR="00B96C70" w:rsidRPr="00664E64" w:rsidRDefault="00D161F4" w:rsidP="00A55CD9">
      <w:pPr>
        <w:pStyle w:val="BodyText"/>
      </w:pPr>
      <w:r w:rsidRPr="00664E64">
        <w:t xml:space="preserve">The respondents </w:t>
      </w:r>
      <w:r w:rsidR="001F5C06" w:rsidRPr="00664E64">
        <w:t xml:space="preserve">gave </w:t>
      </w:r>
      <w:r w:rsidRPr="00664E64">
        <w:t xml:space="preserve">their </w:t>
      </w:r>
      <w:r w:rsidR="00B96C70" w:rsidRPr="00664E64">
        <w:t xml:space="preserve">typical </w:t>
      </w:r>
      <w:r w:rsidRPr="00664E64">
        <w:t xml:space="preserve">daily expenditure </w:t>
      </w:r>
      <w:r w:rsidR="001F5C06" w:rsidRPr="00664E64">
        <w:t xml:space="preserve">for </w:t>
      </w:r>
      <w:r w:rsidRPr="00664E64">
        <w:t>each activity that they</w:t>
      </w:r>
      <w:r w:rsidR="00B96C70" w:rsidRPr="00664E64">
        <w:t xml:space="preserve"> reported having</w:t>
      </w:r>
      <w:r w:rsidRPr="00664E64">
        <w:t xml:space="preserve"> placed bets on in the past 12 months. When frequency distribution was looked at for each activity, outliers were spotted for daily expenditure</w:t>
      </w:r>
      <w:r w:rsidR="00B96C70" w:rsidRPr="00664E64">
        <w:t xml:space="preserve"> and</w:t>
      </w:r>
      <w:r w:rsidRPr="00664E64">
        <w:t xml:space="preserve"> </w:t>
      </w:r>
      <w:r w:rsidR="00B96C70" w:rsidRPr="00664E64">
        <w:t>t</w:t>
      </w:r>
      <w:r w:rsidRPr="00664E64">
        <w:t xml:space="preserve">he 99th percentile </w:t>
      </w:r>
      <w:r w:rsidR="00B96C70" w:rsidRPr="00664E64">
        <w:t xml:space="preserve">was set </w:t>
      </w:r>
      <w:r w:rsidRPr="00664E64">
        <w:t>as the cut-off</w:t>
      </w:r>
      <w:r w:rsidR="00B96C70" w:rsidRPr="00664E64">
        <w:t xml:space="preserve"> (to remove extreme values). The</w:t>
      </w:r>
      <w:r w:rsidRPr="00664E64">
        <w:t xml:space="preserve"> mean, median and mode values for daily expenditure on different activities were determined for valid values (Table 5.11). </w:t>
      </w:r>
    </w:p>
    <w:p w14:paraId="371A6FCC" w14:textId="498FCF88" w:rsidR="00EE17CA" w:rsidRPr="00664E64" w:rsidRDefault="00B96C70" w:rsidP="00A55CD9">
      <w:pPr>
        <w:pStyle w:val="BodyText"/>
      </w:pPr>
      <w:r w:rsidRPr="00664E64">
        <w:t>Findings suggest that the average spend on each activity on a typical day of betting in the past 12 months ranges from around $50</w:t>
      </w:r>
      <w:r w:rsidR="001F5C06" w:rsidRPr="00664E64">
        <w:t>–$</w:t>
      </w:r>
      <w:r w:rsidRPr="00664E64">
        <w:t>100. For horse racing the most common typical spend was $50 (mode)</w:t>
      </w:r>
      <w:r w:rsidR="001F5C06" w:rsidRPr="00664E64">
        <w:t>,</w:t>
      </w:r>
      <w:r w:rsidRPr="00664E64">
        <w:t xml:space="preserve"> and for sports it was $20. </w:t>
      </w:r>
    </w:p>
    <w:p w14:paraId="449B2B05" w14:textId="34CAB787" w:rsidR="00D161F4" w:rsidRPr="0036418A" w:rsidRDefault="00D161F4" w:rsidP="00415C73">
      <w:pPr>
        <w:pStyle w:val="FigureCaption"/>
        <w:rPr>
          <w:color w:val="auto"/>
          <w:lang w:val="en-AU"/>
        </w:rPr>
      </w:pPr>
      <w:bookmarkStart w:id="47" w:name="_Toc11864574"/>
      <w:bookmarkStart w:id="48" w:name="_Toc12549571"/>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11</w:t>
      </w:r>
      <w:r w:rsidR="00777624" w:rsidRPr="0036418A">
        <w:rPr>
          <w:noProof/>
          <w:color w:val="auto"/>
          <w:lang w:val="en-AU"/>
        </w:rPr>
        <w:fldChar w:fldCharType="end"/>
      </w:r>
      <w:r w:rsidR="001F5C06" w:rsidRPr="0036418A">
        <w:rPr>
          <w:color w:val="auto"/>
          <w:lang w:val="en-AU"/>
        </w:rPr>
        <w:t>:</w:t>
      </w:r>
      <w:r w:rsidRPr="0036418A">
        <w:rPr>
          <w:color w:val="auto"/>
          <w:lang w:val="en-AU"/>
        </w:rPr>
        <w:t xml:space="preserve"> Daily expenditure ($AUD) on betting activities in the past 12 months</w:t>
      </w:r>
      <w:bookmarkEnd w:id="47"/>
      <w:bookmarkEnd w:id="48"/>
    </w:p>
    <w:tbl>
      <w:tblPr>
        <w:tblStyle w:val="TableGrid"/>
        <w:tblW w:w="8395" w:type="dxa"/>
        <w:tblLook w:val="04A0" w:firstRow="1" w:lastRow="0" w:firstColumn="1" w:lastColumn="0" w:noHBand="0" w:noVBand="1"/>
        <w:tblCaption w:val="Daily expenditure by participants on betting activities in the last 12 months"/>
        <w:tblDescription w:val="For each gambling activity, this table shows the average expenditure in Australian dollars by participants on that activity in a typical day of betting in the past 12 months. "/>
      </w:tblPr>
      <w:tblGrid>
        <w:gridCol w:w="2835"/>
        <w:gridCol w:w="3485"/>
        <w:gridCol w:w="2075"/>
      </w:tblGrid>
      <w:tr w:rsidR="00D161F4" w:rsidRPr="00664E64" w14:paraId="284413C0" w14:textId="77777777" w:rsidTr="00523E94">
        <w:trPr>
          <w:cnfStyle w:val="100000000000" w:firstRow="1" w:lastRow="0" w:firstColumn="0" w:lastColumn="0" w:oddVBand="0" w:evenVBand="0" w:oddHBand="0" w:evenHBand="0" w:firstRowFirstColumn="0" w:firstRowLastColumn="0" w:lastRowFirstColumn="0" w:lastRowLastColumn="0"/>
          <w:trHeight w:val="618"/>
          <w:tblHeader/>
        </w:trPr>
        <w:tc>
          <w:tcPr>
            <w:tcW w:w="2835" w:type="dxa"/>
            <w:hideMark/>
          </w:tcPr>
          <w:p w14:paraId="0FCE434C" w14:textId="77777777" w:rsidR="00D161F4" w:rsidRPr="00664E64" w:rsidRDefault="00D161F4" w:rsidP="00A55CD9">
            <w:pPr>
              <w:pStyle w:val="TableColHeadLeft"/>
              <w:rPr>
                <w:lang w:val="en-AU"/>
              </w:rPr>
            </w:pPr>
            <w:r w:rsidRPr="00664E64">
              <w:rPr>
                <w:lang w:val="en-AU"/>
              </w:rPr>
              <w:t xml:space="preserve">Activity (Valid </w:t>
            </w:r>
            <w:r w:rsidRPr="00664E64">
              <w:rPr>
                <w:i/>
                <w:lang w:val="en-AU"/>
              </w:rPr>
              <w:t>N</w:t>
            </w:r>
            <w:r w:rsidRPr="00664E64">
              <w:rPr>
                <w:lang w:val="en-AU"/>
              </w:rPr>
              <w:t>)</w:t>
            </w:r>
          </w:p>
        </w:tc>
        <w:tc>
          <w:tcPr>
            <w:tcW w:w="3485" w:type="dxa"/>
            <w:hideMark/>
          </w:tcPr>
          <w:p w14:paraId="76F88456" w14:textId="77777777" w:rsidR="00D161F4" w:rsidRPr="00664E64" w:rsidRDefault="00D161F4" w:rsidP="00A55CD9">
            <w:pPr>
              <w:pStyle w:val="TableColHeadCentre"/>
              <w:rPr>
                <w:lang w:val="en-AU"/>
              </w:rPr>
            </w:pPr>
            <w:r w:rsidRPr="00664E64">
              <w:rPr>
                <w:lang w:val="en-AU"/>
              </w:rPr>
              <w:t>Average expenditure (Range)</w:t>
            </w:r>
          </w:p>
        </w:tc>
        <w:tc>
          <w:tcPr>
            <w:tcW w:w="2075" w:type="dxa"/>
          </w:tcPr>
          <w:p w14:paraId="36F9CD41" w14:textId="77777777" w:rsidR="00D161F4" w:rsidRPr="00664E64" w:rsidRDefault="00D161F4" w:rsidP="00A55CD9">
            <w:pPr>
              <w:pStyle w:val="TableColHeadCentre"/>
              <w:rPr>
                <w:lang w:val="en-AU"/>
              </w:rPr>
            </w:pPr>
            <w:r w:rsidRPr="00664E64">
              <w:rPr>
                <w:lang w:val="en-AU"/>
              </w:rPr>
              <w:t>Median, Mode</w:t>
            </w:r>
          </w:p>
        </w:tc>
      </w:tr>
      <w:tr w:rsidR="00D161F4" w:rsidRPr="00664E64" w14:paraId="2EA96DA3" w14:textId="77777777" w:rsidTr="00454A33">
        <w:trPr>
          <w:trHeight w:val="366"/>
        </w:trPr>
        <w:tc>
          <w:tcPr>
            <w:tcW w:w="2835" w:type="dxa"/>
          </w:tcPr>
          <w:p w14:paraId="56B67E1F" w14:textId="77777777" w:rsidR="00D161F4" w:rsidRPr="00664E64" w:rsidRDefault="00D161F4" w:rsidP="00A55CD9">
            <w:pPr>
              <w:pStyle w:val="TableText"/>
              <w:rPr>
                <w:lang w:val="en-AU"/>
              </w:rPr>
            </w:pPr>
            <w:r w:rsidRPr="00664E64">
              <w:rPr>
                <w:lang w:val="en-AU"/>
              </w:rPr>
              <w:t>Current affairs (135)</w:t>
            </w:r>
          </w:p>
        </w:tc>
        <w:tc>
          <w:tcPr>
            <w:tcW w:w="3485" w:type="dxa"/>
            <w:noWrap/>
          </w:tcPr>
          <w:p w14:paraId="32114F24" w14:textId="224B609A" w:rsidR="00D161F4" w:rsidRPr="00664E64" w:rsidRDefault="00D161F4" w:rsidP="00A55CD9">
            <w:pPr>
              <w:pStyle w:val="TableTextCentre"/>
              <w:rPr>
                <w:lang w:val="en-AU"/>
              </w:rPr>
            </w:pPr>
            <w:r w:rsidRPr="00664E64">
              <w:rPr>
                <w:lang w:val="en-AU"/>
              </w:rPr>
              <w:t>$140.1 (1</w:t>
            </w:r>
            <w:r w:rsidR="001F5C06" w:rsidRPr="00664E64">
              <w:rPr>
                <w:lang w:val="en-AU"/>
              </w:rPr>
              <w:t>–</w:t>
            </w:r>
            <w:r w:rsidRPr="00664E64">
              <w:rPr>
                <w:lang w:val="en-AU"/>
              </w:rPr>
              <w:t>3000)</w:t>
            </w:r>
          </w:p>
        </w:tc>
        <w:tc>
          <w:tcPr>
            <w:tcW w:w="2075" w:type="dxa"/>
          </w:tcPr>
          <w:p w14:paraId="5D15F6C9" w14:textId="77777777" w:rsidR="00D161F4" w:rsidRPr="00664E64" w:rsidRDefault="00D161F4" w:rsidP="00A55CD9">
            <w:pPr>
              <w:pStyle w:val="TableTextCentre"/>
              <w:rPr>
                <w:lang w:val="en-AU"/>
              </w:rPr>
            </w:pPr>
            <w:r w:rsidRPr="00664E64">
              <w:rPr>
                <w:lang w:val="en-AU"/>
              </w:rPr>
              <w:t>32, 50</w:t>
            </w:r>
          </w:p>
        </w:tc>
      </w:tr>
      <w:tr w:rsidR="00D161F4" w:rsidRPr="00664E64" w14:paraId="23067C7C" w14:textId="77777777" w:rsidTr="00454A33">
        <w:trPr>
          <w:trHeight w:val="366"/>
        </w:trPr>
        <w:tc>
          <w:tcPr>
            <w:tcW w:w="2835" w:type="dxa"/>
            <w:hideMark/>
          </w:tcPr>
          <w:p w14:paraId="34DFE048" w14:textId="032A4C40" w:rsidR="00D161F4" w:rsidRPr="00664E64" w:rsidRDefault="00D161F4" w:rsidP="00A55CD9">
            <w:pPr>
              <w:pStyle w:val="TableText"/>
              <w:rPr>
                <w:lang w:val="en-AU"/>
              </w:rPr>
            </w:pPr>
            <w:r w:rsidRPr="00664E64">
              <w:rPr>
                <w:lang w:val="en-AU"/>
              </w:rPr>
              <w:t>Horse racing (3</w:t>
            </w:r>
            <w:r w:rsidR="001F5C06" w:rsidRPr="00664E64">
              <w:rPr>
                <w:lang w:val="en-AU"/>
              </w:rPr>
              <w:t>,</w:t>
            </w:r>
            <w:r w:rsidRPr="00664E64">
              <w:rPr>
                <w:lang w:val="en-AU"/>
              </w:rPr>
              <w:t>779)</w:t>
            </w:r>
          </w:p>
        </w:tc>
        <w:tc>
          <w:tcPr>
            <w:tcW w:w="3485" w:type="dxa"/>
            <w:noWrap/>
          </w:tcPr>
          <w:p w14:paraId="0BABEA60" w14:textId="40C5C8B1" w:rsidR="00D161F4" w:rsidRPr="00664E64" w:rsidRDefault="00D161F4" w:rsidP="00A55CD9">
            <w:pPr>
              <w:pStyle w:val="TableTextCentre"/>
              <w:rPr>
                <w:lang w:val="en-AU"/>
              </w:rPr>
            </w:pPr>
            <w:r w:rsidRPr="00664E64">
              <w:rPr>
                <w:lang w:val="en-AU"/>
              </w:rPr>
              <w:t>$96.2 (1</w:t>
            </w:r>
            <w:r w:rsidR="001F5C06" w:rsidRPr="00664E64">
              <w:rPr>
                <w:lang w:val="en-AU"/>
              </w:rPr>
              <w:t>–</w:t>
            </w:r>
            <w:r w:rsidRPr="00664E64">
              <w:rPr>
                <w:lang w:val="en-AU"/>
              </w:rPr>
              <w:t>2,000)</w:t>
            </w:r>
          </w:p>
        </w:tc>
        <w:tc>
          <w:tcPr>
            <w:tcW w:w="2075" w:type="dxa"/>
          </w:tcPr>
          <w:p w14:paraId="5D4B0B89" w14:textId="77777777" w:rsidR="00D161F4" w:rsidRPr="00664E64" w:rsidRDefault="00D161F4" w:rsidP="00A55CD9">
            <w:pPr>
              <w:pStyle w:val="TableTextCentre"/>
              <w:rPr>
                <w:lang w:val="en-AU"/>
              </w:rPr>
            </w:pPr>
            <w:r w:rsidRPr="00664E64">
              <w:rPr>
                <w:lang w:val="en-AU"/>
              </w:rPr>
              <w:t>40, 50</w:t>
            </w:r>
          </w:p>
        </w:tc>
      </w:tr>
      <w:tr w:rsidR="00D161F4" w:rsidRPr="00664E64" w14:paraId="6CA0E752" w14:textId="77777777" w:rsidTr="00454A33">
        <w:trPr>
          <w:trHeight w:val="366"/>
        </w:trPr>
        <w:tc>
          <w:tcPr>
            <w:tcW w:w="2835" w:type="dxa"/>
            <w:hideMark/>
          </w:tcPr>
          <w:p w14:paraId="4AE2623C" w14:textId="08BBF677" w:rsidR="00D161F4" w:rsidRPr="00664E64" w:rsidRDefault="00D161F4" w:rsidP="00A55CD9">
            <w:pPr>
              <w:pStyle w:val="TableText"/>
              <w:rPr>
                <w:lang w:val="en-AU"/>
              </w:rPr>
            </w:pPr>
            <w:r w:rsidRPr="00664E64">
              <w:rPr>
                <w:lang w:val="en-AU"/>
              </w:rPr>
              <w:t>Sports (2</w:t>
            </w:r>
            <w:r w:rsidR="001F5C06" w:rsidRPr="00664E64">
              <w:rPr>
                <w:lang w:val="en-AU"/>
              </w:rPr>
              <w:t>,</w:t>
            </w:r>
            <w:r w:rsidRPr="00664E64">
              <w:rPr>
                <w:lang w:val="en-AU"/>
              </w:rPr>
              <w:t>662)</w:t>
            </w:r>
          </w:p>
        </w:tc>
        <w:tc>
          <w:tcPr>
            <w:tcW w:w="3485" w:type="dxa"/>
            <w:noWrap/>
          </w:tcPr>
          <w:p w14:paraId="69DF72AF" w14:textId="7EB0F27B" w:rsidR="00D161F4" w:rsidRPr="00664E64" w:rsidRDefault="00D161F4" w:rsidP="00A55CD9">
            <w:pPr>
              <w:pStyle w:val="TableTextCentre"/>
              <w:rPr>
                <w:lang w:val="en-AU"/>
              </w:rPr>
            </w:pPr>
            <w:r w:rsidRPr="00664E64">
              <w:rPr>
                <w:lang w:val="en-AU"/>
              </w:rPr>
              <w:t>$84.1 (1</w:t>
            </w:r>
            <w:r w:rsidR="001F5C06" w:rsidRPr="00664E64">
              <w:rPr>
                <w:lang w:val="en-AU"/>
              </w:rPr>
              <w:t>–</w:t>
            </w:r>
            <w:r w:rsidRPr="00664E64">
              <w:rPr>
                <w:lang w:val="en-AU"/>
              </w:rPr>
              <w:t>2,000)</w:t>
            </w:r>
          </w:p>
        </w:tc>
        <w:tc>
          <w:tcPr>
            <w:tcW w:w="2075" w:type="dxa"/>
          </w:tcPr>
          <w:p w14:paraId="3C3F8A14" w14:textId="77777777" w:rsidR="00D161F4" w:rsidRPr="00664E64" w:rsidRDefault="00D161F4" w:rsidP="00A55CD9">
            <w:pPr>
              <w:pStyle w:val="TableTextCentre"/>
              <w:rPr>
                <w:lang w:val="en-AU"/>
              </w:rPr>
            </w:pPr>
            <w:r w:rsidRPr="00664E64">
              <w:rPr>
                <w:lang w:val="en-AU"/>
              </w:rPr>
              <w:t>25, 20</w:t>
            </w:r>
          </w:p>
        </w:tc>
      </w:tr>
      <w:tr w:rsidR="00D161F4" w:rsidRPr="00664E64" w14:paraId="145AC6FB" w14:textId="77777777" w:rsidTr="00454A33">
        <w:trPr>
          <w:trHeight w:val="366"/>
        </w:trPr>
        <w:tc>
          <w:tcPr>
            <w:tcW w:w="2835" w:type="dxa"/>
            <w:hideMark/>
          </w:tcPr>
          <w:p w14:paraId="73D72E9F" w14:textId="77777777" w:rsidR="00D161F4" w:rsidRPr="00664E64" w:rsidRDefault="00D161F4" w:rsidP="00A55CD9">
            <w:pPr>
              <w:pStyle w:val="TableText"/>
              <w:rPr>
                <w:lang w:val="en-AU"/>
              </w:rPr>
            </w:pPr>
            <w:r w:rsidRPr="00664E64">
              <w:rPr>
                <w:lang w:val="en-AU"/>
              </w:rPr>
              <w:t xml:space="preserve">TV events/shows (198) </w:t>
            </w:r>
          </w:p>
        </w:tc>
        <w:tc>
          <w:tcPr>
            <w:tcW w:w="3485" w:type="dxa"/>
            <w:noWrap/>
          </w:tcPr>
          <w:p w14:paraId="21247117" w14:textId="65536420" w:rsidR="00D161F4" w:rsidRPr="00664E64" w:rsidRDefault="00D161F4" w:rsidP="00A55CD9">
            <w:pPr>
              <w:pStyle w:val="TableTextCentre"/>
              <w:rPr>
                <w:lang w:val="en-AU"/>
              </w:rPr>
            </w:pPr>
            <w:r w:rsidRPr="00664E64">
              <w:rPr>
                <w:lang w:val="en-AU"/>
              </w:rPr>
              <w:t>$71.5 (1</w:t>
            </w:r>
            <w:r w:rsidR="001F5C06" w:rsidRPr="00664E64">
              <w:rPr>
                <w:lang w:val="en-AU"/>
              </w:rPr>
              <w:t>–</w:t>
            </w:r>
            <w:r w:rsidRPr="00664E64">
              <w:rPr>
                <w:lang w:val="en-AU"/>
              </w:rPr>
              <w:t>1000)</w:t>
            </w:r>
          </w:p>
        </w:tc>
        <w:tc>
          <w:tcPr>
            <w:tcW w:w="2075" w:type="dxa"/>
          </w:tcPr>
          <w:p w14:paraId="0E13456B" w14:textId="77777777" w:rsidR="00D161F4" w:rsidRPr="00664E64" w:rsidRDefault="00D161F4" w:rsidP="00A55CD9">
            <w:pPr>
              <w:pStyle w:val="TableTextCentre"/>
              <w:rPr>
                <w:lang w:val="en-AU"/>
              </w:rPr>
            </w:pPr>
            <w:r w:rsidRPr="00664E64">
              <w:rPr>
                <w:lang w:val="en-AU"/>
              </w:rPr>
              <w:t xml:space="preserve">20, 5 </w:t>
            </w:r>
          </w:p>
        </w:tc>
      </w:tr>
      <w:tr w:rsidR="00D161F4" w:rsidRPr="00664E64" w14:paraId="434D40FE" w14:textId="77777777" w:rsidTr="00454A33">
        <w:trPr>
          <w:trHeight w:val="366"/>
        </w:trPr>
        <w:tc>
          <w:tcPr>
            <w:tcW w:w="2835" w:type="dxa"/>
          </w:tcPr>
          <w:p w14:paraId="79904BFE" w14:textId="77777777" w:rsidR="00D161F4" w:rsidRPr="00664E64" w:rsidRDefault="00D161F4" w:rsidP="00A55CD9">
            <w:pPr>
              <w:pStyle w:val="TableText"/>
              <w:rPr>
                <w:lang w:val="en-AU"/>
              </w:rPr>
            </w:pPr>
            <w:r w:rsidRPr="00664E64">
              <w:rPr>
                <w:lang w:val="en-AU"/>
              </w:rPr>
              <w:t>eSports (130)</w:t>
            </w:r>
          </w:p>
        </w:tc>
        <w:tc>
          <w:tcPr>
            <w:tcW w:w="3485" w:type="dxa"/>
            <w:noWrap/>
          </w:tcPr>
          <w:p w14:paraId="2FC0540C" w14:textId="4B34FAD0" w:rsidR="00D161F4" w:rsidRPr="00664E64" w:rsidRDefault="00D161F4" w:rsidP="00A55CD9">
            <w:pPr>
              <w:pStyle w:val="TableTextCentre"/>
              <w:rPr>
                <w:lang w:val="en-AU"/>
              </w:rPr>
            </w:pPr>
            <w:r w:rsidRPr="00664E64">
              <w:rPr>
                <w:lang w:val="en-AU"/>
              </w:rPr>
              <w:t>$67.8 (1</w:t>
            </w:r>
            <w:r w:rsidR="001F5C06" w:rsidRPr="00664E64">
              <w:rPr>
                <w:lang w:val="en-AU"/>
              </w:rPr>
              <w:t>–</w:t>
            </w:r>
            <w:r w:rsidRPr="00664E64">
              <w:rPr>
                <w:lang w:val="en-AU"/>
              </w:rPr>
              <w:t>1000)</w:t>
            </w:r>
          </w:p>
        </w:tc>
        <w:tc>
          <w:tcPr>
            <w:tcW w:w="2075" w:type="dxa"/>
          </w:tcPr>
          <w:p w14:paraId="0065251C" w14:textId="77777777" w:rsidR="00D161F4" w:rsidRPr="00664E64" w:rsidRDefault="00D161F4" w:rsidP="00A55CD9">
            <w:pPr>
              <w:pStyle w:val="TableTextCentre"/>
              <w:rPr>
                <w:lang w:val="en-AU"/>
              </w:rPr>
            </w:pPr>
            <w:r w:rsidRPr="00664E64">
              <w:rPr>
                <w:lang w:val="en-AU"/>
              </w:rPr>
              <w:t>20, 10</w:t>
            </w:r>
          </w:p>
        </w:tc>
      </w:tr>
      <w:tr w:rsidR="00D161F4" w:rsidRPr="00664E64" w14:paraId="21511F97" w14:textId="77777777" w:rsidTr="00454A33">
        <w:trPr>
          <w:trHeight w:val="366"/>
        </w:trPr>
        <w:tc>
          <w:tcPr>
            <w:tcW w:w="2835" w:type="dxa"/>
            <w:hideMark/>
          </w:tcPr>
          <w:p w14:paraId="05C3355B" w14:textId="2DEAE416" w:rsidR="00D161F4" w:rsidRPr="00664E64" w:rsidRDefault="00D161F4" w:rsidP="00A55CD9">
            <w:pPr>
              <w:pStyle w:val="TableText"/>
              <w:rPr>
                <w:lang w:val="en-AU"/>
              </w:rPr>
            </w:pPr>
            <w:r w:rsidRPr="00664E64">
              <w:rPr>
                <w:lang w:val="en-AU"/>
              </w:rPr>
              <w:t>Harness racing (1</w:t>
            </w:r>
            <w:r w:rsidR="001F5C06" w:rsidRPr="00664E64">
              <w:rPr>
                <w:lang w:val="en-AU"/>
              </w:rPr>
              <w:t>,</w:t>
            </w:r>
            <w:r w:rsidRPr="00664E64">
              <w:rPr>
                <w:lang w:val="en-AU"/>
              </w:rPr>
              <w:t>127)</w:t>
            </w:r>
          </w:p>
        </w:tc>
        <w:tc>
          <w:tcPr>
            <w:tcW w:w="3485" w:type="dxa"/>
            <w:noWrap/>
          </w:tcPr>
          <w:p w14:paraId="2CE2A732" w14:textId="4A86D993" w:rsidR="00D161F4" w:rsidRPr="00664E64" w:rsidRDefault="00D161F4" w:rsidP="00A55CD9">
            <w:pPr>
              <w:pStyle w:val="TableTextCentre"/>
              <w:rPr>
                <w:lang w:val="en-AU"/>
              </w:rPr>
            </w:pPr>
            <w:r w:rsidRPr="00664E64">
              <w:rPr>
                <w:lang w:val="en-AU"/>
              </w:rPr>
              <w:t>$46.9 (1</w:t>
            </w:r>
            <w:r w:rsidR="001F5C06" w:rsidRPr="00664E64">
              <w:rPr>
                <w:lang w:val="en-AU"/>
              </w:rPr>
              <w:t>–</w:t>
            </w:r>
            <w:r w:rsidRPr="00664E64">
              <w:rPr>
                <w:lang w:val="en-AU"/>
              </w:rPr>
              <w:t>1000)</w:t>
            </w:r>
          </w:p>
        </w:tc>
        <w:tc>
          <w:tcPr>
            <w:tcW w:w="2075" w:type="dxa"/>
          </w:tcPr>
          <w:p w14:paraId="0E34F96A" w14:textId="77777777" w:rsidR="00D161F4" w:rsidRPr="00664E64" w:rsidRDefault="00D161F4" w:rsidP="00A55CD9">
            <w:pPr>
              <w:pStyle w:val="TableTextCentre"/>
              <w:rPr>
                <w:lang w:val="en-AU"/>
              </w:rPr>
            </w:pPr>
            <w:r w:rsidRPr="00664E64">
              <w:rPr>
                <w:lang w:val="en-AU"/>
              </w:rPr>
              <w:t>20, 10</w:t>
            </w:r>
          </w:p>
        </w:tc>
      </w:tr>
      <w:tr w:rsidR="00D161F4" w:rsidRPr="00664E64" w14:paraId="0B3104E9" w14:textId="77777777" w:rsidTr="00454A33">
        <w:trPr>
          <w:trHeight w:val="366"/>
        </w:trPr>
        <w:tc>
          <w:tcPr>
            <w:tcW w:w="2835" w:type="dxa"/>
            <w:hideMark/>
          </w:tcPr>
          <w:p w14:paraId="4035B3A8" w14:textId="273CFAF3" w:rsidR="00D161F4" w:rsidRPr="00664E64" w:rsidRDefault="00D161F4" w:rsidP="00A55CD9">
            <w:pPr>
              <w:pStyle w:val="TableText"/>
              <w:rPr>
                <w:lang w:val="en-AU"/>
              </w:rPr>
            </w:pPr>
            <w:r w:rsidRPr="00664E64">
              <w:rPr>
                <w:lang w:val="en-AU"/>
              </w:rPr>
              <w:t>Greyhound racing (1</w:t>
            </w:r>
            <w:r w:rsidR="001F5C06" w:rsidRPr="00664E64">
              <w:rPr>
                <w:lang w:val="en-AU"/>
              </w:rPr>
              <w:t>,</w:t>
            </w:r>
            <w:r w:rsidRPr="00664E64">
              <w:rPr>
                <w:lang w:val="en-AU"/>
              </w:rPr>
              <w:t>600)</w:t>
            </w:r>
          </w:p>
        </w:tc>
        <w:tc>
          <w:tcPr>
            <w:tcW w:w="3485" w:type="dxa"/>
            <w:noWrap/>
          </w:tcPr>
          <w:p w14:paraId="6739F8AA" w14:textId="3255B857" w:rsidR="00D161F4" w:rsidRPr="00664E64" w:rsidRDefault="00D161F4" w:rsidP="00A55CD9">
            <w:pPr>
              <w:pStyle w:val="TableTextCentre"/>
              <w:rPr>
                <w:lang w:val="en-AU"/>
              </w:rPr>
            </w:pPr>
            <w:r w:rsidRPr="00664E64">
              <w:rPr>
                <w:lang w:val="en-AU"/>
              </w:rPr>
              <w:t>$51.9 (1</w:t>
            </w:r>
            <w:r w:rsidR="001F5C06" w:rsidRPr="00664E64">
              <w:rPr>
                <w:lang w:val="en-AU"/>
              </w:rPr>
              <w:t>–</w:t>
            </w:r>
            <w:r w:rsidRPr="00664E64">
              <w:rPr>
                <w:lang w:val="en-AU"/>
              </w:rPr>
              <w:t>1000)</w:t>
            </w:r>
          </w:p>
        </w:tc>
        <w:tc>
          <w:tcPr>
            <w:tcW w:w="2075" w:type="dxa"/>
          </w:tcPr>
          <w:p w14:paraId="36057A49" w14:textId="77777777" w:rsidR="00D161F4" w:rsidRPr="00664E64" w:rsidRDefault="00D161F4" w:rsidP="00A55CD9">
            <w:pPr>
              <w:pStyle w:val="TableTextCentre"/>
              <w:rPr>
                <w:lang w:val="en-AU"/>
              </w:rPr>
            </w:pPr>
            <w:r w:rsidRPr="00664E64">
              <w:rPr>
                <w:lang w:val="en-AU"/>
              </w:rPr>
              <w:t xml:space="preserve">20, 10 </w:t>
            </w:r>
          </w:p>
        </w:tc>
      </w:tr>
      <w:tr w:rsidR="00D161F4" w:rsidRPr="00664E64" w14:paraId="44AE2750" w14:textId="77777777" w:rsidTr="00454A33">
        <w:trPr>
          <w:trHeight w:val="366"/>
        </w:trPr>
        <w:tc>
          <w:tcPr>
            <w:tcW w:w="2835" w:type="dxa"/>
            <w:hideMark/>
          </w:tcPr>
          <w:p w14:paraId="72960F92" w14:textId="77777777" w:rsidR="00D161F4" w:rsidRPr="00664E64" w:rsidRDefault="00D161F4" w:rsidP="00A55CD9">
            <w:pPr>
              <w:pStyle w:val="TableText"/>
              <w:rPr>
                <w:lang w:val="en-AU"/>
              </w:rPr>
            </w:pPr>
            <w:r w:rsidRPr="00664E64">
              <w:rPr>
                <w:lang w:val="en-AU"/>
              </w:rPr>
              <w:t xml:space="preserve">Fantasy sports (188) </w:t>
            </w:r>
          </w:p>
        </w:tc>
        <w:tc>
          <w:tcPr>
            <w:tcW w:w="3485" w:type="dxa"/>
            <w:noWrap/>
          </w:tcPr>
          <w:p w14:paraId="01E04556" w14:textId="1D8DB694" w:rsidR="00D161F4" w:rsidRPr="00664E64" w:rsidRDefault="00D161F4" w:rsidP="00A55CD9">
            <w:pPr>
              <w:pStyle w:val="TableTextCentre"/>
              <w:rPr>
                <w:lang w:val="en-AU"/>
              </w:rPr>
            </w:pPr>
            <w:r w:rsidRPr="00664E64">
              <w:rPr>
                <w:lang w:val="en-AU"/>
              </w:rPr>
              <w:t>$37.7 (1</w:t>
            </w:r>
            <w:r w:rsidR="001F5C06" w:rsidRPr="00664E64">
              <w:rPr>
                <w:lang w:val="en-AU"/>
              </w:rPr>
              <w:t>–</w:t>
            </w:r>
            <w:r w:rsidRPr="00664E64">
              <w:rPr>
                <w:lang w:val="en-AU"/>
              </w:rPr>
              <w:t>1000)</w:t>
            </w:r>
          </w:p>
        </w:tc>
        <w:tc>
          <w:tcPr>
            <w:tcW w:w="2075" w:type="dxa"/>
          </w:tcPr>
          <w:p w14:paraId="13D099EF" w14:textId="77777777" w:rsidR="00D161F4" w:rsidRPr="00664E64" w:rsidRDefault="00D161F4" w:rsidP="00A55CD9">
            <w:pPr>
              <w:pStyle w:val="TableTextCentre"/>
              <w:rPr>
                <w:lang w:val="en-AU"/>
              </w:rPr>
            </w:pPr>
            <w:r w:rsidRPr="00664E64">
              <w:rPr>
                <w:lang w:val="en-AU"/>
              </w:rPr>
              <w:t xml:space="preserve">15, 10 </w:t>
            </w:r>
          </w:p>
        </w:tc>
      </w:tr>
    </w:tbl>
    <w:p w14:paraId="4B988E2B" w14:textId="2D92D6FD" w:rsidR="00523E94" w:rsidRPr="00511782" w:rsidRDefault="00523E94" w:rsidP="00511782">
      <w:pPr>
        <w:pBdr>
          <w:bottom w:val="single" w:sz="4" w:space="1" w:color="auto"/>
        </w:pBdr>
        <w:rPr>
          <w:rFonts w:ascii="Arial" w:hAnsi="Arial" w:cs="Arial"/>
          <w:sz w:val="18"/>
          <w:szCs w:val="18"/>
        </w:rPr>
      </w:pPr>
      <w:bookmarkStart w:id="49" w:name="_Toc12022552"/>
      <w:r w:rsidRPr="00511782">
        <w:rPr>
          <w:rFonts w:ascii="Arial" w:hAnsi="Arial" w:cs="Arial"/>
          <w:sz w:val="18"/>
          <w:szCs w:val="18"/>
        </w:rPr>
        <w:t>Note: Average calculated for respondents taking part in individual activities and reporting valid expenditures.</w:t>
      </w:r>
    </w:p>
    <w:p w14:paraId="2E0495AC" w14:textId="3D5D9E8E" w:rsidR="00EE17CA" w:rsidRPr="0036418A" w:rsidRDefault="00EE17CA" w:rsidP="00133A81">
      <w:pPr>
        <w:pStyle w:val="Heading2"/>
        <w:rPr>
          <w:color w:val="auto"/>
        </w:rPr>
      </w:pPr>
      <w:r w:rsidRPr="0036418A">
        <w:rPr>
          <w:color w:val="auto"/>
        </w:rPr>
        <w:t>Online wagering participation</w:t>
      </w:r>
      <w:bookmarkEnd w:id="49"/>
    </w:p>
    <w:p w14:paraId="0A41138B" w14:textId="700AA9B6" w:rsidR="00EE17CA" w:rsidRPr="0036418A" w:rsidRDefault="00EE17CA" w:rsidP="00A55CD9">
      <w:pPr>
        <w:pStyle w:val="BodyText"/>
        <w:rPr>
          <w:color w:val="auto"/>
        </w:rPr>
      </w:pPr>
      <w:r w:rsidRPr="0036418A">
        <w:rPr>
          <w:color w:val="auto"/>
        </w:rPr>
        <w:t xml:space="preserve">To improve understanding of how participants might be </w:t>
      </w:r>
      <w:r w:rsidR="001F5C06" w:rsidRPr="0036418A">
        <w:rPr>
          <w:color w:val="auto"/>
        </w:rPr>
        <w:t xml:space="preserve">affected </w:t>
      </w:r>
      <w:r w:rsidRPr="0036418A">
        <w:rPr>
          <w:color w:val="auto"/>
        </w:rPr>
        <w:t xml:space="preserve">by the National </w:t>
      </w:r>
      <w:r w:rsidR="00014A0D" w:rsidRPr="0036418A">
        <w:rPr>
          <w:color w:val="auto"/>
        </w:rPr>
        <w:t>Framework</w:t>
      </w:r>
      <w:r w:rsidRPr="0036418A">
        <w:rPr>
          <w:color w:val="auto"/>
        </w:rPr>
        <w:t xml:space="preserve"> for online wagering they were asked a range of questions related to their wagering specifically via online or interactive modes (including via telephone call).</w:t>
      </w:r>
    </w:p>
    <w:p w14:paraId="00EEC11A" w14:textId="40EB9021" w:rsidR="00EE17CA" w:rsidRPr="0036418A" w:rsidRDefault="00EE17CA" w:rsidP="00A55CD9">
      <w:pPr>
        <w:pStyle w:val="Heading3"/>
        <w:rPr>
          <w:color w:val="auto"/>
        </w:rPr>
      </w:pPr>
      <w:r w:rsidRPr="0036418A">
        <w:rPr>
          <w:color w:val="auto"/>
        </w:rPr>
        <w:t>Proportion of bets placed online</w:t>
      </w:r>
    </w:p>
    <w:p w14:paraId="0F90E667" w14:textId="3FBB7CB1" w:rsidR="00CF55E8" w:rsidRPr="00664E64" w:rsidRDefault="00EE17CA" w:rsidP="00DF2954">
      <w:pPr>
        <w:spacing w:before="120" w:after="100" w:afterAutospacing="1" w:line="280" w:lineRule="atLeast"/>
        <w:jc w:val="both"/>
        <w:rPr>
          <w:rFonts w:ascii="Arial" w:hAnsi="Arial" w:cs="Arial"/>
          <w:color w:val="000000" w:themeColor="text1"/>
          <w:sz w:val="20"/>
          <w:szCs w:val="20"/>
        </w:rPr>
      </w:pPr>
      <w:r w:rsidRPr="00664E64">
        <w:rPr>
          <w:rFonts w:ascii="Arial" w:hAnsi="Arial" w:cs="Arial"/>
          <w:color w:val="000000" w:themeColor="text1"/>
          <w:sz w:val="20"/>
          <w:szCs w:val="20"/>
        </w:rPr>
        <w:t xml:space="preserve">On average, the survey respondents reported placing around 87% of their bets online during the last 12 months, with 2% placed </w:t>
      </w:r>
      <w:r w:rsidR="00357014" w:rsidRPr="00664E64">
        <w:rPr>
          <w:rFonts w:ascii="Arial" w:hAnsi="Arial" w:cs="Arial"/>
          <w:color w:val="000000" w:themeColor="text1"/>
          <w:sz w:val="20"/>
          <w:szCs w:val="20"/>
        </w:rPr>
        <w:t>via telephone</w:t>
      </w:r>
      <w:r w:rsidR="006C6F6B" w:rsidRPr="00664E64">
        <w:rPr>
          <w:rFonts w:ascii="Arial" w:hAnsi="Arial" w:cs="Arial"/>
          <w:color w:val="000000" w:themeColor="text1"/>
          <w:sz w:val="20"/>
          <w:szCs w:val="20"/>
        </w:rPr>
        <w:t xml:space="preserve"> call</w:t>
      </w:r>
      <w:r w:rsidR="00357014" w:rsidRPr="00664E64">
        <w:rPr>
          <w:rFonts w:ascii="Arial" w:hAnsi="Arial" w:cs="Arial"/>
          <w:color w:val="000000" w:themeColor="text1"/>
          <w:sz w:val="20"/>
          <w:szCs w:val="20"/>
        </w:rPr>
        <w:t xml:space="preserve"> </w:t>
      </w:r>
      <w:r w:rsidRPr="00664E64">
        <w:rPr>
          <w:rFonts w:ascii="Arial" w:hAnsi="Arial" w:cs="Arial"/>
          <w:color w:val="000000" w:themeColor="text1"/>
          <w:sz w:val="20"/>
          <w:szCs w:val="20"/>
        </w:rPr>
        <w:t>(Table 5.12).</w:t>
      </w:r>
    </w:p>
    <w:p w14:paraId="75709274" w14:textId="3C7F5BEF" w:rsidR="001F5C06" w:rsidRPr="00664E64" w:rsidRDefault="00AB0143" w:rsidP="00DF2954">
      <w:pPr>
        <w:spacing w:before="120" w:after="100" w:afterAutospacing="1" w:line="280" w:lineRule="atLeast"/>
        <w:jc w:val="both"/>
        <w:rPr>
          <w:rFonts w:ascii="Arial" w:hAnsi="Arial" w:cs="Arial"/>
          <w:color w:val="000000"/>
          <w:sz w:val="20"/>
          <w:szCs w:val="20"/>
        </w:rPr>
      </w:pPr>
      <w:r w:rsidRPr="00664E64">
        <w:rPr>
          <w:rFonts w:ascii="Arial" w:hAnsi="Arial" w:cs="Arial"/>
          <w:color w:val="000000"/>
          <w:sz w:val="20"/>
          <w:szCs w:val="20"/>
        </w:rPr>
        <w:t xml:space="preserve">It is important to note that although in Table 5.12 ‘online’ refers to only using </w:t>
      </w:r>
      <w:r w:rsidR="001F5C06" w:rsidRPr="00664E64">
        <w:rPr>
          <w:rFonts w:ascii="Arial" w:hAnsi="Arial" w:cs="Arial"/>
          <w:color w:val="000000"/>
          <w:sz w:val="20"/>
          <w:szCs w:val="20"/>
        </w:rPr>
        <w:t xml:space="preserve">the </w:t>
      </w:r>
      <w:r w:rsidR="00CF55E8">
        <w:rPr>
          <w:rFonts w:ascii="Arial" w:hAnsi="Arial" w:cs="Arial"/>
          <w:color w:val="000000"/>
          <w:sz w:val="20"/>
          <w:szCs w:val="20"/>
        </w:rPr>
        <w:t>I</w:t>
      </w:r>
      <w:r w:rsidRPr="00664E64">
        <w:rPr>
          <w:rFonts w:ascii="Arial" w:hAnsi="Arial" w:cs="Arial"/>
          <w:color w:val="000000"/>
          <w:sz w:val="20"/>
          <w:szCs w:val="20"/>
        </w:rPr>
        <w:t>nternet</w:t>
      </w:r>
      <w:r w:rsidR="00CF55E8">
        <w:rPr>
          <w:rFonts w:ascii="Arial" w:hAnsi="Arial" w:cs="Arial"/>
          <w:color w:val="000000"/>
          <w:sz w:val="20"/>
          <w:szCs w:val="20"/>
        </w:rPr>
        <w:t xml:space="preserve"> (on multiple devices, such as </w:t>
      </w:r>
      <w:r w:rsidR="006D0E8E">
        <w:rPr>
          <w:rFonts w:ascii="Arial" w:hAnsi="Arial" w:cs="Arial"/>
          <w:color w:val="000000"/>
          <w:sz w:val="20"/>
          <w:szCs w:val="20"/>
        </w:rPr>
        <w:t xml:space="preserve">smartphones, </w:t>
      </w:r>
      <w:r w:rsidR="00CF55E8">
        <w:rPr>
          <w:rFonts w:ascii="Arial" w:hAnsi="Arial" w:cs="Arial"/>
          <w:color w:val="000000"/>
          <w:sz w:val="20"/>
          <w:szCs w:val="20"/>
        </w:rPr>
        <w:t>computers</w:t>
      </w:r>
      <w:r w:rsidR="006D0E8E">
        <w:rPr>
          <w:rFonts w:ascii="Arial" w:hAnsi="Arial" w:cs="Arial"/>
          <w:color w:val="000000"/>
          <w:sz w:val="20"/>
          <w:szCs w:val="20"/>
        </w:rPr>
        <w:t xml:space="preserve"> </w:t>
      </w:r>
      <w:r w:rsidR="00CF55E8">
        <w:rPr>
          <w:rFonts w:ascii="Arial" w:hAnsi="Arial" w:cs="Arial"/>
          <w:color w:val="000000"/>
          <w:sz w:val="20"/>
          <w:szCs w:val="20"/>
        </w:rPr>
        <w:t>and tablets)</w:t>
      </w:r>
      <w:r w:rsidRPr="00664E64">
        <w:rPr>
          <w:rFonts w:ascii="Arial" w:hAnsi="Arial" w:cs="Arial"/>
          <w:color w:val="000000"/>
          <w:sz w:val="20"/>
          <w:szCs w:val="20"/>
        </w:rPr>
        <w:t>, all subsequent references to ‘online’ in this report include telephone call</w:t>
      </w:r>
      <w:r w:rsidR="001F5C06" w:rsidRPr="00664E64">
        <w:rPr>
          <w:rFonts w:ascii="Arial" w:hAnsi="Arial" w:cs="Arial"/>
          <w:color w:val="000000"/>
          <w:sz w:val="20"/>
          <w:szCs w:val="20"/>
        </w:rPr>
        <w:t>s</w:t>
      </w:r>
      <w:r w:rsidRPr="00664E64">
        <w:rPr>
          <w:rFonts w:ascii="Arial" w:hAnsi="Arial" w:cs="Arial"/>
          <w:color w:val="000000"/>
          <w:sz w:val="20"/>
          <w:szCs w:val="20"/>
        </w:rPr>
        <w:t xml:space="preserve"> as well</w:t>
      </w:r>
      <w:r w:rsidR="006D0E8E">
        <w:rPr>
          <w:rFonts w:ascii="Arial" w:hAnsi="Arial" w:cs="Arial"/>
          <w:color w:val="000000"/>
          <w:sz w:val="20"/>
          <w:szCs w:val="20"/>
        </w:rPr>
        <w:t xml:space="preserve"> (as per the scope of the National Framework)</w:t>
      </w:r>
      <w:r w:rsidRPr="00664E64">
        <w:rPr>
          <w:rFonts w:ascii="Arial" w:hAnsi="Arial" w:cs="Arial"/>
          <w:color w:val="000000"/>
          <w:sz w:val="20"/>
          <w:szCs w:val="20"/>
        </w:rPr>
        <w:t xml:space="preserve">. There were 57 participants who reported not having used </w:t>
      </w:r>
      <w:r w:rsidR="001F5C06" w:rsidRPr="00664E64">
        <w:rPr>
          <w:rFonts w:ascii="Arial" w:hAnsi="Arial" w:cs="Arial"/>
          <w:color w:val="000000"/>
          <w:sz w:val="20"/>
          <w:szCs w:val="20"/>
        </w:rPr>
        <w:t>the i</w:t>
      </w:r>
      <w:r w:rsidRPr="00664E64">
        <w:rPr>
          <w:rFonts w:ascii="Arial" w:hAnsi="Arial" w:cs="Arial"/>
          <w:color w:val="000000"/>
          <w:sz w:val="20"/>
          <w:szCs w:val="20"/>
        </w:rPr>
        <w:t>nternet during the last 12 months, but all of them reported having used telephone calls to place bets. Therefore, all of the 5,076 participants are included in the online betting cohort for this study.</w:t>
      </w:r>
    </w:p>
    <w:p w14:paraId="44E2B097" w14:textId="77777777" w:rsidR="001F5C06" w:rsidRPr="00664E64" w:rsidRDefault="001F5C06">
      <w:pPr>
        <w:rPr>
          <w:rFonts w:cs="Arial"/>
          <w:color w:val="000000"/>
          <w:szCs w:val="20"/>
        </w:rPr>
      </w:pPr>
      <w:r w:rsidRPr="00664E64">
        <w:rPr>
          <w:rFonts w:cs="Arial"/>
          <w:color w:val="000000"/>
          <w:szCs w:val="20"/>
        </w:rPr>
        <w:br w:type="page"/>
      </w:r>
    </w:p>
    <w:p w14:paraId="12C671D1" w14:textId="4BFB829F" w:rsidR="00D161F4" w:rsidRPr="0036418A" w:rsidRDefault="00D161F4" w:rsidP="00415C73">
      <w:pPr>
        <w:pStyle w:val="FigureCaption"/>
        <w:rPr>
          <w:color w:val="auto"/>
          <w:lang w:val="en-AU"/>
        </w:rPr>
      </w:pPr>
      <w:bookmarkStart w:id="50" w:name="_Toc11864575"/>
      <w:bookmarkStart w:id="51" w:name="_Toc12549572"/>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12</w:t>
      </w:r>
      <w:r w:rsidR="00777624" w:rsidRPr="0036418A">
        <w:rPr>
          <w:noProof/>
          <w:color w:val="auto"/>
          <w:lang w:val="en-AU"/>
        </w:rPr>
        <w:fldChar w:fldCharType="end"/>
      </w:r>
      <w:r w:rsidR="001F5C06" w:rsidRPr="0036418A">
        <w:rPr>
          <w:color w:val="auto"/>
          <w:lang w:val="en-AU"/>
        </w:rPr>
        <w:t>:</w:t>
      </w:r>
      <w:r w:rsidRPr="0036418A">
        <w:rPr>
          <w:color w:val="auto"/>
          <w:lang w:val="en-AU"/>
        </w:rPr>
        <w:t xml:space="preserve"> Average proportion </w:t>
      </w:r>
      <w:r w:rsidR="00EE17CA" w:rsidRPr="0036418A">
        <w:rPr>
          <w:color w:val="auto"/>
          <w:lang w:val="en-AU"/>
        </w:rPr>
        <w:t>of bets</w:t>
      </w:r>
      <w:r w:rsidRPr="0036418A">
        <w:rPr>
          <w:color w:val="auto"/>
          <w:lang w:val="en-AU"/>
        </w:rPr>
        <w:t xml:space="preserve"> placed using different methods in the past 12 months (N</w:t>
      </w:r>
      <w:r w:rsidR="001F5C06" w:rsidRPr="0036418A">
        <w:rPr>
          <w:color w:val="auto"/>
          <w:lang w:val="en-AU"/>
        </w:rPr>
        <w:t xml:space="preserve"> </w:t>
      </w:r>
      <w:r w:rsidRPr="0036418A">
        <w:rPr>
          <w:color w:val="auto"/>
          <w:lang w:val="en-AU"/>
        </w:rPr>
        <w:t>=</w:t>
      </w:r>
      <w:r w:rsidR="001F5C06" w:rsidRPr="0036418A">
        <w:rPr>
          <w:color w:val="auto"/>
          <w:lang w:val="en-AU"/>
        </w:rPr>
        <w:t xml:space="preserve"> </w:t>
      </w:r>
      <w:r w:rsidRPr="0036418A">
        <w:rPr>
          <w:color w:val="auto"/>
          <w:lang w:val="en-AU"/>
        </w:rPr>
        <w:t>5,076)</w:t>
      </w:r>
      <w:bookmarkEnd w:id="50"/>
      <w:bookmarkEnd w:id="51"/>
    </w:p>
    <w:tbl>
      <w:tblPr>
        <w:tblStyle w:val="TableGrid"/>
        <w:tblW w:w="5000" w:type="pct"/>
        <w:tblLook w:val="04A0" w:firstRow="1" w:lastRow="0" w:firstColumn="1" w:lastColumn="0" w:noHBand="0" w:noVBand="1"/>
        <w:tblCaption w:val="Average proportion of bets placed using different methods over 12 months"/>
        <w:tblDescription w:val="For participants, just over 5000 of them had placed bets using the internet , where on 500 had made a phone call."/>
      </w:tblPr>
      <w:tblGrid>
        <w:gridCol w:w="2702"/>
        <w:gridCol w:w="1700"/>
        <w:gridCol w:w="4097"/>
      </w:tblGrid>
      <w:tr w:rsidR="00D161F4" w:rsidRPr="00664E64" w14:paraId="734EE16F" w14:textId="77777777" w:rsidTr="003E49EB">
        <w:trPr>
          <w:cnfStyle w:val="100000000000" w:firstRow="1" w:lastRow="0" w:firstColumn="0" w:lastColumn="0" w:oddVBand="0" w:evenVBand="0" w:oddHBand="0" w:evenHBand="0" w:firstRowFirstColumn="0" w:firstRowLastColumn="0" w:lastRowFirstColumn="0" w:lastRowLastColumn="0"/>
          <w:trHeight w:val="572"/>
          <w:tblHeader/>
        </w:trPr>
        <w:tc>
          <w:tcPr>
            <w:tcW w:w="1590" w:type="pct"/>
            <w:hideMark/>
          </w:tcPr>
          <w:p w14:paraId="62091313" w14:textId="77777777" w:rsidR="00D161F4" w:rsidRPr="00664E64" w:rsidRDefault="00D161F4" w:rsidP="00A55CD9">
            <w:pPr>
              <w:pStyle w:val="TableColHeadLeft"/>
              <w:rPr>
                <w:lang w:val="en-AU"/>
              </w:rPr>
            </w:pPr>
            <w:r w:rsidRPr="00664E64">
              <w:rPr>
                <w:lang w:val="en-AU"/>
              </w:rPr>
              <w:t>Method</w:t>
            </w:r>
          </w:p>
        </w:tc>
        <w:tc>
          <w:tcPr>
            <w:tcW w:w="1000" w:type="pct"/>
          </w:tcPr>
          <w:p w14:paraId="112DA9EE" w14:textId="77777777" w:rsidR="00D161F4" w:rsidRPr="00664E64" w:rsidRDefault="00D161F4" w:rsidP="00A55CD9">
            <w:pPr>
              <w:pStyle w:val="TableColHeadCentre"/>
              <w:rPr>
                <w:lang w:val="en-AU"/>
              </w:rPr>
            </w:pPr>
            <w:r w:rsidRPr="00664E64">
              <w:rPr>
                <w:i/>
                <w:lang w:val="en-AU"/>
              </w:rPr>
              <w:t xml:space="preserve">N </w:t>
            </w:r>
            <w:r w:rsidRPr="00664E64">
              <w:rPr>
                <w:lang w:val="en-AU"/>
              </w:rPr>
              <w:t>of participants*</w:t>
            </w:r>
          </w:p>
        </w:tc>
        <w:tc>
          <w:tcPr>
            <w:tcW w:w="2410" w:type="pct"/>
            <w:hideMark/>
          </w:tcPr>
          <w:p w14:paraId="1FDCC3C3" w14:textId="0E263631" w:rsidR="00D161F4" w:rsidRPr="00664E64" w:rsidRDefault="00D161F4" w:rsidP="00A55CD9">
            <w:pPr>
              <w:pStyle w:val="TableColHeadCentre"/>
              <w:rPr>
                <w:lang w:val="en-AU"/>
              </w:rPr>
            </w:pPr>
            <w:r w:rsidRPr="00664E64">
              <w:rPr>
                <w:lang w:val="en-AU"/>
              </w:rPr>
              <w:t xml:space="preserve">Average % of </w:t>
            </w:r>
            <w:r w:rsidR="00EE17CA" w:rsidRPr="00664E64">
              <w:rPr>
                <w:lang w:val="en-AU"/>
              </w:rPr>
              <w:t>bets placed</w:t>
            </w:r>
            <w:r w:rsidRPr="00664E64">
              <w:rPr>
                <w:vertAlign w:val="superscript"/>
                <w:lang w:val="en-AU"/>
              </w:rPr>
              <w:t>#</w:t>
            </w:r>
          </w:p>
        </w:tc>
      </w:tr>
      <w:tr w:rsidR="00D161F4" w:rsidRPr="00664E64" w14:paraId="07698D51" w14:textId="77777777" w:rsidTr="00AB0143">
        <w:trPr>
          <w:trHeight w:val="338"/>
        </w:trPr>
        <w:tc>
          <w:tcPr>
            <w:tcW w:w="1590" w:type="pct"/>
            <w:hideMark/>
          </w:tcPr>
          <w:p w14:paraId="342B581C" w14:textId="280F9021" w:rsidR="00D161F4" w:rsidRPr="00664E64" w:rsidRDefault="00D161F4" w:rsidP="00A55CD9">
            <w:pPr>
              <w:pStyle w:val="TableText"/>
              <w:rPr>
                <w:lang w:val="en-AU"/>
              </w:rPr>
            </w:pPr>
            <w:r w:rsidRPr="00664E64">
              <w:rPr>
                <w:lang w:val="en-AU"/>
              </w:rPr>
              <w:t xml:space="preserve">Online (using </w:t>
            </w:r>
            <w:r w:rsidR="001F5C06" w:rsidRPr="00664E64">
              <w:rPr>
                <w:lang w:val="en-AU"/>
              </w:rPr>
              <w:t>i</w:t>
            </w:r>
            <w:r w:rsidRPr="00664E64">
              <w:rPr>
                <w:lang w:val="en-AU"/>
              </w:rPr>
              <w:t>nternet)</w:t>
            </w:r>
          </w:p>
        </w:tc>
        <w:tc>
          <w:tcPr>
            <w:tcW w:w="1000" w:type="pct"/>
          </w:tcPr>
          <w:p w14:paraId="7DDFFC84" w14:textId="6F4AB588" w:rsidR="00D161F4" w:rsidRPr="00664E64" w:rsidRDefault="00D161F4" w:rsidP="00A55CD9">
            <w:pPr>
              <w:pStyle w:val="TableTextCentre"/>
              <w:rPr>
                <w:lang w:val="en-AU"/>
              </w:rPr>
            </w:pPr>
            <w:r w:rsidRPr="00664E64">
              <w:rPr>
                <w:lang w:val="en-AU"/>
              </w:rPr>
              <w:t>5</w:t>
            </w:r>
            <w:r w:rsidR="001F5C06" w:rsidRPr="00664E64">
              <w:rPr>
                <w:lang w:val="en-AU"/>
              </w:rPr>
              <w:t>,</w:t>
            </w:r>
            <w:r w:rsidRPr="00664E64">
              <w:rPr>
                <w:lang w:val="en-AU"/>
              </w:rPr>
              <w:t>019</w:t>
            </w:r>
          </w:p>
        </w:tc>
        <w:tc>
          <w:tcPr>
            <w:tcW w:w="2410" w:type="pct"/>
            <w:noWrap/>
          </w:tcPr>
          <w:p w14:paraId="14E745B2" w14:textId="1435CEC9" w:rsidR="00D161F4" w:rsidRPr="00664E64" w:rsidRDefault="00D161F4" w:rsidP="00A55CD9">
            <w:pPr>
              <w:pStyle w:val="TableTextCentre"/>
              <w:rPr>
                <w:lang w:val="en-AU"/>
              </w:rPr>
            </w:pPr>
            <w:r w:rsidRPr="00664E64">
              <w:rPr>
                <w:lang w:val="en-AU"/>
              </w:rPr>
              <w:t>87</w:t>
            </w:r>
            <w:r w:rsidR="001F5C06" w:rsidRPr="00664E64">
              <w:rPr>
                <w:lang w:val="en-AU"/>
              </w:rPr>
              <w:t>.0</w:t>
            </w:r>
          </w:p>
        </w:tc>
      </w:tr>
      <w:tr w:rsidR="00D161F4" w:rsidRPr="00664E64" w14:paraId="6CAE5BB3" w14:textId="77777777" w:rsidTr="00AB0143">
        <w:trPr>
          <w:trHeight w:val="338"/>
        </w:trPr>
        <w:tc>
          <w:tcPr>
            <w:tcW w:w="1590" w:type="pct"/>
            <w:hideMark/>
          </w:tcPr>
          <w:p w14:paraId="775F131F" w14:textId="77777777" w:rsidR="00D161F4" w:rsidRPr="00664E64" w:rsidRDefault="00D161F4" w:rsidP="00A55CD9">
            <w:pPr>
              <w:pStyle w:val="TableText"/>
              <w:rPr>
                <w:lang w:val="en-AU"/>
              </w:rPr>
            </w:pPr>
            <w:r w:rsidRPr="00664E64">
              <w:rPr>
                <w:lang w:val="en-AU"/>
              </w:rPr>
              <w:t>Telephone call</w:t>
            </w:r>
          </w:p>
        </w:tc>
        <w:tc>
          <w:tcPr>
            <w:tcW w:w="1000" w:type="pct"/>
          </w:tcPr>
          <w:p w14:paraId="156D7D08" w14:textId="77777777" w:rsidR="00D161F4" w:rsidRPr="00664E64" w:rsidRDefault="00D161F4" w:rsidP="00A55CD9">
            <w:pPr>
              <w:pStyle w:val="TableTextCentre"/>
              <w:rPr>
                <w:lang w:val="en-AU"/>
              </w:rPr>
            </w:pPr>
            <w:r w:rsidRPr="00664E64">
              <w:rPr>
                <w:lang w:val="en-AU"/>
              </w:rPr>
              <w:t>504</w:t>
            </w:r>
          </w:p>
        </w:tc>
        <w:tc>
          <w:tcPr>
            <w:tcW w:w="2410" w:type="pct"/>
            <w:noWrap/>
          </w:tcPr>
          <w:p w14:paraId="24625D9F" w14:textId="063AD39D" w:rsidR="00D161F4" w:rsidRPr="00664E64" w:rsidRDefault="00D161F4" w:rsidP="00A55CD9">
            <w:pPr>
              <w:pStyle w:val="TableTextCentre"/>
              <w:rPr>
                <w:lang w:val="en-AU"/>
              </w:rPr>
            </w:pPr>
            <w:r w:rsidRPr="00664E64">
              <w:rPr>
                <w:lang w:val="en-AU"/>
              </w:rPr>
              <w:t>2</w:t>
            </w:r>
            <w:r w:rsidR="001F5C06" w:rsidRPr="00664E64">
              <w:rPr>
                <w:lang w:val="en-AU"/>
              </w:rPr>
              <w:t>.0</w:t>
            </w:r>
          </w:p>
        </w:tc>
      </w:tr>
      <w:tr w:rsidR="00D161F4" w:rsidRPr="00664E64" w14:paraId="3F765CB7" w14:textId="77777777" w:rsidTr="00AB0143">
        <w:trPr>
          <w:trHeight w:val="346"/>
        </w:trPr>
        <w:tc>
          <w:tcPr>
            <w:tcW w:w="1590" w:type="pct"/>
            <w:hideMark/>
          </w:tcPr>
          <w:p w14:paraId="7800D20B" w14:textId="77777777" w:rsidR="00D161F4" w:rsidRPr="00664E64" w:rsidRDefault="00D161F4" w:rsidP="00A55CD9">
            <w:pPr>
              <w:pStyle w:val="TableText"/>
              <w:rPr>
                <w:lang w:val="en-AU"/>
              </w:rPr>
            </w:pPr>
            <w:r w:rsidRPr="00664E64">
              <w:rPr>
                <w:lang w:val="en-AU"/>
              </w:rPr>
              <w:t xml:space="preserve">Self-service terminal </w:t>
            </w:r>
          </w:p>
        </w:tc>
        <w:tc>
          <w:tcPr>
            <w:tcW w:w="1000" w:type="pct"/>
          </w:tcPr>
          <w:p w14:paraId="5286DF1D" w14:textId="20230B4F" w:rsidR="00D161F4" w:rsidRPr="00664E64" w:rsidRDefault="00D161F4" w:rsidP="00A55CD9">
            <w:pPr>
              <w:pStyle w:val="TableTextCentre"/>
              <w:rPr>
                <w:lang w:val="en-AU"/>
              </w:rPr>
            </w:pPr>
            <w:r w:rsidRPr="00664E64">
              <w:rPr>
                <w:lang w:val="en-AU"/>
              </w:rPr>
              <w:t>1</w:t>
            </w:r>
            <w:r w:rsidR="001F5C06" w:rsidRPr="00664E64">
              <w:rPr>
                <w:lang w:val="en-AU"/>
              </w:rPr>
              <w:t>,</w:t>
            </w:r>
            <w:r w:rsidRPr="00664E64">
              <w:rPr>
                <w:lang w:val="en-AU"/>
              </w:rPr>
              <w:t>498</w:t>
            </w:r>
          </w:p>
        </w:tc>
        <w:tc>
          <w:tcPr>
            <w:tcW w:w="2410" w:type="pct"/>
            <w:noWrap/>
          </w:tcPr>
          <w:p w14:paraId="1B2A43C3" w14:textId="77777777" w:rsidR="00D161F4" w:rsidRPr="00664E64" w:rsidRDefault="00D161F4" w:rsidP="00A55CD9">
            <w:pPr>
              <w:pStyle w:val="TableTextCentre"/>
              <w:rPr>
                <w:lang w:val="en-AU"/>
              </w:rPr>
            </w:pPr>
            <w:r w:rsidRPr="00664E64">
              <w:rPr>
                <w:lang w:val="en-AU"/>
              </w:rPr>
              <w:t>5.5</w:t>
            </w:r>
          </w:p>
        </w:tc>
      </w:tr>
      <w:tr w:rsidR="00D161F4" w:rsidRPr="00664E64" w14:paraId="76940CEA" w14:textId="77777777" w:rsidTr="00AB0143">
        <w:trPr>
          <w:trHeight w:val="338"/>
        </w:trPr>
        <w:tc>
          <w:tcPr>
            <w:tcW w:w="1590" w:type="pct"/>
            <w:hideMark/>
          </w:tcPr>
          <w:p w14:paraId="3ACFC042" w14:textId="77777777" w:rsidR="00D161F4" w:rsidRPr="00664E64" w:rsidRDefault="00D161F4" w:rsidP="00A55CD9">
            <w:pPr>
              <w:pStyle w:val="TableText"/>
              <w:rPr>
                <w:lang w:val="en-AU"/>
              </w:rPr>
            </w:pPr>
            <w:r w:rsidRPr="00664E64">
              <w:rPr>
                <w:lang w:val="en-AU"/>
              </w:rPr>
              <w:t>In person</w:t>
            </w:r>
          </w:p>
        </w:tc>
        <w:tc>
          <w:tcPr>
            <w:tcW w:w="1000" w:type="pct"/>
          </w:tcPr>
          <w:p w14:paraId="4F0F6D68" w14:textId="7B759490" w:rsidR="00D161F4" w:rsidRPr="00664E64" w:rsidRDefault="00D161F4" w:rsidP="00A55CD9">
            <w:pPr>
              <w:pStyle w:val="TableTextCentre"/>
              <w:rPr>
                <w:lang w:val="en-AU"/>
              </w:rPr>
            </w:pPr>
            <w:r w:rsidRPr="00664E64">
              <w:rPr>
                <w:lang w:val="en-AU"/>
              </w:rPr>
              <w:t>1</w:t>
            </w:r>
            <w:r w:rsidR="001F5C06" w:rsidRPr="00664E64">
              <w:rPr>
                <w:lang w:val="en-AU"/>
              </w:rPr>
              <w:t>,</w:t>
            </w:r>
            <w:r w:rsidRPr="00664E64">
              <w:rPr>
                <w:lang w:val="en-AU"/>
              </w:rPr>
              <w:t>498</w:t>
            </w:r>
          </w:p>
        </w:tc>
        <w:tc>
          <w:tcPr>
            <w:tcW w:w="2410" w:type="pct"/>
            <w:noWrap/>
          </w:tcPr>
          <w:p w14:paraId="1DE508EC" w14:textId="77777777" w:rsidR="00D161F4" w:rsidRPr="00664E64" w:rsidRDefault="00D161F4" w:rsidP="00A55CD9">
            <w:pPr>
              <w:pStyle w:val="TableTextCentre"/>
              <w:rPr>
                <w:lang w:val="en-AU"/>
              </w:rPr>
            </w:pPr>
            <w:r w:rsidRPr="00664E64">
              <w:rPr>
                <w:lang w:val="en-AU"/>
              </w:rPr>
              <w:t>5.5</w:t>
            </w:r>
          </w:p>
        </w:tc>
      </w:tr>
    </w:tbl>
    <w:p w14:paraId="3B97648D" w14:textId="3475A8DE" w:rsidR="00523E94" w:rsidRPr="00523E94" w:rsidRDefault="00523E94" w:rsidP="00523E94">
      <w:pPr>
        <w:pBdr>
          <w:bottom w:val="single" w:sz="4" w:space="1" w:color="auto"/>
        </w:pBdr>
        <w:rPr>
          <w:rFonts w:ascii="Arial" w:hAnsi="Arial" w:cs="Arial"/>
          <w:color w:val="2C2624"/>
          <w:sz w:val="18"/>
          <w:szCs w:val="18"/>
          <w:lang w:bidi="en-US"/>
        </w:rPr>
      </w:pPr>
      <w:r w:rsidRPr="00523E94">
        <w:rPr>
          <w:rFonts w:ascii="Arial" w:hAnsi="Arial" w:cs="Arial"/>
          <w:sz w:val="18"/>
          <w:szCs w:val="18"/>
        </w:rPr>
        <w:t xml:space="preserve">Notes: *Total respondents who used this method to place any bets in the past 12 months. </w:t>
      </w:r>
      <w:r w:rsidRPr="00523E94">
        <w:rPr>
          <w:rFonts w:ascii="Arial" w:hAnsi="Arial" w:cs="Arial"/>
          <w:sz w:val="18"/>
          <w:szCs w:val="18"/>
          <w:vertAlign w:val="superscript"/>
        </w:rPr>
        <w:t>#</w:t>
      </w:r>
      <w:r w:rsidRPr="00523E94">
        <w:rPr>
          <w:rFonts w:ascii="Arial" w:hAnsi="Arial" w:cs="Arial"/>
          <w:sz w:val="18"/>
          <w:szCs w:val="18"/>
        </w:rPr>
        <w:t>Average calculated on total sample (</w:t>
      </w:r>
      <w:r w:rsidRPr="00523E94">
        <w:rPr>
          <w:rFonts w:ascii="Arial" w:hAnsi="Arial" w:cs="Arial"/>
          <w:i/>
          <w:sz w:val="18"/>
          <w:szCs w:val="18"/>
        </w:rPr>
        <w:t>N</w:t>
      </w:r>
      <w:r w:rsidRPr="00523E94">
        <w:rPr>
          <w:rFonts w:ascii="Arial" w:hAnsi="Arial" w:cs="Arial"/>
          <w:sz w:val="18"/>
          <w:szCs w:val="18"/>
        </w:rPr>
        <w:t xml:space="preserve"> = 5076).</w:t>
      </w:r>
    </w:p>
    <w:p w14:paraId="339AA339" w14:textId="491EBF22" w:rsidR="00AB0143" w:rsidRPr="0036418A" w:rsidRDefault="00AB0143" w:rsidP="00A55CD9">
      <w:pPr>
        <w:pStyle w:val="Heading3"/>
        <w:rPr>
          <w:color w:val="auto"/>
        </w:rPr>
      </w:pPr>
      <w:r w:rsidRPr="0036418A">
        <w:rPr>
          <w:color w:val="auto"/>
        </w:rPr>
        <w:t>Changes in online wagering participation</w:t>
      </w:r>
    </w:p>
    <w:p w14:paraId="3738A2B0" w14:textId="7819062C" w:rsidR="00AB0143" w:rsidRPr="0036418A" w:rsidRDefault="00AB0143" w:rsidP="00A55CD9">
      <w:pPr>
        <w:pStyle w:val="BodyText"/>
        <w:rPr>
          <w:color w:val="auto"/>
        </w:rPr>
      </w:pPr>
      <w:r w:rsidRPr="0036418A">
        <w:rPr>
          <w:color w:val="auto"/>
        </w:rPr>
        <w:t>Around one in six participants (18%) reported spending more on online wagering now compared to 12 months ago, half (</w:t>
      </w:r>
      <w:r w:rsidR="001F5C06" w:rsidRPr="0036418A">
        <w:rPr>
          <w:color w:val="auto"/>
        </w:rPr>
        <w:t>55</w:t>
      </w:r>
      <w:r w:rsidRPr="0036418A">
        <w:rPr>
          <w:color w:val="auto"/>
        </w:rPr>
        <w:t>%) reported that their spending remained about the same, and around a quarter (28%) reported that their spending had decreased (Table 5.13).</w:t>
      </w:r>
    </w:p>
    <w:p w14:paraId="4C6C6098" w14:textId="228E658E" w:rsidR="00D161F4" w:rsidRPr="0036418A" w:rsidRDefault="00D161F4" w:rsidP="00415C73">
      <w:pPr>
        <w:pStyle w:val="FigureCaption"/>
        <w:rPr>
          <w:color w:val="auto"/>
          <w:lang w:val="en-AU"/>
        </w:rPr>
      </w:pPr>
      <w:bookmarkStart w:id="52" w:name="_Toc11864576"/>
      <w:bookmarkStart w:id="53" w:name="_Toc12549573"/>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13</w:t>
      </w:r>
      <w:r w:rsidR="00777624" w:rsidRPr="0036418A">
        <w:rPr>
          <w:noProof/>
          <w:color w:val="auto"/>
          <w:lang w:val="en-AU"/>
        </w:rPr>
        <w:fldChar w:fldCharType="end"/>
      </w:r>
      <w:r w:rsidR="001F5C06" w:rsidRPr="0036418A">
        <w:rPr>
          <w:color w:val="auto"/>
          <w:lang w:val="en-AU"/>
        </w:rPr>
        <w:t>:</w:t>
      </w:r>
      <w:r w:rsidRPr="0036418A">
        <w:rPr>
          <w:color w:val="auto"/>
          <w:lang w:val="en-AU"/>
        </w:rPr>
        <w:t xml:space="preserve"> Comparison of current expenditure on online betting with that 12 months ago (N</w:t>
      </w:r>
      <w:r w:rsidR="001F5C06" w:rsidRPr="0036418A">
        <w:rPr>
          <w:color w:val="auto"/>
          <w:lang w:val="en-AU"/>
        </w:rPr>
        <w:t xml:space="preserve"> </w:t>
      </w:r>
      <w:r w:rsidRPr="0036418A">
        <w:rPr>
          <w:color w:val="auto"/>
          <w:lang w:val="en-AU"/>
        </w:rPr>
        <w:t>=</w:t>
      </w:r>
      <w:r w:rsidR="001F5C06" w:rsidRPr="0036418A">
        <w:rPr>
          <w:color w:val="auto"/>
          <w:lang w:val="en-AU"/>
        </w:rPr>
        <w:t xml:space="preserve"> </w:t>
      </w:r>
      <w:r w:rsidRPr="0036418A">
        <w:rPr>
          <w:color w:val="auto"/>
          <w:lang w:val="en-AU"/>
        </w:rPr>
        <w:t>5,076)</w:t>
      </w:r>
      <w:bookmarkEnd w:id="52"/>
      <w:bookmarkEnd w:id="53"/>
    </w:p>
    <w:tbl>
      <w:tblPr>
        <w:tblStyle w:val="TableGrid"/>
        <w:tblW w:w="5000" w:type="pct"/>
        <w:tblLook w:val="04A0" w:firstRow="1" w:lastRow="0" w:firstColumn="1" w:lastColumn="0" w:noHBand="0" w:noVBand="1"/>
        <w:tblCaption w:val="Comparison of current expenditure on online betting with that 12 months ago "/>
        <w:tblDescription w:val="Shows whether participants are gambling much more, much less or about the same amount as 12 months ago. More than half said they were gambling the same amount."/>
      </w:tblPr>
      <w:tblGrid>
        <w:gridCol w:w="2700"/>
        <w:gridCol w:w="2967"/>
        <w:gridCol w:w="2832"/>
      </w:tblGrid>
      <w:tr w:rsidR="00D161F4" w:rsidRPr="00664E64" w14:paraId="3607D200" w14:textId="77777777" w:rsidTr="00454A33">
        <w:trPr>
          <w:cnfStyle w:val="100000000000" w:firstRow="1" w:lastRow="0" w:firstColumn="0" w:lastColumn="0" w:oddVBand="0" w:evenVBand="0" w:oddHBand="0" w:evenHBand="0" w:firstRowFirstColumn="0" w:firstRowLastColumn="0" w:lastRowFirstColumn="0" w:lastRowLastColumn="0"/>
          <w:trHeight w:val="320"/>
          <w:tblHeader/>
        </w:trPr>
        <w:tc>
          <w:tcPr>
            <w:tcW w:w="1588" w:type="pct"/>
            <w:hideMark/>
          </w:tcPr>
          <w:p w14:paraId="74C27E82" w14:textId="77777777" w:rsidR="00D161F4" w:rsidRPr="00664E64" w:rsidRDefault="00D161F4" w:rsidP="00A55CD9">
            <w:pPr>
              <w:pStyle w:val="TableColHeadLeft"/>
              <w:rPr>
                <w:lang w:val="en-AU"/>
              </w:rPr>
            </w:pPr>
            <w:r w:rsidRPr="00664E64">
              <w:rPr>
                <w:lang w:val="en-AU"/>
              </w:rPr>
              <w:t>Expenditure status</w:t>
            </w:r>
          </w:p>
        </w:tc>
        <w:tc>
          <w:tcPr>
            <w:tcW w:w="1745" w:type="pct"/>
          </w:tcPr>
          <w:p w14:paraId="647C3284" w14:textId="77777777" w:rsidR="00D161F4" w:rsidRPr="00664E64" w:rsidRDefault="00D161F4" w:rsidP="00A55CD9">
            <w:pPr>
              <w:pStyle w:val="TableColHeadLeft"/>
              <w:rPr>
                <w:lang w:val="en-AU"/>
              </w:rPr>
            </w:pPr>
            <w:r w:rsidRPr="00664E64">
              <w:rPr>
                <w:lang w:val="en-AU"/>
              </w:rPr>
              <w:t>Number</w:t>
            </w:r>
          </w:p>
        </w:tc>
        <w:tc>
          <w:tcPr>
            <w:tcW w:w="1666" w:type="pct"/>
            <w:hideMark/>
          </w:tcPr>
          <w:p w14:paraId="0BAAE45F" w14:textId="77777777" w:rsidR="00D161F4" w:rsidRPr="00664E64" w:rsidRDefault="00D161F4" w:rsidP="00A55CD9">
            <w:pPr>
              <w:pStyle w:val="TableColHeadLeft"/>
              <w:rPr>
                <w:lang w:val="en-AU"/>
              </w:rPr>
            </w:pPr>
            <w:r w:rsidRPr="00664E64">
              <w:rPr>
                <w:lang w:val="en-AU"/>
              </w:rPr>
              <w:t>Percentage</w:t>
            </w:r>
          </w:p>
        </w:tc>
      </w:tr>
      <w:tr w:rsidR="00D161F4" w:rsidRPr="00664E64" w14:paraId="6A236D40" w14:textId="77777777" w:rsidTr="00454A33">
        <w:trPr>
          <w:trHeight w:val="320"/>
        </w:trPr>
        <w:tc>
          <w:tcPr>
            <w:tcW w:w="1588" w:type="pct"/>
            <w:hideMark/>
          </w:tcPr>
          <w:p w14:paraId="65101A65" w14:textId="77777777" w:rsidR="00D161F4" w:rsidRPr="00664E64" w:rsidRDefault="00D161F4" w:rsidP="00A55CD9">
            <w:pPr>
              <w:pStyle w:val="TableText"/>
              <w:rPr>
                <w:lang w:val="en-AU"/>
              </w:rPr>
            </w:pPr>
            <w:r w:rsidRPr="00664E64">
              <w:rPr>
                <w:lang w:val="en-AU"/>
              </w:rPr>
              <w:t>Much more</w:t>
            </w:r>
          </w:p>
        </w:tc>
        <w:tc>
          <w:tcPr>
            <w:tcW w:w="1745" w:type="pct"/>
          </w:tcPr>
          <w:p w14:paraId="35D19113" w14:textId="77777777" w:rsidR="00D161F4" w:rsidRPr="00664E64" w:rsidRDefault="00D161F4" w:rsidP="00A55CD9">
            <w:pPr>
              <w:pStyle w:val="TableTextAligned"/>
              <w:rPr>
                <w:lang w:val="en-AU"/>
              </w:rPr>
            </w:pPr>
            <w:r w:rsidRPr="00664E64">
              <w:rPr>
                <w:lang w:val="en-AU"/>
              </w:rPr>
              <w:t>350</w:t>
            </w:r>
          </w:p>
        </w:tc>
        <w:tc>
          <w:tcPr>
            <w:tcW w:w="1666" w:type="pct"/>
            <w:noWrap/>
            <w:hideMark/>
          </w:tcPr>
          <w:p w14:paraId="43B74D75" w14:textId="77777777" w:rsidR="00D161F4" w:rsidRPr="00664E64" w:rsidRDefault="00D161F4" w:rsidP="00A55CD9">
            <w:pPr>
              <w:pStyle w:val="TableTextAligned"/>
              <w:rPr>
                <w:lang w:val="en-AU"/>
              </w:rPr>
            </w:pPr>
            <w:r w:rsidRPr="00664E64">
              <w:rPr>
                <w:lang w:val="en-AU"/>
              </w:rPr>
              <w:t>6.9</w:t>
            </w:r>
          </w:p>
        </w:tc>
      </w:tr>
      <w:tr w:rsidR="00D161F4" w:rsidRPr="00664E64" w14:paraId="081B5ABC" w14:textId="77777777" w:rsidTr="00454A33">
        <w:trPr>
          <w:trHeight w:val="320"/>
        </w:trPr>
        <w:tc>
          <w:tcPr>
            <w:tcW w:w="1588" w:type="pct"/>
            <w:hideMark/>
          </w:tcPr>
          <w:p w14:paraId="6C2311BB" w14:textId="77777777" w:rsidR="00D161F4" w:rsidRPr="00664E64" w:rsidRDefault="00D161F4" w:rsidP="00A55CD9">
            <w:pPr>
              <w:pStyle w:val="TableText"/>
              <w:rPr>
                <w:lang w:val="en-AU"/>
              </w:rPr>
            </w:pPr>
            <w:r w:rsidRPr="00664E64">
              <w:rPr>
                <w:lang w:val="en-AU"/>
              </w:rPr>
              <w:t>A little more</w:t>
            </w:r>
          </w:p>
        </w:tc>
        <w:tc>
          <w:tcPr>
            <w:tcW w:w="1745" w:type="pct"/>
          </w:tcPr>
          <w:p w14:paraId="186C18D7" w14:textId="77777777" w:rsidR="00D161F4" w:rsidRPr="00664E64" w:rsidRDefault="00D161F4" w:rsidP="00A55CD9">
            <w:pPr>
              <w:pStyle w:val="TableTextAligned"/>
              <w:rPr>
                <w:lang w:val="en-AU"/>
              </w:rPr>
            </w:pPr>
            <w:r w:rsidRPr="00664E64">
              <w:rPr>
                <w:lang w:val="en-AU"/>
              </w:rPr>
              <w:t>555</w:t>
            </w:r>
          </w:p>
        </w:tc>
        <w:tc>
          <w:tcPr>
            <w:tcW w:w="1666" w:type="pct"/>
            <w:noWrap/>
            <w:hideMark/>
          </w:tcPr>
          <w:p w14:paraId="0601A4C9" w14:textId="77777777" w:rsidR="00D161F4" w:rsidRPr="00664E64" w:rsidRDefault="00D161F4" w:rsidP="00A55CD9">
            <w:pPr>
              <w:pStyle w:val="TableTextAligned"/>
              <w:rPr>
                <w:lang w:val="en-AU"/>
              </w:rPr>
            </w:pPr>
            <w:r w:rsidRPr="00664E64">
              <w:rPr>
                <w:lang w:val="en-AU"/>
              </w:rPr>
              <w:t>10.9</w:t>
            </w:r>
          </w:p>
        </w:tc>
      </w:tr>
      <w:tr w:rsidR="00D161F4" w:rsidRPr="00664E64" w14:paraId="2BAC0073" w14:textId="77777777" w:rsidTr="00454A33">
        <w:trPr>
          <w:trHeight w:val="320"/>
        </w:trPr>
        <w:tc>
          <w:tcPr>
            <w:tcW w:w="1588" w:type="pct"/>
            <w:hideMark/>
          </w:tcPr>
          <w:p w14:paraId="1C749C1D" w14:textId="77777777" w:rsidR="00D161F4" w:rsidRPr="00664E64" w:rsidRDefault="00D161F4" w:rsidP="00A55CD9">
            <w:pPr>
              <w:pStyle w:val="TableText"/>
              <w:rPr>
                <w:lang w:val="en-AU"/>
              </w:rPr>
            </w:pPr>
            <w:r w:rsidRPr="00664E64">
              <w:rPr>
                <w:lang w:val="en-AU"/>
              </w:rPr>
              <w:t>About the same</w:t>
            </w:r>
          </w:p>
        </w:tc>
        <w:tc>
          <w:tcPr>
            <w:tcW w:w="1745" w:type="pct"/>
          </w:tcPr>
          <w:p w14:paraId="4095D8C1" w14:textId="6EF52A4C" w:rsidR="00D161F4" w:rsidRPr="00664E64" w:rsidRDefault="00D161F4" w:rsidP="00A55CD9">
            <w:pPr>
              <w:pStyle w:val="TableTextAligned"/>
              <w:rPr>
                <w:lang w:val="en-AU"/>
              </w:rPr>
            </w:pPr>
            <w:r w:rsidRPr="00664E64">
              <w:rPr>
                <w:lang w:val="en-AU"/>
              </w:rPr>
              <w:t>2</w:t>
            </w:r>
            <w:r w:rsidR="009C2638" w:rsidRPr="00664E64">
              <w:rPr>
                <w:lang w:val="en-AU"/>
              </w:rPr>
              <w:t>,</w:t>
            </w:r>
            <w:r w:rsidRPr="00664E64">
              <w:rPr>
                <w:lang w:val="en-AU"/>
              </w:rPr>
              <w:t>766</w:t>
            </w:r>
          </w:p>
        </w:tc>
        <w:tc>
          <w:tcPr>
            <w:tcW w:w="1666" w:type="pct"/>
            <w:noWrap/>
            <w:hideMark/>
          </w:tcPr>
          <w:p w14:paraId="4FA9443F" w14:textId="77777777" w:rsidR="00D161F4" w:rsidRPr="00664E64" w:rsidRDefault="00D161F4" w:rsidP="00A55CD9">
            <w:pPr>
              <w:pStyle w:val="TableTextAligned"/>
              <w:rPr>
                <w:lang w:val="en-AU"/>
              </w:rPr>
            </w:pPr>
            <w:r w:rsidRPr="00664E64">
              <w:rPr>
                <w:lang w:val="en-AU"/>
              </w:rPr>
              <w:t>54.5</w:t>
            </w:r>
          </w:p>
        </w:tc>
      </w:tr>
      <w:tr w:rsidR="00D161F4" w:rsidRPr="00664E64" w14:paraId="37EF7F8A" w14:textId="77777777" w:rsidTr="00454A33">
        <w:trPr>
          <w:trHeight w:val="320"/>
        </w:trPr>
        <w:tc>
          <w:tcPr>
            <w:tcW w:w="1588" w:type="pct"/>
            <w:hideMark/>
          </w:tcPr>
          <w:p w14:paraId="009A1446" w14:textId="77777777" w:rsidR="00D161F4" w:rsidRPr="00664E64" w:rsidRDefault="00D161F4" w:rsidP="00A55CD9">
            <w:pPr>
              <w:pStyle w:val="TableText"/>
              <w:rPr>
                <w:lang w:val="en-AU"/>
              </w:rPr>
            </w:pPr>
            <w:r w:rsidRPr="00664E64">
              <w:rPr>
                <w:lang w:val="en-AU"/>
              </w:rPr>
              <w:t>A little less</w:t>
            </w:r>
          </w:p>
        </w:tc>
        <w:tc>
          <w:tcPr>
            <w:tcW w:w="1745" w:type="pct"/>
          </w:tcPr>
          <w:p w14:paraId="32086266" w14:textId="77777777" w:rsidR="00D161F4" w:rsidRPr="00664E64" w:rsidRDefault="00D161F4" w:rsidP="00A55CD9">
            <w:pPr>
              <w:pStyle w:val="TableTextAligned"/>
              <w:rPr>
                <w:lang w:val="en-AU"/>
              </w:rPr>
            </w:pPr>
            <w:r w:rsidRPr="00664E64">
              <w:rPr>
                <w:lang w:val="en-AU"/>
              </w:rPr>
              <w:t>751</w:t>
            </w:r>
          </w:p>
        </w:tc>
        <w:tc>
          <w:tcPr>
            <w:tcW w:w="1666" w:type="pct"/>
            <w:noWrap/>
            <w:hideMark/>
          </w:tcPr>
          <w:p w14:paraId="06B3B9E7" w14:textId="77777777" w:rsidR="00D161F4" w:rsidRPr="00664E64" w:rsidRDefault="00D161F4" w:rsidP="00A55CD9">
            <w:pPr>
              <w:pStyle w:val="TableTextAligned"/>
              <w:rPr>
                <w:lang w:val="en-AU"/>
              </w:rPr>
            </w:pPr>
            <w:r w:rsidRPr="00664E64">
              <w:rPr>
                <w:lang w:val="en-AU"/>
              </w:rPr>
              <w:t>14.8</w:t>
            </w:r>
          </w:p>
        </w:tc>
      </w:tr>
      <w:tr w:rsidR="00D161F4" w:rsidRPr="00664E64" w14:paraId="79BFA4A6" w14:textId="77777777" w:rsidTr="00454A33">
        <w:trPr>
          <w:trHeight w:val="320"/>
        </w:trPr>
        <w:tc>
          <w:tcPr>
            <w:tcW w:w="1588" w:type="pct"/>
            <w:hideMark/>
          </w:tcPr>
          <w:p w14:paraId="79FC9E31" w14:textId="77777777" w:rsidR="00D161F4" w:rsidRPr="00664E64" w:rsidRDefault="00D161F4" w:rsidP="00A55CD9">
            <w:pPr>
              <w:pStyle w:val="TableText"/>
              <w:rPr>
                <w:lang w:val="en-AU"/>
              </w:rPr>
            </w:pPr>
            <w:r w:rsidRPr="00664E64">
              <w:rPr>
                <w:lang w:val="en-AU"/>
              </w:rPr>
              <w:t>Much less</w:t>
            </w:r>
          </w:p>
        </w:tc>
        <w:tc>
          <w:tcPr>
            <w:tcW w:w="1745" w:type="pct"/>
          </w:tcPr>
          <w:p w14:paraId="6B4DCA37" w14:textId="77777777" w:rsidR="00D161F4" w:rsidRPr="00664E64" w:rsidRDefault="00D161F4" w:rsidP="00A55CD9">
            <w:pPr>
              <w:pStyle w:val="TableTextAligned"/>
              <w:rPr>
                <w:lang w:val="en-AU"/>
              </w:rPr>
            </w:pPr>
            <w:r w:rsidRPr="00664E64">
              <w:rPr>
                <w:lang w:val="en-AU"/>
              </w:rPr>
              <w:t>654</w:t>
            </w:r>
          </w:p>
        </w:tc>
        <w:tc>
          <w:tcPr>
            <w:tcW w:w="1666" w:type="pct"/>
            <w:noWrap/>
            <w:hideMark/>
          </w:tcPr>
          <w:p w14:paraId="2253891B" w14:textId="77777777" w:rsidR="00D161F4" w:rsidRPr="00664E64" w:rsidRDefault="00D161F4" w:rsidP="00A55CD9">
            <w:pPr>
              <w:pStyle w:val="TableTextAligned"/>
              <w:rPr>
                <w:lang w:val="en-AU"/>
              </w:rPr>
            </w:pPr>
            <w:r w:rsidRPr="00664E64">
              <w:rPr>
                <w:lang w:val="en-AU"/>
              </w:rPr>
              <w:t>12.9</w:t>
            </w:r>
          </w:p>
        </w:tc>
      </w:tr>
      <w:tr w:rsidR="00D161F4" w:rsidRPr="00664E64" w14:paraId="2580F07C" w14:textId="77777777" w:rsidTr="00454A33">
        <w:trPr>
          <w:trHeight w:val="320"/>
        </w:trPr>
        <w:tc>
          <w:tcPr>
            <w:tcW w:w="1588" w:type="pct"/>
          </w:tcPr>
          <w:p w14:paraId="481C7E53" w14:textId="77777777" w:rsidR="00D161F4" w:rsidRPr="00664E64" w:rsidRDefault="00D161F4" w:rsidP="00A55CD9">
            <w:pPr>
              <w:pStyle w:val="TableText"/>
              <w:rPr>
                <w:b/>
                <w:lang w:val="en-AU"/>
              </w:rPr>
            </w:pPr>
            <w:r w:rsidRPr="00664E64">
              <w:rPr>
                <w:b/>
                <w:lang w:val="en-AU"/>
              </w:rPr>
              <w:t>Total</w:t>
            </w:r>
          </w:p>
        </w:tc>
        <w:tc>
          <w:tcPr>
            <w:tcW w:w="1745" w:type="pct"/>
          </w:tcPr>
          <w:p w14:paraId="0827001C" w14:textId="4E649374" w:rsidR="00D161F4" w:rsidRPr="00664E64" w:rsidRDefault="00D161F4" w:rsidP="00A55CD9">
            <w:pPr>
              <w:pStyle w:val="TableTextAligned"/>
              <w:rPr>
                <w:lang w:val="en-AU"/>
              </w:rPr>
            </w:pPr>
            <w:r w:rsidRPr="00664E64">
              <w:rPr>
                <w:lang w:val="en-AU"/>
              </w:rPr>
              <w:t>5</w:t>
            </w:r>
            <w:r w:rsidR="009C2638" w:rsidRPr="00664E64">
              <w:rPr>
                <w:lang w:val="en-AU"/>
              </w:rPr>
              <w:t>,</w:t>
            </w:r>
            <w:r w:rsidRPr="00664E64">
              <w:rPr>
                <w:lang w:val="en-AU"/>
              </w:rPr>
              <w:t>076</w:t>
            </w:r>
          </w:p>
        </w:tc>
        <w:tc>
          <w:tcPr>
            <w:tcW w:w="1666" w:type="pct"/>
            <w:noWrap/>
          </w:tcPr>
          <w:p w14:paraId="5B3BF05C" w14:textId="6E17B5B6" w:rsidR="00D161F4" w:rsidRPr="00664E64" w:rsidRDefault="00D161F4" w:rsidP="00A55CD9">
            <w:pPr>
              <w:pStyle w:val="TableTextAligned"/>
              <w:rPr>
                <w:lang w:val="en-AU"/>
              </w:rPr>
            </w:pPr>
            <w:r w:rsidRPr="00664E64">
              <w:rPr>
                <w:lang w:val="en-AU"/>
              </w:rPr>
              <w:t>100</w:t>
            </w:r>
            <w:r w:rsidR="009C2638" w:rsidRPr="00664E64">
              <w:rPr>
                <w:lang w:val="en-AU"/>
              </w:rPr>
              <w:t>.0</w:t>
            </w:r>
          </w:p>
        </w:tc>
      </w:tr>
    </w:tbl>
    <w:p w14:paraId="513534D6" w14:textId="3C59C37B" w:rsidR="00D161F4" w:rsidRPr="0036418A" w:rsidRDefault="00AB0143" w:rsidP="00A55CD9">
      <w:pPr>
        <w:pStyle w:val="Heading3"/>
        <w:rPr>
          <w:color w:val="auto"/>
        </w:rPr>
      </w:pPr>
      <w:r w:rsidRPr="0036418A">
        <w:rPr>
          <w:color w:val="auto"/>
        </w:rPr>
        <w:t>Online wagering planning</w:t>
      </w:r>
    </w:p>
    <w:p w14:paraId="0138E2FE" w14:textId="510C1182" w:rsidR="00D161F4" w:rsidRPr="00664E64" w:rsidRDefault="00D161F4" w:rsidP="00DF2954">
      <w:pPr>
        <w:spacing w:before="120" w:line="280" w:lineRule="atLeast"/>
        <w:jc w:val="both"/>
        <w:rPr>
          <w:rFonts w:ascii="Arial" w:eastAsia="Calibri" w:hAnsi="Arial" w:cs="Arial"/>
          <w:sz w:val="20"/>
          <w:szCs w:val="20"/>
        </w:rPr>
      </w:pPr>
      <w:r w:rsidRPr="00664E64">
        <w:rPr>
          <w:rFonts w:ascii="Arial" w:eastAsia="Calibri" w:hAnsi="Arial" w:cs="Arial"/>
          <w:sz w:val="20"/>
          <w:szCs w:val="20"/>
        </w:rPr>
        <w:t xml:space="preserve">On average, 65% of the </w:t>
      </w:r>
      <w:r w:rsidR="00AB0143" w:rsidRPr="00664E64">
        <w:rPr>
          <w:rFonts w:ascii="Arial" w:eastAsia="Calibri" w:hAnsi="Arial" w:cs="Arial"/>
          <w:sz w:val="20"/>
          <w:szCs w:val="20"/>
        </w:rPr>
        <w:t xml:space="preserve">participants’ </w:t>
      </w:r>
      <w:r w:rsidRPr="00664E64">
        <w:rPr>
          <w:rFonts w:ascii="Arial" w:eastAsia="Calibri" w:hAnsi="Arial" w:cs="Arial"/>
          <w:sz w:val="20"/>
          <w:szCs w:val="20"/>
        </w:rPr>
        <w:t xml:space="preserve">online betting in the past 12 months was </w:t>
      </w:r>
      <w:r w:rsidR="00AB0143" w:rsidRPr="00664E64">
        <w:rPr>
          <w:rFonts w:ascii="Arial" w:eastAsia="Calibri" w:hAnsi="Arial" w:cs="Arial"/>
          <w:sz w:val="20"/>
          <w:szCs w:val="20"/>
        </w:rPr>
        <w:t xml:space="preserve">reported to have been </w:t>
      </w:r>
      <w:r w:rsidRPr="00664E64">
        <w:rPr>
          <w:rFonts w:ascii="Arial" w:eastAsia="Calibri" w:hAnsi="Arial" w:cs="Arial"/>
          <w:sz w:val="20"/>
          <w:szCs w:val="20"/>
        </w:rPr>
        <w:t>planned in advance of the event</w:t>
      </w:r>
      <w:r w:rsidR="00AB0143" w:rsidRPr="00664E64">
        <w:rPr>
          <w:rFonts w:ascii="Arial" w:eastAsia="Calibri" w:hAnsi="Arial" w:cs="Arial"/>
          <w:sz w:val="20"/>
          <w:szCs w:val="20"/>
        </w:rPr>
        <w:t xml:space="preserve">, with around one third reportedly made on impulse; either before the start of the event or on impulse during the event </w:t>
      </w:r>
      <w:r w:rsidRPr="00664E64">
        <w:rPr>
          <w:rFonts w:ascii="Arial" w:eastAsia="Calibri" w:hAnsi="Arial" w:cs="Arial"/>
          <w:sz w:val="20"/>
          <w:szCs w:val="20"/>
        </w:rPr>
        <w:t xml:space="preserve">(Table 5.14). </w:t>
      </w:r>
    </w:p>
    <w:p w14:paraId="47AFAF65" w14:textId="77777777" w:rsidR="00B84BBA" w:rsidRDefault="00B84BBA">
      <w:pPr>
        <w:rPr>
          <w:rFonts w:ascii="Arial" w:hAnsi="Arial" w:cs="Arial"/>
          <w:b/>
          <w:color w:val="ED0C64"/>
          <w:sz w:val="20"/>
          <w:lang w:eastAsia="ja-JP" w:bidi="en-US"/>
        </w:rPr>
      </w:pPr>
      <w:bookmarkStart w:id="54" w:name="_Toc11864577"/>
      <w:bookmarkStart w:id="55" w:name="_Toc12549574"/>
      <w:r>
        <w:br w:type="page"/>
      </w:r>
    </w:p>
    <w:p w14:paraId="1718AB8C" w14:textId="28093AC8" w:rsidR="00D161F4" w:rsidRPr="0036418A" w:rsidRDefault="00D161F4" w:rsidP="00415C73">
      <w:pPr>
        <w:pStyle w:val="FigureCaption"/>
        <w:rPr>
          <w:color w:val="auto"/>
          <w:lang w:val="en-AU"/>
        </w:rPr>
      </w:pPr>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14</w:t>
      </w:r>
      <w:r w:rsidR="00777624" w:rsidRPr="0036418A">
        <w:rPr>
          <w:noProof/>
          <w:color w:val="auto"/>
          <w:lang w:val="en-AU"/>
        </w:rPr>
        <w:fldChar w:fldCharType="end"/>
      </w:r>
      <w:r w:rsidR="009C2638" w:rsidRPr="0036418A">
        <w:rPr>
          <w:color w:val="auto"/>
          <w:lang w:val="en-AU"/>
        </w:rPr>
        <w:t>:</w:t>
      </w:r>
      <w:r w:rsidRPr="0036418A">
        <w:rPr>
          <w:color w:val="auto"/>
          <w:lang w:val="en-AU"/>
        </w:rPr>
        <w:t xml:space="preserve"> Degree of impulse and associated average proportion of the bets placed online in the past 12 months (N</w:t>
      </w:r>
      <w:r w:rsidR="009C2638" w:rsidRPr="0036418A">
        <w:rPr>
          <w:color w:val="auto"/>
          <w:lang w:val="en-AU"/>
        </w:rPr>
        <w:t xml:space="preserve"> </w:t>
      </w:r>
      <w:r w:rsidRPr="0036418A">
        <w:rPr>
          <w:color w:val="auto"/>
          <w:lang w:val="en-AU"/>
        </w:rPr>
        <w:t>=</w:t>
      </w:r>
      <w:r w:rsidR="009C2638" w:rsidRPr="0036418A">
        <w:rPr>
          <w:color w:val="auto"/>
          <w:lang w:val="en-AU"/>
        </w:rPr>
        <w:t xml:space="preserve"> </w:t>
      </w:r>
      <w:r w:rsidRPr="0036418A">
        <w:rPr>
          <w:color w:val="auto"/>
          <w:lang w:val="en-AU"/>
        </w:rPr>
        <w:t>5,076)</w:t>
      </w:r>
      <w:bookmarkEnd w:id="54"/>
      <w:bookmarkEnd w:id="55"/>
    </w:p>
    <w:tbl>
      <w:tblPr>
        <w:tblStyle w:val="TableGrid"/>
        <w:tblW w:w="5000" w:type="pct"/>
        <w:tblLook w:val="04A0" w:firstRow="1" w:lastRow="0" w:firstColumn="1" w:lastColumn="0" w:noHBand="0" w:noVBand="1"/>
        <w:tblCaption w:val="Degree of impulse and associated average proportion of the bets placed online in the past 12 months "/>
        <w:tblDescription w:val="This table shows whether bettors placed bets they had planned in advance or whether they so by impulse. Abut one third of bets were impulse bets."/>
      </w:tblPr>
      <w:tblGrid>
        <w:gridCol w:w="4666"/>
        <w:gridCol w:w="3833"/>
      </w:tblGrid>
      <w:tr w:rsidR="00D161F4" w:rsidRPr="00664E64" w14:paraId="397CF1E1" w14:textId="77777777" w:rsidTr="00B84BBA">
        <w:trPr>
          <w:cnfStyle w:val="100000000000" w:firstRow="1" w:lastRow="0" w:firstColumn="0" w:lastColumn="0" w:oddVBand="0" w:evenVBand="0" w:oddHBand="0" w:evenHBand="0" w:firstRowFirstColumn="0" w:firstRowLastColumn="0" w:lastRowFirstColumn="0" w:lastRowLastColumn="0"/>
          <w:trHeight w:val="540"/>
          <w:tblHeader/>
        </w:trPr>
        <w:tc>
          <w:tcPr>
            <w:tcW w:w="2745" w:type="pct"/>
            <w:hideMark/>
          </w:tcPr>
          <w:p w14:paraId="2879E191" w14:textId="77777777" w:rsidR="00D161F4" w:rsidRPr="00664E64" w:rsidRDefault="00D161F4" w:rsidP="00A55CD9">
            <w:pPr>
              <w:pStyle w:val="TableColHeadLeft"/>
              <w:rPr>
                <w:lang w:val="en-AU"/>
              </w:rPr>
            </w:pPr>
            <w:r w:rsidRPr="00664E64">
              <w:rPr>
                <w:lang w:val="en-AU"/>
              </w:rPr>
              <w:t>Degree of impulse</w:t>
            </w:r>
          </w:p>
        </w:tc>
        <w:tc>
          <w:tcPr>
            <w:tcW w:w="2255" w:type="pct"/>
            <w:hideMark/>
          </w:tcPr>
          <w:p w14:paraId="66CF4AFE" w14:textId="77777777" w:rsidR="00D161F4" w:rsidRPr="00664E64" w:rsidRDefault="00D161F4" w:rsidP="00A55CD9">
            <w:pPr>
              <w:pStyle w:val="TableColHeadLeft"/>
              <w:rPr>
                <w:lang w:val="en-AU"/>
              </w:rPr>
            </w:pPr>
            <w:r w:rsidRPr="00664E64">
              <w:rPr>
                <w:lang w:val="en-AU"/>
              </w:rPr>
              <w:t>Average proportion (%)</w:t>
            </w:r>
          </w:p>
        </w:tc>
      </w:tr>
      <w:tr w:rsidR="00D161F4" w:rsidRPr="00664E64" w14:paraId="0B38C65D" w14:textId="77777777" w:rsidTr="00AB0143">
        <w:trPr>
          <w:trHeight w:val="500"/>
        </w:trPr>
        <w:tc>
          <w:tcPr>
            <w:tcW w:w="2745" w:type="pct"/>
            <w:hideMark/>
          </w:tcPr>
          <w:p w14:paraId="09580508" w14:textId="77777777" w:rsidR="00D161F4" w:rsidRPr="00664E64" w:rsidRDefault="00D161F4" w:rsidP="00A55CD9">
            <w:pPr>
              <w:pStyle w:val="TableText"/>
              <w:rPr>
                <w:lang w:val="en-AU"/>
              </w:rPr>
            </w:pPr>
            <w:r w:rsidRPr="00664E64">
              <w:rPr>
                <w:lang w:val="en-AU"/>
              </w:rPr>
              <w:t>Planned in advance of the event</w:t>
            </w:r>
          </w:p>
        </w:tc>
        <w:tc>
          <w:tcPr>
            <w:tcW w:w="2255" w:type="pct"/>
            <w:noWrap/>
            <w:hideMark/>
          </w:tcPr>
          <w:p w14:paraId="10C5B18A" w14:textId="77777777" w:rsidR="00D161F4" w:rsidRPr="00664E64" w:rsidRDefault="00D161F4" w:rsidP="00A55CD9">
            <w:pPr>
              <w:pStyle w:val="TableTextAligned"/>
              <w:rPr>
                <w:lang w:val="en-AU"/>
              </w:rPr>
            </w:pPr>
            <w:r w:rsidRPr="00664E64">
              <w:rPr>
                <w:lang w:val="en-AU"/>
              </w:rPr>
              <w:t>64.9</w:t>
            </w:r>
          </w:p>
        </w:tc>
      </w:tr>
      <w:tr w:rsidR="00D161F4" w:rsidRPr="00664E64" w14:paraId="26C5D4ED" w14:textId="77777777" w:rsidTr="00AB0143">
        <w:trPr>
          <w:trHeight w:val="500"/>
        </w:trPr>
        <w:tc>
          <w:tcPr>
            <w:tcW w:w="2745" w:type="pct"/>
            <w:hideMark/>
          </w:tcPr>
          <w:p w14:paraId="1C1E9F5A" w14:textId="77777777" w:rsidR="00D161F4" w:rsidRPr="00664E64" w:rsidRDefault="00D161F4" w:rsidP="00A55CD9">
            <w:pPr>
              <w:pStyle w:val="TableText"/>
              <w:rPr>
                <w:lang w:val="en-AU"/>
              </w:rPr>
            </w:pPr>
            <w:r w:rsidRPr="00664E64">
              <w:rPr>
                <w:lang w:val="en-AU"/>
              </w:rPr>
              <w:t>On impulse before the start of the event</w:t>
            </w:r>
          </w:p>
        </w:tc>
        <w:tc>
          <w:tcPr>
            <w:tcW w:w="2255" w:type="pct"/>
            <w:noWrap/>
            <w:hideMark/>
          </w:tcPr>
          <w:p w14:paraId="5DD3F0B2" w14:textId="77777777" w:rsidR="00D161F4" w:rsidRPr="00664E64" w:rsidRDefault="00D161F4" w:rsidP="00A55CD9">
            <w:pPr>
              <w:pStyle w:val="TableTextAligned"/>
              <w:rPr>
                <w:lang w:val="en-AU"/>
              </w:rPr>
            </w:pPr>
            <w:r w:rsidRPr="00664E64">
              <w:rPr>
                <w:lang w:val="en-AU"/>
              </w:rPr>
              <w:t>28.5</w:t>
            </w:r>
          </w:p>
        </w:tc>
      </w:tr>
      <w:tr w:rsidR="00D161F4" w:rsidRPr="00664E64" w14:paraId="41F8C671" w14:textId="77777777" w:rsidTr="00AB0143">
        <w:trPr>
          <w:trHeight w:val="500"/>
        </w:trPr>
        <w:tc>
          <w:tcPr>
            <w:tcW w:w="2745" w:type="pct"/>
            <w:hideMark/>
          </w:tcPr>
          <w:p w14:paraId="0E865008" w14:textId="77777777" w:rsidR="00D161F4" w:rsidRPr="00664E64" w:rsidRDefault="00D161F4" w:rsidP="00A55CD9">
            <w:pPr>
              <w:pStyle w:val="TableText"/>
              <w:rPr>
                <w:lang w:val="en-AU"/>
              </w:rPr>
            </w:pPr>
            <w:r w:rsidRPr="00664E64">
              <w:rPr>
                <w:lang w:val="en-AU"/>
              </w:rPr>
              <w:t>On impulse during the event</w:t>
            </w:r>
          </w:p>
        </w:tc>
        <w:tc>
          <w:tcPr>
            <w:tcW w:w="2255" w:type="pct"/>
            <w:noWrap/>
            <w:hideMark/>
          </w:tcPr>
          <w:p w14:paraId="51B904C4" w14:textId="77777777" w:rsidR="00D161F4" w:rsidRPr="00664E64" w:rsidRDefault="00D161F4" w:rsidP="00A55CD9">
            <w:pPr>
              <w:pStyle w:val="TableTextAligned"/>
              <w:rPr>
                <w:lang w:val="en-AU"/>
              </w:rPr>
            </w:pPr>
            <w:r w:rsidRPr="00664E64">
              <w:rPr>
                <w:lang w:val="en-AU"/>
              </w:rPr>
              <w:t>6.6</w:t>
            </w:r>
          </w:p>
        </w:tc>
      </w:tr>
    </w:tbl>
    <w:p w14:paraId="0A4054A8" w14:textId="74F77BDC" w:rsidR="00523E94" w:rsidRPr="00523E94" w:rsidRDefault="00523E94" w:rsidP="00523E94">
      <w:pPr>
        <w:pBdr>
          <w:bottom w:val="single" w:sz="4" w:space="1" w:color="auto"/>
        </w:pBdr>
        <w:rPr>
          <w:rFonts w:ascii="Arial" w:hAnsi="Arial" w:cs="Arial"/>
          <w:sz w:val="18"/>
          <w:szCs w:val="18"/>
        </w:rPr>
      </w:pPr>
      <w:r w:rsidRPr="00523E94">
        <w:rPr>
          <w:rFonts w:ascii="Arial" w:hAnsi="Arial" w:cs="Arial"/>
          <w:sz w:val="18"/>
          <w:szCs w:val="18"/>
        </w:rPr>
        <w:t>Note: Percentages may not total 100% due to rounding.</w:t>
      </w:r>
    </w:p>
    <w:p w14:paraId="7FD633C4" w14:textId="4BD6CB41" w:rsidR="00D161F4" w:rsidRPr="0036418A" w:rsidRDefault="00D161F4" w:rsidP="00A55CD9">
      <w:pPr>
        <w:pStyle w:val="Heading3"/>
        <w:rPr>
          <w:color w:val="auto"/>
        </w:rPr>
      </w:pPr>
      <w:r w:rsidRPr="0036418A">
        <w:rPr>
          <w:color w:val="auto"/>
        </w:rPr>
        <w:t>Online betting accounts</w:t>
      </w:r>
    </w:p>
    <w:p w14:paraId="578CD578" w14:textId="032A6A0F" w:rsidR="00D161F4" w:rsidRPr="00664E64" w:rsidRDefault="00D161F4" w:rsidP="00A55CD9">
      <w:pPr>
        <w:pStyle w:val="BodyText"/>
        <w:rPr>
          <w:rFonts w:eastAsia="Calibri"/>
        </w:rPr>
      </w:pPr>
      <w:r w:rsidRPr="00664E64">
        <w:rPr>
          <w:rFonts w:eastAsia="Calibri"/>
        </w:rPr>
        <w:t>On average, the participants reported having 2.5 online betting accounts with values ranging from 0 to 85</w:t>
      </w:r>
      <w:r w:rsidR="00AB0143" w:rsidRPr="00664E64">
        <w:rPr>
          <w:rFonts w:eastAsia="Calibri"/>
        </w:rPr>
        <w:t>;</w:t>
      </w:r>
      <w:r w:rsidRPr="00664E64">
        <w:rPr>
          <w:rFonts w:eastAsia="Calibri"/>
        </w:rPr>
        <w:t xml:space="preserve"> </w:t>
      </w:r>
      <w:r w:rsidR="00AB0143" w:rsidRPr="00664E64">
        <w:rPr>
          <w:rFonts w:eastAsia="Calibri"/>
        </w:rPr>
        <w:t xml:space="preserve">the </w:t>
      </w:r>
      <w:r w:rsidRPr="00664E64">
        <w:rPr>
          <w:rFonts w:eastAsia="Calibri"/>
        </w:rPr>
        <w:t>99th percentile</w:t>
      </w:r>
      <w:r w:rsidR="00AB0143" w:rsidRPr="00664E64">
        <w:rPr>
          <w:rFonts w:eastAsia="Calibri"/>
        </w:rPr>
        <w:t xml:space="preserve"> was used as a cut-off, </w:t>
      </w:r>
      <w:r w:rsidR="00CC40E3" w:rsidRPr="00664E64">
        <w:rPr>
          <w:rFonts w:eastAsia="Calibri"/>
        </w:rPr>
        <w:t>with a</w:t>
      </w:r>
      <w:r w:rsidRPr="00664E64">
        <w:rPr>
          <w:rFonts w:eastAsia="Calibri"/>
        </w:rPr>
        <w:t xml:space="preserve"> valid </w:t>
      </w:r>
      <w:r w:rsidR="00B33DF6" w:rsidRPr="00664E64">
        <w:rPr>
          <w:rFonts w:eastAsia="Calibri"/>
          <w:i/>
        </w:rPr>
        <w:t>n</w:t>
      </w:r>
      <w:r w:rsidR="009C2638" w:rsidRPr="00664E64">
        <w:rPr>
          <w:rFonts w:eastAsia="Calibri"/>
        </w:rPr>
        <w:t xml:space="preserve"> </w:t>
      </w:r>
      <w:r w:rsidRPr="00664E64">
        <w:rPr>
          <w:rFonts w:eastAsia="Calibri"/>
        </w:rPr>
        <w:t>=</w:t>
      </w:r>
      <w:r w:rsidR="009C2638" w:rsidRPr="00664E64">
        <w:rPr>
          <w:rFonts w:eastAsia="Calibri"/>
        </w:rPr>
        <w:t xml:space="preserve"> </w:t>
      </w:r>
      <w:r w:rsidRPr="00664E64">
        <w:rPr>
          <w:rFonts w:eastAsia="Calibri"/>
        </w:rPr>
        <w:t>5</w:t>
      </w:r>
      <w:r w:rsidR="00B33DF6" w:rsidRPr="00664E64">
        <w:rPr>
          <w:rFonts w:eastAsia="Calibri"/>
        </w:rPr>
        <w:t>,</w:t>
      </w:r>
      <w:r w:rsidRPr="00664E64">
        <w:rPr>
          <w:rFonts w:eastAsia="Calibri"/>
        </w:rPr>
        <w:t>026</w:t>
      </w:r>
      <w:r w:rsidR="00CC40E3" w:rsidRPr="00664E64">
        <w:rPr>
          <w:rFonts w:eastAsia="Calibri"/>
        </w:rPr>
        <w:t>.</w:t>
      </w:r>
      <w:r w:rsidRPr="00664E64">
        <w:rPr>
          <w:rFonts w:eastAsia="Calibri"/>
        </w:rPr>
        <w:t xml:space="preserve"> </w:t>
      </w:r>
      <w:r w:rsidR="00CC40E3" w:rsidRPr="00664E64">
        <w:rPr>
          <w:rFonts w:eastAsia="Calibri"/>
        </w:rPr>
        <w:t>T</w:t>
      </w:r>
      <w:r w:rsidRPr="00664E64">
        <w:rPr>
          <w:rFonts w:eastAsia="Calibri"/>
        </w:rPr>
        <w:t>he mean and median number</w:t>
      </w:r>
      <w:r w:rsidR="00CC40E3" w:rsidRPr="00664E64">
        <w:rPr>
          <w:rFonts w:eastAsia="Calibri"/>
        </w:rPr>
        <w:t xml:space="preserve"> of online accounts</w:t>
      </w:r>
      <w:r w:rsidRPr="00664E64">
        <w:rPr>
          <w:rFonts w:eastAsia="Calibri"/>
        </w:rPr>
        <w:t xml:space="preserve"> were 2.3 and 2, respectively. Close to half (46%) </w:t>
      </w:r>
      <w:r w:rsidR="00CC40E3" w:rsidRPr="00664E64">
        <w:rPr>
          <w:rFonts w:eastAsia="Calibri"/>
        </w:rPr>
        <w:t>reported</w:t>
      </w:r>
      <w:r w:rsidRPr="00664E64">
        <w:rPr>
          <w:rFonts w:eastAsia="Calibri"/>
        </w:rPr>
        <w:t xml:space="preserve"> </w:t>
      </w:r>
      <w:r w:rsidR="00CC40E3" w:rsidRPr="00664E64">
        <w:rPr>
          <w:rFonts w:eastAsia="Calibri"/>
        </w:rPr>
        <w:t xml:space="preserve">having </w:t>
      </w:r>
      <w:r w:rsidRPr="00664E64">
        <w:rPr>
          <w:rFonts w:eastAsia="Calibri"/>
        </w:rPr>
        <w:t>only one account</w:t>
      </w:r>
      <w:r w:rsidR="00CC40E3" w:rsidRPr="00664E64">
        <w:rPr>
          <w:rFonts w:eastAsia="Calibri"/>
        </w:rPr>
        <w:t>,</w:t>
      </w:r>
      <w:r w:rsidRPr="00664E64">
        <w:rPr>
          <w:rFonts w:eastAsia="Calibri"/>
        </w:rPr>
        <w:t xml:space="preserve"> </w:t>
      </w:r>
      <w:r w:rsidR="00CC40E3" w:rsidRPr="00664E64">
        <w:rPr>
          <w:rFonts w:eastAsia="Calibri"/>
        </w:rPr>
        <w:t>while</w:t>
      </w:r>
      <w:r w:rsidRPr="00664E64">
        <w:rPr>
          <w:rFonts w:eastAsia="Calibri"/>
        </w:rPr>
        <w:t xml:space="preserve"> almost one-fifth had more than three accounts. </w:t>
      </w:r>
    </w:p>
    <w:p w14:paraId="6C8E97B2" w14:textId="39B36F87" w:rsidR="00D161F4" w:rsidRPr="00664E64" w:rsidRDefault="00D161F4" w:rsidP="00A55CD9">
      <w:pPr>
        <w:pStyle w:val="BodyText"/>
        <w:rPr>
          <w:rFonts w:eastAsia="Calibri"/>
        </w:rPr>
      </w:pPr>
      <w:r w:rsidRPr="00664E64">
        <w:rPr>
          <w:rFonts w:eastAsia="Calibri"/>
        </w:rPr>
        <w:t xml:space="preserve">A total of 62 people reported </w:t>
      </w:r>
      <w:r w:rsidR="00CC40E3" w:rsidRPr="00664E64">
        <w:rPr>
          <w:rFonts w:eastAsia="Calibri"/>
        </w:rPr>
        <w:t xml:space="preserve">currently </w:t>
      </w:r>
      <w:r w:rsidRPr="00664E64">
        <w:rPr>
          <w:rFonts w:eastAsia="Calibri"/>
        </w:rPr>
        <w:t xml:space="preserve">having no online accounts, </w:t>
      </w:r>
      <w:r w:rsidR="00CC40E3" w:rsidRPr="00664E64">
        <w:rPr>
          <w:rFonts w:eastAsia="Calibri"/>
        </w:rPr>
        <w:t>but</w:t>
      </w:r>
      <w:r w:rsidRPr="00664E64">
        <w:rPr>
          <w:rFonts w:eastAsia="Calibri"/>
        </w:rPr>
        <w:t xml:space="preserve"> 57 </w:t>
      </w:r>
      <w:r w:rsidR="00CC40E3" w:rsidRPr="00664E64">
        <w:rPr>
          <w:rFonts w:eastAsia="Calibri"/>
        </w:rPr>
        <w:t xml:space="preserve">of those participants </w:t>
      </w:r>
      <w:r w:rsidRPr="00664E64">
        <w:rPr>
          <w:rFonts w:eastAsia="Calibri"/>
        </w:rPr>
        <w:t xml:space="preserve">reported having placed bets online using </w:t>
      </w:r>
      <w:r w:rsidR="008C2060" w:rsidRPr="00664E64">
        <w:rPr>
          <w:rFonts w:eastAsia="Calibri"/>
        </w:rPr>
        <w:t xml:space="preserve">the internet </w:t>
      </w:r>
      <w:r w:rsidRPr="00664E64">
        <w:rPr>
          <w:rFonts w:eastAsia="Calibri"/>
        </w:rPr>
        <w:t>in the past 12 months</w:t>
      </w:r>
      <w:r w:rsidR="00CC40E3" w:rsidRPr="00664E64">
        <w:rPr>
          <w:rFonts w:eastAsia="Calibri"/>
        </w:rPr>
        <w:t xml:space="preserve"> (see Table 5.12)</w:t>
      </w:r>
      <w:r w:rsidRPr="00664E64">
        <w:rPr>
          <w:rFonts w:eastAsia="Calibri"/>
        </w:rPr>
        <w:t xml:space="preserve">. </w:t>
      </w:r>
      <w:r w:rsidRPr="00664E64">
        <w:rPr>
          <w:color w:val="000000"/>
        </w:rPr>
        <w:t xml:space="preserve">Among </w:t>
      </w:r>
      <w:r w:rsidR="00C808A3" w:rsidRPr="00664E64">
        <w:rPr>
          <w:color w:val="000000"/>
        </w:rPr>
        <w:t>those</w:t>
      </w:r>
      <w:r w:rsidRPr="00664E64">
        <w:rPr>
          <w:color w:val="000000"/>
        </w:rPr>
        <w:t xml:space="preserve"> who reported not having a current online account</w:t>
      </w:r>
      <w:r w:rsidR="00CC40E3" w:rsidRPr="00664E64">
        <w:rPr>
          <w:color w:val="000000"/>
        </w:rPr>
        <w:t>:</w:t>
      </w:r>
    </w:p>
    <w:p w14:paraId="355E706A" w14:textId="33CA5A19" w:rsidR="00D161F4" w:rsidRPr="00664E64" w:rsidRDefault="00D161F4" w:rsidP="00A55CD9">
      <w:pPr>
        <w:pStyle w:val="ListBullet"/>
      </w:pPr>
      <w:r w:rsidRPr="00664E64">
        <w:t>15 reported having closed an account, 6 months ago on average</w:t>
      </w:r>
    </w:p>
    <w:p w14:paraId="030B69F4" w14:textId="74EF3291" w:rsidR="00D161F4" w:rsidRPr="00664E64" w:rsidRDefault="00D161F4" w:rsidP="00A55CD9">
      <w:pPr>
        <w:pStyle w:val="ListBullet"/>
      </w:pPr>
      <w:r w:rsidRPr="00664E64">
        <w:t>10 reported having inactive accounts</w:t>
      </w:r>
    </w:p>
    <w:p w14:paraId="67EC6824" w14:textId="1773DB71" w:rsidR="00D161F4" w:rsidRPr="00664E64" w:rsidRDefault="00D161F4" w:rsidP="00A55CD9">
      <w:pPr>
        <w:pStyle w:val="ListBullet"/>
      </w:pPr>
      <w:r w:rsidRPr="00664E64">
        <w:t xml:space="preserve">13 reported never having an online account (bet via only telephone call) </w:t>
      </w:r>
    </w:p>
    <w:p w14:paraId="73641740" w14:textId="2402DBD7" w:rsidR="00D161F4" w:rsidRPr="00664E64" w:rsidRDefault="00D161F4" w:rsidP="00A55CD9">
      <w:pPr>
        <w:pStyle w:val="ListBullet"/>
      </w:pPr>
      <w:r w:rsidRPr="00664E64">
        <w:t>24 reported never having an online account in their own names</w:t>
      </w:r>
      <w:r w:rsidR="00CC40E3" w:rsidRPr="00664E64">
        <w:t xml:space="preserve"> (only used someone else’s account)</w:t>
      </w:r>
      <w:r w:rsidRPr="00664E64">
        <w:t>.</w:t>
      </w:r>
    </w:p>
    <w:p w14:paraId="01AA1EB4" w14:textId="7B0DA7D2" w:rsidR="00D161F4" w:rsidRPr="00664E64" w:rsidRDefault="00C808A3" w:rsidP="00A55CD9">
      <w:pPr>
        <w:pStyle w:val="BodyText"/>
      </w:pPr>
      <w:r w:rsidRPr="00664E64">
        <w:t>All p</w:t>
      </w:r>
      <w:r w:rsidR="00CC40E3" w:rsidRPr="00664E64">
        <w:t xml:space="preserve">articipants </w:t>
      </w:r>
      <w:r w:rsidRPr="00664E64">
        <w:t xml:space="preserve">with a current or previous online wagering account </w:t>
      </w:r>
      <w:r w:rsidR="00CC40E3" w:rsidRPr="00664E64">
        <w:t xml:space="preserve">were asked how old they were when they first signed up for an account. A </w:t>
      </w:r>
      <w:r w:rsidR="00D161F4" w:rsidRPr="00664E64">
        <w:t>total of 4,079 (80.4% of total) respondents entered an age</w:t>
      </w:r>
      <w:r w:rsidR="00CC40E3" w:rsidRPr="00664E64">
        <w:t xml:space="preserve">, which </w:t>
      </w:r>
      <w:r w:rsidR="00D161F4" w:rsidRPr="00664E64">
        <w:t xml:space="preserve">ranged from 1 to 85 with 24 </w:t>
      </w:r>
      <w:r w:rsidR="00CC40E3" w:rsidRPr="00664E64">
        <w:t xml:space="preserve">participants </w:t>
      </w:r>
      <w:r w:rsidR="00D161F4" w:rsidRPr="00664E64">
        <w:t>having entered values less than fourteen</w:t>
      </w:r>
      <w:r w:rsidR="00CC40E3" w:rsidRPr="00664E64">
        <w:t xml:space="preserve"> years</w:t>
      </w:r>
      <w:r w:rsidR="00D161F4" w:rsidRPr="00664E64">
        <w:t>. Table 5.15 shows a summary of the age reported.</w:t>
      </w:r>
    </w:p>
    <w:p w14:paraId="220E4065" w14:textId="4711F9F9" w:rsidR="00D161F4" w:rsidRPr="0036418A" w:rsidRDefault="00D161F4" w:rsidP="00415C73">
      <w:pPr>
        <w:pStyle w:val="FigureCaption"/>
        <w:rPr>
          <w:color w:val="auto"/>
          <w:lang w:val="en-AU"/>
        </w:rPr>
      </w:pPr>
      <w:bookmarkStart w:id="56" w:name="_Toc11864578"/>
      <w:bookmarkStart w:id="57" w:name="_Toc12549575"/>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15</w:t>
      </w:r>
      <w:r w:rsidR="00777624" w:rsidRPr="0036418A">
        <w:rPr>
          <w:noProof/>
          <w:color w:val="auto"/>
          <w:lang w:val="en-AU"/>
        </w:rPr>
        <w:fldChar w:fldCharType="end"/>
      </w:r>
      <w:r w:rsidR="008C2060" w:rsidRPr="0036418A">
        <w:rPr>
          <w:color w:val="auto"/>
          <w:lang w:val="en-AU"/>
        </w:rPr>
        <w:t>:</w:t>
      </w:r>
      <w:r w:rsidRPr="0036418A">
        <w:rPr>
          <w:color w:val="auto"/>
          <w:lang w:val="en-AU"/>
        </w:rPr>
        <w:t xml:space="preserve"> Age when first signed up for an online betting account (N</w:t>
      </w:r>
      <w:r w:rsidR="008C2060" w:rsidRPr="0036418A">
        <w:rPr>
          <w:color w:val="auto"/>
          <w:lang w:val="en-AU"/>
        </w:rPr>
        <w:t xml:space="preserve"> </w:t>
      </w:r>
      <w:r w:rsidRPr="0036418A">
        <w:rPr>
          <w:color w:val="auto"/>
          <w:lang w:val="en-AU"/>
        </w:rPr>
        <w:t>=</w:t>
      </w:r>
      <w:r w:rsidR="008C2060" w:rsidRPr="0036418A">
        <w:rPr>
          <w:color w:val="auto"/>
          <w:lang w:val="en-AU"/>
        </w:rPr>
        <w:t xml:space="preserve"> </w:t>
      </w:r>
      <w:r w:rsidRPr="0036418A">
        <w:rPr>
          <w:color w:val="auto"/>
          <w:lang w:val="en-AU"/>
        </w:rPr>
        <w:t>4,079)</w:t>
      </w:r>
      <w:bookmarkEnd w:id="56"/>
      <w:bookmarkEnd w:id="57"/>
    </w:p>
    <w:tbl>
      <w:tblPr>
        <w:tblStyle w:val="TableGrid"/>
        <w:tblW w:w="5000" w:type="pct"/>
        <w:tblLook w:val="04A0" w:firstRow="1" w:lastRow="0" w:firstColumn="1" w:lastColumn="0" w:noHBand="0" w:noVBand="1"/>
        <w:tblCaption w:val="Age when first signed up for an online betting account (N = 4,079)"/>
        <w:tblDescription w:val="Shows the age of particpants when they first got an online betting account. Most signed up between the ages of 18 and 34."/>
      </w:tblPr>
      <w:tblGrid>
        <w:gridCol w:w="4632"/>
        <w:gridCol w:w="3867"/>
      </w:tblGrid>
      <w:tr w:rsidR="00D161F4" w:rsidRPr="00664E64" w14:paraId="64169797" w14:textId="77777777" w:rsidTr="00523E94">
        <w:trPr>
          <w:cnfStyle w:val="100000000000" w:firstRow="1" w:lastRow="0" w:firstColumn="0" w:lastColumn="0" w:oddVBand="0" w:evenVBand="0" w:oddHBand="0" w:evenHBand="0" w:firstRowFirstColumn="0" w:firstRowLastColumn="0" w:lastRowFirstColumn="0" w:lastRowLastColumn="0"/>
          <w:trHeight w:val="370"/>
          <w:tblHeader/>
        </w:trPr>
        <w:tc>
          <w:tcPr>
            <w:tcW w:w="2725" w:type="pct"/>
            <w:hideMark/>
          </w:tcPr>
          <w:p w14:paraId="17C939D6" w14:textId="52826025" w:rsidR="00D161F4" w:rsidRPr="00664E64" w:rsidRDefault="00D161F4" w:rsidP="00A55CD9">
            <w:pPr>
              <w:pStyle w:val="TableColHeadLeft"/>
              <w:rPr>
                <w:lang w:val="en-AU"/>
              </w:rPr>
            </w:pPr>
            <w:r w:rsidRPr="00664E64">
              <w:rPr>
                <w:lang w:val="en-AU"/>
              </w:rPr>
              <w:t>Age group</w:t>
            </w:r>
          </w:p>
        </w:tc>
        <w:tc>
          <w:tcPr>
            <w:tcW w:w="2275" w:type="pct"/>
          </w:tcPr>
          <w:p w14:paraId="1DBC83BC" w14:textId="77777777" w:rsidR="00D161F4" w:rsidRPr="00664E64" w:rsidRDefault="00D161F4" w:rsidP="00A55CD9">
            <w:pPr>
              <w:pStyle w:val="TableColHeadCentre"/>
              <w:rPr>
                <w:lang w:val="en-AU"/>
              </w:rPr>
            </w:pPr>
            <w:r w:rsidRPr="00664E64">
              <w:rPr>
                <w:lang w:val="en-AU"/>
              </w:rPr>
              <w:t>%</w:t>
            </w:r>
          </w:p>
        </w:tc>
      </w:tr>
      <w:tr w:rsidR="00D161F4" w:rsidRPr="00664E64" w14:paraId="292B7648" w14:textId="77777777" w:rsidTr="00454A33">
        <w:trPr>
          <w:trHeight w:val="342"/>
        </w:trPr>
        <w:tc>
          <w:tcPr>
            <w:tcW w:w="2725" w:type="pct"/>
            <w:hideMark/>
          </w:tcPr>
          <w:p w14:paraId="51C262F5" w14:textId="77777777" w:rsidR="00D161F4" w:rsidRPr="00664E64" w:rsidRDefault="00D161F4" w:rsidP="00A55CD9">
            <w:pPr>
              <w:pStyle w:val="TableText"/>
              <w:rPr>
                <w:lang w:val="en-AU"/>
              </w:rPr>
            </w:pPr>
            <w:r w:rsidRPr="00664E64">
              <w:rPr>
                <w:lang w:val="en-AU"/>
              </w:rPr>
              <w:t>&lt;18</w:t>
            </w:r>
          </w:p>
        </w:tc>
        <w:tc>
          <w:tcPr>
            <w:tcW w:w="2275" w:type="pct"/>
          </w:tcPr>
          <w:p w14:paraId="295B2872" w14:textId="77777777" w:rsidR="00D161F4" w:rsidRPr="00664E64" w:rsidRDefault="00D161F4" w:rsidP="00A55CD9">
            <w:pPr>
              <w:pStyle w:val="TableTextCentre"/>
              <w:rPr>
                <w:lang w:val="en-AU"/>
              </w:rPr>
            </w:pPr>
            <w:r w:rsidRPr="00664E64">
              <w:rPr>
                <w:lang w:val="en-AU"/>
              </w:rPr>
              <w:t>1.2</w:t>
            </w:r>
          </w:p>
        </w:tc>
      </w:tr>
      <w:tr w:rsidR="00D161F4" w:rsidRPr="00664E64" w14:paraId="44E4453C" w14:textId="77777777" w:rsidTr="00454A33">
        <w:trPr>
          <w:trHeight w:val="342"/>
        </w:trPr>
        <w:tc>
          <w:tcPr>
            <w:tcW w:w="2725" w:type="pct"/>
            <w:hideMark/>
          </w:tcPr>
          <w:p w14:paraId="03656BF8" w14:textId="6EAF3A7D" w:rsidR="00D161F4" w:rsidRPr="00664E64" w:rsidRDefault="00D161F4" w:rsidP="00A55CD9">
            <w:pPr>
              <w:pStyle w:val="TableText"/>
              <w:rPr>
                <w:lang w:val="en-AU"/>
              </w:rPr>
            </w:pPr>
            <w:r w:rsidRPr="00664E64">
              <w:rPr>
                <w:lang w:val="en-AU"/>
              </w:rPr>
              <w:t>18</w:t>
            </w:r>
            <w:r w:rsidR="008C2060" w:rsidRPr="00664E64">
              <w:rPr>
                <w:lang w:val="en-AU"/>
              </w:rPr>
              <w:t>–</w:t>
            </w:r>
            <w:r w:rsidRPr="00664E64">
              <w:rPr>
                <w:lang w:val="en-AU"/>
              </w:rPr>
              <w:t>34</w:t>
            </w:r>
          </w:p>
        </w:tc>
        <w:tc>
          <w:tcPr>
            <w:tcW w:w="2275" w:type="pct"/>
          </w:tcPr>
          <w:p w14:paraId="64EBCB54" w14:textId="77777777" w:rsidR="00D161F4" w:rsidRPr="00664E64" w:rsidRDefault="00D161F4" w:rsidP="00A55CD9">
            <w:pPr>
              <w:pStyle w:val="TableTextCentre"/>
              <w:rPr>
                <w:lang w:val="en-AU"/>
              </w:rPr>
            </w:pPr>
            <w:r w:rsidRPr="00664E64">
              <w:rPr>
                <w:lang w:val="en-AU"/>
              </w:rPr>
              <w:t>46.4</w:t>
            </w:r>
          </w:p>
        </w:tc>
      </w:tr>
      <w:tr w:rsidR="00D161F4" w:rsidRPr="00664E64" w14:paraId="02ADBB97" w14:textId="77777777" w:rsidTr="00454A33">
        <w:trPr>
          <w:trHeight w:val="342"/>
        </w:trPr>
        <w:tc>
          <w:tcPr>
            <w:tcW w:w="2725" w:type="pct"/>
            <w:hideMark/>
          </w:tcPr>
          <w:p w14:paraId="0440E1F9" w14:textId="5363BF73" w:rsidR="00D161F4" w:rsidRPr="00664E64" w:rsidRDefault="00D161F4" w:rsidP="00A55CD9">
            <w:pPr>
              <w:pStyle w:val="TableText"/>
              <w:rPr>
                <w:lang w:val="en-AU"/>
              </w:rPr>
            </w:pPr>
            <w:r w:rsidRPr="00664E64">
              <w:rPr>
                <w:lang w:val="en-AU"/>
              </w:rPr>
              <w:t>35</w:t>
            </w:r>
            <w:r w:rsidR="008C2060" w:rsidRPr="00664E64">
              <w:rPr>
                <w:lang w:val="en-AU"/>
              </w:rPr>
              <w:t>–</w:t>
            </w:r>
            <w:r w:rsidRPr="00664E64">
              <w:rPr>
                <w:lang w:val="en-AU"/>
              </w:rPr>
              <w:t>49</w:t>
            </w:r>
          </w:p>
        </w:tc>
        <w:tc>
          <w:tcPr>
            <w:tcW w:w="2275" w:type="pct"/>
          </w:tcPr>
          <w:p w14:paraId="4829B266" w14:textId="77777777" w:rsidR="00D161F4" w:rsidRPr="00664E64" w:rsidRDefault="00D161F4" w:rsidP="00A55CD9">
            <w:pPr>
              <w:pStyle w:val="TableTextCentre"/>
              <w:rPr>
                <w:lang w:val="en-AU"/>
              </w:rPr>
            </w:pPr>
            <w:r w:rsidRPr="00664E64">
              <w:rPr>
                <w:lang w:val="en-AU"/>
              </w:rPr>
              <w:t>29.4</w:t>
            </w:r>
          </w:p>
        </w:tc>
      </w:tr>
      <w:tr w:rsidR="00D161F4" w:rsidRPr="00664E64" w14:paraId="4E87DC3C" w14:textId="77777777" w:rsidTr="00454A33">
        <w:trPr>
          <w:trHeight w:val="342"/>
        </w:trPr>
        <w:tc>
          <w:tcPr>
            <w:tcW w:w="2725" w:type="pct"/>
          </w:tcPr>
          <w:p w14:paraId="5E023CBC" w14:textId="34B48A4D" w:rsidR="00D161F4" w:rsidRPr="00664E64" w:rsidRDefault="00D161F4" w:rsidP="00A55CD9">
            <w:pPr>
              <w:pStyle w:val="TableText"/>
              <w:rPr>
                <w:lang w:val="en-AU"/>
              </w:rPr>
            </w:pPr>
            <w:r w:rsidRPr="00664E64">
              <w:rPr>
                <w:lang w:val="en-AU"/>
              </w:rPr>
              <w:t>50</w:t>
            </w:r>
            <w:r w:rsidR="008C2060" w:rsidRPr="00664E64">
              <w:rPr>
                <w:lang w:val="en-AU"/>
              </w:rPr>
              <w:t>–</w:t>
            </w:r>
            <w:r w:rsidRPr="00664E64">
              <w:rPr>
                <w:lang w:val="en-AU"/>
              </w:rPr>
              <w:t>64</w:t>
            </w:r>
          </w:p>
        </w:tc>
        <w:tc>
          <w:tcPr>
            <w:tcW w:w="2275" w:type="pct"/>
          </w:tcPr>
          <w:p w14:paraId="16E0F0F0" w14:textId="77777777" w:rsidR="00D161F4" w:rsidRPr="00664E64" w:rsidRDefault="00D161F4" w:rsidP="00A55CD9">
            <w:pPr>
              <w:pStyle w:val="TableTextCentre"/>
              <w:rPr>
                <w:lang w:val="en-AU"/>
              </w:rPr>
            </w:pPr>
            <w:r w:rsidRPr="00664E64">
              <w:rPr>
                <w:lang w:val="en-AU"/>
              </w:rPr>
              <w:t>19.2</w:t>
            </w:r>
          </w:p>
        </w:tc>
      </w:tr>
      <w:tr w:rsidR="00D161F4" w:rsidRPr="00664E64" w14:paraId="7909E52D" w14:textId="77777777" w:rsidTr="00454A33">
        <w:trPr>
          <w:trHeight w:val="342"/>
        </w:trPr>
        <w:tc>
          <w:tcPr>
            <w:tcW w:w="2725" w:type="pct"/>
          </w:tcPr>
          <w:p w14:paraId="4D18DAB7" w14:textId="77777777" w:rsidR="00D161F4" w:rsidRPr="00664E64" w:rsidRDefault="00D161F4" w:rsidP="00A55CD9">
            <w:pPr>
              <w:pStyle w:val="TableText"/>
              <w:rPr>
                <w:lang w:val="en-AU"/>
              </w:rPr>
            </w:pPr>
            <w:r w:rsidRPr="00664E64">
              <w:rPr>
                <w:lang w:val="en-AU"/>
              </w:rPr>
              <w:t>65+</w:t>
            </w:r>
          </w:p>
        </w:tc>
        <w:tc>
          <w:tcPr>
            <w:tcW w:w="2275" w:type="pct"/>
          </w:tcPr>
          <w:p w14:paraId="4D8B6E0E" w14:textId="77777777" w:rsidR="00D161F4" w:rsidRPr="00664E64" w:rsidRDefault="00D161F4" w:rsidP="00A55CD9">
            <w:pPr>
              <w:pStyle w:val="TableTextCentre"/>
              <w:rPr>
                <w:lang w:val="en-AU"/>
              </w:rPr>
            </w:pPr>
            <w:r w:rsidRPr="00664E64">
              <w:rPr>
                <w:lang w:val="en-AU"/>
              </w:rPr>
              <w:t>3.9</w:t>
            </w:r>
          </w:p>
        </w:tc>
      </w:tr>
    </w:tbl>
    <w:p w14:paraId="72259507" w14:textId="5F272C3F" w:rsidR="00523E94" w:rsidRPr="00523E94" w:rsidRDefault="00523E94" w:rsidP="00523E94">
      <w:pPr>
        <w:pStyle w:val="BodyText"/>
        <w:pBdr>
          <w:bottom w:val="single" w:sz="4" w:space="1" w:color="auto"/>
        </w:pBdr>
        <w:spacing w:before="0"/>
        <w:rPr>
          <w:sz w:val="18"/>
          <w:szCs w:val="18"/>
        </w:rPr>
      </w:pPr>
      <w:r w:rsidRPr="00523E94">
        <w:rPr>
          <w:sz w:val="18"/>
          <w:szCs w:val="18"/>
        </w:rPr>
        <w:t>Note: Percentages may not total 100% due to rounding</w:t>
      </w:r>
      <w:r>
        <w:rPr>
          <w:sz w:val="18"/>
          <w:szCs w:val="18"/>
        </w:rPr>
        <w:t>.</w:t>
      </w:r>
    </w:p>
    <w:p w14:paraId="70B80FE7" w14:textId="203A2837" w:rsidR="00C74B30" w:rsidRPr="00664E64" w:rsidRDefault="00C808A3" w:rsidP="00D36108">
      <w:pPr>
        <w:pStyle w:val="BodyText"/>
      </w:pPr>
      <w:r w:rsidRPr="00664E64">
        <w:t>Participants were also asked whether they had ever closed an account, with 1,432 respondents (28.6% of those with at least one current account) reporting having done so in the past.</w:t>
      </w:r>
      <w:r w:rsidR="00C74B30" w:rsidRPr="00664E64">
        <w:t xml:space="preserve"> </w:t>
      </w:r>
      <w:r w:rsidR="00942808" w:rsidRPr="00664E64">
        <w:t>It is important to note that this may include accounts with providers licen</w:t>
      </w:r>
      <w:r w:rsidR="008C2060" w:rsidRPr="00664E64">
        <w:t>s</w:t>
      </w:r>
      <w:r w:rsidR="00942808" w:rsidRPr="00664E64">
        <w:t>ed in Australia or offshore.</w:t>
      </w:r>
    </w:p>
    <w:p w14:paraId="4697D563" w14:textId="3D3C6D6F" w:rsidR="00C74B30" w:rsidRPr="00664E64" w:rsidRDefault="00C74B30" w:rsidP="00D36108">
      <w:pPr>
        <w:pStyle w:val="BodyText"/>
      </w:pPr>
      <w:r w:rsidRPr="00664E64">
        <w:t xml:space="preserve">Open text responses </w:t>
      </w:r>
      <w:r w:rsidR="00942808" w:rsidRPr="00664E64">
        <w:t>(provide</w:t>
      </w:r>
      <w:r w:rsidR="00B33DF6" w:rsidRPr="00664E64">
        <w:t>d</w:t>
      </w:r>
      <w:r w:rsidR="00942808" w:rsidRPr="00664E64">
        <w:t xml:space="preserve"> by </w:t>
      </w:r>
      <w:r w:rsidR="00942808" w:rsidRPr="00664E64">
        <w:rPr>
          <w:i/>
        </w:rPr>
        <w:t>n</w:t>
      </w:r>
      <w:r w:rsidR="008C2060" w:rsidRPr="00664E64">
        <w:t xml:space="preserve"> </w:t>
      </w:r>
      <w:r w:rsidR="00942808" w:rsidRPr="00664E64">
        <w:t>=</w:t>
      </w:r>
      <w:r w:rsidR="008C2060" w:rsidRPr="00664E64">
        <w:t xml:space="preserve"> </w:t>
      </w:r>
      <w:r w:rsidR="00B33DF6" w:rsidRPr="00664E64">
        <w:t xml:space="preserve">1,383) </w:t>
      </w:r>
      <w:r w:rsidR="00F064E3" w:rsidRPr="00664E64">
        <w:t xml:space="preserve">suggested that the main reasons for closing an account related to perceived poor customer service from the wagering provider/s, dissatisfaction with the features available from the provider/s, and a lack of appealing odds or inducements. </w:t>
      </w:r>
    </w:p>
    <w:p w14:paraId="27342706" w14:textId="3882F68A" w:rsidR="00F064E3" w:rsidRPr="0036418A" w:rsidRDefault="008C2060" w:rsidP="00A55CD9">
      <w:pPr>
        <w:pStyle w:val="Quote"/>
        <w:rPr>
          <w:color w:val="auto"/>
        </w:rPr>
      </w:pPr>
      <w:r w:rsidRPr="0036418A">
        <w:rPr>
          <w:color w:val="auto"/>
        </w:rPr>
        <w:lastRenderedPageBreak/>
        <w:t>‘</w:t>
      </w:r>
      <w:r w:rsidR="00F064E3" w:rsidRPr="0036418A">
        <w:rPr>
          <w:color w:val="auto"/>
        </w:rPr>
        <w:t>Not happy about software and interface</w:t>
      </w:r>
      <w:r w:rsidRPr="0036418A">
        <w:rPr>
          <w:color w:val="auto"/>
        </w:rPr>
        <w:t>.’</w:t>
      </w:r>
    </w:p>
    <w:p w14:paraId="0FCAE3B9" w14:textId="08AD5534" w:rsidR="00F064E3" w:rsidRPr="0036418A" w:rsidRDefault="008C2060" w:rsidP="00A55CD9">
      <w:pPr>
        <w:pStyle w:val="Quote"/>
        <w:rPr>
          <w:color w:val="auto"/>
        </w:rPr>
      </w:pPr>
      <w:r w:rsidRPr="0036418A">
        <w:rPr>
          <w:color w:val="auto"/>
        </w:rPr>
        <w:t>‘</w:t>
      </w:r>
      <w:r w:rsidR="00F064E3" w:rsidRPr="0036418A">
        <w:rPr>
          <w:color w:val="auto"/>
        </w:rPr>
        <w:t>I didn’t like the T&amp;Cs of the betting agent</w:t>
      </w:r>
      <w:r w:rsidRPr="0036418A">
        <w:rPr>
          <w:color w:val="auto"/>
        </w:rPr>
        <w:t>.’</w:t>
      </w:r>
    </w:p>
    <w:p w14:paraId="695006D5" w14:textId="2D6A3E38" w:rsidR="00942808" w:rsidRPr="0036418A" w:rsidRDefault="008C2060" w:rsidP="00A55CD9">
      <w:pPr>
        <w:pStyle w:val="Quote"/>
        <w:rPr>
          <w:color w:val="auto"/>
        </w:rPr>
      </w:pPr>
      <w:r w:rsidRPr="0036418A">
        <w:rPr>
          <w:color w:val="auto"/>
        </w:rPr>
        <w:t>‘</w:t>
      </w:r>
      <w:r w:rsidR="00F064E3" w:rsidRPr="0036418A">
        <w:rPr>
          <w:color w:val="auto"/>
        </w:rPr>
        <w:t>Not attractive bonuses and lack of betting guide</w:t>
      </w:r>
      <w:r w:rsidRPr="0036418A">
        <w:rPr>
          <w:color w:val="auto"/>
        </w:rPr>
        <w:t>.’</w:t>
      </w:r>
    </w:p>
    <w:p w14:paraId="3E22FCA9" w14:textId="73C58A05" w:rsidR="00942808" w:rsidRPr="0036418A" w:rsidRDefault="008C2060" w:rsidP="00A55CD9">
      <w:pPr>
        <w:pStyle w:val="Quote"/>
        <w:rPr>
          <w:color w:val="auto"/>
        </w:rPr>
      </w:pPr>
      <w:r w:rsidRPr="0036418A">
        <w:rPr>
          <w:color w:val="auto"/>
        </w:rPr>
        <w:t>‘</w:t>
      </w:r>
      <w:r w:rsidR="00942808" w:rsidRPr="0036418A">
        <w:rPr>
          <w:color w:val="auto"/>
        </w:rPr>
        <w:t>Restrictions, poor odds and poor customer service</w:t>
      </w:r>
      <w:r w:rsidRPr="0036418A">
        <w:rPr>
          <w:color w:val="auto"/>
        </w:rPr>
        <w:t>.’</w:t>
      </w:r>
    </w:p>
    <w:p w14:paraId="6B429C5D" w14:textId="29181323" w:rsidR="00942808" w:rsidRPr="0036418A" w:rsidRDefault="008C2060" w:rsidP="00A55CD9">
      <w:pPr>
        <w:pStyle w:val="Quote"/>
        <w:rPr>
          <w:color w:val="auto"/>
        </w:rPr>
      </w:pPr>
      <w:r w:rsidRPr="0036418A">
        <w:rPr>
          <w:color w:val="auto"/>
        </w:rPr>
        <w:t>‘</w:t>
      </w:r>
      <w:r w:rsidR="00942808" w:rsidRPr="0036418A">
        <w:rPr>
          <w:color w:val="auto"/>
        </w:rPr>
        <w:t>Dispute with provider and slow payment or reduction in service. If a provider disappoints me, I permanently self-exclude from provider</w:t>
      </w:r>
      <w:r w:rsidRPr="0036418A">
        <w:rPr>
          <w:color w:val="auto"/>
        </w:rPr>
        <w:t>.’</w:t>
      </w:r>
    </w:p>
    <w:p w14:paraId="10DF8077" w14:textId="4A7A22F6" w:rsidR="00942808" w:rsidRPr="0036418A" w:rsidRDefault="008C2060" w:rsidP="00A55CD9">
      <w:pPr>
        <w:pStyle w:val="Quote"/>
        <w:rPr>
          <w:color w:val="auto"/>
          <w:szCs w:val="20"/>
        </w:rPr>
      </w:pPr>
      <w:r w:rsidRPr="0036418A">
        <w:rPr>
          <w:color w:val="auto"/>
          <w:szCs w:val="20"/>
        </w:rPr>
        <w:t>‘</w:t>
      </w:r>
      <w:r w:rsidR="00942808" w:rsidRPr="0036418A">
        <w:rPr>
          <w:color w:val="auto"/>
          <w:szCs w:val="20"/>
        </w:rPr>
        <w:t>Lousy payout times, cheating on failing to pay winning bets, non-Australian owned agencies, poor service</w:t>
      </w:r>
      <w:r w:rsidRPr="0036418A">
        <w:rPr>
          <w:color w:val="auto"/>
          <w:szCs w:val="20"/>
        </w:rPr>
        <w:t>.’</w:t>
      </w:r>
    </w:p>
    <w:p w14:paraId="6C76C4B6" w14:textId="7A58B981" w:rsidR="00942808" w:rsidRPr="0036418A" w:rsidRDefault="00942808" w:rsidP="00A55CD9">
      <w:pPr>
        <w:pStyle w:val="BodyText"/>
        <w:rPr>
          <w:color w:val="auto"/>
        </w:rPr>
      </w:pPr>
      <w:r w:rsidRPr="0036418A">
        <w:rPr>
          <w:color w:val="auto"/>
        </w:rPr>
        <w:t>Others noted that they did not need multiple accounts, so has chosen a preferred wagering provider.</w:t>
      </w:r>
    </w:p>
    <w:p w14:paraId="489B3DEE" w14:textId="5FCB95BE" w:rsidR="00942808" w:rsidRPr="0036418A" w:rsidRDefault="008C2060" w:rsidP="00A55CD9">
      <w:pPr>
        <w:pStyle w:val="Quote"/>
        <w:rPr>
          <w:color w:val="auto"/>
        </w:rPr>
      </w:pPr>
      <w:r w:rsidRPr="0036418A">
        <w:rPr>
          <w:color w:val="auto"/>
        </w:rPr>
        <w:t>‘</w:t>
      </w:r>
      <w:r w:rsidR="00942808" w:rsidRPr="0036418A">
        <w:rPr>
          <w:color w:val="auto"/>
        </w:rPr>
        <w:t>Didn’t need multiple accounts offering similar odds, incentives, etc.</w:t>
      </w:r>
      <w:r w:rsidRPr="0036418A">
        <w:rPr>
          <w:color w:val="auto"/>
        </w:rPr>
        <w:t>’</w:t>
      </w:r>
    </w:p>
    <w:p w14:paraId="04972A32" w14:textId="4EEFE083" w:rsidR="00942808" w:rsidRPr="0036418A" w:rsidRDefault="008C2060" w:rsidP="00A55CD9">
      <w:pPr>
        <w:pStyle w:val="Quote"/>
        <w:rPr>
          <w:color w:val="auto"/>
        </w:rPr>
      </w:pPr>
      <w:r w:rsidRPr="0036418A">
        <w:rPr>
          <w:color w:val="auto"/>
        </w:rPr>
        <w:t>‘</w:t>
      </w:r>
      <w:r w:rsidR="00942808" w:rsidRPr="0036418A">
        <w:rPr>
          <w:color w:val="auto"/>
        </w:rPr>
        <w:t>Because I favoured one over the other and did not want two accounts</w:t>
      </w:r>
      <w:r w:rsidRPr="0036418A">
        <w:rPr>
          <w:color w:val="auto"/>
        </w:rPr>
        <w:t>.’</w:t>
      </w:r>
    </w:p>
    <w:p w14:paraId="74984EDC" w14:textId="236569C3" w:rsidR="00C74B30" w:rsidRPr="0036418A" w:rsidRDefault="00F064E3" w:rsidP="008C2060">
      <w:pPr>
        <w:pStyle w:val="BodyText"/>
        <w:rPr>
          <w:color w:val="auto"/>
        </w:rPr>
      </w:pPr>
      <w:r w:rsidRPr="0036418A">
        <w:rPr>
          <w:color w:val="auto"/>
        </w:rPr>
        <w:t>Some also noted that the wagering provider/s has closed their account/s because they were successful or winning.</w:t>
      </w:r>
    </w:p>
    <w:p w14:paraId="78AF622F" w14:textId="79870C47" w:rsidR="00C74B30" w:rsidRPr="0036418A" w:rsidRDefault="008C2060" w:rsidP="00A55CD9">
      <w:pPr>
        <w:pStyle w:val="Quote"/>
        <w:rPr>
          <w:color w:val="auto"/>
        </w:rPr>
      </w:pPr>
      <w:r w:rsidRPr="0036418A">
        <w:rPr>
          <w:color w:val="auto"/>
        </w:rPr>
        <w:t>‘</w:t>
      </w:r>
      <w:r w:rsidR="00C74B30" w:rsidRPr="0036418A">
        <w:rPr>
          <w:color w:val="auto"/>
        </w:rPr>
        <w:t>Successful wagering. Closed by the betting company</w:t>
      </w:r>
      <w:r w:rsidRPr="0036418A">
        <w:rPr>
          <w:color w:val="auto"/>
        </w:rPr>
        <w:t>.’</w:t>
      </w:r>
    </w:p>
    <w:p w14:paraId="7B56A772" w14:textId="07CB8C38" w:rsidR="00C74B30" w:rsidRPr="0036418A" w:rsidRDefault="008C2060" w:rsidP="00A55CD9">
      <w:pPr>
        <w:pStyle w:val="Quote"/>
        <w:rPr>
          <w:color w:val="auto"/>
        </w:rPr>
      </w:pPr>
      <w:r w:rsidRPr="0036418A">
        <w:rPr>
          <w:color w:val="auto"/>
        </w:rPr>
        <w:t>‘</w:t>
      </w:r>
      <w:r w:rsidR="00C74B30" w:rsidRPr="0036418A">
        <w:rPr>
          <w:color w:val="auto"/>
        </w:rPr>
        <w:t>Betting restrictions were put on me because I was winning. Also banned me from promo bets</w:t>
      </w:r>
      <w:r w:rsidRPr="0036418A">
        <w:rPr>
          <w:color w:val="auto"/>
        </w:rPr>
        <w:t>.’</w:t>
      </w:r>
    </w:p>
    <w:p w14:paraId="19D556CC" w14:textId="6AEE4229" w:rsidR="00F064E3" w:rsidRPr="0036418A" w:rsidRDefault="008C2060" w:rsidP="00A55CD9">
      <w:pPr>
        <w:pStyle w:val="Quote"/>
        <w:rPr>
          <w:color w:val="auto"/>
        </w:rPr>
      </w:pPr>
      <w:r w:rsidRPr="0036418A">
        <w:rPr>
          <w:color w:val="auto"/>
        </w:rPr>
        <w:t>‘</w:t>
      </w:r>
      <w:r w:rsidR="00F064E3" w:rsidRPr="0036418A">
        <w:rPr>
          <w:color w:val="auto"/>
        </w:rPr>
        <w:t>Because the sports betting company had restricted my betting limits on the account so they don’t deserve my service for being crooks</w:t>
      </w:r>
      <w:r w:rsidRPr="0036418A">
        <w:rPr>
          <w:color w:val="auto"/>
        </w:rPr>
        <w:t>.’</w:t>
      </w:r>
    </w:p>
    <w:p w14:paraId="62AA0702" w14:textId="5E2463BB" w:rsidR="00F064E3" w:rsidRPr="0036418A" w:rsidRDefault="008C2060" w:rsidP="00A55CD9">
      <w:pPr>
        <w:pStyle w:val="Quote"/>
        <w:rPr>
          <w:color w:val="auto"/>
        </w:rPr>
      </w:pPr>
      <w:r w:rsidRPr="0036418A">
        <w:rPr>
          <w:color w:val="auto"/>
        </w:rPr>
        <w:t>‘</w:t>
      </w:r>
      <w:r w:rsidR="00F064E3" w:rsidRPr="0036418A">
        <w:rPr>
          <w:color w:val="auto"/>
        </w:rPr>
        <w:t>Terrible service, was dodgy and they banned me for winning</w:t>
      </w:r>
      <w:r w:rsidRPr="0036418A">
        <w:rPr>
          <w:color w:val="auto"/>
        </w:rPr>
        <w:t>.’</w:t>
      </w:r>
    </w:p>
    <w:p w14:paraId="4593069D" w14:textId="51FE23F7" w:rsidR="00F064E3" w:rsidRPr="0036418A" w:rsidRDefault="00F064E3" w:rsidP="008C2060">
      <w:pPr>
        <w:pStyle w:val="BodyText"/>
        <w:rPr>
          <w:color w:val="auto"/>
        </w:rPr>
      </w:pPr>
      <w:r w:rsidRPr="0036418A">
        <w:rPr>
          <w:color w:val="auto"/>
        </w:rPr>
        <w:t xml:space="preserve">Finally, a small number of open text responses mentioned having closed accounts as a form of </w:t>
      </w:r>
      <w:r w:rsidR="00C74B30" w:rsidRPr="0036418A">
        <w:rPr>
          <w:color w:val="auto"/>
        </w:rPr>
        <w:t>protection against problem gambling.</w:t>
      </w:r>
    </w:p>
    <w:p w14:paraId="12D2070F" w14:textId="339D23DD" w:rsidR="00C74B30" w:rsidRPr="0036418A" w:rsidRDefault="008C2060" w:rsidP="00A55CD9">
      <w:pPr>
        <w:pStyle w:val="Quote"/>
        <w:rPr>
          <w:color w:val="auto"/>
        </w:rPr>
      </w:pPr>
      <w:r w:rsidRPr="0036418A">
        <w:rPr>
          <w:color w:val="auto"/>
        </w:rPr>
        <w:t>‘</w:t>
      </w:r>
      <w:r w:rsidR="00F064E3" w:rsidRPr="0036418A">
        <w:rPr>
          <w:color w:val="auto"/>
        </w:rPr>
        <w:t>To get rid of this bad betting habit.</w:t>
      </w:r>
      <w:r w:rsidRPr="0036418A">
        <w:rPr>
          <w:color w:val="auto"/>
        </w:rPr>
        <w:t>’</w:t>
      </w:r>
    </w:p>
    <w:p w14:paraId="36FB9A81" w14:textId="720324DB" w:rsidR="00C74B30" w:rsidRPr="0036418A" w:rsidRDefault="008C2060" w:rsidP="00A55CD9">
      <w:pPr>
        <w:pStyle w:val="Quote"/>
        <w:rPr>
          <w:color w:val="auto"/>
        </w:rPr>
      </w:pPr>
      <w:r w:rsidRPr="0036418A">
        <w:rPr>
          <w:color w:val="auto"/>
        </w:rPr>
        <w:t>‘</w:t>
      </w:r>
      <w:r w:rsidR="00C74B30" w:rsidRPr="0036418A">
        <w:rPr>
          <w:color w:val="auto"/>
        </w:rPr>
        <w:t>Very addictive. The more convenient betting is, the more it destroys families</w:t>
      </w:r>
      <w:r w:rsidRPr="0036418A">
        <w:rPr>
          <w:color w:val="auto"/>
        </w:rPr>
        <w:t>.’</w:t>
      </w:r>
    </w:p>
    <w:p w14:paraId="32A0C6D7" w14:textId="6D2541C3" w:rsidR="00D161F4" w:rsidRPr="0036418A" w:rsidRDefault="00CC40E3" w:rsidP="00A55CD9">
      <w:pPr>
        <w:pStyle w:val="Heading3"/>
        <w:rPr>
          <w:color w:val="auto"/>
        </w:rPr>
      </w:pPr>
      <w:r w:rsidRPr="0036418A">
        <w:rPr>
          <w:color w:val="auto"/>
        </w:rPr>
        <w:t>Offshore wagering accounts</w:t>
      </w:r>
    </w:p>
    <w:p w14:paraId="5CF8EDCF" w14:textId="3276E5E2" w:rsidR="00D161F4" w:rsidRPr="00664E64" w:rsidRDefault="00D161F4" w:rsidP="00DF2954">
      <w:pPr>
        <w:spacing w:before="120" w:line="280" w:lineRule="atLeast"/>
        <w:jc w:val="both"/>
        <w:rPr>
          <w:rFonts w:ascii="Arial" w:hAnsi="Arial" w:cs="Arial"/>
          <w:color w:val="000000"/>
          <w:sz w:val="20"/>
          <w:szCs w:val="20"/>
        </w:rPr>
      </w:pPr>
      <w:r w:rsidRPr="00664E64">
        <w:rPr>
          <w:rFonts w:ascii="Arial" w:hAnsi="Arial" w:cs="Arial"/>
          <w:color w:val="000000"/>
          <w:sz w:val="20"/>
          <w:szCs w:val="20"/>
        </w:rPr>
        <w:t>A total of 5</w:t>
      </w:r>
      <w:r w:rsidR="00CC40E3" w:rsidRPr="00664E64">
        <w:rPr>
          <w:rFonts w:ascii="Arial" w:hAnsi="Arial" w:cs="Arial"/>
          <w:color w:val="000000"/>
          <w:sz w:val="20"/>
          <w:szCs w:val="20"/>
        </w:rPr>
        <w:t>,</w:t>
      </w:r>
      <w:r w:rsidRPr="00664E64">
        <w:rPr>
          <w:rFonts w:ascii="Arial" w:hAnsi="Arial" w:cs="Arial"/>
          <w:color w:val="000000"/>
          <w:sz w:val="20"/>
          <w:szCs w:val="20"/>
        </w:rPr>
        <w:t>039 people responded to the question of whether they had ever used or opened a betting account with any offshore wagering companies (Table 5.1</w:t>
      </w:r>
      <w:r w:rsidR="00533534" w:rsidRPr="00664E64">
        <w:rPr>
          <w:rFonts w:ascii="Arial" w:hAnsi="Arial" w:cs="Arial"/>
          <w:color w:val="000000"/>
          <w:sz w:val="20"/>
          <w:szCs w:val="20"/>
        </w:rPr>
        <w:t>6</w:t>
      </w:r>
      <w:r w:rsidRPr="00664E64">
        <w:rPr>
          <w:rFonts w:ascii="Arial" w:hAnsi="Arial" w:cs="Arial"/>
          <w:color w:val="000000"/>
          <w:sz w:val="20"/>
          <w:szCs w:val="20"/>
        </w:rPr>
        <w:t>). Almost 13% reported having done so</w:t>
      </w:r>
      <w:r w:rsidR="00CC40E3" w:rsidRPr="00664E64">
        <w:rPr>
          <w:rFonts w:ascii="Arial" w:hAnsi="Arial" w:cs="Arial"/>
          <w:color w:val="000000"/>
          <w:sz w:val="20"/>
          <w:szCs w:val="20"/>
        </w:rPr>
        <w:t xml:space="preserve"> at some point</w:t>
      </w:r>
      <w:r w:rsidRPr="00664E64">
        <w:rPr>
          <w:rFonts w:ascii="Arial" w:hAnsi="Arial" w:cs="Arial"/>
          <w:color w:val="000000"/>
          <w:sz w:val="20"/>
          <w:szCs w:val="20"/>
        </w:rPr>
        <w:t>.</w:t>
      </w:r>
    </w:p>
    <w:p w14:paraId="2A7D8B7F" w14:textId="77777777" w:rsidR="00C77B59" w:rsidRDefault="00C77B59">
      <w:pPr>
        <w:rPr>
          <w:rFonts w:ascii="Arial" w:hAnsi="Arial" w:cs="Arial"/>
          <w:b/>
          <w:color w:val="ED0C64"/>
          <w:sz w:val="20"/>
          <w:szCs w:val="20"/>
          <w:lang w:eastAsia="ja-JP" w:bidi="en-US"/>
        </w:rPr>
      </w:pPr>
      <w:bookmarkStart w:id="58" w:name="_Toc11864579"/>
      <w:bookmarkStart w:id="59" w:name="_Toc12549576"/>
      <w:r>
        <w:rPr>
          <w:szCs w:val="20"/>
        </w:rPr>
        <w:br w:type="page"/>
      </w:r>
    </w:p>
    <w:p w14:paraId="1B491258" w14:textId="3C0DFF0B" w:rsidR="00D161F4" w:rsidRPr="0036418A" w:rsidRDefault="00D161F4" w:rsidP="00415C73">
      <w:pPr>
        <w:pStyle w:val="FigureCaption"/>
        <w:rPr>
          <w:color w:val="auto"/>
          <w:lang w:val="en-AU"/>
        </w:rPr>
      </w:pPr>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16</w:t>
      </w:r>
      <w:r w:rsidR="00777624" w:rsidRPr="0036418A">
        <w:rPr>
          <w:noProof/>
          <w:color w:val="auto"/>
          <w:lang w:val="en-AU"/>
        </w:rPr>
        <w:fldChar w:fldCharType="end"/>
      </w:r>
      <w:r w:rsidR="008C2060" w:rsidRPr="0036418A">
        <w:rPr>
          <w:color w:val="auto"/>
          <w:lang w:val="en-AU"/>
        </w:rPr>
        <w:t>:</w:t>
      </w:r>
      <w:r w:rsidRPr="0036418A">
        <w:rPr>
          <w:color w:val="auto"/>
          <w:lang w:val="en-AU"/>
        </w:rPr>
        <w:t xml:space="preserve"> Ever specifically chose to use/open a betting account with any offshore wagering companies (</w:t>
      </w:r>
      <w:r w:rsidRPr="0036418A">
        <w:rPr>
          <w:i/>
          <w:color w:val="auto"/>
          <w:lang w:val="en-AU"/>
        </w:rPr>
        <w:t>N</w:t>
      </w:r>
      <w:r w:rsidR="008C2060" w:rsidRPr="0036418A">
        <w:rPr>
          <w:color w:val="auto"/>
          <w:lang w:val="en-AU"/>
        </w:rPr>
        <w:t xml:space="preserve"> </w:t>
      </w:r>
      <w:r w:rsidRPr="0036418A">
        <w:rPr>
          <w:color w:val="auto"/>
          <w:lang w:val="en-AU"/>
        </w:rPr>
        <w:t>=</w:t>
      </w:r>
      <w:r w:rsidR="008C2060" w:rsidRPr="0036418A">
        <w:rPr>
          <w:color w:val="auto"/>
          <w:lang w:val="en-AU"/>
        </w:rPr>
        <w:t xml:space="preserve"> </w:t>
      </w:r>
      <w:r w:rsidRPr="0036418A">
        <w:rPr>
          <w:color w:val="auto"/>
          <w:lang w:val="en-AU"/>
        </w:rPr>
        <w:t>5,039)</w:t>
      </w:r>
      <w:bookmarkEnd w:id="58"/>
      <w:bookmarkEnd w:id="59"/>
    </w:p>
    <w:tbl>
      <w:tblPr>
        <w:tblStyle w:val="TableGrid"/>
        <w:tblW w:w="5000" w:type="pct"/>
        <w:tblLook w:val="04A0" w:firstRow="1" w:lastRow="0" w:firstColumn="1" w:lastColumn="0" w:noHBand="0" w:noVBand="1"/>
        <w:tblCaption w:val="Ever specifically chose to use/open a betting account with any offshore wagering companies (N = 5,039)"/>
        <w:tblDescription w:val="Shows how many participants have chosen to open an offshore betting account. Only 12.7% said they had."/>
      </w:tblPr>
      <w:tblGrid>
        <w:gridCol w:w="4187"/>
        <w:gridCol w:w="4312"/>
      </w:tblGrid>
      <w:tr w:rsidR="00D161F4" w:rsidRPr="00664E64" w14:paraId="43A760AF" w14:textId="77777777" w:rsidTr="00AD3717">
        <w:trPr>
          <w:cnfStyle w:val="100000000000" w:firstRow="1" w:lastRow="0" w:firstColumn="0" w:lastColumn="0" w:oddVBand="0" w:evenVBand="0" w:oddHBand="0" w:evenHBand="0" w:firstRowFirstColumn="0" w:firstRowLastColumn="0" w:lastRowFirstColumn="0" w:lastRowLastColumn="0"/>
          <w:trHeight w:val="429"/>
          <w:tblHeader/>
        </w:trPr>
        <w:tc>
          <w:tcPr>
            <w:tcW w:w="2463" w:type="pct"/>
            <w:hideMark/>
          </w:tcPr>
          <w:p w14:paraId="5D517A41" w14:textId="77777777" w:rsidR="00D161F4" w:rsidRPr="00664E64" w:rsidRDefault="00D161F4" w:rsidP="00A55CD9">
            <w:pPr>
              <w:pStyle w:val="TableColHeadLeft"/>
              <w:rPr>
                <w:lang w:val="en-AU"/>
              </w:rPr>
            </w:pPr>
            <w:r w:rsidRPr="00664E64">
              <w:rPr>
                <w:lang w:val="en-AU"/>
              </w:rPr>
              <w:t>Response</w:t>
            </w:r>
          </w:p>
        </w:tc>
        <w:tc>
          <w:tcPr>
            <w:tcW w:w="2537" w:type="pct"/>
            <w:hideMark/>
          </w:tcPr>
          <w:p w14:paraId="19CC09F9" w14:textId="77777777" w:rsidR="00D161F4" w:rsidRPr="00664E64" w:rsidRDefault="00D161F4" w:rsidP="00A55CD9">
            <w:pPr>
              <w:pStyle w:val="TableColHeadCentre"/>
              <w:rPr>
                <w:lang w:val="en-AU"/>
              </w:rPr>
            </w:pPr>
            <w:r w:rsidRPr="00664E64">
              <w:rPr>
                <w:lang w:val="en-AU"/>
              </w:rPr>
              <w:t>%</w:t>
            </w:r>
          </w:p>
        </w:tc>
      </w:tr>
      <w:tr w:rsidR="00D161F4" w:rsidRPr="00664E64" w14:paraId="3FE8B08C" w14:textId="77777777" w:rsidTr="00CC40E3">
        <w:trPr>
          <w:trHeight w:val="347"/>
        </w:trPr>
        <w:tc>
          <w:tcPr>
            <w:tcW w:w="2463" w:type="pct"/>
            <w:hideMark/>
          </w:tcPr>
          <w:p w14:paraId="07350181" w14:textId="77777777" w:rsidR="00D161F4" w:rsidRPr="00664E64" w:rsidRDefault="00D161F4" w:rsidP="00A55CD9">
            <w:pPr>
              <w:pStyle w:val="TableText"/>
              <w:rPr>
                <w:lang w:val="en-AU"/>
              </w:rPr>
            </w:pPr>
            <w:r w:rsidRPr="00664E64">
              <w:rPr>
                <w:lang w:val="en-AU"/>
              </w:rPr>
              <w:t>Yes</w:t>
            </w:r>
          </w:p>
        </w:tc>
        <w:tc>
          <w:tcPr>
            <w:tcW w:w="2537" w:type="pct"/>
            <w:noWrap/>
            <w:hideMark/>
          </w:tcPr>
          <w:p w14:paraId="178762DF" w14:textId="77777777" w:rsidR="00D161F4" w:rsidRPr="00664E64" w:rsidRDefault="00D161F4" w:rsidP="00A55CD9">
            <w:pPr>
              <w:pStyle w:val="TableTextCentre"/>
              <w:rPr>
                <w:lang w:val="en-AU"/>
              </w:rPr>
            </w:pPr>
            <w:r w:rsidRPr="00664E64">
              <w:rPr>
                <w:lang w:val="en-AU"/>
              </w:rPr>
              <w:t>12.7</w:t>
            </w:r>
          </w:p>
        </w:tc>
      </w:tr>
      <w:tr w:rsidR="00D161F4" w:rsidRPr="00664E64" w14:paraId="7348488C" w14:textId="77777777" w:rsidTr="00CC40E3">
        <w:trPr>
          <w:trHeight w:val="347"/>
        </w:trPr>
        <w:tc>
          <w:tcPr>
            <w:tcW w:w="2463" w:type="pct"/>
            <w:hideMark/>
          </w:tcPr>
          <w:p w14:paraId="5CC9B2CA" w14:textId="77777777" w:rsidR="00D161F4" w:rsidRPr="00664E64" w:rsidRDefault="00D161F4" w:rsidP="00A55CD9">
            <w:pPr>
              <w:pStyle w:val="TableText"/>
              <w:rPr>
                <w:lang w:val="en-AU"/>
              </w:rPr>
            </w:pPr>
            <w:r w:rsidRPr="00664E64">
              <w:rPr>
                <w:lang w:val="en-AU"/>
              </w:rPr>
              <w:t>No</w:t>
            </w:r>
          </w:p>
        </w:tc>
        <w:tc>
          <w:tcPr>
            <w:tcW w:w="2537" w:type="pct"/>
            <w:noWrap/>
            <w:hideMark/>
          </w:tcPr>
          <w:p w14:paraId="40DCD79C" w14:textId="77777777" w:rsidR="00D161F4" w:rsidRPr="00664E64" w:rsidRDefault="00D161F4" w:rsidP="00A55CD9">
            <w:pPr>
              <w:pStyle w:val="TableTextCentre"/>
              <w:rPr>
                <w:lang w:val="en-AU"/>
              </w:rPr>
            </w:pPr>
            <w:r w:rsidRPr="00664E64">
              <w:rPr>
                <w:lang w:val="en-AU"/>
              </w:rPr>
              <w:t>84.6</w:t>
            </w:r>
          </w:p>
        </w:tc>
      </w:tr>
      <w:tr w:rsidR="00D161F4" w:rsidRPr="00664E64" w14:paraId="7DCEEBF3" w14:textId="77777777" w:rsidTr="00CC40E3">
        <w:trPr>
          <w:trHeight w:val="347"/>
        </w:trPr>
        <w:tc>
          <w:tcPr>
            <w:tcW w:w="2463" w:type="pct"/>
            <w:hideMark/>
          </w:tcPr>
          <w:p w14:paraId="37140AA3" w14:textId="77777777" w:rsidR="00D161F4" w:rsidRPr="00664E64" w:rsidRDefault="00D161F4" w:rsidP="00A55CD9">
            <w:pPr>
              <w:pStyle w:val="TableText"/>
              <w:rPr>
                <w:lang w:val="en-AU"/>
              </w:rPr>
            </w:pPr>
            <w:r w:rsidRPr="00664E64">
              <w:rPr>
                <w:lang w:val="en-AU"/>
              </w:rPr>
              <w:t>Prefer not to say</w:t>
            </w:r>
          </w:p>
        </w:tc>
        <w:tc>
          <w:tcPr>
            <w:tcW w:w="2537" w:type="pct"/>
            <w:noWrap/>
            <w:hideMark/>
          </w:tcPr>
          <w:p w14:paraId="16E8D8B9" w14:textId="77777777" w:rsidR="00D161F4" w:rsidRPr="00664E64" w:rsidRDefault="00D161F4" w:rsidP="00A55CD9">
            <w:pPr>
              <w:pStyle w:val="TableTextCentre"/>
              <w:rPr>
                <w:lang w:val="en-AU"/>
              </w:rPr>
            </w:pPr>
            <w:r w:rsidRPr="00664E64">
              <w:rPr>
                <w:lang w:val="en-AU"/>
              </w:rPr>
              <w:t>2.7</w:t>
            </w:r>
          </w:p>
        </w:tc>
      </w:tr>
    </w:tbl>
    <w:p w14:paraId="2F44C5A4" w14:textId="603E5CC2" w:rsidR="0015699E" w:rsidRPr="0036418A" w:rsidRDefault="0015699E" w:rsidP="00A55CD9">
      <w:pPr>
        <w:pStyle w:val="Heading3"/>
        <w:rPr>
          <w:color w:val="auto"/>
        </w:rPr>
      </w:pPr>
      <w:r w:rsidRPr="0036418A">
        <w:rPr>
          <w:color w:val="auto"/>
        </w:rPr>
        <w:t>Lines of credit and payday lending</w:t>
      </w:r>
    </w:p>
    <w:p w14:paraId="62F7BFA8" w14:textId="17630BBB" w:rsidR="0015699E" w:rsidRPr="0036418A" w:rsidRDefault="00D161F4" w:rsidP="00DF2954">
      <w:pPr>
        <w:spacing w:before="120" w:line="280" w:lineRule="atLeast"/>
        <w:jc w:val="both"/>
        <w:rPr>
          <w:rFonts w:ascii="Arial" w:hAnsi="Arial" w:cs="Arial"/>
          <w:sz w:val="20"/>
          <w:szCs w:val="20"/>
        </w:rPr>
      </w:pPr>
      <w:r w:rsidRPr="0036418A">
        <w:rPr>
          <w:rFonts w:ascii="Arial" w:hAnsi="Arial" w:cs="Arial"/>
          <w:sz w:val="20"/>
          <w:szCs w:val="20"/>
        </w:rPr>
        <w:t xml:space="preserve">In the past 12 months, 12.5% of all participants reported </w:t>
      </w:r>
      <w:r w:rsidR="00AD1DEF" w:rsidRPr="0036418A">
        <w:rPr>
          <w:rFonts w:ascii="Arial" w:hAnsi="Arial" w:cs="Arial"/>
          <w:sz w:val="20"/>
          <w:szCs w:val="20"/>
        </w:rPr>
        <w:t xml:space="preserve">having </w:t>
      </w:r>
      <w:r w:rsidRPr="0036418A">
        <w:rPr>
          <w:rFonts w:ascii="Arial" w:hAnsi="Arial" w:cs="Arial"/>
          <w:sz w:val="20"/>
          <w:szCs w:val="20"/>
        </w:rPr>
        <w:t xml:space="preserve">been offered lines of credit, and 3.6% </w:t>
      </w:r>
      <w:r w:rsidR="00AD1DEF" w:rsidRPr="0036418A">
        <w:rPr>
          <w:rFonts w:ascii="Arial" w:hAnsi="Arial" w:cs="Arial"/>
          <w:sz w:val="20"/>
          <w:szCs w:val="20"/>
        </w:rPr>
        <w:t xml:space="preserve">had been </w:t>
      </w:r>
      <w:r w:rsidRPr="0036418A">
        <w:rPr>
          <w:rFonts w:ascii="Arial" w:hAnsi="Arial" w:cs="Arial"/>
          <w:sz w:val="20"/>
          <w:szCs w:val="20"/>
        </w:rPr>
        <w:t xml:space="preserve">offered credit contracts or referrals to a payday/short-term lender by a betting company in order to </w:t>
      </w:r>
      <w:r w:rsidR="0015699E" w:rsidRPr="0036418A">
        <w:rPr>
          <w:rFonts w:ascii="Arial" w:hAnsi="Arial" w:cs="Arial"/>
          <w:sz w:val="20"/>
          <w:szCs w:val="20"/>
        </w:rPr>
        <w:t xml:space="preserve">place </w:t>
      </w:r>
      <w:r w:rsidRPr="0036418A">
        <w:rPr>
          <w:rFonts w:ascii="Arial" w:hAnsi="Arial" w:cs="Arial"/>
          <w:sz w:val="20"/>
          <w:szCs w:val="20"/>
        </w:rPr>
        <w:t>online bets.</w:t>
      </w:r>
      <w:r w:rsidR="009B7635" w:rsidRPr="0036418A">
        <w:rPr>
          <w:rFonts w:ascii="Arial" w:hAnsi="Arial" w:cs="Arial"/>
          <w:sz w:val="20"/>
          <w:szCs w:val="20"/>
        </w:rPr>
        <w:t xml:space="preserve"> </w:t>
      </w:r>
      <w:r w:rsidR="009B7635" w:rsidRPr="0036418A">
        <w:rPr>
          <w:rFonts w:ascii="Arial" w:hAnsi="Arial" w:cs="Arial"/>
          <w:bCs/>
          <w:sz w:val="20"/>
          <w:szCs w:val="20"/>
        </w:rPr>
        <w:t xml:space="preserve">Prohibition of offering these benefits are the two measures that </w:t>
      </w:r>
      <w:r w:rsidR="0015699E" w:rsidRPr="0036418A">
        <w:rPr>
          <w:rFonts w:ascii="Arial" w:hAnsi="Arial" w:cs="Arial"/>
          <w:bCs/>
          <w:sz w:val="20"/>
          <w:szCs w:val="20"/>
        </w:rPr>
        <w:t xml:space="preserve">were </w:t>
      </w:r>
      <w:r w:rsidR="009B7635" w:rsidRPr="0036418A">
        <w:rPr>
          <w:rFonts w:ascii="Arial" w:hAnsi="Arial" w:cs="Arial"/>
          <w:bCs/>
          <w:sz w:val="20"/>
          <w:szCs w:val="20"/>
        </w:rPr>
        <w:t xml:space="preserve">rolled out in February 2018. </w:t>
      </w:r>
      <w:r w:rsidR="009B7635" w:rsidRPr="0036418A">
        <w:rPr>
          <w:rFonts w:ascii="Arial" w:hAnsi="Arial" w:cs="Arial"/>
          <w:sz w:val="20"/>
          <w:szCs w:val="20"/>
        </w:rPr>
        <w:t xml:space="preserve">The following table (Table </w:t>
      </w:r>
      <w:r w:rsidR="009D4A5B" w:rsidRPr="0036418A">
        <w:rPr>
          <w:rFonts w:ascii="Arial" w:hAnsi="Arial" w:cs="Arial"/>
          <w:sz w:val="20"/>
          <w:szCs w:val="20"/>
        </w:rPr>
        <w:t>5.1</w:t>
      </w:r>
      <w:r w:rsidR="00533534" w:rsidRPr="0036418A">
        <w:rPr>
          <w:rFonts w:ascii="Arial" w:hAnsi="Arial" w:cs="Arial"/>
          <w:sz w:val="20"/>
          <w:szCs w:val="20"/>
        </w:rPr>
        <w:t>7</w:t>
      </w:r>
      <w:r w:rsidR="009B7635" w:rsidRPr="0036418A">
        <w:rPr>
          <w:rFonts w:ascii="Arial" w:hAnsi="Arial" w:cs="Arial"/>
          <w:sz w:val="20"/>
          <w:szCs w:val="20"/>
        </w:rPr>
        <w:t>) presents the gender and age breakdowns for survey participants who were offered such benefits.</w:t>
      </w:r>
    </w:p>
    <w:p w14:paraId="28BCEC20" w14:textId="0485BD43" w:rsidR="009B7635" w:rsidRPr="0036418A" w:rsidRDefault="009B7635" w:rsidP="00415C73">
      <w:pPr>
        <w:pStyle w:val="FigureCaption"/>
        <w:rPr>
          <w:color w:val="auto"/>
          <w:lang w:val="en-AU"/>
        </w:rPr>
      </w:pPr>
      <w:bookmarkStart w:id="60" w:name="_Toc11864580"/>
      <w:bookmarkStart w:id="61" w:name="_Toc12549577"/>
      <w:r w:rsidRPr="0036418A">
        <w:rPr>
          <w:color w:val="auto"/>
          <w:lang w:val="en-AU"/>
        </w:rPr>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17</w:t>
      </w:r>
      <w:r w:rsidR="00777624" w:rsidRPr="0036418A">
        <w:rPr>
          <w:noProof/>
          <w:color w:val="auto"/>
          <w:lang w:val="en-AU"/>
        </w:rPr>
        <w:fldChar w:fldCharType="end"/>
      </w:r>
      <w:r w:rsidR="00AD1DEF" w:rsidRPr="0036418A">
        <w:rPr>
          <w:color w:val="auto"/>
          <w:lang w:val="en-AU"/>
        </w:rPr>
        <w:t>:</w:t>
      </w:r>
      <w:r w:rsidRPr="0036418A">
        <w:rPr>
          <w:color w:val="auto"/>
          <w:lang w:val="en-AU"/>
        </w:rPr>
        <w:t xml:space="preserve"> Gender and age breakdowns </w:t>
      </w:r>
      <w:r w:rsidR="00AD1DEF" w:rsidRPr="0036418A">
        <w:rPr>
          <w:color w:val="auto"/>
          <w:lang w:val="en-AU"/>
        </w:rPr>
        <w:t xml:space="preserve">of </w:t>
      </w:r>
      <w:r w:rsidRPr="0036418A">
        <w:rPr>
          <w:color w:val="auto"/>
          <w:lang w:val="en-AU"/>
        </w:rPr>
        <w:t xml:space="preserve">those offered </w:t>
      </w:r>
      <w:r w:rsidR="00AD1DEF" w:rsidRPr="0036418A">
        <w:rPr>
          <w:color w:val="auto"/>
          <w:lang w:val="en-AU"/>
        </w:rPr>
        <w:t xml:space="preserve">credit </w:t>
      </w:r>
      <w:r w:rsidRPr="0036418A">
        <w:rPr>
          <w:color w:val="auto"/>
          <w:lang w:val="en-AU"/>
        </w:rPr>
        <w:t>benefits in the past 12 months</w:t>
      </w:r>
      <w:bookmarkEnd w:id="60"/>
      <w:bookmarkEnd w:id="61"/>
    </w:p>
    <w:tbl>
      <w:tblPr>
        <w:tblStyle w:val="TableGrid"/>
        <w:tblW w:w="5000" w:type="pct"/>
        <w:tblLook w:val="04A0" w:firstRow="1" w:lastRow="0" w:firstColumn="1" w:lastColumn="0" w:noHBand="0" w:noVBand="1"/>
        <w:tblCaption w:val="Gender and age breakdowns of those offered credit benefits in the past 12 months"/>
        <w:tblDescription w:val="Whether participants had been offered lines of credit, or credit contracts or referrals by particpants' age and sex."/>
      </w:tblPr>
      <w:tblGrid>
        <w:gridCol w:w="3595"/>
        <w:gridCol w:w="2453"/>
        <w:gridCol w:w="2451"/>
      </w:tblGrid>
      <w:tr w:rsidR="009B7635" w:rsidRPr="00664E64" w14:paraId="442D5D6A" w14:textId="77777777" w:rsidTr="000F0972">
        <w:trPr>
          <w:cnfStyle w:val="100000000000" w:firstRow="1" w:lastRow="0" w:firstColumn="0" w:lastColumn="0" w:oddVBand="0" w:evenVBand="0" w:oddHBand="0" w:evenHBand="0" w:firstRowFirstColumn="0" w:firstRowLastColumn="0" w:lastRowFirstColumn="0" w:lastRowLastColumn="0"/>
          <w:trHeight w:val="429"/>
          <w:tblHeader/>
        </w:trPr>
        <w:tc>
          <w:tcPr>
            <w:tcW w:w="2115" w:type="pct"/>
          </w:tcPr>
          <w:p w14:paraId="4974040A" w14:textId="77777777" w:rsidR="009B7635" w:rsidRPr="00664E64" w:rsidRDefault="009B7635" w:rsidP="00A55CD9">
            <w:pPr>
              <w:pStyle w:val="TableColHeadLeft"/>
              <w:rPr>
                <w:lang w:val="en-AU"/>
              </w:rPr>
            </w:pPr>
            <w:r w:rsidRPr="00664E64">
              <w:rPr>
                <w:lang w:val="en-AU"/>
              </w:rPr>
              <w:t>Category</w:t>
            </w:r>
          </w:p>
        </w:tc>
        <w:tc>
          <w:tcPr>
            <w:tcW w:w="1443" w:type="pct"/>
          </w:tcPr>
          <w:p w14:paraId="02CBD605" w14:textId="0AAEDD23" w:rsidR="009B7635" w:rsidRPr="00664E64" w:rsidRDefault="009B7635" w:rsidP="00A55CD9">
            <w:pPr>
              <w:pStyle w:val="TableColHeadCentre"/>
              <w:rPr>
                <w:lang w:val="en-AU"/>
              </w:rPr>
            </w:pPr>
            <w:r w:rsidRPr="00664E64">
              <w:rPr>
                <w:lang w:val="en-AU"/>
              </w:rPr>
              <w:t>Lines of credit (</w:t>
            </w:r>
            <w:r w:rsidRPr="00664E64">
              <w:rPr>
                <w:i/>
                <w:lang w:val="en-AU"/>
              </w:rPr>
              <w:t>N</w:t>
            </w:r>
            <w:r w:rsidR="00AD1DEF" w:rsidRPr="00664E64">
              <w:rPr>
                <w:lang w:val="en-AU"/>
              </w:rPr>
              <w:t xml:space="preserve"> </w:t>
            </w:r>
            <w:r w:rsidRPr="00664E64">
              <w:rPr>
                <w:lang w:val="en-AU"/>
              </w:rPr>
              <w:t>=</w:t>
            </w:r>
            <w:r w:rsidR="00AD1DEF" w:rsidRPr="00664E64">
              <w:rPr>
                <w:lang w:val="en-AU"/>
              </w:rPr>
              <w:t xml:space="preserve"> </w:t>
            </w:r>
            <w:r w:rsidRPr="00664E64">
              <w:rPr>
                <w:lang w:val="en-AU"/>
              </w:rPr>
              <w:t>635)</w:t>
            </w:r>
          </w:p>
        </w:tc>
        <w:tc>
          <w:tcPr>
            <w:tcW w:w="1442" w:type="pct"/>
          </w:tcPr>
          <w:p w14:paraId="60DE1DE2" w14:textId="7A867222" w:rsidR="009B7635" w:rsidRPr="00664E64" w:rsidRDefault="009B7635" w:rsidP="00A55CD9">
            <w:pPr>
              <w:pStyle w:val="TableColHeadCentre"/>
              <w:rPr>
                <w:lang w:val="en-AU"/>
              </w:rPr>
            </w:pPr>
            <w:r w:rsidRPr="00664E64">
              <w:rPr>
                <w:lang w:val="en-AU"/>
              </w:rPr>
              <w:t>Credit contracts or referrals (</w:t>
            </w:r>
            <w:r w:rsidRPr="00664E64">
              <w:rPr>
                <w:i/>
                <w:lang w:val="en-AU"/>
              </w:rPr>
              <w:t>N</w:t>
            </w:r>
            <w:r w:rsidR="00AD1DEF" w:rsidRPr="00664E64">
              <w:rPr>
                <w:lang w:val="en-AU"/>
              </w:rPr>
              <w:t xml:space="preserve"> </w:t>
            </w:r>
            <w:r w:rsidRPr="00664E64">
              <w:rPr>
                <w:lang w:val="en-AU"/>
              </w:rPr>
              <w:t>=</w:t>
            </w:r>
            <w:r w:rsidR="00AD1DEF" w:rsidRPr="00664E64">
              <w:rPr>
                <w:lang w:val="en-AU"/>
              </w:rPr>
              <w:t xml:space="preserve"> </w:t>
            </w:r>
            <w:r w:rsidRPr="00664E64">
              <w:rPr>
                <w:lang w:val="en-AU"/>
              </w:rPr>
              <w:t>183)</w:t>
            </w:r>
          </w:p>
        </w:tc>
      </w:tr>
      <w:tr w:rsidR="00AD1DEF" w:rsidRPr="00664E64" w14:paraId="71935564" w14:textId="77777777" w:rsidTr="0015699E">
        <w:trPr>
          <w:trHeight w:val="429"/>
        </w:trPr>
        <w:tc>
          <w:tcPr>
            <w:tcW w:w="2115" w:type="pct"/>
          </w:tcPr>
          <w:p w14:paraId="65EC45E0" w14:textId="77777777" w:rsidR="00AD1DEF" w:rsidRPr="00664E64" w:rsidRDefault="00AD1DEF" w:rsidP="004D4B2C">
            <w:pPr>
              <w:rPr>
                <w:rFonts w:cs="Arial"/>
                <w:b/>
                <w:bCs/>
                <w:szCs w:val="20"/>
              </w:rPr>
            </w:pPr>
          </w:p>
        </w:tc>
        <w:tc>
          <w:tcPr>
            <w:tcW w:w="1443" w:type="pct"/>
          </w:tcPr>
          <w:p w14:paraId="34418F2C" w14:textId="3C3FE3FA" w:rsidR="00AD1DEF" w:rsidRPr="00664E64" w:rsidRDefault="00AD1DEF" w:rsidP="00A55CD9">
            <w:pPr>
              <w:pStyle w:val="TableHeading"/>
              <w:jc w:val="center"/>
              <w:rPr>
                <w:lang w:val="en-AU"/>
              </w:rPr>
            </w:pPr>
            <w:r w:rsidRPr="00664E64">
              <w:rPr>
                <w:lang w:val="en-AU"/>
              </w:rPr>
              <w:t>%</w:t>
            </w:r>
          </w:p>
        </w:tc>
        <w:tc>
          <w:tcPr>
            <w:tcW w:w="1442" w:type="pct"/>
          </w:tcPr>
          <w:p w14:paraId="521E5AEF" w14:textId="7A19B107" w:rsidR="00AD1DEF" w:rsidRPr="00664E64" w:rsidRDefault="00AD1DEF" w:rsidP="00A55CD9">
            <w:pPr>
              <w:pStyle w:val="TableHeading"/>
              <w:jc w:val="center"/>
              <w:rPr>
                <w:lang w:val="en-AU"/>
              </w:rPr>
            </w:pPr>
            <w:r w:rsidRPr="00664E64">
              <w:rPr>
                <w:lang w:val="en-AU"/>
              </w:rPr>
              <w:t>%</w:t>
            </w:r>
          </w:p>
        </w:tc>
      </w:tr>
      <w:tr w:rsidR="009B7635" w:rsidRPr="00664E64" w14:paraId="784B28EB" w14:textId="77777777" w:rsidTr="0015699E">
        <w:trPr>
          <w:trHeight w:val="429"/>
        </w:trPr>
        <w:tc>
          <w:tcPr>
            <w:tcW w:w="2115" w:type="pct"/>
          </w:tcPr>
          <w:p w14:paraId="1B659516" w14:textId="77777777" w:rsidR="009B7635" w:rsidRPr="00664E64" w:rsidRDefault="009B7635" w:rsidP="00A55CD9">
            <w:pPr>
              <w:pStyle w:val="TableHeading"/>
              <w:rPr>
                <w:lang w:val="en-AU"/>
              </w:rPr>
            </w:pPr>
            <w:r w:rsidRPr="00664E64">
              <w:rPr>
                <w:lang w:val="en-AU"/>
              </w:rPr>
              <w:t>Sex</w:t>
            </w:r>
          </w:p>
        </w:tc>
        <w:tc>
          <w:tcPr>
            <w:tcW w:w="1443" w:type="pct"/>
          </w:tcPr>
          <w:p w14:paraId="23151DD9" w14:textId="23941B47" w:rsidR="009B7635" w:rsidRPr="00664E64" w:rsidRDefault="009B7635" w:rsidP="004D4B2C">
            <w:pPr>
              <w:jc w:val="center"/>
              <w:rPr>
                <w:rFonts w:cs="Arial"/>
                <w:b/>
                <w:bCs/>
                <w:szCs w:val="20"/>
              </w:rPr>
            </w:pPr>
          </w:p>
        </w:tc>
        <w:tc>
          <w:tcPr>
            <w:tcW w:w="1442" w:type="pct"/>
          </w:tcPr>
          <w:p w14:paraId="7C26D1CA" w14:textId="03E72CCB" w:rsidR="009B7635" w:rsidRPr="00664E64" w:rsidRDefault="009B7635" w:rsidP="004D4B2C">
            <w:pPr>
              <w:jc w:val="center"/>
              <w:rPr>
                <w:rFonts w:cs="Arial"/>
                <w:b/>
                <w:bCs/>
                <w:szCs w:val="20"/>
              </w:rPr>
            </w:pPr>
          </w:p>
        </w:tc>
      </w:tr>
      <w:tr w:rsidR="009B7635" w:rsidRPr="00664E64" w14:paraId="62A858B9" w14:textId="77777777" w:rsidTr="0015699E">
        <w:trPr>
          <w:trHeight w:val="429"/>
        </w:trPr>
        <w:tc>
          <w:tcPr>
            <w:tcW w:w="2115" w:type="pct"/>
          </w:tcPr>
          <w:p w14:paraId="766DA6FE" w14:textId="77777777" w:rsidR="009B7635" w:rsidRPr="00664E64" w:rsidRDefault="009B7635" w:rsidP="00A55CD9">
            <w:pPr>
              <w:pStyle w:val="TableText"/>
              <w:rPr>
                <w:b/>
                <w:bCs/>
                <w:lang w:val="en-AU"/>
              </w:rPr>
            </w:pPr>
            <w:r w:rsidRPr="00664E64">
              <w:rPr>
                <w:lang w:val="en-AU"/>
              </w:rPr>
              <w:t>Male</w:t>
            </w:r>
          </w:p>
        </w:tc>
        <w:tc>
          <w:tcPr>
            <w:tcW w:w="1443" w:type="pct"/>
          </w:tcPr>
          <w:p w14:paraId="67AC6691" w14:textId="77777777" w:rsidR="009B7635" w:rsidRPr="00664E64" w:rsidRDefault="009B7635" w:rsidP="00A55CD9">
            <w:pPr>
              <w:pStyle w:val="TableTextCentre"/>
              <w:rPr>
                <w:lang w:val="en-AU"/>
              </w:rPr>
            </w:pPr>
            <w:r w:rsidRPr="00664E64">
              <w:rPr>
                <w:lang w:val="en-AU"/>
              </w:rPr>
              <w:t>75.6</w:t>
            </w:r>
          </w:p>
        </w:tc>
        <w:tc>
          <w:tcPr>
            <w:tcW w:w="1442" w:type="pct"/>
          </w:tcPr>
          <w:p w14:paraId="5BE7B219" w14:textId="77777777" w:rsidR="009B7635" w:rsidRPr="00664E64" w:rsidRDefault="009B7635" w:rsidP="00A55CD9">
            <w:pPr>
              <w:pStyle w:val="TableTextCentre"/>
              <w:rPr>
                <w:lang w:val="en-AU"/>
              </w:rPr>
            </w:pPr>
            <w:r w:rsidRPr="00664E64">
              <w:rPr>
                <w:lang w:val="en-AU"/>
              </w:rPr>
              <w:t>73.2</w:t>
            </w:r>
          </w:p>
        </w:tc>
      </w:tr>
      <w:tr w:rsidR="009B7635" w:rsidRPr="00664E64" w14:paraId="5AF4B5BF" w14:textId="77777777" w:rsidTr="0015699E">
        <w:trPr>
          <w:trHeight w:val="429"/>
        </w:trPr>
        <w:tc>
          <w:tcPr>
            <w:tcW w:w="2115" w:type="pct"/>
          </w:tcPr>
          <w:p w14:paraId="6F60A3C5" w14:textId="77777777" w:rsidR="009B7635" w:rsidRPr="00664E64" w:rsidRDefault="009B7635" w:rsidP="00A55CD9">
            <w:pPr>
              <w:pStyle w:val="TableText"/>
              <w:rPr>
                <w:lang w:val="en-AU"/>
              </w:rPr>
            </w:pPr>
            <w:r w:rsidRPr="00664E64">
              <w:rPr>
                <w:lang w:val="en-AU"/>
              </w:rPr>
              <w:t>Female</w:t>
            </w:r>
          </w:p>
        </w:tc>
        <w:tc>
          <w:tcPr>
            <w:tcW w:w="1443" w:type="pct"/>
          </w:tcPr>
          <w:p w14:paraId="6977B25A" w14:textId="77777777" w:rsidR="009B7635" w:rsidRPr="00664E64" w:rsidRDefault="009B7635" w:rsidP="00A55CD9">
            <w:pPr>
              <w:pStyle w:val="TableTextCentre"/>
              <w:rPr>
                <w:lang w:val="en-AU"/>
              </w:rPr>
            </w:pPr>
            <w:r w:rsidRPr="00664E64">
              <w:rPr>
                <w:lang w:val="en-AU"/>
              </w:rPr>
              <w:t>24.1</w:t>
            </w:r>
          </w:p>
        </w:tc>
        <w:tc>
          <w:tcPr>
            <w:tcW w:w="1442" w:type="pct"/>
          </w:tcPr>
          <w:p w14:paraId="30021537" w14:textId="77777777" w:rsidR="009B7635" w:rsidRPr="00664E64" w:rsidRDefault="009B7635" w:rsidP="00A55CD9">
            <w:pPr>
              <w:pStyle w:val="TableTextCentre"/>
              <w:rPr>
                <w:lang w:val="en-AU"/>
              </w:rPr>
            </w:pPr>
            <w:r w:rsidRPr="00664E64">
              <w:rPr>
                <w:lang w:val="en-AU"/>
              </w:rPr>
              <w:t>26.2</w:t>
            </w:r>
          </w:p>
        </w:tc>
      </w:tr>
      <w:tr w:rsidR="009B7635" w:rsidRPr="00664E64" w14:paraId="7BF93203" w14:textId="77777777" w:rsidTr="0015699E">
        <w:trPr>
          <w:trHeight w:val="429"/>
        </w:trPr>
        <w:tc>
          <w:tcPr>
            <w:tcW w:w="2115" w:type="pct"/>
          </w:tcPr>
          <w:p w14:paraId="78ED4743" w14:textId="77777777" w:rsidR="009B7635" w:rsidRPr="00664E64" w:rsidRDefault="009B7635" w:rsidP="00A55CD9">
            <w:pPr>
              <w:pStyle w:val="TableText"/>
              <w:rPr>
                <w:lang w:val="en-AU"/>
              </w:rPr>
            </w:pPr>
            <w:r w:rsidRPr="00664E64">
              <w:rPr>
                <w:lang w:val="en-AU"/>
              </w:rPr>
              <w:t>Other</w:t>
            </w:r>
          </w:p>
        </w:tc>
        <w:tc>
          <w:tcPr>
            <w:tcW w:w="1443" w:type="pct"/>
          </w:tcPr>
          <w:p w14:paraId="41D3BE3D" w14:textId="77777777" w:rsidR="009B7635" w:rsidRPr="00664E64" w:rsidRDefault="009B7635" w:rsidP="00A55CD9">
            <w:pPr>
              <w:pStyle w:val="TableTextCentre"/>
              <w:rPr>
                <w:lang w:val="en-AU"/>
              </w:rPr>
            </w:pPr>
            <w:r w:rsidRPr="00664E64">
              <w:rPr>
                <w:lang w:val="en-AU"/>
              </w:rPr>
              <w:t>0.2</w:t>
            </w:r>
          </w:p>
        </w:tc>
        <w:tc>
          <w:tcPr>
            <w:tcW w:w="1442" w:type="pct"/>
          </w:tcPr>
          <w:p w14:paraId="73360F63" w14:textId="77777777" w:rsidR="009B7635" w:rsidRPr="00664E64" w:rsidRDefault="009B7635" w:rsidP="00A55CD9">
            <w:pPr>
              <w:pStyle w:val="TableTextCentre"/>
              <w:rPr>
                <w:lang w:val="en-AU"/>
              </w:rPr>
            </w:pPr>
            <w:r w:rsidRPr="00664E64">
              <w:rPr>
                <w:lang w:val="en-AU"/>
              </w:rPr>
              <w:t>0.6</w:t>
            </w:r>
          </w:p>
        </w:tc>
      </w:tr>
      <w:tr w:rsidR="009B7635" w:rsidRPr="00664E64" w14:paraId="5AE46D14" w14:textId="77777777" w:rsidTr="0015699E">
        <w:trPr>
          <w:trHeight w:val="429"/>
        </w:trPr>
        <w:tc>
          <w:tcPr>
            <w:tcW w:w="2115" w:type="pct"/>
          </w:tcPr>
          <w:p w14:paraId="22009068" w14:textId="77777777" w:rsidR="009B7635" w:rsidRPr="00664E64" w:rsidRDefault="009B7635" w:rsidP="00A55CD9">
            <w:pPr>
              <w:pStyle w:val="TableHeading"/>
              <w:rPr>
                <w:lang w:val="en-AU"/>
              </w:rPr>
            </w:pPr>
            <w:r w:rsidRPr="00664E64">
              <w:rPr>
                <w:lang w:val="en-AU"/>
              </w:rPr>
              <w:t>Age group</w:t>
            </w:r>
          </w:p>
        </w:tc>
        <w:tc>
          <w:tcPr>
            <w:tcW w:w="1443" w:type="pct"/>
          </w:tcPr>
          <w:p w14:paraId="0AB0AE3E" w14:textId="77777777" w:rsidR="009B7635" w:rsidRPr="00664E64" w:rsidRDefault="009B7635" w:rsidP="00A55CD9">
            <w:pPr>
              <w:pStyle w:val="TableTextCentre"/>
              <w:rPr>
                <w:lang w:val="en-AU"/>
              </w:rPr>
            </w:pPr>
          </w:p>
        </w:tc>
        <w:tc>
          <w:tcPr>
            <w:tcW w:w="1442" w:type="pct"/>
          </w:tcPr>
          <w:p w14:paraId="37192670" w14:textId="77777777" w:rsidR="009B7635" w:rsidRPr="00664E64" w:rsidRDefault="009B7635" w:rsidP="00A55CD9">
            <w:pPr>
              <w:pStyle w:val="TableTextCentre"/>
              <w:rPr>
                <w:lang w:val="en-AU"/>
              </w:rPr>
            </w:pPr>
          </w:p>
        </w:tc>
      </w:tr>
      <w:tr w:rsidR="009B7635" w:rsidRPr="00664E64" w14:paraId="0993CAF1" w14:textId="77777777" w:rsidTr="0015699E">
        <w:trPr>
          <w:trHeight w:val="429"/>
        </w:trPr>
        <w:tc>
          <w:tcPr>
            <w:tcW w:w="2115" w:type="pct"/>
          </w:tcPr>
          <w:p w14:paraId="083982AB" w14:textId="56AE0B7C" w:rsidR="009B7635" w:rsidRPr="00664E64" w:rsidRDefault="009B7635" w:rsidP="00A55CD9">
            <w:pPr>
              <w:pStyle w:val="TableText"/>
              <w:rPr>
                <w:b/>
                <w:bCs/>
                <w:lang w:val="en-AU"/>
              </w:rPr>
            </w:pPr>
            <w:r w:rsidRPr="00664E64">
              <w:rPr>
                <w:lang w:val="en-AU"/>
              </w:rPr>
              <w:t>18</w:t>
            </w:r>
            <w:r w:rsidR="00AD1DEF" w:rsidRPr="00664E64">
              <w:rPr>
                <w:lang w:val="en-AU"/>
              </w:rPr>
              <w:t>–</w:t>
            </w:r>
            <w:r w:rsidRPr="00664E64">
              <w:rPr>
                <w:lang w:val="en-AU"/>
              </w:rPr>
              <w:t>34</w:t>
            </w:r>
          </w:p>
        </w:tc>
        <w:tc>
          <w:tcPr>
            <w:tcW w:w="1443" w:type="pct"/>
          </w:tcPr>
          <w:p w14:paraId="21568AE7" w14:textId="77777777" w:rsidR="009B7635" w:rsidRPr="00664E64" w:rsidRDefault="009B7635" w:rsidP="00A55CD9">
            <w:pPr>
              <w:pStyle w:val="TableTextCentre"/>
              <w:rPr>
                <w:lang w:val="en-AU"/>
              </w:rPr>
            </w:pPr>
            <w:r w:rsidRPr="00664E64">
              <w:rPr>
                <w:lang w:val="en-AU"/>
              </w:rPr>
              <w:t>20.6</w:t>
            </w:r>
          </w:p>
        </w:tc>
        <w:tc>
          <w:tcPr>
            <w:tcW w:w="1442" w:type="pct"/>
          </w:tcPr>
          <w:p w14:paraId="101B7CEA" w14:textId="77777777" w:rsidR="009B7635" w:rsidRPr="00664E64" w:rsidRDefault="009B7635" w:rsidP="00A55CD9">
            <w:pPr>
              <w:pStyle w:val="TableTextCentre"/>
              <w:rPr>
                <w:lang w:val="en-AU"/>
              </w:rPr>
            </w:pPr>
            <w:r w:rsidRPr="00664E64">
              <w:rPr>
                <w:lang w:val="en-AU"/>
              </w:rPr>
              <w:t>16.4</w:t>
            </w:r>
          </w:p>
        </w:tc>
      </w:tr>
      <w:tr w:rsidR="009B7635" w:rsidRPr="00664E64" w14:paraId="6DE526A0" w14:textId="77777777" w:rsidTr="0015699E">
        <w:trPr>
          <w:trHeight w:val="429"/>
        </w:trPr>
        <w:tc>
          <w:tcPr>
            <w:tcW w:w="2115" w:type="pct"/>
          </w:tcPr>
          <w:p w14:paraId="05DD404B" w14:textId="6DFB8689" w:rsidR="009B7635" w:rsidRPr="00664E64" w:rsidRDefault="009B7635" w:rsidP="00A55CD9">
            <w:pPr>
              <w:pStyle w:val="TableText"/>
              <w:rPr>
                <w:lang w:val="en-AU"/>
              </w:rPr>
            </w:pPr>
            <w:r w:rsidRPr="00664E64">
              <w:rPr>
                <w:lang w:val="en-AU"/>
              </w:rPr>
              <w:t>35</w:t>
            </w:r>
            <w:r w:rsidR="00AD1DEF" w:rsidRPr="00664E64">
              <w:rPr>
                <w:lang w:val="en-AU"/>
              </w:rPr>
              <w:t>–</w:t>
            </w:r>
            <w:r w:rsidRPr="00664E64">
              <w:rPr>
                <w:lang w:val="en-AU"/>
              </w:rPr>
              <w:t>49</w:t>
            </w:r>
          </w:p>
        </w:tc>
        <w:tc>
          <w:tcPr>
            <w:tcW w:w="1443" w:type="pct"/>
          </w:tcPr>
          <w:p w14:paraId="13F82E54" w14:textId="77777777" w:rsidR="009B7635" w:rsidRPr="00664E64" w:rsidRDefault="009B7635" w:rsidP="00A55CD9">
            <w:pPr>
              <w:pStyle w:val="TableTextCentre"/>
              <w:rPr>
                <w:lang w:val="en-AU"/>
              </w:rPr>
            </w:pPr>
            <w:r w:rsidRPr="00664E64">
              <w:rPr>
                <w:lang w:val="en-AU"/>
              </w:rPr>
              <w:t>29.1</w:t>
            </w:r>
          </w:p>
        </w:tc>
        <w:tc>
          <w:tcPr>
            <w:tcW w:w="1442" w:type="pct"/>
          </w:tcPr>
          <w:p w14:paraId="3315FF05" w14:textId="77777777" w:rsidR="009B7635" w:rsidRPr="00664E64" w:rsidRDefault="009B7635" w:rsidP="00A55CD9">
            <w:pPr>
              <w:pStyle w:val="TableTextCentre"/>
              <w:rPr>
                <w:lang w:val="en-AU"/>
              </w:rPr>
            </w:pPr>
            <w:r w:rsidRPr="00664E64">
              <w:rPr>
                <w:lang w:val="en-AU"/>
              </w:rPr>
              <w:t>32.8</w:t>
            </w:r>
          </w:p>
        </w:tc>
      </w:tr>
      <w:tr w:rsidR="009B7635" w:rsidRPr="00664E64" w14:paraId="202B155F" w14:textId="77777777" w:rsidTr="0015699E">
        <w:trPr>
          <w:trHeight w:val="429"/>
        </w:trPr>
        <w:tc>
          <w:tcPr>
            <w:tcW w:w="2115" w:type="pct"/>
          </w:tcPr>
          <w:p w14:paraId="0B07B0BA" w14:textId="65652496" w:rsidR="009B7635" w:rsidRPr="00664E64" w:rsidRDefault="009B7635" w:rsidP="00A55CD9">
            <w:pPr>
              <w:pStyle w:val="TableText"/>
              <w:rPr>
                <w:lang w:val="en-AU"/>
              </w:rPr>
            </w:pPr>
            <w:r w:rsidRPr="00664E64">
              <w:rPr>
                <w:lang w:val="en-AU"/>
              </w:rPr>
              <w:t>50</w:t>
            </w:r>
            <w:r w:rsidR="00AD1DEF" w:rsidRPr="00664E64">
              <w:rPr>
                <w:lang w:val="en-AU"/>
              </w:rPr>
              <w:t>–</w:t>
            </w:r>
            <w:r w:rsidRPr="00664E64">
              <w:rPr>
                <w:lang w:val="en-AU"/>
              </w:rPr>
              <w:t>64</w:t>
            </w:r>
          </w:p>
        </w:tc>
        <w:tc>
          <w:tcPr>
            <w:tcW w:w="1443" w:type="pct"/>
          </w:tcPr>
          <w:p w14:paraId="411398ED" w14:textId="77777777" w:rsidR="009B7635" w:rsidRPr="00664E64" w:rsidRDefault="009B7635" w:rsidP="00A55CD9">
            <w:pPr>
              <w:pStyle w:val="TableTextCentre"/>
              <w:rPr>
                <w:lang w:val="en-AU"/>
              </w:rPr>
            </w:pPr>
            <w:r w:rsidRPr="00664E64">
              <w:rPr>
                <w:lang w:val="en-AU"/>
              </w:rPr>
              <w:t>22.2</w:t>
            </w:r>
          </w:p>
        </w:tc>
        <w:tc>
          <w:tcPr>
            <w:tcW w:w="1442" w:type="pct"/>
          </w:tcPr>
          <w:p w14:paraId="27DE8F45" w14:textId="77777777" w:rsidR="009B7635" w:rsidRPr="00664E64" w:rsidRDefault="009B7635" w:rsidP="00A55CD9">
            <w:pPr>
              <w:pStyle w:val="TableTextCentre"/>
              <w:rPr>
                <w:lang w:val="en-AU"/>
              </w:rPr>
            </w:pPr>
            <w:r w:rsidRPr="00664E64">
              <w:rPr>
                <w:lang w:val="en-AU"/>
              </w:rPr>
              <w:t>26.8</w:t>
            </w:r>
          </w:p>
        </w:tc>
      </w:tr>
      <w:tr w:rsidR="009B7635" w:rsidRPr="00664E64" w14:paraId="6A1BC184" w14:textId="77777777" w:rsidTr="0015699E">
        <w:trPr>
          <w:trHeight w:val="429"/>
        </w:trPr>
        <w:tc>
          <w:tcPr>
            <w:tcW w:w="2115" w:type="pct"/>
          </w:tcPr>
          <w:p w14:paraId="2FDFA60B" w14:textId="77777777" w:rsidR="009B7635" w:rsidRPr="00664E64" w:rsidRDefault="009B7635" w:rsidP="00A55CD9">
            <w:pPr>
              <w:pStyle w:val="TableText"/>
              <w:rPr>
                <w:lang w:val="en-AU"/>
              </w:rPr>
            </w:pPr>
            <w:r w:rsidRPr="00664E64">
              <w:rPr>
                <w:lang w:val="en-AU"/>
              </w:rPr>
              <w:t>65+</w:t>
            </w:r>
          </w:p>
        </w:tc>
        <w:tc>
          <w:tcPr>
            <w:tcW w:w="1443" w:type="pct"/>
          </w:tcPr>
          <w:p w14:paraId="31F1C73E" w14:textId="77777777" w:rsidR="009B7635" w:rsidRPr="00664E64" w:rsidRDefault="009B7635" w:rsidP="00A55CD9">
            <w:pPr>
              <w:pStyle w:val="TableTextCentre"/>
              <w:rPr>
                <w:lang w:val="en-AU"/>
              </w:rPr>
            </w:pPr>
            <w:r w:rsidRPr="00664E64">
              <w:rPr>
                <w:lang w:val="en-AU"/>
              </w:rPr>
              <w:t>16.9</w:t>
            </w:r>
          </w:p>
        </w:tc>
        <w:tc>
          <w:tcPr>
            <w:tcW w:w="1442" w:type="pct"/>
          </w:tcPr>
          <w:p w14:paraId="237567CC" w14:textId="77777777" w:rsidR="009B7635" w:rsidRPr="00664E64" w:rsidRDefault="009B7635" w:rsidP="00A55CD9">
            <w:pPr>
              <w:pStyle w:val="TableTextCentre"/>
              <w:rPr>
                <w:lang w:val="en-AU"/>
              </w:rPr>
            </w:pPr>
            <w:r w:rsidRPr="00664E64">
              <w:rPr>
                <w:lang w:val="en-AU"/>
              </w:rPr>
              <w:t>10.9</w:t>
            </w:r>
          </w:p>
        </w:tc>
      </w:tr>
      <w:tr w:rsidR="009B7635" w:rsidRPr="00664E64" w14:paraId="2CB9F48E" w14:textId="77777777" w:rsidTr="0015699E">
        <w:trPr>
          <w:trHeight w:val="429"/>
        </w:trPr>
        <w:tc>
          <w:tcPr>
            <w:tcW w:w="2115" w:type="pct"/>
            <w:tcBorders>
              <w:bottom w:val="single" w:sz="2" w:space="0" w:color="auto"/>
            </w:tcBorders>
          </w:tcPr>
          <w:p w14:paraId="45DBDEF0" w14:textId="77777777" w:rsidR="009B7635" w:rsidRPr="00664E64" w:rsidRDefault="009B7635" w:rsidP="00A55CD9">
            <w:pPr>
              <w:pStyle w:val="TableText"/>
              <w:rPr>
                <w:lang w:val="en-AU"/>
              </w:rPr>
            </w:pPr>
            <w:r w:rsidRPr="00664E64">
              <w:rPr>
                <w:lang w:val="en-AU"/>
              </w:rPr>
              <w:t>Rather not say/Don’t know</w:t>
            </w:r>
          </w:p>
        </w:tc>
        <w:tc>
          <w:tcPr>
            <w:tcW w:w="1443" w:type="pct"/>
            <w:tcBorders>
              <w:bottom w:val="single" w:sz="2" w:space="0" w:color="auto"/>
            </w:tcBorders>
          </w:tcPr>
          <w:p w14:paraId="1F046BF1" w14:textId="77777777" w:rsidR="009B7635" w:rsidRPr="00664E64" w:rsidRDefault="009B7635" w:rsidP="00A55CD9">
            <w:pPr>
              <w:pStyle w:val="TableTextCentre"/>
              <w:rPr>
                <w:lang w:val="en-AU"/>
              </w:rPr>
            </w:pPr>
            <w:r w:rsidRPr="00664E64">
              <w:rPr>
                <w:lang w:val="en-AU"/>
              </w:rPr>
              <w:t>11.2</w:t>
            </w:r>
          </w:p>
        </w:tc>
        <w:tc>
          <w:tcPr>
            <w:tcW w:w="1442" w:type="pct"/>
            <w:tcBorders>
              <w:bottom w:val="single" w:sz="2" w:space="0" w:color="auto"/>
            </w:tcBorders>
          </w:tcPr>
          <w:p w14:paraId="07ADAC5C" w14:textId="77777777" w:rsidR="009B7635" w:rsidRPr="00664E64" w:rsidRDefault="009B7635" w:rsidP="00A55CD9">
            <w:pPr>
              <w:pStyle w:val="TableTextCentre"/>
              <w:rPr>
                <w:lang w:val="en-AU"/>
              </w:rPr>
            </w:pPr>
            <w:r w:rsidRPr="00664E64">
              <w:rPr>
                <w:lang w:val="en-AU"/>
              </w:rPr>
              <w:t>13.1</w:t>
            </w:r>
          </w:p>
        </w:tc>
      </w:tr>
    </w:tbl>
    <w:p w14:paraId="29D4E534" w14:textId="30D7818D" w:rsidR="003A7C9F" w:rsidRPr="003A7C9F" w:rsidRDefault="003A7C9F" w:rsidP="000A6D01">
      <w:pPr>
        <w:pStyle w:val="Heading2"/>
        <w:rPr>
          <w:color w:val="auto"/>
          <w:sz w:val="18"/>
          <w:szCs w:val="18"/>
        </w:rPr>
      </w:pPr>
      <w:bookmarkStart w:id="62" w:name="_Toc12022553"/>
      <w:r w:rsidRPr="003A7C9F">
        <w:rPr>
          <w:color w:val="auto"/>
          <w:sz w:val="18"/>
          <w:szCs w:val="18"/>
        </w:rPr>
        <w:t>Note: Percentages may not total 100% due to rounding.</w:t>
      </w:r>
    </w:p>
    <w:p w14:paraId="2596D56F" w14:textId="457B64C0" w:rsidR="009D4A5B" w:rsidRPr="0036418A" w:rsidRDefault="0015699E" w:rsidP="000A6D01">
      <w:pPr>
        <w:pStyle w:val="Heading2"/>
        <w:rPr>
          <w:color w:val="auto"/>
        </w:rPr>
      </w:pPr>
      <w:r w:rsidRPr="0036418A">
        <w:rPr>
          <w:color w:val="auto"/>
        </w:rPr>
        <w:t>Other gambling participation</w:t>
      </w:r>
      <w:bookmarkEnd w:id="62"/>
    </w:p>
    <w:p w14:paraId="34E2E8FE" w14:textId="7EB72D6E" w:rsidR="000F0972" w:rsidRDefault="009D4A5B" w:rsidP="000F0972">
      <w:pPr>
        <w:pStyle w:val="BodyText"/>
      </w:pPr>
      <w:r w:rsidRPr="00664E64">
        <w:t xml:space="preserve">Survey respondents were also asked if they </w:t>
      </w:r>
      <w:r w:rsidR="0015699E" w:rsidRPr="00664E64">
        <w:t>had participated in other gambling during the last 12 months, including</w:t>
      </w:r>
      <w:r w:rsidRPr="00664E64">
        <w:t xml:space="preserve"> poker machines (pokies), casino table games</w:t>
      </w:r>
      <w:r w:rsidR="0015699E" w:rsidRPr="00664E64">
        <w:t xml:space="preserve"> and poker and</w:t>
      </w:r>
      <w:r w:rsidR="00AD1DEF" w:rsidRPr="00664E64">
        <w:t>,</w:t>
      </w:r>
      <w:r w:rsidR="0015699E" w:rsidRPr="00664E64">
        <w:t xml:space="preserve"> if so</w:t>
      </w:r>
      <w:r w:rsidRPr="00664E64">
        <w:t xml:space="preserve">, the mode of participation in these activities. </w:t>
      </w:r>
      <w:r w:rsidR="0015699E" w:rsidRPr="00664E64">
        <w:t xml:space="preserve">Just under </w:t>
      </w:r>
      <w:r w:rsidRPr="00664E64">
        <w:t xml:space="preserve">half (44%) reported </w:t>
      </w:r>
      <w:r w:rsidR="0015699E" w:rsidRPr="00664E64">
        <w:t>having</w:t>
      </w:r>
      <w:r w:rsidRPr="00664E64">
        <w:t xml:space="preserve"> participated in </w:t>
      </w:r>
      <w:r w:rsidR="0015699E" w:rsidRPr="00664E64">
        <w:t xml:space="preserve">one or more of </w:t>
      </w:r>
      <w:r w:rsidRPr="00664E64">
        <w:t>these activities in the past 12 months</w:t>
      </w:r>
      <w:r w:rsidR="0015699E" w:rsidRPr="00664E64">
        <w:t xml:space="preserve">, with </w:t>
      </w:r>
      <w:r w:rsidRPr="00664E64">
        <w:t>38% report</w:t>
      </w:r>
      <w:r w:rsidR="0015699E" w:rsidRPr="00664E64">
        <w:t>ing</w:t>
      </w:r>
      <w:r w:rsidRPr="00664E64">
        <w:t xml:space="preserve"> participation in pokies</w:t>
      </w:r>
      <w:r w:rsidR="0015699E" w:rsidRPr="00664E64">
        <w:t xml:space="preserve">, 18% in casino table games, and 9% on </w:t>
      </w:r>
      <w:r w:rsidRPr="00664E64">
        <w:t>poker. A summary is presented below (Table 5.1</w:t>
      </w:r>
      <w:r w:rsidR="00533534" w:rsidRPr="00664E64">
        <w:t>8</w:t>
      </w:r>
      <w:r w:rsidRPr="00664E64">
        <w:t>)</w:t>
      </w:r>
      <w:r w:rsidR="0015699E" w:rsidRPr="00664E64">
        <w:t>.</w:t>
      </w:r>
      <w:bookmarkStart w:id="63" w:name="_Toc11864581"/>
    </w:p>
    <w:p w14:paraId="52757285" w14:textId="271C9D22" w:rsidR="0030560E" w:rsidRPr="000F0972" w:rsidRDefault="000F0972" w:rsidP="000F0972">
      <w:pPr>
        <w:rPr>
          <w:rFonts w:ascii="Arial" w:hAnsi="Arial"/>
          <w:color w:val="2C2624"/>
          <w:sz w:val="20"/>
          <w:lang w:bidi="en-US"/>
        </w:rPr>
      </w:pPr>
      <w:r>
        <w:br w:type="page"/>
      </w:r>
    </w:p>
    <w:p w14:paraId="0469AA4C" w14:textId="7F925362" w:rsidR="009D4A5B" w:rsidRPr="0036418A" w:rsidRDefault="009D4A5B" w:rsidP="00415C73">
      <w:pPr>
        <w:pStyle w:val="FigureCaption"/>
        <w:rPr>
          <w:color w:val="auto"/>
          <w:lang w:val="en-AU"/>
        </w:rPr>
      </w:pPr>
      <w:bookmarkStart w:id="64" w:name="_Toc12549578"/>
      <w:r w:rsidRPr="0036418A">
        <w:rPr>
          <w:color w:val="auto"/>
          <w:lang w:val="en-AU"/>
        </w:rPr>
        <w:lastRenderedPageBreak/>
        <w:t>Table 5.</w:t>
      </w:r>
      <w:r w:rsidR="00777624" w:rsidRPr="0036418A">
        <w:rPr>
          <w:color w:val="auto"/>
          <w:lang w:val="en-AU"/>
        </w:rPr>
        <w:fldChar w:fldCharType="begin"/>
      </w:r>
      <w:r w:rsidR="00777624" w:rsidRPr="0036418A">
        <w:rPr>
          <w:color w:val="auto"/>
          <w:lang w:val="en-AU"/>
        </w:rPr>
        <w:instrText xml:space="preserve"> SEQ Table_5. \* ARABIC </w:instrText>
      </w:r>
      <w:r w:rsidR="00777624" w:rsidRPr="0036418A">
        <w:rPr>
          <w:color w:val="auto"/>
          <w:lang w:val="en-AU"/>
        </w:rPr>
        <w:fldChar w:fldCharType="separate"/>
      </w:r>
      <w:r w:rsidR="00354BBD" w:rsidRPr="0036418A">
        <w:rPr>
          <w:noProof/>
          <w:color w:val="auto"/>
          <w:lang w:val="en-AU"/>
        </w:rPr>
        <w:t>18</w:t>
      </w:r>
      <w:r w:rsidR="00777624" w:rsidRPr="0036418A">
        <w:rPr>
          <w:noProof/>
          <w:color w:val="auto"/>
          <w:lang w:val="en-AU"/>
        </w:rPr>
        <w:fldChar w:fldCharType="end"/>
      </w:r>
      <w:r w:rsidR="00AD1DEF" w:rsidRPr="0036418A">
        <w:rPr>
          <w:color w:val="auto"/>
          <w:lang w:val="en-AU"/>
        </w:rPr>
        <w:t>:</w:t>
      </w:r>
      <w:r w:rsidRPr="0036418A">
        <w:rPr>
          <w:color w:val="auto"/>
          <w:lang w:val="en-AU"/>
        </w:rPr>
        <w:t xml:space="preserve"> Participation in other activities during the past 12 months (N</w:t>
      </w:r>
      <w:r w:rsidR="00AD1DEF" w:rsidRPr="0036418A">
        <w:rPr>
          <w:color w:val="auto"/>
          <w:lang w:val="en-AU"/>
        </w:rPr>
        <w:t xml:space="preserve"> </w:t>
      </w:r>
      <w:r w:rsidRPr="0036418A">
        <w:rPr>
          <w:color w:val="auto"/>
          <w:lang w:val="en-AU"/>
        </w:rPr>
        <w:t>=</w:t>
      </w:r>
      <w:r w:rsidR="00AD1DEF" w:rsidRPr="0036418A">
        <w:rPr>
          <w:color w:val="auto"/>
          <w:lang w:val="en-AU"/>
        </w:rPr>
        <w:t xml:space="preserve"> </w:t>
      </w:r>
      <w:r w:rsidRPr="0036418A">
        <w:rPr>
          <w:color w:val="auto"/>
          <w:lang w:val="en-AU"/>
        </w:rPr>
        <w:t>5,076)</w:t>
      </w:r>
      <w:bookmarkEnd w:id="63"/>
      <w:bookmarkEnd w:id="64"/>
    </w:p>
    <w:tbl>
      <w:tblPr>
        <w:tblStyle w:val="TableGrid"/>
        <w:tblW w:w="5000" w:type="pct"/>
        <w:tblLook w:val="04A0" w:firstRow="1" w:lastRow="0" w:firstColumn="1" w:lastColumn="0" w:noHBand="0" w:noVBand="1"/>
        <w:tblCaption w:val="Participation in other activities during the past 12 months (N = 5,076)"/>
        <w:tblDescription w:val="Shows whether particpants had also gambled on poker machines or played casino table games or poker in the past 12 months."/>
      </w:tblPr>
      <w:tblGrid>
        <w:gridCol w:w="4296"/>
        <w:gridCol w:w="1990"/>
        <w:gridCol w:w="2213"/>
      </w:tblGrid>
      <w:tr w:rsidR="00216D6D" w:rsidRPr="00664E64" w14:paraId="683A47F1" w14:textId="77777777" w:rsidTr="00426BD3">
        <w:trPr>
          <w:cnfStyle w:val="100000000000" w:firstRow="1" w:lastRow="0" w:firstColumn="0" w:lastColumn="0" w:oddVBand="0" w:evenVBand="0" w:oddHBand="0" w:evenHBand="0" w:firstRowFirstColumn="0" w:firstRowLastColumn="0" w:lastRowFirstColumn="0" w:lastRowLastColumn="0"/>
          <w:trHeight w:val="228"/>
          <w:tblHeader/>
        </w:trPr>
        <w:tc>
          <w:tcPr>
            <w:tcW w:w="2527" w:type="pct"/>
            <w:hideMark/>
          </w:tcPr>
          <w:p w14:paraId="2BF6C602" w14:textId="77777777" w:rsidR="00216D6D" w:rsidRPr="00664E64" w:rsidRDefault="00216D6D" w:rsidP="007D624D">
            <w:pPr>
              <w:pStyle w:val="TableColHeadLeft"/>
              <w:rPr>
                <w:lang w:val="en-AU"/>
              </w:rPr>
            </w:pPr>
            <w:r w:rsidRPr="00664E64">
              <w:rPr>
                <w:lang w:val="en-AU"/>
              </w:rPr>
              <w:t> Activity</w:t>
            </w:r>
          </w:p>
        </w:tc>
        <w:tc>
          <w:tcPr>
            <w:tcW w:w="1171" w:type="pct"/>
            <w:hideMark/>
          </w:tcPr>
          <w:p w14:paraId="3516FD1D" w14:textId="77777777" w:rsidR="00216D6D" w:rsidRPr="00664E64" w:rsidRDefault="00216D6D" w:rsidP="007D624D">
            <w:pPr>
              <w:pStyle w:val="TableColHeadCentre"/>
              <w:rPr>
                <w:lang w:val="en-AU"/>
              </w:rPr>
            </w:pPr>
            <w:r w:rsidRPr="00664E64">
              <w:rPr>
                <w:lang w:val="en-AU"/>
              </w:rPr>
              <w:t>Number</w:t>
            </w:r>
          </w:p>
        </w:tc>
        <w:tc>
          <w:tcPr>
            <w:tcW w:w="1302" w:type="pct"/>
            <w:hideMark/>
          </w:tcPr>
          <w:p w14:paraId="4DF918D3" w14:textId="77777777" w:rsidR="00216D6D" w:rsidRPr="00664E64" w:rsidRDefault="00216D6D" w:rsidP="007D624D">
            <w:pPr>
              <w:pStyle w:val="TableColHeadCentre"/>
              <w:rPr>
                <w:lang w:val="en-AU"/>
              </w:rPr>
            </w:pPr>
            <w:r w:rsidRPr="00664E64">
              <w:rPr>
                <w:lang w:val="en-AU"/>
              </w:rPr>
              <w:t>%</w:t>
            </w:r>
          </w:p>
        </w:tc>
      </w:tr>
      <w:tr w:rsidR="00216D6D" w:rsidRPr="00664E64" w14:paraId="5ABFEA0F" w14:textId="77777777" w:rsidTr="00216D6D">
        <w:trPr>
          <w:trHeight w:val="314"/>
        </w:trPr>
        <w:tc>
          <w:tcPr>
            <w:tcW w:w="2527" w:type="pct"/>
          </w:tcPr>
          <w:p w14:paraId="1EE6DAF8" w14:textId="77777777" w:rsidR="00216D6D" w:rsidRPr="00267E2C" w:rsidRDefault="00216D6D" w:rsidP="007D624D">
            <w:pPr>
              <w:pStyle w:val="TableHeading"/>
              <w:rPr>
                <w:b/>
                <w:lang w:val="en-AU"/>
              </w:rPr>
            </w:pPr>
            <w:r w:rsidRPr="00267E2C">
              <w:rPr>
                <w:b/>
                <w:color w:val="auto"/>
                <w:lang w:val="en-AU"/>
              </w:rPr>
              <w:t>Poker machines (pokies)</w:t>
            </w:r>
          </w:p>
        </w:tc>
        <w:tc>
          <w:tcPr>
            <w:tcW w:w="1171" w:type="pct"/>
            <w:noWrap/>
          </w:tcPr>
          <w:p w14:paraId="196B1D95" w14:textId="77777777" w:rsidR="00216D6D" w:rsidRPr="00664E64" w:rsidRDefault="00216D6D" w:rsidP="007D624D">
            <w:pPr>
              <w:pStyle w:val="TableTextCentre"/>
              <w:rPr>
                <w:b/>
                <w:lang w:val="en-AU"/>
              </w:rPr>
            </w:pPr>
            <w:r w:rsidRPr="00664E64">
              <w:rPr>
                <w:b/>
                <w:lang w:val="en-AU"/>
              </w:rPr>
              <w:t>1,918</w:t>
            </w:r>
          </w:p>
        </w:tc>
        <w:tc>
          <w:tcPr>
            <w:tcW w:w="1302" w:type="pct"/>
            <w:noWrap/>
          </w:tcPr>
          <w:p w14:paraId="3D5AAD87" w14:textId="77777777" w:rsidR="00216D6D" w:rsidRPr="00664E64" w:rsidRDefault="00216D6D" w:rsidP="007D624D">
            <w:pPr>
              <w:pStyle w:val="TableTextCentre"/>
              <w:rPr>
                <w:b/>
                <w:lang w:val="en-AU"/>
              </w:rPr>
            </w:pPr>
            <w:r w:rsidRPr="00664E64">
              <w:rPr>
                <w:b/>
                <w:lang w:val="en-AU"/>
              </w:rPr>
              <w:t>37.8</w:t>
            </w:r>
          </w:p>
        </w:tc>
      </w:tr>
      <w:tr w:rsidR="00216D6D" w:rsidRPr="00664E64" w14:paraId="7AF08A62" w14:textId="77777777" w:rsidTr="00216D6D">
        <w:trPr>
          <w:trHeight w:val="314"/>
        </w:trPr>
        <w:tc>
          <w:tcPr>
            <w:tcW w:w="2527" w:type="pct"/>
            <w:hideMark/>
          </w:tcPr>
          <w:p w14:paraId="0F832F5F" w14:textId="77777777" w:rsidR="00216D6D" w:rsidRPr="00664E64" w:rsidRDefault="00216D6D" w:rsidP="007D624D">
            <w:pPr>
              <w:pStyle w:val="TableText"/>
              <w:rPr>
                <w:lang w:val="en-AU"/>
              </w:rPr>
            </w:pPr>
            <w:r w:rsidRPr="00664E64">
              <w:rPr>
                <w:lang w:val="en-AU"/>
              </w:rPr>
              <w:t>Online</w:t>
            </w:r>
          </w:p>
        </w:tc>
        <w:tc>
          <w:tcPr>
            <w:tcW w:w="1171" w:type="pct"/>
            <w:noWrap/>
            <w:hideMark/>
          </w:tcPr>
          <w:p w14:paraId="36BD14E5" w14:textId="77777777" w:rsidR="00216D6D" w:rsidRPr="00664E64" w:rsidRDefault="00216D6D" w:rsidP="007D624D">
            <w:pPr>
              <w:pStyle w:val="TableTextCentre"/>
              <w:rPr>
                <w:lang w:val="en-AU"/>
              </w:rPr>
            </w:pPr>
            <w:r w:rsidRPr="00664E64">
              <w:rPr>
                <w:lang w:val="en-AU"/>
              </w:rPr>
              <w:t>198</w:t>
            </w:r>
          </w:p>
        </w:tc>
        <w:tc>
          <w:tcPr>
            <w:tcW w:w="1302" w:type="pct"/>
            <w:noWrap/>
            <w:hideMark/>
          </w:tcPr>
          <w:p w14:paraId="0ED776AD" w14:textId="77777777" w:rsidR="00216D6D" w:rsidRPr="00664E64" w:rsidRDefault="00216D6D" w:rsidP="007D624D">
            <w:pPr>
              <w:pStyle w:val="TableTextCentre"/>
              <w:rPr>
                <w:lang w:val="en-AU"/>
              </w:rPr>
            </w:pPr>
            <w:r w:rsidRPr="00664E64">
              <w:rPr>
                <w:lang w:val="en-AU"/>
              </w:rPr>
              <w:t>3.9</w:t>
            </w:r>
          </w:p>
        </w:tc>
      </w:tr>
      <w:tr w:rsidR="00216D6D" w:rsidRPr="00664E64" w14:paraId="16CF91A2" w14:textId="77777777" w:rsidTr="00216D6D">
        <w:trPr>
          <w:trHeight w:val="314"/>
        </w:trPr>
        <w:tc>
          <w:tcPr>
            <w:tcW w:w="2527" w:type="pct"/>
            <w:hideMark/>
          </w:tcPr>
          <w:p w14:paraId="78F9D300" w14:textId="77777777" w:rsidR="00216D6D" w:rsidRPr="00664E64" w:rsidRDefault="00216D6D" w:rsidP="007D624D">
            <w:pPr>
              <w:pStyle w:val="TableText"/>
              <w:rPr>
                <w:lang w:val="en-AU"/>
              </w:rPr>
            </w:pPr>
            <w:r w:rsidRPr="00664E64">
              <w:rPr>
                <w:lang w:val="en-AU"/>
              </w:rPr>
              <w:t>Licensed venue</w:t>
            </w:r>
          </w:p>
        </w:tc>
        <w:tc>
          <w:tcPr>
            <w:tcW w:w="1171" w:type="pct"/>
            <w:noWrap/>
            <w:hideMark/>
          </w:tcPr>
          <w:p w14:paraId="23209B84" w14:textId="77777777" w:rsidR="00216D6D" w:rsidRPr="00664E64" w:rsidRDefault="00216D6D" w:rsidP="007D624D">
            <w:pPr>
              <w:pStyle w:val="TableTextCentre"/>
              <w:rPr>
                <w:lang w:val="en-AU"/>
              </w:rPr>
            </w:pPr>
            <w:r w:rsidRPr="00664E64">
              <w:rPr>
                <w:lang w:val="en-AU"/>
              </w:rPr>
              <w:t>1,720</w:t>
            </w:r>
          </w:p>
        </w:tc>
        <w:tc>
          <w:tcPr>
            <w:tcW w:w="1302" w:type="pct"/>
            <w:noWrap/>
            <w:hideMark/>
          </w:tcPr>
          <w:p w14:paraId="34FADBD0" w14:textId="77777777" w:rsidR="00216D6D" w:rsidRPr="00664E64" w:rsidRDefault="00216D6D" w:rsidP="007D624D">
            <w:pPr>
              <w:pStyle w:val="TableTextCentre"/>
              <w:rPr>
                <w:lang w:val="en-AU"/>
              </w:rPr>
            </w:pPr>
            <w:r w:rsidRPr="00664E64">
              <w:rPr>
                <w:lang w:val="en-AU"/>
              </w:rPr>
              <w:t>33.9</w:t>
            </w:r>
          </w:p>
        </w:tc>
      </w:tr>
      <w:tr w:rsidR="00216D6D" w:rsidRPr="00664E64" w14:paraId="37A2C723" w14:textId="77777777" w:rsidTr="00216D6D">
        <w:trPr>
          <w:trHeight w:val="592"/>
        </w:trPr>
        <w:tc>
          <w:tcPr>
            <w:tcW w:w="2527" w:type="pct"/>
          </w:tcPr>
          <w:p w14:paraId="3412A9E0" w14:textId="77777777" w:rsidR="00216D6D" w:rsidRPr="00664E64" w:rsidRDefault="00216D6D" w:rsidP="007D624D">
            <w:pPr>
              <w:pStyle w:val="TableHeading"/>
              <w:rPr>
                <w:lang w:val="en-AU"/>
              </w:rPr>
            </w:pPr>
            <w:r w:rsidRPr="00267E2C">
              <w:rPr>
                <w:b/>
                <w:color w:val="auto"/>
                <w:lang w:val="en-AU"/>
              </w:rPr>
              <w:t>Casino table games (e.g. blackjack, roulette, but NOT poker)</w:t>
            </w:r>
          </w:p>
        </w:tc>
        <w:tc>
          <w:tcPr>
            <w:tcW w:w="1171" w:type="pct"/>
            <w:noWrap/>
          </w:tcPr>
          <w:p w14:paraId="4B0BCECA" w14:textId="77777777" w:rsidR="00216D6D" w:rsidRPr="00664E64" w:rsidRDefault="00216D6D" w:rsidP="007D624D">
            <w:pPr>
              <w:pStyle w:val="TableTextCentre"/>
              <w:rPr>
                <w:b/>
                <w:lang w:val="en-AU"/>
              </w:rPr>
            </w:pPr>
            <w:r w:rsidRPr="00664E64">
              <w:rPr>
                <w:b/>
                <w:lang w:val="en-AU"/>
              </w:rPr>
              <w:t>939</w:t>
            </w:r>
          </w:p>
        </w:tc>
        <w:tc>
          <w:tcPr>
            <w:tcW w:w="1302" w:type="pct"/>
            <w:noWrap/>
          </w:tcPr>
          <w:p w14:paraId="1F09021D" w14:textId="77777777" w:rsidR="00216D6D" w:rsidRPr="00664E64" w:rsidRDefault="00216D6D" w:rsidP="007D624D">
            <w:pPr>
              <w:pStyle w:val="TableTextCentre"/>
              <w:rPr>
                <w:b/>
                <w:lang w:val="en-AU"/>
              </w:rPr>
            </w:pPr>
            <w:r w:rsidRPr="00664E64">
              <w:rPr>
                <w:b/>
                <w:lang w:val="en-AU"/>
              </w:rPr>
              <w:t>18.5</w:t>
            </w:r>
          </w:p>
        </w:tc>
      </w:tr>
      <w:tr w:rsidR="00216D6D" w:rsidRPr="00664E64" w14:paraId="772FCAC1" w14:textId="77777777" w:rsidTr="00216D6D">
        <w:trPr>
          <w:trHeight w:val="482"/>
        </w:trPr>
        <w:tc>
          <w:tcPr>
            <w:tcW w:w="2527" w:type="pct"/>
            <w:hideMark/>
          </w:tcPr>
          <w:p w14:paraId="7ABE50D2" w14:textId="77777777" w:rsidR="00216D6D" w:rsidRPr="00664E64" w:rsidRDefault="00216D6D" w:rsidP="007D624D">
            <w:pPr>
              <w:pStyle w:val="TableText"/>
              <w:rPr>
                <w:lang w:val="en-AU"/>
              </w:rPr>
            </w:pPr>
            <w:r w:rsidRPr="00664E64">
              <w:rPr>
                <w:lang w:val="en-AU"/>
              </w:rPr>
              <w:t>Online</w:t>
            </w:r>
          </w:p>
        </w:tc>
        <w:tc>
          <w:tcPr>
            <w:tcW w:w="1171" w:type="pct"/>
            <w:noWrap/>
            <w:hideMark/>
          </w:tcPr>
          <w:p w14:paraId="722F7096" w14:textId="77777777" w:rsidR="00216D6D" w:rsidRPr="00664E64" w:rsidRDefault="00216D6D" w:rsidP="007D624D">
            <w:pPr>
              <w:pStyle w:val="TableTextCentre"/>
              <w:rPr>
                <w:lang w:val="en-AU"/>
              </w:rPr>
            </w:pPr>
            <w:r w:rsidRPr="00664E64">
              <w:rPr>
                <w:lang w:val="en-AU"/>
              </w:rPr>
              <w:t>237</w:t>
            </w:r>
          </w:p>
        </w:tc>
        <w:tc>
          <w:tcPr>
            <w:tcW w:w="1302" w:type="pct"/>
            <w:noWrap/>
            <w:hideMark/>
          </w:tcPr>
          <w:p w14:paraId="20FF24B4" w14:textId="77777777" w:rsidR="00216D6D" w:rsidRPr="00664E64" w:rsidRDefault="00216D6D" w:rsidP="007D624D">
            <w:pPr>
              <w:pStyle w:val="TableTextCentre"/>
              <w:rPr>
                <w:lang w:val="en-AU"/>
              </w:rPr>
            </w:pPr>
            <w:r w:rsidRPr="00664E64">
              <w:rPr>
                <w:lang w:val="en-AU"/>
              </w:rPr>
              <w:t>4.7</w:t>
            </w:r>
          </w:p>
        </w:tc>
      </w:tr>
      <w:tr w:rsidR="00216D6D" w:rsidRPr="00664E64" w14:paraId="4728D64D" w14:textId="77777777" w:rsidTr="00216D6D">
        <w:trPr>
          <w:trHeight w:val="421"/>
        </w:trPr>
        <w:tc>
          <w:tcPr>
            <w:tcW w:w="2527" w:type="pct"/>
            <w:hideMark/>
          </w:tcPr>
          <w:p w14:paraId="7F82453F" w14:textId="77777777" w:rsidR="00216D6D" w:rsidRPr="00664E64" w:rsidRDefault="00216D6D" w:rsidP="007D624D">
            <w:pPr>
              <w:pStyle w:val="TableText"/>
              <w:rPr>
                <w:lang w:val="en-AU"/>
              </w:rPr>
            </w:pPr>
            <w:r w:rsidRPr="00664E64">
              <w:rPr>
                <w:lang w:val="en-AU"/>
              </w:rPr>
              <w:t>Licensed venue</w:t>
            </w:r>
          </w:p>
        </w:tc>
        <w:tc>
          <w:tcPr>
            <w:tcW w:w="1171" w:type="pct"/>
            <w:noWrap/>
            <w:hideMark/>
          </w:tcPr>
          <w:p w14:paraId="43A77AE5" w14:textId="77777777" w:rsidR="00216D6D" w:rsidRPr="00664E64" w:rsidRDefault="00216D6D" w:rsidP="007D624D">
            <w:pPr>
              <w:pStyle w:val="TableTextCentre"/>
              <w:rPr>
                <w:lang w:val="en-AU"/>
              </w:rPr>
            </w:pPr>
            <w:r w:rsidRPr="00664E64">
              <w:rPr>
                <w:lang w:val="en-AU"/>
              </w:rPr>
              <w:t>702</w:t>
            </w:r>
          </w:p>
        </w:tc>
        <w:tc>
          <w:tcPr>
            <w:tcW w:w="1302" w:type="pct"/>
            <w:noWrap/>
            <w:hideMark/>
          </w:tcPr>
          <w:p w14:paraId="0B228A85" w14:textId="77777777" w:rsidR="00216D6D" w:rsidRPr="00664E64" w:rsidRDefault="00216D6D" w:rsidP="007D624D">
            <w:pPr>
              <w:pStyle w:val="TableTextCentre"/>
              <w:rPr>
                <w:lang w:val="en-AU"/>
              </w:rPr>
            </w:pPr>
            <w:r w:rsidRPr="00664E64">
              <w:rPr>
                <w:lang w:val="en-AU"/>
              </w:rPr>
              <w:t>13.8</w:t>
            </w:r>
          </w:p>
        </w:tc>
      </w:tr>
      <w:tr w:rsidR="00216D6D" w:rsidRPr="00664E64" w14:paraId="6B72A091" w14:textId="77777777" w:rsidTr="00216D6D">
        <w:trPr>
          <w:trHeight w:val="178"/>
        </w:trPr>
        <w:tc>
          <w:tcPr>
            <w:tcW w:w="2527" w:type="pct"/>
          </w:tcPr>
          <w:p w14:paraId="04B2147A" w14:textId="77777777" w:rsidR="00216D6D" w:rsidRPr="00664E64" w:rsidRDefault="00216D6D" w:rsidP="007D624D">
            <w:pPr>
              <w:pStyle w:val="TableHeading"/>
              <w:rPr>
                <w:lang w:val="en-AU"/>
              </w:rPr>
            </w:pPr>
            <w:r w:rsidRPr="00267E2C">
              <w:rPr>
                <w:b/>
                <w:color w:val="auto"/>
                <w:lang w:val="en-AU"/>
              </w:rPr>
              <w:t>Poker</w:t>
            </w:r>
          </w:p>
        </w:tc>
        <w:tc>
          <w:tcPr>
            <w:tcW w:w="1171" w:type="pct"/>
            <w:noWrap/>
          </w:tcPr>
          <w:p w14:paraId="3EC85141" w14:textId="77777777" w:rsidR="00216D6D" w:rsidRPr="00664E64" w:rsidRDefault="00216D6D" w:rsidP="007D624D">
            <w:pPr>
              <w:pStyle w:val="TableTextCentre"/>
              <w:rPr>
                <w:b/>
                <w:lang w:val="en-AU"/>
              </w:rPr>
            </w:pPr>
            <w:r w:rsidRPr="00664E64">
              <w:rPr>
                <w:b/>
                <w:lang w:val="en-AU"/>
              </w:rPr>
              <w:t>159</w:t>
            </w:r>
          </w:p>
        </w:tc>
        <w:tc>
          <w:tcPr>
            <w:tcW w:w="1302" w:type="pct"/>
            <w:noWrap/>
          </w:tcPr>
          <w:p w14:paraId="25E208A6" w14:textId="77777777" w:rsidR="00216D6D" w:rsidRPr="00664E64" w:rsidRDefault="00216D6D" w:rsidP="007D624D">
            <w:pPr>
              <w:pStyle w:val="TableTextCentre"/>
              <w:rPr>
                <w:b/>
                <w:lang w:val="en-AU"/>
              </w:rPr>
            </w:pPr>
            <w:r w:rsidRPr="00664E64">
              <w:rPr>
                <w:b/>
                <w:lang w:val="en-AU"/>
              </w:rPr>
              <w:t>9.4</w:t>
            </w:r>
          </w:p>
        </w:tc>
      </w:tr>
      <w:tr w:rsidR="00216D6D" w:rsidRPr="00664E64" w14:paraId="2A5C510C" w14:textId="77777777" w:rsidTr="00216D6D">
        <w:trPr>
          <w:trHeight w:val="178"/>
        </w:trPr>
        <w:tc>
          <w:tcPr>
            <w:tcW w:w="2527" w:type="pct"/>
            <w:hideMark/>
          </w:tcPr>
          <w:p w14:paraId="2786D9D5" w14:textId="77777777" w:rsidR="00216D6D" w:rsidRPr="00664E64" w:rsidRDefault="00216D6D" w:rsidP="007D624D">
            <w:pPr>
              <w:pStyle w:val="TableText"/>
              <w:rPr>
                <w:lang w:val="en-AU"/>
              </w:rPr>
            </w:pPr>
            <w:r w:rsidRPr="00664E64">
              <w:rPr>
                <w:lang w:val="en-AU"/>
              </w:rPr>
              <w:t>Online</w:t>
            </w:r>
          </w:p>
        </w:tc>
        <w:tc>
          <w:tcPr>
            <w:tcW w:w="1171" w:type="pct"/>
            <w:noWrap/>
            <w:hideMark/>
          </w:tcPr>
          <w:p w14:paraId="7B5F7D4B" w14:textId="77777777" w:rsidR="00216D6D" w:rsidRPr="00664E64" w:rsidRDefault="00216D6D" w:rsidP="007D624D">
            <w:pPr>
              <w:pStyle w:val="TableTextCentre"/>
              <w:rPr>
                <w:lang w:val="en-AU"/>
              </w:rPr>
            </w:pPr>
            <w:r w:rsidRPr="00664E64">
              <w:rPr>
                <w:lang w:val="en-AU"/>
              </w:rPr>
              <w:t>101</w:t>
            </w:r>
          </w:p>
        </w:tc>
        <w:tc>
          <w:tcPr>
            <w:tcW w:w="1302" w:type="pct"/>
            <w:noWrap/>
            <w:hideMark/>
          </w:tcPr>
          <w:p w14:paraId="195699F0" w14:textId="77777777" w:rsidR="00216D6D" w:rsidRPr="00664E64" w:rsidRDefault="00216D6D" w:rsidP="007D624D">
            <w:pPr>
              <w:pStyle w:val="TableTextCentre"/>
              <w:rPr>
                <w:lang w:val="en-AU"/>
              </w:rPr>
            </w:pPr>
            <w:r w:rsidRPr="00664E64">
              <w:rPr>
                <w:lang w:val="en-AU"/>
              </w:rPr>
              <w:t>2.0</w:t>
            </w:r>
          </w:p>
        </w:tc>
      </w:tr>
      <w:tr w:rsidR="00216D6D" w:rsidRPr="00664E64" w14:paraId="0F44DC19" w14:textId="77777777" w:rsidTr="00216D6D">
        <w:trPr>
          <w:trHeight w:val="178"/>
        </w:trPr>
        <w:tc>
          <w:tcPr>
            <w:tcW w:w="2527" w:type="pct"/>
            <w:hideMark/>
          </w:tcPr>
          <w:p w14:paraId="329E106D" w14:textId="77777777" w:rsidR="00216D6D" w:rsidRPr="00664E64" w:rsidRDefault="00216D6D" w:rsidP="007D624D">
            <w:pPr>
              <w:pStyle w:val="TableText"/>
              <w:rPr>
                <w:lang w:val="en-AU"/>
              </w:rPr>
            </w:pPr>
            <w:r w:rsidRPr="00664E64">
              <w:rPr>
                <w:lang w:val="en-AU"/>
              </w:rPr>
              <w:t>Licensed venue</w:t>
            </w:r>
          </w:p>
        </w:tc>
        <w:tc>
          <w:tcPr>
            <w:tcW w:w="1171" w:type="pct"/>
            <w:noWrap/>
            <w:hideMark/>
          </w:tcPr>
          <w:p w14:paraId="74E901FB" w14:textId="77777777" w:rsidR="00216D6D" w:rsidRPr="00664E64" w:rsidRDefault="00216D6D" w:rsidP="007D624D">
            <w:pPr>
              <w:pStyle w:val="TableTextCentre"/>
              <w:rPr>
                <w:lang w:val="en-AU"/>
              </w:rPr>
            </w:pPr>
            <w:r w:rsidRPr="00664E64">
              <w:rPr>
                <w:lang w:val="en-AU"/>
              </w:rPr>
              <w:t>194</w:t>
            </w:r>
          </w:p>
        </w:tc>
        <w:tc>
          <w:tcPr>
            <w:tcW w:w="1302" w:type="pct"/>
            <w:noWrap/>
            <w:hideMark/>
          </w:tcPr>
          <w:p w14:paraId="29FDF8F7" w14:textId="77777777" w:rsidR="00216D6D" w:rsidRPr="00664E64" w:rsidRDefault="00216D6D" w:rsidP="007D624D">
            <w:pPr>
              <w:pStyle w:val="TableTextCentre"/>
              <w:rPr>
                <w:lang w:val="en-AU"/>
              </w:rPr>
            </w:pPr>
            <w:r w:rsidRPr="00664E64">
              <w:rPr>
                <w:lang w:val="en-AU"/>
              </w:rPr>
              <w:t>3.8</w:t>
            </w:r>
          </w:p>
        </w:tc>
      </w:tr>
      <w:tr w:rsidR="00216D6D" w:rsidRPr="00664E64" w14:paraId="34107F70" w14:textId="77777777" w:rsidTr="00216D6D">
        <w:trPr>
          <w:trHeight w:val="314"/>
        </w:trPr>
        <w:tc>
          <w:tcPr>
            <w:tcW w:w="2527" w:type="pct"/>
            <w:hideMark/>
          </w:tcPr>
          <w:p w14:paraId="5FBC5FAE" w14:textId="77777777" w:rsidR="00216D6D" w:rsidRPr="00664E64" w:rsidRDefault="00216D6D" w:rsidP="007D624D">
            <w:pPr>
              <w:pStyle w:val="TableText"/>
              <w:rPr>
                <w:lang w:val="en-AU"/>
              </w:rPr>
            </w:pPr>
            <w:r w:rsidRPr="00664E64">
              <w:rPr>
                <w:lang w:val="en-AU"/>
              </w:rPr>
              <w:t>Informal (e.g. with friends)</w:t>
            </w:r>
          </w:p>
        </w:tc>
        <w:tc>
          <w:tcPr>
            <w:tcW w:w="1171" w:type="pct"/>
            <w:noWrap/>
            <w:hideMark/>
          </w:tcPr>
          <w:p w14:paraId="58AF83AE" w14:textId="77777777" w:rsidR="00216D6D" w:rsidRPr="00664E64" w:rsidRDefault="00216D6D" w:rsidP="007D624D">
            <w:pPr>
              <w:pStyle w:val="TableTextCentre"/>
              <w:rPr>
                <w:lang w:val="en-AU"/>
              </w:rPr>
            </w:pPr>
            <w:r w:rsidRPr="00664E64">
              <w:rPr>
                <w:lang w:val="en-AU"/>
              </w:rPr>
              <w:t>182</w:t>
            </w:r>
          </w:p>
        </w:tc>
        <w:tc>
          <w:tcPr>
            <w:tcW w:w="1302" w:type="pct"/>
            <w:noWrap/>
            <w:hideMark/>
          </w:tcPr>
          <w:p w14:paraId="605B9282" w14:textId="77777777" w:rsidR="00216D6D" w:rsidRPr="00664E64" w:rsidRDefault="00216D6D" w:rsidP="007D624D">
            <w:pPr>
              <w:pStyle w:val="TableTextCentre"/>
              <w:rPr>
                <w:lang w:val="en-AU"/>
              </w:rPr>
            </w:pPr>
            <w:r w:rsidRPr="00664E64">
              <w:rPr>
                <w:lang w:val="en-AU"/>
              </w:rPr>
              <w:t>3.6</w:t>
            </w:r>
          </w:p>
        </w:tc>
      </w:tr>
      <w:tr w:rsidR="00216D6D" w:rsidRPr="00664E64" w14:paraId="6A0011DA" w14:textId="77777777" w:rsidTr="00216D6D">
        <w:trPr>
          <w:trHeight w:val="178"/>
        </w:trPr>
        <w:tc>
          <w:tcPr>
            <w:tcW w:w="2527" w:type="pct"/>
            <w:tcBorders>
              <w:bottom w:val="single" w:sz="2" w:space="0" w:color="auto"/>
            </w:tcBorders>
            <w:hideMark/>
          </w:tcPr>
          <w:p w14:paraId="77F5A8FA" w14:textId="77777777" w:rsidR="00216D6D" w:rsidRPr="00664E64" w:rsidRDefault="00216D6D" w:rsidP="007D624D">
            <w:pPr>
              <w:pStyle w:val="TableText"/>
              <w:rPr>
                <w:b/>
                <w:lang w:val="en-AU"/>
              </w:rPr>
            </w:pPr>
            <w:r w:rsidRPr="00664E64">
              <w:rPr>
                <w:b/>
                <w:lang w:val="en-AU"/>
              </w:rPr>
              <w:t>None of the above</w:t>
            </w:r>
          </w:p>
        </w:tc>
        <w:tc>
          <w:tcPr>
            <w:tcW w:w="1171" w:type="pct"/>
            <w:tcBorders>
              <w:bottom w:val="single" w:sz="2" w:space="0" w:color="auto"/>
            </w:tcBorders>
            <w:noWrap/>
            <w:hideMark/>
          </w:tcPr>
          <w:p w14:paraId="26606EFD" w14:textId="77777777" w:rsidR="00216D6D" w:rsidRPr="00664E64" w:rsidRDefault="00216D6D" w:rsidP="007D624D">
            <w:pPr>
              <w:pStyle w:val="TableTextCentre"/>
              <w:rPr>
                <w:b/>
                <w:lang w:val="en-AU"/>
              </w:rPr>
            </w:pPr>
            <w:r w:rsidRPr="00664E64">
              <w:rPr>
                <w:b/>
                <w:lang w:val="en-AU"/>
              </w:rPr>
              <w:t>2,843</w:t>
            </w:r>
          </w:p>
        </w:tc>
        <w:tc>
          <w:tcPr>
            <w:tcW w:w="1302" w:type="pct"/>
            <w:tcBorders>
              <w:bottom w:val="single" w:sz="2" w:space="0" w:color="auto"/>
            </w:tcBorders>
            <w:noWrap/>
            <w:hideMark/>
          </w:tcPr>
          <w:p w14:paraId="5C8EB69A" w14:textId="77777777" w:rsidR="00216D6D" w:rsidRPr="00664E64" w:rsidRDefault="00216D6D" w:rsidP="007D624D">
            <w:pPr>
              <w:pStyle w:val="TableTextCentre"/>
              <w:rPr>
                <w:b/>
                <w:lang w:val="en-AU"/>
              </w:rPr>
            </w:pPr>
            <w:r w:rsidRPr="00664E64">
              <w:rPr>
                <w:b/>
                <w:lang w:val="en-AU"/>
              </w:rPr>
              <w:t>56.0</w:t>
            </w:r>
          </w:p>
        </w:tc>
      </w:tr>
    </w:tbl>
    <w:p w14:paraId="2B554262" w14:textId="023CF333" w:rsidR="0074304D" w:rsidRPr="00914CEA" w:rsidRDefault="00914CEA" w:rsidP="00914CEA">
      <w:pPr>
        <w:pStyle w:val="BodyText"/>
        <w:spacing w:before="0"/>
        <w:rPr>
          <w:sz w:val="18"/>
          <w:szCs w:val="18"/>
          <w:lang w:eastAsia="ja-JP"/>
        </w:rPr>
      </w:pPr>
      <w:r w:rsidRPr="00914CEA">
        <w:rPr>
          <w:sz w:val="18"/>
          <w:szCs w:val="18"/>
          <w:lang w:eastAsia="ja-JP"/>
        </w:rPr>
        <w:t>Note: Percentages exceed 100% due to participation in multiple activities.</w:t>
      </w:r>
    </w:p>
    <w:p w14:paraId="5AD76F40" w14:textId="6D33A96A" w:rsidR="00D161F4" w:rsidRPr="00267E2C" w:rsidRDefault="0015699E" w:rsidP="00A55CD9">
      <w:pPr>
        <w:pStyle w:val="Heading2"/>
        <w:rPr>
          <w:color w:val="auto"/>
        </w:rPr>
      </w:pPr>
      <w:bookmarkStart w:id="65" w:name="_Toc12022554"/>
      <w:r w:rsidRPr="00267E2C">
        <w:rPr>
          <w:color w:val="auto"/>
        </w:rPr>
        <w:t>Wagering m</w:t>
      </w:r>
      <w:r w:rsidR="00D161F4" w:rsidRPr="00267E2C">
        <w:rPr>
          <w:color w:val="auto"/>
        </w:rPr>
        <w:t>otivation</w:t>
      </w:r>
      <w:r w:rsidRPr="00267E2C">
        <w:rPr>
          <w:color w:val="auto"/>
        </w:rPr>
        <w:t>s</w:t>
      </w:r>
      <w:r w:rsidR="00D161F4" w:rsidRPr="00267E2C">
        <w:rPr>
          <w:color w:val="auto"/>
        </w:rPr>
        <w:t xml:space="preserve"> and control measures</w:t>
      </w:r>
      <w:bookmarkEnd w:id="65"/>
    </w:p>
    <w:p w14:paraId="15D3D926" w14:textId="029F699D" w:rsidR="00D161F4" w:rsidRPr="00267E2C" w:rsidRDefault="00D161F4" w:rsidP="00A55CD9">
      <w:pPr>
        <w:pStyle w:val="Heading3"/>
        <w:rPr>
          <w:color w:val="auto"/>
        </w:rPr>
      </w:pPr>
      <w:r w:rsidRPr="00267E2C">
        <w:rPr>
          <w:color w:val="auto"/>
        </w:rPr>
        <w:t>Motivation</w:t>
      </w:r>
      <w:r w:rsidR="0015699E" w:rsidRPr="00267E2C">
        <w:rPr>
          <w:color w:val="auto"/>
        </w:rPr>
        <w:t>s</w:t>
      </w:r>
      <w:r w:rsidRPr="00267E2C">
        <w:rPr>
          <w:color w:val="auto"/>
        </w:rPr>
        <w:t xml:space="preserve"> </w:t>
      </w:r>
      <w:r w:rsidR="0015699E" w:rsidRPr="00267E2C">
        <w:rPr>
          <w:color w:val="auto"/>
        </w:rPr>
        <w:t>for</w:t>
      </w:r>
      <w:r w:rsidRPr="00267E2C">
        <w:rPr>
          <w:color w:val="auto"/>
        </w:rPr>
        <w:t xml:space="preserve"> online betting</w:t>
      </w:r>
    </w:p>
    <w:p w14:paraId="2206628C" w14:textId="64C8FC1B" w:rsidR="008A2CBD" w:rsidRPr="00664E64" w:rsidRDefault="008A2CBD" w:rsidP="00A55CD9">
      <w:pPr>
        <w:pStyle w:val="BodyText"/>
      </w:pPr>
      <w:r w:rsidRPr="00664E64">
        <w:t>Almost two-thirds of the respondents (64%) identified enjoyment as one of their main motivations to wager online during the last 12 months. About a third (31%) reported that betting on an event made watching it more interesting, and 27% reported that betting was a social activity for them</w:t>
      </w:r>
      <w:r w:rsidR="00AD1DEF" w:rsidRPr="00664E64">
        <w:t xml:space="preserve"> (Table 5.19)</w:t>
      </w:r>
      <w:r w:rsidRPr="00664E64">
        <w:t>.</w:t>
      </w:r>
    </w:p>
    <w:p w14:paraId="36034B9D" w14:textId="77777777" w:rsidR="000F0972" w:rsidRDefault="000F0972">
      <w:pPr>
        <w:rPr>
          <w:rFonts w:ascii="Arial" w:hAnsi="Arial" w:cs="Arial"/>
          <w:b/>
          <w:color w:val="ED0C64"/>
          <w:sz w:val="20"/>
          <w:lang w:eastAsia="ja-JP" w:bidi="en-US"/>
        </w:rPr>
      </w:pPr>
      <w:bookmarkStart w:id="66" w:name="_Toc8330411"/>
      <w:bookmarkStart w:id="67" w:name="_Toc11864582"/>
      <w:bookmarkStart w:id="68" w:name="_Toc12549579"/>
      <w:r>
        <w:br w:type="page"/>
      </w:r>
    </w:p>
    <w:p w14:paraId="69FF6734" w14:textId="7D065F9F" w:rsidR="008A2CBD" w:rsidRPr="00267E2C" w:rsidRDefault="008A2CBD" w:rsidP="00415C73">
      <w:pPr>
        <w:pStyle w:val="FigureCaption"/>
        <w:rPr>
          <w:color w:val="auto"/>
          <w:lang w:val="en-AU"/>
        </w:rPr>
      </w:pPr>
      <w:r w:rsidRPr="00267E2C">
        <w:rPr>
          <w:color w:val="auto"/>
          <w:lang w:val="en-AU"/>
        </w:rPr>
        <w:lastRenderedPageBreak/>
        <w:t>Table 5.</w:t>
      </w:r>
      <w:r w:rsidR="00777624" w:rsidRPr="00267E2C">
        <w:rPr>
          <w:color w:val="auto"/>
          <w:lang w:val="en-AU"/>
        </w:rPr>
        <w:fldChar w:fldCharType="begin"/>
      </w:r>
      <w:r w:rsidR="00777624" w:rsidRPr="00267E2C">
        <w:rPr>
          <w:color w:val="auto"/>
          <w:lang w:val="en-AU"/>
        </w:rPr>
        <w:instrText xml:space="preserve"> SEQ Table_5. \* ARABIC </w:instrText>
      </w:r>
      <w:r w:rsidR="00777624" w:rsidRPr="00267E2C">
        <w:rPr>
          <w:color w:val="auto"/>
          <w:lang w:val="en-AU"/>
        </w:rPr>
        <w:fldChar w:fldCharType="separate"/>
      </w:r>
      <w:r w:rsidR="00354BBD" w:rsidRPr="00267E2C">
        <w:rPr>
          <w:noProof/>
          <w:color w:val="auto"/>
          <w:lang w:val="en-AU"/>
        </w:rPr>
        <w:t>19</w:t>
      </w:r>
      <w:r w:rsidR="00777624" w:rsidRPr="00267E2C">
        <w:rPr>
          <w:noProof/>
          <w:color w:val="auto"/>
          <w:lang w:val="en-AU"/>
        </w:rPr>
        <w:fldChar w:fldCharType="end"/>
      </w:r>
      <w:r w:rsidR="00AD1DEF" w:rsidRPr="00267E2C">
        <w:rPr>
          <w:color w:val="auto"/>
          <w:lang w:val="en-AU"/>
        </w:rPr>
        <w:t>:</w:t>
      </w:r>
      <w:r w:rsidRPr="00267E2C">
        <w:rPr>
          <w:color w:val="auto"/>
          <w:lang w:val="en-AU"/>
        </w:rPr>
        <w:t xml:space="preserve"> Motivation behind betting online in the last 12 months (N</w:t>
      </w:r>
      <w:r w:rsidR="00AD1DEF" w:rsidRPr="00267E2C">
        <w:rPr>
          <w:color w:val="auto"/>
          <w:lang w:val="en-AU"/>
        </w:rPr>
        <w:t xml:space="preserve"> </w:t>
      </w:r>
      <w:r w:rsidRPr="00267E2C">
        <w:rPr>
          <w:color w:val="auto"/>
          <w:lang w:val="en-AU"/>
        </w:rPr>
        <w:t>=</w:t>
      </w:r>
      <w:r w:rsidR="00AD1DEF" w:rsidRPr="00267E2C">
        <w:rPr>
          <w:color w:val="auto"/>
          <w:lang w:val="en-AU"/>
        </w:rPr>
        <w:t xml:space="preserve"> </w:t>
      </w:r>
      <w:r w:rsidRPr="00267E2C">
        <w:rPr>
          <w:color w:val="auto"/>
          <w:lang w:val="en-AU"/>
        </w:rPr>
        <w:t>5,076)</w:t>
      </w:r>
      <w:bookmarkEnd w:id="66"/>
      <w:bookmarkEnd w:id="67"/>
      <w:bookmarkEnd w:id="68"/>
    </w:p>
    <w:tbl>
      <w:tblPr>
        <w:tblStyle w:val="TableGrid"/>
        <w:tblW w:w="5000" w:type="pct"/>
        <w:tblLook w:val="04A0" w:firstRow="1" w:lastRow="0" w:firstColumn="1" w:lastColumn="0" w:noHBand="0" w:noVBand="1"/>
        <w:tblCaption w:val="Motivation behind betting online in the last 12 months "/>
        <w:tblDescription w:val="Describes what had made participants place a bet online at the time they did. Options ranging from 'I enjoy a punt' to 'To chase losses/win money back lost'."/>
      </w:tblPr>
      <w:tblGrid>
        <w:gridCol w:w="6930"/>
        <w:gridCol w:w="1569"/>
      </w:tblGrid>
      <w:tr w:rsidR="008A2CBD" w:rsidRPr="00664E64" w14:paraId="4E5FE8D2" w14:textId="77777777" w:rsidTr="000F0972">
        <w:trPr>
          <w:cnfStyle w:val="100000000000" w:firstRow="1" w:lastRow="0" w:firstColumn="0" w:lastColumn="0" w:oddVBand="0" w:evenVBand="0" w:oddHBand="0" w:evenHBand="0" w:firstRowFirstColumn="0" w:firstRowLastColumn="0" w:lastRowFirstColumn="0" w:lastRowLastColumn="0"/>
          <w:trHeight w:val="396"/>
          <w:tblHeader/>
        </w:trPr>
        <w:tc>
          <w:tcPr>
            <w:tcW w:w="4077" w:type="pct"/>
            <w:hideMark/>
          </w:tcPr>
          <w:p w14:paraId="062727A3" w14:textId="77777777" w:rsidR="008A2CBD" w:rsidRPr="00664E64" w:rsidRDefault="008A2CBD" w:rsidP="00A55CD9">
            <w:pPr>
              <w:pStyle w:val="TableColHeadLeft"/>
              <w:rPr>
                <w:lang w:val="en-AU"/>
              </w:rPr>
            </w:pPr>
            <w:r w:rsidRPr="00664E64">
              <w:rPr>
                <w:lang w:val="en-AU"/>
              </w:rPr>
              <w:t>Motivation</w:t>
            </w:r>
          </w:p>
        </w:tc>
        <w:tc>
          <w:tcPr>
            <w:tcW w:w="923" w:type="pct"/>
            <w:hideMark/>
          </w:tcPr>
          <w:p w14:paraId="2728415A" w14:textId="77777777" w:rsidR="008A2CBD" w:rsidRPr="00664E64" w:rsidRDefault="008A2CBD" w:rsidP="00A55CD9">
            <w:pPr>
              <w:pStyle w:val="TableColHeadCentre"/>
              <w:rPr>
                <w:lang w:val="en-AU"/>
              </w:rPr>
            </w:pPr>
            <w:r w:rsidRPr="00664E64">
              <w:rPr>
                <w:lang w:val="en-AU"/>
              </w:rPr>
              <w:t>%</w:t>
            </w:r>
          </w:p>
        </w:tc>
      </w:tr>
      <w:tr w:rsidR="008A2CBD" w:rsidRPr="00664E64" w14:paraId="229A3848" w14:textId="77777777" w:rsidTr="0055735D">
        <w:trPr>
          <w:trHeight w:hRule="exact" w:val="454"/>
        </w:trPr>
        <w:tc>
          <w:tcPr>
            <w:tcW w:w="0" w:type="auto"/>
            <w:hideMark/>
          </w:tcPr>
          <w:p w14:paraId="507392EF" w14:textId="77777777" w:rsidR="008A2CBD" w:rsidRPr="00664E64" w:rsidRDefault="008A2CBD" w:rsidP="00A55CD9">
            <w:pPr>
              <w:pStyle w:val="TableText"/>
              <w:rPr>
                <w:lang w:val="en-AU"/>
              </w:rPr>
            </w:pPr>
            <w:r w:rsidRPr="00664E64">
              <w:rPr>
                <w:lang w:val="en-AU"/>
              </w:rPr>
              <w:t>I enjoy a punt</w:t>
            </w:r>
          </w:p>
        </w:tc>
        <w:tc>
          <w:tcPr>
            <w:tcW w:w="0" w:type="auto"/>
            <w:noWrap/>
            <w:hideMark/>
          </w:tcPr>
          <w:p w14:paraId="7CD8C212" w14:textId="77777777" w:rsidR="008A2CBD" w:rsidRPr="00664E64" w:rsidRDefault="008A2CBD" w:rsidP="00A55CD9">
            <w:pPr>
              <w:pStyle w:val="TableTextAligned"/>
              <w:rPr>
                <w:lang w:val="en-AU"/>
              </w:rPr>
            </w:pPr>
            <w:r w:rsidRPr="00664E64">
              <w:rPr>
                <w:lang w:val="en-AU"/>
              </w:rPr>
              <w:t>64.3</w:t>
            </w:r>
          </w:p>
        </w:tc>
      </w:tr>
      <w:tr w:rsidR="008A2CBD" w:rsidRPr="00664E64" w14:paraId="28ED346E" w14:textId="77777777" w:rsidTr="0055735D">
        <w:trPr>
          <w:trHeight w:hRule="exact" w:val="454"/>
        </w:trPr>
        <w:tc>
          <w:tcPr>
            <w:tcW w:w="0" w:type="auto"/>
            <w:hideMark/>
          </w:tcPr>
          <w:p w14:paraId="116DF2DB" w14:textId="77777777" w:rsidR="008A2CBD" w:rsidRPr="00664E64" w:rsidRDefault="008A2CBD" w:rsidP="00A55CD9">
            <w:pPr>
              <w:pStyle w:val="TableText"/>
              <w:rPr>
                <w:lang w:val="en-AU"/>
              </w:rPr>
            </w:pPr>
            <w:r w:rsidRPr="00664E64">
              <w:rPr>
                <w:lang w:val="en-AU"/>
              </w:rPr>
              <w:t>Having a bet makes watching sports/races more interesting</w:t>
            </w:r>
          </w:p>
        </w:tc>
        <w:tc>
          <w:tcPr>
            <w:tcW w:w="0" w:type="auto"/>
            <w:noWrap/>
            <w:hideMark/>
          </w:tcPr>
          <w:p w14:paraId="420A8716" w14:textId="77777777" w:rsidR="008A2CBD" w:rsidRPr="00664E64" w:rsidRDefault="008A2CBD" w:rsidP="00A55CD9">
            <w:pPr>
              <w:pStyle w:val="TableTextAligned"/>
              <w:rPr>
                <w:lang w:val="en-AU"/>
              </w:rPr>
            </w:pPr>
            <w:r w:rsidRPr="00664E64">
              <w:rPr>
                <w:lang w:val="en-AU"/>
              </w:rPr>
              <w:t>31.3</w:t>
            </w:r>
          </w:p>
        </w:tc>
      </w:tr>
      <w:tr w:rsidR="008A2CBD" w:rsidRPr="00664E64" w14:paraId="4AD3A17E" w14:textId="77777777" w:rsidTr="0055735D">
        <w:trPr>
          <w:trHeight w:hRule="exact" w:val="454"/>
        </w:trPr>
        <w:tc>
          <w:tcPr>
            <w:tcW w:w="0" w:type="auto"/>
            <w:hideMark/>
          </w:tcPr>
          <w:p w14:paraId="2F0126D8" w14:textId="77777777" w:rsidR="008A2CBD" w:rsidRPr="00664E64" w:rsidRDefault="008A2CBD" w:rsidP="00A55CD9">
            <w:pPr>
              <w:pStyle w:val="TableText"/>
              <w:rPr>
                <w:lang w:val="en-AU"/>
              </w:rPr>
            </w:pPr>
            <w:r w:rsidRPr="00664E64">
              <w:rPr>
                <w:lang w:val="en-AU"/>
              </w:rPr>
              <w:t>Betting is a social activity for me</w:t>
            </w:r>
          </w:p>
        </w:tc>
        <w:tc>
          <w:tcPr>
            <w:tcW w:w="0" w:type="auto"/>
            <w:noWrap/>
            <w:hideMark/>
          </w:tcPr>
          <w:p w14:paraId="5A3BFFDD" w14:textId="77777777" w:rsidR="008A2CBD" w:rsidRPr="00664E64" w:rsidRDefault="008A2CBD" w:rsidP="00A55CD9">
            <w:pPr>
              <w:pStyle w:val="TableTextAligned"/>
              <w:rPr>
                <w:lang w:val="en-AU"/>
              </w:rPr>
            </w:pPr>
            <w:r w:rsidRPr="00664E64">
              <w:rPr>
                <w:lang w:val="en-AU"/>
              </w:rPr>
              <w:t>27.4</w:t>
            </w:r>
          </w:p>
        </w:tc>
      </w:tr>
      <w:tr w:rsidR="008A2CBD" w:rsidRPr="00664E64" w14:paraId="1136E477" w14:textId="77777777" w:rsidTr="0055735D">
        <w:trPr>
          <w:trHeight w:hRule="exact" w:val="454"/>
        </w:trPr>
        <w:tc>
          <w:tcPr>
            <w:tcW w:w="0" w:type="auto"/>
            <w:hideMark/>
          </w:tcPr>
          <w:p w14:paraId="33E7414E" w14:textId="77777777" w:rsidR="008A2CBD" w:rsidRPr="00664E64" w:rsidRDefault="008A2CBD" w:rsidP="00A55CD9">
            <w:pPr>
              <w:pStyle w:val="TableText"/>
              <w:rPr>
                <w:lang w:val="en-AU"/>
              </w:rPr>
            </w:pPr>
            <w:r w:rsidRPr="00664E64">
              <w:rPr>
                <w:lang w:val="en-AU"/>
              </w:rPr>
              <w:t>I enjoy betting with friends</w:t>
            </w:r>
          </w:p>
        </w:tc>
        <w:tc>
          <w:tcPr>
            <w:tcW w:w="0" w:type="auto"/>
            <w:noWrap/>
            <w:hideMark/>
          </w:tcPr>
          <w:p w14:paraId="49C121B4" w14:textId="77777777" w:rsidR="008A2CBD" w:rsidRPr="00664E64" w:rsidRDefault="008A2CBD" w:rsidP="00A55CD9">
            <w:pPr>
              <w:pStyle w:val="TableTextAligned"/>
              <w:rPr>
                <w:lang w:val="en-AU"/>
              </w:rPr>
            </w:pPr>
            <w:r w:rsidRPr="00664E64">
              <w:rPr>
                <w:lang w:val="en-AU"/>
              </w:rPr>
              <w:t>18.7</w:t>
            </w:r>
          </w:p>
        </w:tc>
      </w:tr>
      <w:tr w:rsidR="008A2CBD" w:rsidRPr="00664E64" w14:paraId="5E0AFB80" w14:textId="77777777" w:rsidTr="0055735D">
        <w:trPr>
          <w:trHeight w:hRule="exact" w:val="454"/>
        </w:trPr>
        <w:tc>
          <w:tcPr>
            <w:tcW w:w="0" w:type="auto"/>
            <w:hideMark/>
          </w:tcPr>
          <w:p w14:paraId="01E75631" w14:textId="77777777" w:rsidR="008A2CBD" w:rsidRPr="00664E64" w:rsidRDefault="008A2CBD" w:rsidP="00A55CD9">
            <w:pPr>
              <w:pStyle w:val="TableText"/>
              <w:rPr>
                <w:lang w:val="en-AU"/>
              </w:rPr>
            </w:pPr>
            <w:r w:rsidRPr="00664E64">
              <w:rPr>
                <w:lang w:val="en-AU"/>
              </w:rPr>
              <w:t>I have a lot of experience/knowledge of sports and/or races</w:t>
            </w:r>
          </w:p>
        </w:tc>
        <w:tc>
          <w:tcPr>
            <w:tcW w:w="0" w:type="auto"/>
            <w:noWrap/>
            <w:hideMark/>
          </w:tcPr>
          <w:p w14:paraId="22E248AE" w14:textId="77777777" w:rsidR="008A2CBD" w:rsidRPr="00664E64" w:rsidRDefault="008A2CBD" w:rsidP="00A55CD9">
            <w:pPr>
              <w:pStyle w:val="TableTextAligned"/>
              <w:rPr>
                <w:lang w:val="en-AU"/>
              </w:rPr>
            </w:pPr>
            <w:r w:rsidRPr="00664E64">
              <w:rPr>
                <w:lang w:val="en-AU"/>
              </w:rPr>
              <w:t>18.6</w:t>
            </w:r>
          </w:p>
        </w:tc>
      </w:tr>
      <w:tr w:rsidR="008A2CBD" w:rsidRPr="00664E64" w14:paraId="2457F425" w14:textId="77777777" w:rsidTr="0055735D">
        <w:trPr>
          <w:trHeight w:hRule="exact" w:val="454"/>
        </w:trPr>
        <w:tc>
          <w:tcPr>
            <w:tcW w:w="0" w:type="auto"/>
            <w:hideMark/>
          </w:tcPr>
          <w:p w14:paraId="665F487F" w14:textId="77777777" w:rsidR="008A2CBD" w:rsidRPr="00664E64" w:rsidRDefault="008A2CBD" w:rsidP="00A55CD9">
            <w:pPr>
              <w:pStyle w:val="TableText"/>
              <w:rPr>
                <w:lang w:val="en-AU"/>
              </w:rPr>
            </w:pPr>
            <w:r w:rsidRPr="00664E64">
              <w:rPr>
                <w:lang w:val="en-AU"/>
              </w:rPr>
              <w:t>To get ahead financially</w:t>
            </w:r>
          </w:p>
        </w:tc>
        <w:tc>
          <w:tcPr>
            <w:tcW w:w="0" w:type="auto"/>
            <w:noWrap/>
            <w:hideMark/>
          </w:tcPr>
          <w:p w14:paraId="706D18A9" w14:textId="77777777" w:rsidR="008A2CBD" w:rsidRPr="00664E64" w:rsidRDefault="008A2CBD" w:rsidP="00A55CD9">
            <w:pPr>
              <w:pStyle w:val="TableTextAligned"/>
              <w:rPr>
                <w:lang w:val="en-AU"/>
              </w:rPr>
            </w:pPr>
            <w:r w:rsidRPr="00664E64">
              <w:rPr>
                <w:lang w:val="en-AU"/>
              </w:rPr>
              <w:t>17.1</w:t>
            </w:r>
          </w:p>
        </w:tc>
      </w:tr>
      <w:tr w:rsidR="008A2CBD" w:rsidRPr="00664E64" w14:paraId="644EC1E7" w14:textId="77777777" w:rsidTr="0055735D">
        <w:trPr>
          <w:trHeight w:hRule="exact" w:val="454"/>
        </w:trPr>
        <w:tc>
          <w:tcPr>
            <w:tcW w:w="0" w:type="auto"/>
            <w:hideMark/>
          </w:tcPr>
          <w:p w14:paraId="5D3E06E2" w14:textId="77777777" w:rsidR="008A2CBD" w:rsidRPr="00664E64" w:rsidRDefault="008A2CBD" w:rsidP="00A55CD9">
            <w:pPr>
              <w:pStyle w:val="TableText"/>
              <w:rPr>
                <w:lang w:val="en-AU"/>
              </w:rPr>
            </w:pPr>
            <w:r w:rsidRPr="00664E64">
              <w:rPr>
                <w:lang w:val="en-AU"/>
              </w:rPr>
              <w:t xml:space="preserve">Betting promotions </w:t>
            </w:r>
          </w:p>
        </w:tc>
        <w:tc>
          <w:tcPr>
            <w:tcW w:w="0" w:type="auto"/>
            <w:noWrap/>
            <w:hideMark/>
          </w:tcPr>
          <w:p w14:paraId="2F9AE4F8" w14:textId="77777777" w:rsidR="008A2CBD" w:rsidRPr="00664E64" w:rsidRDefault="008A2CBD" w:rsidP="00A55CD9">
            <w:pPr>
              <w:pStyle w:val="TableTextAligned"/>
              <w:rPr>
                <w:lang w:val="en-AU"/>
              </w:rPr>
            </w:pPr>
            <w:r w:rsidRPr="00664E64">
              <w:rPr>
                <w:lang w:val="en-AU"/>
              </w:rPr>
              <w:t>14.7</w:t>
            </w:r>
          </w:p>
        </w:tc>
      </w:tr>
      <w:tr w:rsidR="008A2CBD" w:rsidRPr="00664E64" w14:paraId="48C30FA8" w14:textId="77777777" w:rsidTr="0055735D">
        <w:trPr>
          <w:trHeight w:hRule="exact" w:val="454"/>
        </w:trPr>
        <w:tc>
          <w:tcPr>
            <w:tcW w:w="0" w:type="auto"/>
            <w:hideMark/>
          </w:tcPr>
          <w:p w14:paraId="3C71A385" w14:textId="77777777" w:rsidR="008A2CBD" w:rsidRPr="00664E64" w:rsidRDefault="008A2CBD" w:rsidP="00A55CD9">
            <w:pPr>
              <w:pStyle w:val="TableText"/>
              <w:rPr>
                <w:lang w:val="en-AU"/>
              </w:rPr>
            </w:pPr>
            <w:r w:rsidRPr="00664E64">
              <w:rPr>
                <w:lang w:val="en-AU"/>
              </w:rPr>
              <w:t>To feel part of the atmosphere of a big sporting/race event</w:t>
            </w:r>
          </w:p>
        </w:tc>
        <w:tc>
          <w:tcPr>
            <w:tcW w:w="0" w:type="auto"/>
            <w:noWrap/>
            <w:hideMark/>
          </w:tcPr>
          <w:p w14:paraId="6E9AEEAB" w14:textId="77777777" w:rsidR="008A2CBD" w:rsidRPr="00664E64" w:rsidRDefault="008A2CBD" w:rsidP="00A55CD9">
            <w:pPr>
              <w:pStyle w:val="TableTextAligned"/>
              <w:rPr>
                <w:lang w:val="en-AU"/>
              </w:rPr>
            </w:pPr>
            <w:r w:rsidRPr="00664E64">
              <w:rPr>
                <w:lang w:val="en-AU"/>
              </w:rPr>
              <w:t>13.6</w:t>
            </w:r>
          </w:p>
        </w:tc>
      </w:tr>
      <w:tr w:rsidR="008A2CBD" w:rsidRPr="00664E64" w14:paraId="2CDB751C" w14:textId="77777777" w:rsidTr="0055735D">
        <w:trPr>
          <w:trHeight w:hRule="exact" w:val="454"/>
        </w:trPr>
        <w:tc>
          <w:tcPr>
            <w:tcW w:w="0" w:type="auto"/>
            <w:hideMark/>
          </w:tcPr>
          <w:p w14:paraId="7E3C6B7B" w14:textId="77777777" w:rsidR="008A2CBD" w:rsidRPr="00664E64" w:rsidRDefault="008A2CBD" w:rsidP="00A55CD9">
            <w:pPr>
              <w:pStyle w:val="TableText"/>
              <w:rPr>
                <w:lang w:val="en-AU"/>
              </w:rPr>
            </w:pPr>
            <w:r w:rsidRPr="00664E64">
              <w:rPr>
                <w:lang w:val="en-AU"/>
              </w:rPr>
              <w:t>The adrenaline rush</w:t>
            </w:r>
          </w:p>
        </w:tc>
        <w:tc>
          <w:tcPr>
            <w:tcW w:w="0" w:type="auto"/>
            <w:noWrap/>
            <w:hideMark/>
          </w:tcPr>
          <w:p w14:paraId="6EF44A83" w14:textId="77777777" w:rsidR="008A2CBD" w:rsidRPr="00664E64" w:rsidRDefault="008A2CBD" w:rsidP="00A55CD9">
            <w:pPr>
              <w:pStyle w:val="TableTextAligned"/>
              <w:rPr>
                <w:lang w:val="en-AU"/>
              </w:rPr>
            </w:pPr>
            <w:r w:rsidRPr="00664E64">
              <w:rPr>
                <w:lang w:val="en-AU"/>
              </w:rPr>
              <w:t>12.5</w:t>
            </w:r>
          </w:p>
        </w:tc>
      </w:tr>
      <w:tr w:rsidR="008A2CBD" w:rsidRPr="00664E64" w14:paraId="419768DD" w14:textId="77777777" w:rsidTr="0055735D">
        <w:trPr>
          <w:trHeight w:hRule="exact" w:val="454"/>
        </w:trPr>
        <w:tc>
          <w:tcPr>
            <w:tcW w:w="0" w:type="auto"/>
            <w:hideMark/>
          </w:tcPr>
          <w:p w14:paraId="7A286DD6" w14:textId="77777777" w:rsidR="008A2CBD" w:rsidRPr="00664E64" w:rsidRDefault="008A2CBD" w:rsidP="00A55CD9">
            <w:pPr>
              <w:pStyle w:val="TableText"/>
              <w:rPr>
                <w:lang w:val="en-AU"/>
              </w:rPr>
            </w:pPr>
            <w:r w:rsidRPr="00664E64">
              <w:rPr>
                <w:lang w:val="en-AU"/>
              </w:rPr>
              <w:t>Easy (24-hour) access to betting</w:t>
            </w:r>
          </w:p>
        </w:tc>
        <w:tc>
          <w:tcPr>
            <w:tcW w:w="0" w:type="auto"/>
            <w:noWrap/>
            <w:hideMark/>
          </w:tcPr>
          <w:p w14:paraId="7C0AB38F" w14:textId="77777777" w:rsidR="008A2CBD" w:rsidRPr="00664E64" w:rsidRDefault="008A2CBD" w:rsidP="00A55CD9">
            <w:pPr>
              <w:pStyle w:val="TableTextAligned"/>
              <w:rPr>
                <w:lang w:val="en-AU"/>
              </w:rPr>
            </w:pPr>
            <w:r w:rsidRPr="00664E64">
              <w:rPr>
                <w:lang w:val="en-AU"/>
              </w:rPr>
              <w:t>11.9</w:t>
            </w:r>
          </w:p>
        </w:tc>
      </w:tr>
      <w:tr w:rsidR="008A2CBD" w:rsidRPr="00664E64" w14:paraId="26310600" w14:textId="77777777" w:rsidTr="0055735D">
        <w:trPr>
          <w:trHeight w:hRule="exact" w:val="454"/>
        </w:trPr>
        <w:tc>
          <w:tcPr>
            <w:tcW w:w="0" w:type="auto"/>
            <w:hideMark/>
          </w:tcPr>
          <w:p w14:paraId="689EC01F" w14:textId="77777777" w:rsidR="008A2CBD" w:rsidRPr="00664E64" w:rsidRDefault="008A2CBD" w:rsidP="00A55CD9">
            <w:pPr>
              <w:pStyle w:val="TableText"/>
              <w:rPr>
                <w:lang w:val="en-AU"/>
              </w:rPr>
            </w:pPr>
            <w:r w:rsidRPr="00664E64">
              <w:rPr>
                <w:lang w:val="en-AU"/>
              </w:rPr>
              <w:t>Boredom</w:t>
            </w:r>
          </w:p>
        </w:tc>
        <w:tc>
          <w:tcPr>
            <w:tcW w:w="0" w:type="auto"/>
            <w:noWrap/>
            <w:hideMark/>
          </w:tcPr>
          <w:p w14:paraId="2D3D5D4C" w14:textId="77777777" w:rsidR="008A2CBD" w:rsidRPr="00664E64" w:rsidRDefault="008A2CBD" w:rsidP="00A55CD9">
            <w:pPr>
              <w:pStyle w:val="TableTextAligned"/>
              <w:rPr>
                <w:lang w:val="en-AU"/>
              </w:rPr>
            </w:pPr>
            <w:r w:rsidRPr="00664E64">
              <w:rPr>
                <w:lang w:val="en-AU"/>
              </w:rPr>
              <w:t>10.7</w:t>
            </w:r>
          </w:p>
        </w:tc>
      </w:tr>
      <w:tr w:rsidR="008A2CBD" w:rsidRPr="00664E64" w14:paraId="032B52A2" w14:textId="77777777" w:rsidTr="0055735D">
        <w:trPr>
          <w:trHeight w:hRule="exact" w:val="454"/>
        </w:trPr>
        <w:tc>
          <w:tcPr>
            <w:tcW w:w="0" w:type="auto"/>
            <w:hideMark/>
          </w:tcPr>
          <w:p w14:paraId="41BFFC3A" w14:textId="77777777" w:rsidR="008A2CBD" w:rsidRPr="00664E64" w:rsidRDefault="008A2CBD" w:rsidP="00A55CD9">
            <w:pPr>
              <w:pStyle w:val="TableText"/>
              <w:rPr>
                <w:lang w:val="en-AU"/>
              </w:rPr>
            </w:pPr>
            <w:r w:rsidRPr="00664E64">
              <w:rPr>
                <w:lang w:val="en-AU"/>
              </w:rPr>
              <w:t>I bet when I drink alcohol</w:t>
            </w:r>
          </w:p>
        </w:tc>
        <w:tc>
          <w:tcPr>
            <w:tcW w:w="0" w:type="auto"/>
            <w:noWrap/>
            <w:hideMark/>
          </w:tcPr>
          <w:p w14:paraId="7D3C08D2" w14:textId="23A263E7" w:rsidR="008A2CBD" w:rsidRPr="00664E64" w:rsidRDefault="008A2CBD" w:rsidP="00A55CD9">
            <w:pPr>
              <w:pStyle w:val="TableTextAligned"/>
              <w:rPr>
                <w:lang w:val="en-AU"/>
              </w:rPr>
            </w:pPr>
            <w:r w:rsidRPr="00664E64">
              <w:rPr>
                <w:lang w:val="en-AU"/>
              </w:rPr>
              <w:t>6</w:t>
            </w:r>
            <w:r w:rsidR="00AD1DEF" w:rsidRPr="00664E64">
              <w:rPr>
                <w:lang w:val="en-AU"/>
              </w:rPr>
              <w:t>.0</w:t>
            </w:r>
          </w:p>
        </w:tc>
      </w:tr>
      <w:tr w:rsidR="008A2CBD" w:rsidRPr="00664E64" w14:paraId="563DAC09" w14:textId="77777777" w:rsidTr="0055735D">
        <w:trPr>
          <w:trHeight w:hRule="exact" w:val="454"/>
        </w:trPr>
        <w:tc>
          <w:tcPr>
            <w:tcW w:w="0" w:type="auto"/>
            <w:hideMark/>
          </w:tcPr>
          <w:p w14:paraId="09203D02" w14:textId="77777777" w:rsidR="008A2CBD" w:rsidRPr="00664E64" w:rsidRDefault="008A2CBD" w:rsidP="00A55CD9">
            <w:pPr>
              <w:pStyle w:val="TableText"/>
              <w:rPr>
                <w:lang w:val="en-AU"/>
              </w:rPr>
            </w:pPr>
            <w:r w:rsidRPr="00664E64">
              <w:rPr>
                <w:lang w:val="en-AU"/>
              </w:rPr>
              <w:t xml:space="preserve">My friends bet so I bet too </w:t>
            </w:r>
          </w:p>
        </w:tc>
        <w:tc>
          <w:tcPr>
            <w:tcW w:w="0" w:type="auto"/>
            <w:noWrap/>
            <w:hideMark/>
          </w:tcPr>
          <w:p w14:paraId="34D12322" w14:textId="77777777" w:rsidR="008A2CBD" w:rsidRPr="00664E64" w:rsidRDefault="008A2CBD" w:rsidP="00A55CD9">
            <w:pPr>
              <w:pStyle w:val="TableTextAligned"/>
              <w:rPr>
                <w:lang w:val="en-AU"/>
              </w:rPr>
            </w:pPr>
            <w:r w:rsidRPr="00664E64">
              <w:rPr>
                <w:lang w:val="en-AU"/>
              </w:rPr>
              <w:t>4.5</w:t>
            </w:r>
          </w:p>
        </w:tc>
      </w:tr>
      <w:tr w:rsidR="008A2CBD" w:rsidRPr="00664E64" w14:paraId="6E46B943" w14:textId="77777777" w:rsidTr="0055735D">
        <w:trPr>
          <w:trHeight w:hRule="exact" w:val="454"/>
        </w:trPr>
        <w:tc>
          <w:tcPr>
            <w:tcW w:w="0" w:type="auto"/>
            <w:hideMark/>
          </w:tcPr>
          <w:p w14:paraId="16FDC990" w14:textId="77777777" w:rsidR="008A2CBD" w:rsidRPr="00664E64" w:rsidRDefault="008A2CBD" w:rsidP="00A55CD9">
            <w:pPr>
              <w:pStyle w:val="TableText"/>
              <w:rPr>
                <w:lang w:val="en-AU"/>
              </w:rPr>
            </w:pPr>
            <w:r w:rsidRPr="00664E64">
              <w:rPr>
                <w:lang w:val="en-AU"/>
              </w:rPr>
              <w:t>To chase losses/win back money lost</w:t>
            </w:r>
          </w:p>
        </w:tc>
        <w:tc>
          <w:tcPr>
            <w:tcW w:w="0" w:type="auto"/>
            <w:noWrap/>
            <w:hideMark/>
          </w:tcPr>
          <w:p w14:paraId="212A4932" w14:textId="77777777" w:rsidR="008A2CBD" w:rsidRPr="00664E64" w:rsidRDefault="008A2CBD" w:rsidP="00A55CD9">
            <w:pPr>
              <w:pStyle w:val="TableTextAligned"/>
              <w:rPr>
                <w:lang w:val="en-AU"/>
              </w:rPr>
            </w:pPr>
            <w:r w:rsidRPr="00664E64">
              <w:rPr>
                <w:lang w:val="en-AU"/>
              </w:rPr>
              <w:t>3.7</w:t>
            </w:r>
          </w:p>
        </w:tc>
      </w:tr>
      <w:tr w:rsidR="008A2CBD" w:rsidRPr="00664E64" w14:paraId="68DCC3C5" w14:textId="77777777" w:rsidTr="0055735D">
        <w:trPr>
          <w:trHeight w:hRule="exact" w:val="454"/>
        </w:trPr>
        <w:tc>
          <w:tcPr>
            <w:tcW w:w="0" w:type="auto"/>
            <w:hideMark/>
          </w:tcPr>
          <w:p w14:paraId="2A3E1EBA" w14:textId="77777777" w:rsidR="008A2CBD" w:rsidRPr="00664E64" w:rsidRDefault="008A2CBD" w:rsidP="00A55CD9">
            <w:pPr>
              <w:pStyle w:val="TableText"/>
              <w:rPr>
                <w:lang w:val="en-AU"/>
              </w:rPr>
            </w:pPr>
            <w:r w:rsidRPr="00664E64">
              <w:rPr>
                <w:lang w:val="en-AU"/>
              </w:rPr>
              <w:t>I enjoy competing with other bettors</w:t>
            </w:r>
          </w:p>
        </w:tc>
        <w:tc>
          <w:tcPr>
            <w:tcW w:w="0" w:type="auto"/>
            <w:noWrap/>
            <w:hideMark/>
          </w:tcPr>
          <w:p w14:paraId="2C2D81E4" w14:textId="77777777" w:rsidR="008A2CBD" w:rsidRPr="00664E64" w:rsidRDefault="008A2CBD" w:rsidP="00A55CD9">
            <w:pPr>
              <w:pStyle w:val="TableTextAligned"/>
              <w:rPr>
                <w:lang w:val="en-AU"/>
              </w:rPr>
            </w:pPr>
            <w:r w:rsidRPr="00664E64">
              <w:rPr>
                <w:lang w:val="en-AU"/>
              </w:rPr>
              <w:t>3.5</w:t>
            </w:r>
          </w:p>
        </w:tc>
      </w:tr>
      <w:tr w:rsidR="008A2CBD" w:rsidRPr="00664E64" w14:paraId="52CB3B2F" w14:textId="77777777" w:rsidTr="0055735D">
        <w:trPr>
          <w:trHeight w:hRule="exact" w:val="454"/>
        </w:trPr>
        <w:tc>
          <w:tcPr>
            <w:tcW w:w="0" w:type="auto"/>
            <w:hideMark/>
          </w:tcPr>
          <w:p w14:paraId="784F4264" w14:textId="77777777" w:rsidR="008A2CBD" w:rsidRPr="00664E64" w:rsidRDefault="008A2CBD" w:rsidP="00A55CD9">
            <w:pPr>
              <w:pStyle w:val="TableText"/>
              <w:rPr>
                <w:lang w:val="en-AU"/>
              </w:rPr>
            </w:pPr>
            <w:r w:rsidRPr="00664E64">
              <w:rPr>
                <w:lang w:val="en-AU"/>
              </w:rPr>
              <w:t>Betting advertisements</w:t>
            </w:r>
          </w:p>
        </w:tc>
        <w:tc>
          <w:tcPr>
            <w:tcW w:w="0" w:type="auto"/>
            <w:noWrap/>
            <w:hideMark/>
          </w:tcPr>
          <w:p w14:paraId="13B2F0C4" w14:textId="77777777" w:rsidR="008A2CBD" w:rsidRPr="00664E64" w:rsidRDefault="008A2CBD" w:rsidP="00A55CD9">
            <w:pPr>
              <w:pStyle w:val="TableTextAligned"/>
              <w:rPr>
                <w:lang w:val="en-AU"/>
              </w:rPr>
            </w:pPr>
            <w:r w:rsidRPr="00664E64">
              <w:rPr>
                <w:lang w:val="en-AU"/>
              </w:rPr>
              <w:t>2.9</w:t>
            </w:r>
          </w:p>
        </w:tc>
      </w:tr>
      <w:tr w:rsidR="008A2CBD" w:rsidRPr="00664E64" w14:paraId="13D824BA" w14:textId="77777777" w:rsidTr="0055735D">
        <w:trPr>
          <w:trHeight w:hRule="exact" w:val="454"/>
        </w:trPr>
        <w:tc>
          <w:tcPr>
            <w:tcW w:w="0" w:type="auto"/>
            <w:hideMark/>
          </w:tcPr>
          <w:p w14:paraId="59AA6BD0" w14:textId="77777777" w:rsidR="008A2CBD" w:rsidRPr="00664E64" w:rsidRDefault="008A2CBD" w:rsidP="00A55CD9">
            <w:pPr>
              <w:pStyle w:val="TableText"/>
              <w:rPr>
                <w:lang w:val="en-AU"/>
              </w:rPr>
            </w:pPr>
            <w:r w:rsidRPr="00664E64">
              <w:rPr>
                <w:lang w:val="en-AU"/>
              </w:rPr>
              <w:t>Loneliness</w:t>
            </w:r>
          </w:p>
        </w:tc>
        <w:tc>
          <w:tcPr>
            <w:tcW w:w="0" w:type="auto"/>
            <w:noWrap/>
            <w:hideMark/>
          </w:tcPr>
          <w:p w14:paraId="79F7006C" w14:textId="77777777" w:rsidR="008A2CBD" w:rsidRPr="00664E64" w:rsidRDefault="008A2CBD" w:rsidP="00A55CD9">
            <w:pPr>
              <w:pStyle w:val="TableTextAligned"/>
              <w:rPr>
                <w:lang w:val="en-AU"/>
              </w:rPr>
            </w:pPr>
            <w:r w:rsidRPr="00664E64">
              <w:rPr>
                <w:lang w:val="en-AU"/>
              </w:rPr>
              <w:t>2.8</w:t>
            </w:r>
          </w:p>
        </w:tc>
      </w:tr>
      <w:tr w:rsidR="008A2CBD" w:rsidRPr="00664E64" w14:paraId="2024DBCB" w14:textId="77777777" w:rsidTr="0055735D">
        <w:trPr>
          <w:trHeight w:hRule="exact" w:val="454"/>
        </w:trPr>
        <w:tc>
          <w:tcPr>
            <w:tcW w:w="0" w:type="auto"/>
            <w:hideMark/>
          </w:tcPr>
          <w:p w14:paraId="66059FDA" w14:textId="77777777" w:rsidR="008A2CBD" w:rsidRPr="00664E64" w:rsidRDefault="008A2CBD" w:rsidP="00A55CD9">
            <w:pPr>
              <w:pStyle w:val="TableText"/>
              <w:rPr>
                <w:lang w:val="en-AU"/>
              </w:rPr>
            </w:pPr>
            <w:r w:rsidRPr="00664E64">
              <w:rPr>
                <w:lang w:val="en-AU"/>
              </w:rPr>
              <w:t>I bet when I use other drugs</w:t>
            </w:r>
          </w:p>
        </w:tc>
        <w:tc>
          <w:tcPr>
            <w:tcW w:w="0" w:type="auto"/>
            <w:noWrap/>
            <w:hideMark/>
          </w:tcPr>
          <w:p w14:paraId="00D25573" w14:textId="77777777" w:rsidR="008A2CBD" w:rsidRPr="00664E64" w:rsidRDefault="008A2CBD" w:rsidP="00A55CD9">
            <w:pPr>
              <w:pStyle w:val="TableTextAligned"/>
              <w:rPr>
                <w:lang w:val="en-AU"/>
              </w:rPr>
            </w:pPr>
            <w:r w:rsidRPr="00664E64">
              <w:rPr>
                <w:lang w:val="en-AU"/>
              </w:rPr>
              <w:t>0.5</w:t>
            </w:r>
          </w:p>
        </w:tc>
      </w:tr>
      <w:tr w:rsidR="009C39C7" w:rsidRPr="00664E64" w14:paraId="1DE849D9" w14:textId="77777777" w:rsidTr="0055735D">
        <w:trPr>
          <w:trHeight w:hRule="exact" w:val="454"/>
        </w:trPr>
        <w:tc>
          <w:tcPr>
            <w:tcW w:w="0" w:type="auto"/>
          </w:tcPr>
          <w:p w14:paraId="530CC2C4" w14:textId="12396671" w:rsidR="009C39C7" w:rsidRPr="00664E64" w:rsidRDefault="009C39C7" w:rsidP="00A55CD9">
            <w:pPr>
              <w:pStyle w:val="TableText"/>
              <w:rPr>
                <w:lang w:val="en-AU"/>
              </w:rPr>
            </w:pPr>
            <w:r w:rsidRPr="00664E64">
              <w:rPr>
                <w:lang w:val="en-AU"/>
              </w:rPr>
              <w:t xml:space="preserve">Other </w:t>
            </w:r>
          </w:p>
        </w:tc>
        <w:tc>
          <w:tcPr>
            <w:tcW w:w="0" w:type="auto"/>
            <w:noWrap/>
          </w:tcPr>
          <w:p w14:paraId="2B98BF1B" w14:textId="12827C83" w:rsidR="009C39C7" w:rsidRPr="00664E64" w:rsidRDefault="009C39C7" w:rsidP="00A55CD9">
            <w:pPr>
              <w:pStyle w:val="TableTextAligned"/>
              <w:rPr>
                <w:lang w:val="en-AU"/>
              </w:rPr>
            </w:pPr>
            <w:r w:rsidRPr="00664E64">
              <w:rPr>
                <w:lang w:val="en-AU"/>
              </w:rPr>
              <w:t>5</w:t>
            </w:r>
            <w:r w:rsidR="00AD1DEF" w:rsidRPr="00664E64">
              <w:rPr>
                <w:lang w:val="en-AU"/>
              </w:rPr>
              <w:t>.0</w:t>
            </w:r>
          </w:p>
        </w:tc>
      </w:tr>
    </w:tbl>
    <w:p w14:paraId="7F98322C" w14:textId="6D3382BC" w:rsidR="000949A9" w:rsidRPr="000949A9" w:rsidRDefault="000949A9" w:rsidP="000949A9">
      <w:pPr>
        <w:pStyle w:val="BodyText"/>
        <w:pBdr>
          <w:bottom w:val="single" w:sz="4" w:space="1" w:color="auto"/>
        </w:pBdr>
        <w:rPr>
          <w:sz w:val="18"/>
          <w:szCs w:val="18"/>
        </w:rPr>
      </w:pPr>
      <w:r w:rsidRPr="000949A9">
        <w:rPr>
          <w:sz w:val="18"/>
          <w:szCs w:val="18"/>
        </w:rPr>
        <w:t>Note: Percentages exceed 100% due to multiple responses to this question.</w:t>
      </w:r>
    </w:p>
    <w:p w14:paraId="68CC9048" w14:textId="0825C6A1" w:rsidR="008A2CBD" w:rsidRPr="00664E64" w:rsidRDefault="008A2CBD" w:rsidP="00A55CD9">
      <w:pPr>
        <w:pStyle w:val="BodyText"/>
      </w:pPr>
      <w:r w:rsidRPr="00664E64">
        <w:t>To facilitate a better understanding of these motivations, we categorised them under some broad groups and examined prevalence under these sub-headings (Table 5.2</w:t>
      </w:r>
      <w:r w:rsidR="00357014" w:rsidRPr="00664E64">
        <w:t>0</w:t>
      </w:r>
      <w:r w:rsidRPr="00664E64">
        <w:t xml:space="preserve">). This grouping, however, was not done based on any statistical analyses of the items. Percentages next to each category refer to proportions of participants reporting any of the motivation items included under that category. </w:t>
      </w:r>
    </w:p>
    <w:p w14:paraId="0E379DD3" w14:textId="2EBD5A59" w:rsidR="004E5151" w:rsidRPr="00664E64" w:rsidRDefault="008A2CBD" w:rsidP="004E5151">
      <w:pPr>
        <w:pStyle w:val="BodyText"/>
      </w:pPr>
      <w:r w:rsidRPr="00664E64">
        <w:t>Similar to Table 5.</w:t>
      </w:r>
      <w:r w:rsidR="00357014" w:rsidRPr="00664E64">
        <w:t>19</w:t>
      </w:r>
      <w:r w:rsidRPr="00664E64">
        <w:t xml:space="preserve">, the largest proportion of respondents (75%) linked the enjoyment and excitement derived from the betting event to their motivation for betting online in the last 12 months. Around two in five participants (40%) identified the social aspects of betting as being one of their main motivations. </w:t>
      </w:r>
    </w:p>
    <w:p w14:paraId="0E92BF30" w14:textId="77C986B3" w:rsidR="008A2CBD" w:rsidRPr="00664E64" w:rsidRDefault="004E5151" w:rsidP="00A55CD9">
      <w:pPr>
        <w:rPr>
          <w:lang w:bidi="en-US"/>
        </w:rPr>
      </w:pPr>
      <w:r w:rsidRPr="00664E64">
        <w:br w:type="page"/>
      </w:r>
    </w:p>
    <w:p w14:paraId="347808D8" w14:textId="72FB362A" w:rsidR="008A2CBD" w:rsidRPr="00267E2C" w:rsidRDefault="008A2CBD" w:rsidP="00415C73">
      <w:pPr>
        <w:pStyle w:val="FigureCaption"/>
        <w:rPr>
          <w:color w:val="auto"/>
          <w:lang w:val="en-AU"/>
        </w:rPr>
      </w:pPr>
      <w:bookmarkStart w:id="69" w:name="_Toc8330412"/>
      <w:bookmarkStart w:id="70" w:name="_Toc11864583"/>
      <w:bookmarkStart w:id="71" w:name="_Toc12549580"/>
      <w:r w:rsidRPr="00267E2C">
        <w:rPr>
          <w:color w:val="auto"/>
          <w:lang w:val="en-AU"/>
        </w:rPr>
        <w:lastRenderedPageBreak/>
        <w:t>Table 5.</w:t>
      </w:r>
      <w:r w:rsidR="00777624" w:rsidRPr="00267E2C">
        <w:rPr>
          <w:color w:val="auto"/>
          <w:lang w:val="en-AU"/>
        </w:rPr>
        <w:fldChar w:fldCharType="begin"/>
      </w:r>
      <w:r w:rsidR="00777624" w:rsidRPr="00267E2C">
        <w:rPr>
          <w:color w:val="auto"/>
          <w:lang w:val="en-AU"/>
        </w:rPr>
        <w:instrText xml:space="preserve"> SEQ Table_5. \* ARABIC </w:instrText>
      </w:r>
      <w:r w:rsidR="00777624" w:rsidRPr="00267E2C">
        <w:rPr>
          <w:color w:val="auto"/>
          <w:lang w:val="en-AU"/>
        </w:rPr>
        <w:fldChar w:fldCharType="separate"/>
      </w:r>
      <w:r w:rsidR="00354BBD" w:rsidRPr="00267E2C">
        <w:rPr>
          <w:noProof/>
          <w:color w:val="auto"/>
          <w:lang w:val="en-AU"/>
        </w:rPr>
        <w:t>20</w:t>
      </w:r>
      <w:r w:rsidR="00777624" w:rsidRPr="00267E2C">
        <w:rPr>
          <w:noProof/>
          <w:color w:val="auto"/>
          <w:lang w:val="en-AU"/>
        </w:rPr>
        <w:fldChar w:fldCharType="end"/>
      </w:r>
      <w:r w:rsidR="004E5151" w:rsidRPr="00267E2C">
        <w:rPr>
          <w:color w:val="auto"/>
          <w:lang w:val="en-AU"/>
        </w:rPr>
        <w:t>:</w:t>
      </w:r>
      <w:r w:rsidRPr="00267E2C">
        <w:rPr>
          <w:color w:val="auto"/>
          <w:lang w:val="en-AU"/>
        </w:rPr>
        <w:t xml:space="preserve"> Motivation categories for betting online in the last 12 months (N</w:t>
      </w:r>
      <w:r w:rsidR="004E5151" w:rsidRPr="00267E2C">
        <w:rPr>
          <w:color w:val="auto"/>
          <w:lang w:val="en-AU"/>
        </w:rPr>
        <w:t xml:space="preserve"> </w:t>
      </w:r>
      <w:r w:rsidRPr="00267E2C">
        <w:rPr>
          <w:color w:val="auto"/>
          <w:lang w:val="en-AU"/>
        </w:rPr>
        <w:t>=</w:t>
      </w:r>
      <w:r w:rsidR="004E5151" w:rsidRPr="00267E2C">
        <w:rPr>
          <w:color w:val="auto"/>
          <w:lang w:val="en-AU"/>
        </w:rPr>
        <w:t xml:space="preserve"> </w:t>
      </w:r>
      <w:r w:rsidRPr="00267E2C">
        <w:rPr>
          <w:color w:val="auto"/>
          <w:lang w:val="en-AU"/>
        </w:rPr>
        <w:t>5,076)</w:t>
      </w:r>
      <w:bookmarkEnd w:id="69"/>
      <w:bookmarkEnd w:id="70"/>
      <w:bookmarkEnd w:id="71"/>
    </w:p>
    <w:tbl>
      <w:tblPr>
        <w:tblStyle w:val="TableGrid"/>
        <w:tblW w:w="9920" w:type="dxa"/>
        <w:tblLook w:val="04A0" w:firstRow="1" w:lastRow="0" w:firstColumn="1" w:lastColumn="0" w:noHBand="0" w:noVBand="1"/>
        <w:tblCaption w:val="Movitivation categories for betting online in the last 12 months (N = 5,076)"/>
        <w:tblDescription w:val="Describes what had made particpants place a bet online at the time they did. Options ranging from 'I enjoy a punt' to &quot;To chase losses/win money back lost'."/>
      </w:tblPr>
      <w:tblGrid>
        <w:gridCol w:w="5670"/>
        <w:gridCol w:w="4250"/>
      </w:tblGrid>
      <w:tr w:rsidR="004E3A24" w14:paraId="622ED149" w14:textId="77777777" w:rsidTr="00B82C10">
        <w:trPr>
          <w:cnfStyle w:val="100000000000" w:firstRow="1" w:lastRow="0" w:firstColumn="0" w:lastColumn="0" w:oddVBand="0" w:evenVBand="0" w:oddHBand="0" w:evenHBand="0" w:firstRowFirstColumn="0" w:firstRowLastColumn="0" w:lastRowFirstColumn="0" w:lastRowLastColumn="0"/>
          <w:tblHeader/>
        </w:trPr>
        <w:tc>
          <w:tcPr>
            <w:tcW w:w="5670" w:type="dxa"/>
          </w:tcPr>
          <w:p w14:paraId="470EA3C1" w14:textId="211532E3" w:rsidR="004E3A24" w:rsidRPr="004E3A24" w:rsidRDefault="004E3A24" w:rsidP="004E3A24">
            <w:pPr>
              <w:pStyle w:val="BodyText"/>
              <w:ind w:right="-680"/>
              <w:rPr>
                <w:color w:val="FFFFFF" w:themeColor="background1"/>
                <w:lang w:eastAsia="ja-JP"/>
              </w:rPr>
            </w:pPr>
            <w:r w:rsidRPr="004E3A24">
              <w:rPr>
                <w:color w:val="FFFFFF" w:themeColor="background1"/>
                <w:lang w:eastAsia="ja-JP"/>
              </w:rPr>
              <w:t>Category and Items</w:t>
            </w:r>
          </w:p>
        </w:tc>
        <w:tc>
          <w:tcPr>
            <w:tcW w:w="4250" w:type="dxa"/>
          </w:tcPr>
          <w:p w14:paraId="17ACFB3B" w14:textId="506AEEA9" w:rsidR="004E3A24" w:rsidRPr="004E3A24" w:rsidRDefault="004E3A24" w:rsidP="004E3A24">
            <w:pPr>
              <w:pStyle w:val="BodyText"/>
              <w:ind w:left="600" w:firstLine="851"/>
              <w:rPr>
                <w:color w:val="FFFFFF" w:themeColor="background1"/>
                <w:lang w:eastAsia="ja-JP"/>
              </w:rPr>
            </w:pPr>
            <w:r w:rsidRPr="004E3A24">
              <w:rPr>
                <w:color w:val="FFFFFF" w:themeColor="background1"/>
                <w:lang w:eastAsia="ja-JP"/>
              </w:rPr>
              <w:t>% of participants</w:t>
            </w:r>
          </w:p>
        </w:tc>
      </w:tr>
      <w:tr w:rsidR="004E3A24" w:rsidRPr="004E3A24" w14:paraId="6E61A469" w14:textId="77777777" w:rsidTr="004E3A24">
        <w:tc>
          <w:tcPr>
            <w:tcW w:w="5670" w:type="dxa"/>
          </w:tcPr>
          <w:p w14:paraId="391FC8F8" w14:textId="0C87A36D" w:rsidR="004E3A24" w:rsidRPr="004E3A24" w:rsidRDefault="004E3A24" w:rsidP="00A81BD5">
            <w:pPr>
              <w:pStyle w:val="BodyText"/>
              <w:rPr>
                <w:b/>
                <w:lang w:eastAsia="ja-JP"/>
              </w:rPr>
            </w:pPr>
            <w:r w:rsidRPr="004E3A24">
              <w:rPr>
                <w:b/>
                <w:lang w:eastAsia="ja-JP"/>
              </w:rPr>
              <w:t>Positive experience with betting or the event</w:t>
            </w:r>
          </w:p>
        </w:tc>
        <w:tc>
          <w:tcPr>
            <w:tcW w:w="4250" w:type="dxa"/>
          </w:tcPr>
          <w:p w14:paraId="136D97B5" w14:textId="5DE40E35" w:rsidR="004E3A24" w:rsidRPr="004E3A24" w:rsidRDefault="004E3A24" w:rsidP="00B82C10">
            <w:pPr>
              <w:pStyle w:val="BodyText"/>
              <w:jc w:val="center"/>
              <w:rPr>
                <w:b/>
                <w:color w:val="auto"/>
                <w:lang w:eastAsia="ja-JP"/>
              </w:rPr>
            </w:pPr>
            <w:r w:rsidRPr="004E3A24">
              <w:rPr>
                <w:b/>
                <w:color w:val="auto"/>
                <w:lang w:eastAsia="ja-JP"/>
              </w:rPr>
              <w:t>75.3</w:t>
            </w:r>
          </w:p>
        </w:tc>
      </w:tr>
      <w:tr w:rsidR="004E3A24" w14:paraId="7CCA900F" w14:textId="77777777" w:rsidTr="004E3A24">
        <w:tc>
          <w:tcPr>
            <w:tcW w:w="5670" w:type="dxa"/>
          </w:tcPr>
          <w:p w14:paraId="32ED500C" w14:textId="231A76AD" w:rsidR="004E3A24" w:rsidRDefault="004E3A24" w:rsidP="00A81BD5">
            <w:pPr>
              <w:pStyle w:val="BodyText"/>
              <w:rPr>
                <w:lang w:eastAsia="ja-JP"/>
              </w:rPr>
            </w:pPr>
            <w:r>
              <w:rPr>
                <w:lang w:eastAsia="ja-JP"/>
              </w:rPr>
              <w:t>The adrenaline rush</w:t>
            </w:r>
          </w:p>
        </w:tc>
        <w:tc>
          <w:tcPr>
            <w:tcW w:w="4250" w:type="dxa"/>
          </w:tcPr>
          <w:p w14:paraId="5524B898" w14:textId="77777777" w:rsidR="004E3A24" w:rsidRDefault="004E3A24" w:rsidP="00B82C10">
            <w:pPr>
              <w:pStyle w:val="BodyText"/>
              <w:ind w:left="888" w:hanging="888"/>
              <w:rPr>
                <w:lang w:eastAsia="ja-JP"/>
              </w:rPr>
            </w:pPr>
          </w:p>
        </w:tc>
      </w:tr>
      <w:tr w:rsidR="004E3A24" w14:paraId="5B15597D" w14:textId="77777777" w:rsidTr="004E3A24">
        <w:tc>
          <w:tcPr>
            <w:tcW w:w="5670" w:type="dxa"/>
          </w:tcPr>
          <w:p w14:paraId="57B23092" w14:textId="74351528" w:rsidR="004E3A24" w:rsidRPr="004E3A24" w:rsidRDefault="004E3A24" w:rsidP="004E3A24">
            <w:pPr>
              <w:pStyle w:val="BodyText"/>
              <w:spacing w:line="240" w:lineRule="auto"/>
              <w:rPr>
                <w:color w:val="auto"/>
                <w:lang w:eastAsia="en-AU"/>
              </w:rPr>
            </w:pPr>
            <w:r>
              <w:rPr>
                <w:color w:val="auto"/>
                <w:lang w:eastAsia="en-AU"/>
              </w:rPr>
              <w:t>I enjoy competing with other bettors</w:t>
            </w:r>
          </w:p>
        </w:tc>
        <w:tc>
          <w:tcPr>
            <w:tcW w:w="4250" w:type="dxa"/>
          </w:tcPr>
          <w:p w14:paraId="69FE47CC" w14:textId="77777777" w:rsidR="004E3A24" w:rsidRDefault="004E3A24" w:rsidP="00B82C10">
            <w:pPr>
              <w:pStyle w:val="BodyText"/>
              <w:ind w:left="888"/>
              <w:rPr>
                <w:lang w:eastAsia="ja-JP"/>
              </w:rPr>
            </w:pPr>
          </w:p>
        </w:tc>
      </w:tr>
      <w:tr w:rsidR="004E3A24" w14:paraId="56CDF79F" w14:textId="77777777" w:rsidTr="004E3A24">
        <w:tc>
          <w:tcPr>
            <w:tcW w:w="5670" w:type="dxa"/>
          </w:tcPr>
          <w:p w14:paraId="13B0321E" w14:textId="5EB71A6E" w:rsidR="004E3A24" w:rsidRDefault="004E3A24" w:rsidP="004E3A24">
            <w:pPr>
              <w:pStyle w:val="BodyText"/>
              <w:spacing w:line="240" w:lineRule="auto"/>
              <w:rPr>
                <w:color w:val="auto"/>
                <w:lang w:eastAsia="en-AU"/>
              </w:rPr>
            </w:pPr>
            <w:r>
              <w:rPr>
                <w:color w:val="auto"/>
                <w:lang w:eastAsia="en-AU"/>
              </w:rPr>
              <w:t>I enjoy a punt</w:t>
            </w:r>
          </w:p>
        </w:tc>
        <w:tc>
          <w:tcPr>
            <w:tcW w:w="4250" w:type="dxa"/>
          </w:tcPr>
          <w:p w14:paraId="697F618B" w14:textId="77777777" w:rsidR="004E3A24" w:rsidRDefault="004E3A24" w:rsidP="00A81BD5">
            <w:pPr>
              <w:pStyle w:val="BodyText"/>
              <w:rPr>
                <w:lang w:eastAsia="ja-JP"/>
              </w:rPr>
            </w:pPr>
          </w:p>
        </w:tc>
      </w:tr>
      <w:tr w:rsidR="004E3A24" w14:paraId="64E95788" w14:textId="77777777" w:rsidTr="004E3A24">
        <w:tc>
          <w:tcPr>
            <w:tcW w:w="5670" w:type="dxa"/>
          </w:tcPr>
          <w:p w14:paraId="0EDFE042" w14:textId="1BC15F23" w:rsidR="004E3A24" w:rsidRDefault="004E3A24" w:rsidP="004E3A24">
            <w:pPr>
              <w:pStyle w:val="BodyText"/>
              <w:spacing w:line="240" w:lineRule="auto"/>
              <w:rPr>
                <w:color w:val="auto"/>
                <w:lang w:eastAsia="en-AU"/>
              </w:rPr>
            </w:pPr>
            <w:r>
              <w:rPr>
                <w:color w:val="auto"/>
                <w:lang w:eastAsia="en-AU"/>
              </w:rPr>
              <w:t>I have a lot of experience/knowledge of sports and/or races</w:t>
            </w:r>
          </w:p>
        </w:tc>
        <w:tc>
          <w:tcPr>
            <w:tcW w:w="4250" w:type="dxa"/>
          </w:tcPr>
          <w:p w14:paraId="3DAB04F1" w14:textId="77777777" w:rsidR="004E3A24" w:rsidRDefault="004E3A24" w:rsidP="004E3A24">
            <w:pPr>
              <w:pStyle w:val="BodyText"/>
              <w:ind w:left="459" w:firstLine="425"/>
              <w:rPr>
                <w:lang w:eastAsia="ja-JP"/>
              </w:rPr>
            </w:pPr>
          </w:p>
        </w:tc>
      </w:tr>
      <w:tr w:rsidR="004E3A24" w14:paraId="5E5D6690" w14:textId="77777777" w:rsidTr="004E3A24">
        <w:tc>
          <w:tcPr>
            <w:tcW w:w="5670" w:type="dxa"/>
          </w:tcPr>
          <w:p w14:paraId="3E036420" w14:textId="1DE1D0D6" w:rsidR="004E3A24" w:rsidRDefault="004E3A24" w:rsidP="004E3A24">
            <w:pPr>
              <w:pStyle w:val="BodyText"/>
              <w:spacing w:line="240" w:lineRule="auto"/>
              <w:rPr>
                <w:color w:val="auto"/>
                <w:lang w:eastAsia="en-AU"/>
              </w:rPr>
            </w:pPr>
            <w:r>
              <w:rPr>
                <w:color w:val="auto"/>
                <w:lang w:eastAsia="en-AU"/>
              </w:rPr>
              <w:t>Have a bet makes watching sports/races more interesting</w:t>
            </w:r>
          </w:p>
        </w:tc>
        <w:tc>
          <w:tcPr>
            <w:tcW w:w="4250" w:type="dxa"/>
          </w:tcPr>
          <w:p w14:paraId="232505D4" w14:textId="77777777" w:rsidR="004E3A24" w:rsidRDefault="004E3A24" w:rsidP="004E3A24">
            <w:pPr>
              <w:pStyle w:val="BodyText"/>
              <w:ind w:left="459" w:firstLine="425"/>
              <w:rPr>
                <w:lang w:eastAsia="ja-JP"/>
              </w:rPr>
            </w:pPr>
          </w:p>
        </w:tc>
      </w:tr>
      <w:tr w:rsidR="004E3A24" w14:paraId="35006AE5" w14:textId="77777777" w:rsidTr="004E3A24">
        <w:tc>
          <w:tcPr>
            <w:tcW w:w="5670" w:type="dxa"/>
          </w:tcPr>
          <w:p w14:paraId="6A30E0D4" w14:textId="74541D15" w:rsidR="004E3A24" w:rsidRPr="004E3A24" w:rsidRDefault="004E3A24" w:rsidP="004E3A24">
            <w:pPr>
              <w:pStyle w:val="BodyText"/>
              <w:spacing w:line="240" w:lineRule="auto"/>
              <w:rPr>
                <w:b/>
                <w:color w:val="auto"/>
                <w:lang w:eastAsia="en-AU"/>
              </w:rPr>
            </w:pPr>
            <w:r w:rsidRPr="004E3A24">
              <w:rPr>
                <w:b/>
                <w:color w:val="auto"/>
                <w:lang w:eastAsia="en-AU"/>
              </w:rPr>
              <w:t>Social</w:t>
            </w:r>
          </w:p>
        </w:tc>
        <w:tc>
          <w:tcPr>
            <w:tcW w:w="4250" w:type="dxa"/>
          </w:tcPr>
          <w:p w14:paraId="702E22F8" w14:textId="3597CEE9" w:rsidR="004E3A24" w:rsidRPr="004E3A24" w:rsidRDefault="004E3A24" w:rsidP="004E3A24">
            <w:pPr>
              <w:pStyle w:val="BodyText"/>
              <w:ind w:left="459" w:hanging="280"/>
              <w:jc w:val="center"/>
              <w:rPr>
                <w:b/>
                <w:lang w:eastAsia="ja-JP"/>
              </w:rPr>
            </w:pPr>
            <w:r w:rsidRPr="004E3A24">
              <w:rPr>
                <w:b/>
                <w:color w:val="auto"/>
                <w:lang w:eastAsia="ja-JP"/>
              </w:rPr>
              <w:t>42.2</w:t>
            </w:r>
          </w:p>
        </w:tc>
      </w:tr>
      <w:tr w:rsidR="004E3A24" w14:paraId="0A7DA6B9" w14:textId="77777777" w:rsidTr="004E3A24">
        <w:tc>
          <w:tcPr>
            <w:tcW w:w="5670" w:type="dxa"/>
          </w:tcPr>
          <w:p w14:paraId="6DCCEBD8" w14:textId="3F6ED7F1" w:rsidR="004E3A24" w:rsidRPr="004E3A24" w:rsidRDefault="004E3A24" w:rsidP="004E3A24">
            <w:pPr>
              <w:pStyle w:val="BodyText"/>
              <w:spacing w:line="240" w:lineRule="auto"/>
              <w:rPr>
                <w:color w:val="auto"/>
                <w:lang w:eastAsia="en-AU"/>
              </w:rPr>
            </w:pPr>
            <w:r w:rsidRPr="004E3A24">
              <w:rPr>
                <w:color w:val="auto"/>
                <w:lang w:eastAsia="en-AU"/>
              </w:rPr>
              <w:t xml:space="preserve">Betting is a social activity for me </w:t>
            </w:r>
          </w:p>
        </w:tc>
        <w:tc>
          <w:tcPr>
            <w:tcW w:w="4250" w:type="dxa"/>
          </w:tcPr>
          <w:p w14:paraId="6980BA72" w14:textId="77777777" w:rsidR="004E3A24" w:rsidRDefault="004E3A24" w:rsidP="004E3A24">
            <w:pPr>
              <w:pStyle w:val="BodyText"/>
              <w:ind w:left="459" w:firstLine="425"/>
              <w:rPr>
                <w:lang w:eastAsia="ja-JP"/>
              </w:rPr>
            </w:pPr>
          </w:p>
        </w:tc>
      </w:tr>
      <w:tr w:rsidR="004E3A24" w14:paraId="244D6E12" w14:textId="77777777" w:rsidTr="004E3A24">
        <w:tc>
          <w:tcPr>
            <w:tcW w:w="5670" w:type="dxa"/>
          </w:tcPr>
          <w:p w14:paraId="692594F8" w14:textId="76FEA3AE" w:rsidR="004E3A24" w:rsidRPr="004E3A24" w:rsidRDefault="004E3A24" w:rsidP="004E3A24">
            <w:pPr>
              <w:pStyle w:val="BodyText"/>
              <w:spacing w:line="240" w:lineRule="auto"/>
              <w:rPr>
                <w:color w:val="auto"/>
                <w:lang w:eastAsia="en-AU"/>
              </w:rPr>
            </w:pPr>
            <w:r>
              <w:rPr>
                <w:color w:val="auto"/>
                <w:lang w:eastAsia="en-AU"/>
              </w:rPr>
              <w:t>I enjoy betting with friends</w:t>
            </w:r>
          </w:p>
        </w:tc>
        <w:tc>
          <w:tcPr>
            <w:tcW w:w="4250" w:type="dxa"/>
          </w:tcPr>
          <w:p w14:paraId="61D0DA23" w14:textId="77777777" w:rsidR="004E3A24" w:rsidRDefault="004E3A24" w:rsidP="004E3A24">
            <w:pPr>
              <w:pStyle w:val="BodyText"/>
              <w:ind w:left="459" w:firstLine="425"/>
              <w:rPr>
                <w:lang w:eastAsia="ja-JP"/>
              </w:rPr>
            </w:pPr>
          </w:p>
        </w:tc>
      </w:tr>
      <w:tr w:rsidR="004E3A24" w14:paraId="341D0114" w14:textId="77777777" w:rsidTr="004E3A24">
        <w:tc>
          <w:tcPr>
            <w:tcW w:w="5670" w:type="dxa"/>
          </w:tcPr>
          <w:p w14:paraId="6235B6A9" w14:textId="17C5D1C7" w:rsidR="004E3A24" w:rsidRDefault="004E3A24" w:rsidP="004E3A24">
            <w:pPr>
              <w:pStyle w:val="BodyText"/>
              <w:spacing w:line="240" w:lineRule="auto"/>
              <w:rPr>
                <w:color w:val="auto"/>
                <w:lang w:eastAsia="en-AU"/>
              </w:rPr>
            </w:pPr>
            <w:r>
              <w:rPr>
                <w:color w:val="auto"/>
                <w:lang w:eastAsia="en-AU"/>
              </w:rPr>
              <w:t>To feel part of the atmosphere of a big sporting/race event</w:t>
            </w:r>
          </w:p>
        </w:tc>
        <w:tc>
          <w:tcPr>
            <w:tcW w:w="4250" w:type="dxa"/>
          </w:tcPr>
          <w:p w14:paraId="41AD6589" w14:textId="77777777" w:rsidR="004E3A24" w:rsidRDefault="004E3A24" w:rsidP="004E3A24">
            <w:pPr>
              <w:pStyle w:val="BodyText"/>
              <w:ind w:left="459" w:firstLine="425"/>
              <w:rPr>
                <w:lang w:eastAsia="ja-JP"/>
              </w:rPr>
            </w:pPr>
          </w:p>
        </w:tc>
      </w:tr>
      <w:tr w:rsidR="004E3A24" w14:paraId="242B6CE6" w14:textId="77777777" w:rsidTr="004E3A24">
        <w:tc>
          <w:tcPr>
            <w:tcW w:w="5670" w:type="dxa"/>
          </w:tcPr>
          <w:p w14:paraId="6CBBA765" w14:textId="03ED406F" w:rsidR="004E3A24" w:rsidRDefault="004E3A24" w:rsidP="004E3A24">
            <w:pPr>
              <w:pStyle w:val="BodyText"/>
              <w:spacing w:line="240" w:lineRule="auto"/>
              <w:rPr>
                <w:color w:val="auto"/>
                <w:lang w:eastAsia="en-AU"/>
              </w:rPr>
            </w:pPr>
            <w:r>
              <w:rPr>
                <w:color w:val="auto"/>
                <w:lang w:eastAsia="en-AU"/>
              </w:rPr>
              <w:t>My friends bet so I bet too</w:t>
            </w:r>
          </w:p>
        </w:tc>
        <w:tc>
          <w:tcPr>
            <w:tcW w:w="4250" w:type="dxa"/>
          </w:tcPr>
          <w:p w14:paraId="7611CE7C" w14:textId="77777777" w:rsidR="004E3A24" w:rsidRDefault="004E3A24" w:rsidP="004E3A24">
            <w:pPr>
              <w:pStyle w:val="BodyText"/>
              <w:ind w:left="459" w:firstLine="425"/>
              <w:rPr>
                <w:lang w:eastAsia="ja-JP"/>
              </w:rPr>
            </w:pPr>
          </w:p>
        </w:tc>
      </w:tr>
      <w:tr w:rsidR="004E3A24" w14:paraId="140E87D4" w14:textId="77777777" w:rsidTr="004E3A24">
        <w:tc>
          <w:tcPr>
            <w:tcW w:w="5670" w:type="dxa"/>
          </w:tcPr>
          <w:p w14:paraId="76C268C2" w14:textId="2791B1B0" w:rsidR="004E3A24" w:rsidRPr="004E3A24" w:rsidRDefault="004E3A24" w:rsidP="004E3A24">
            <w:pPr>
              <w:pStyle w:val="BodyText"/>
              <w:spacing w:line="240" w:lineRule="auto"/>
              <w:rPr>
                <w:b/>
                <w:color w:val="auto"/>
                <w:lang w:eastAsia="en-AU"/>
              </w:rPr>
            </w:pPr>
            <w:r w:rsidRPr="004E3A24">
              <w:rPr>
                <w:b/>
                <w:color w:val="auto"/>
                <w:lang w:eastAsia="en-AU"/>
              </w:rPr>
              <w:t>Marketing strategies</w:t>
            </w:r>
          </w:p>
        </w:tc>
        <w:tc>
          <w:tcPr>
            <w:tcW w:w="4250" w:type="dxa"/>
          </w:tcPr>
          <w:p w14:paraId="1B39D0DE" w14:textId="2E0BBC39" w:rsidR="004E3A24" w:rsidRPr="004E3A24" w:rsidRDefault="004E3A24" w:rsidP="004E3A24">
            <w:pPr>
              <w:pStyle w:val="BodyText"/>
              <w:ind w:left="459" w:hanging="280"/>
              <w:jc w:val="center"/>
              <w:rPr>
                <w:b/>
                <w:lang w:eastAsia="ja-JP"/>
              </w:rPr>
            </w:pPr>
            <w:r w:rsidRPr="004E3A24">
              <w:rPr>
                <w:b/>
                <w:lang w:eastAsia="ja-JP"/>
              </w:rPr>
              <w:t>22.6</w:t>
            </w:r>
          </w:p>
        </w:tc>
      </w:tr>
      <w:tr w:rsidR="004E3A24" w14:paraId="7343D5F6" w14:textId="77777777" w:rsidTr="004E3A24">
        <w:tc>
          <w:tcPr>
            <w:tcW w:w="5670" w:type="dxa"/>
          </w:tcPr>
          <w:p w14:paraId="34188CB8" w14:textId="00DE8F17" w:rsidR="004E3A24" w:rsidRPr="004E3A24" w:rsidRDefault="004E3A24" w:rsidP="004E3A24">
            <w:pPr>
              <w:pStyle w:val="BodyText"/>
              <w:spacing w:line="240" w:lineRule="auto"/>
              <w:rPr>
                <w:color w:val="auto"/>
                <w:lang w:eastAsia="en-AU"/>
              </w:rPr>
            </w:pPr>
            <w:r w:rsidRPr="004E3A24">
              <w:rPr>
                <w:color w:val="auto"/>
                <w:lang w:eastAsia="en-AU"/>
              </w:rPr>
              <w:t>Betting promotions</w:t>
            </w:r>
          </w:p>
        </w:tc>
        <w:tc>
          <w:tcPr>
            <w:tcW w:w="4250" w:type="dxa"/>
          </w:tcPr>
          <w:p w14:paraId="2CDB471C" w14:textId="77777777" w:rsidR="004E3A24" w:rsidRDefault="004E3A24" w:rsidP="004E3A24">
            <w:pPr>
              <w:pStyle w:val="BodyText"/>
              <w:ind w:left="459" w:firstLine="425"/>
              <w:rPr>
                <w:lang w:eastAsia="ja-JP"/>
              </w:rPr>
            </w:pPr>
          </w:p>
        </w:tc>
      </w:tr>
      <w:tr w:rsidR="004E3A24" w14:paraId="49FB639C" w14:textId="77777777" w:rsidTr="004E3A24">
        <w:tc>
          <w:tcPr>
            <w:tcW w:w="5670" w:type="dxa"/>
          </w:tcPr>
          <w:p w14:paraId="232F37DC" w14:textId="36244CF5" w:rsidR="004E3A24" w:rsidRPr="004E3A24" w:rsidRDefault="004E3A24" w:rsidP="004E3A24">
            <w:pPr>
              <w:pStyle w:val="BodyText"/>
              <w:spacing w:line="240" w:lineRule="auto"/>
              <w:rPr>
                <w:color w:val="auto"/>
                <w:lang w:eastAsia="en-AU"/>
              </w:rPr>
            </w:pPr>
            <w:r>
              <w:rPr>
                <w:color w:val="auto"/>
                <w:lang w:eastAsia="en-AU"/>
              </w:rPr>
              <w:t>Easy (24-hour) access to betting</w:t>
            </w:r>
          </w:p>
        </w:tc>
        <w:tc>
          <w:tcPr>
            <w:tcW w:w="4250" w:type="dxa"/>
          </w:tcPr>
          <w:p w14:paraId="657EBBE6" w14:textId="77777777" w:rsidR="004E3A24" w:rsidRDefault="004E3A24" w:rsidP="004E3A24">
            <w:pPr>
              <w:pStyle w:val="BodyText"/>
              <w:ind w:left="459" w:firstLine="425"/>
              <w:rPr>
                <w:lang w:eastAsia="ja-JP"/>
              </w:rPr>
            </w:pPr>
          </w:p>
        </w:tc>
      </w:tr>
      <w:tr w:rsidR="004E3A24" w14:paraId="55D30105" w14:textId="77777777" w:rsidTr="004E3A24">
        <w:tc>
          <w:tcPr>
            <w:tcW w:w="5670" w:type="dxa"/>
          </w:tcPr>
          <w:p w14:paraId="15A6F2E8" w14:textId="059F665E" w:rsidR="004E3A24" w:rsidRDefault="004E3A24" w:rsidP="004E3A24">
            <w:pPr>
              <w:pStyle w:val="BodyText"/>
              <w:spacing w:line="240" w:lineRule="auto"/>
              <w:rPr>
                <w:color w:val="auto"/>
                <w:lang w:eastAsia="en-AU"/>
              </w:rPr>
            </w:pPr>
            <w:r>
              <w:rPr>
                <w:color w:val="auto"/>
                <w:lang w:eastAsia="en-AU"/>
              </w:rPr>
              <w:t>Betting advertisements</w:t>
            </w:r>
          </w:p>
        </w:tc>
        <w:tc>
          <w:tcPr>
            <w:tcW w:w="4250" w:type="dxa"/>
          </w:tcPr>
          <w:p w14:paraId="40C161D5" w14:textId="77777777" w:rsidR="004E3A24" w:rsidRDefault="004E3A24" w:rsidP="004E3A24">
            <w:pPr>
              <w:pStyle w:val="BodyText"/>
              <w:ind w:left="459" w:firstLine="425"/>
              <w:rPr>
                <w:lang w:eastAsia="ja-JP"/>
              </w:rPr>
            </w:pPr>
          </w:p>
        </w:tc>
      </w:tr>
      <w:tr w:rsidR="004E3A24" w14:paraId="44D581F9" w14:textId="77777777" w:rsidTr="004E3A24">
        <w:tc>
          <w:tcPr>
            <w:tcW w:w="5670" w:type="dxa"/>
          </w:tcPr>
          <w:p w14:paraId="57FEF872" w14:textId="21660391" w:rsidR="004E3A24" w:rsidRPr="004E3A24" w:rsidRDefault="004E3A24" w:rsidP="004E3A24">
            <w:pPr>
              <w:pStyle w:val="BodyText"/>
              <w:spacing w:line="240" w:lineRule="auto"/>
              <w:rPr>
                <w:b/>
                <w:color w:val="auto"/>
                <w:lang w:eastAsia="en-AU"/>
              </w:rPr>
            </w:pPr>
            <w:r w:rsidRPr="004E3A24">
              <w:rPr>
                <w:b/>
                <w:color w:val="auto"/>
                <w:lang w:eastAsia="en-AU"/>
              </w:rPr>
              <w:t>Financial</w:t>
            </w:r>
          </w:p>
        </w:tc>
        <w:tc>
          <w:tcPr>
            <w:tcW w:w="4250" w:type="dxa"/>
          </w:tcPr>
          <w:p w14:paraId="6B8E1556" w14:textId="3702ECD6" w:rsidR="004E3A24" w:rsidRPr="004E3A24" w:rsidRDefault="004E3A24" w:rsidP="00B82C10">
            <w:pPr>
              <w:pStyle w:val="BodyText"/>
              <w:ind w:left="459" w:firstLine="3"/>
              <w:jc w:val="center"/>
              <w:rPr>
                <w:b/>
                <w:lang w:eastAsia="ja-JP"/>
              </w:rPr>
            </w:pPr>
            <w:r w:rsidRPr="004E3A24">
              <w:rPr>
                <w:b/>
                <w:lang w:eastAsia="ja-JP"/>
              </w:rPr>
              <w:t>18.5</w:t>
            </w:r>
          </w:p>
        </w:tc>
      </w:tr>
      <w:tr w:rsidR="004E3A24" w14:paraId="2EA1494E" w14:textId="77777777" w:rsidTr="004E3A24">
        <w:tc>
          <w:tcPr>
            <w:tcW w:w="5670" w:type="dxa"/>
          </w:tcPr>
          <w:p w14:paraId="6F2743F8" w14:textId="35A5CFFF" w:rsidR="004E3A24" w:rsidRDefault="004E3A24" w:rsidP="004E3A24">
            <w:pPr>
              <w:pStyle w:val="BodyText"/>
              <w:spacing w:line="240" w:lineRule="auto"/>
              <w:rPr>
                <w:color w:val="auto"/>
                <w:lang w:eastAsia="en-AU"/>
              </w:rPr>
            </w:pPr>
            <w:r>
              <w:rPr>
                <w:color w:val="auto"/>
                <w:lang w:eastAsia="en-AU"/>
              </w:rPr>
              <w:t>To get ahead financially</w:t>
            </w:r>
          </w:p>
        </w:tc>
        <w:tc>
          <w:tcPr>
            <w:tcW w:w="4250" w:type="dxa"/>
          </w:tcPr>
          <w:p w14:paraId="5067868A" w14:textId="77777777" w:rsidR="004E3A24" w:rsidRDefault="004E3A24" w:rsidP="004E3A24">
            <w:pPr>
              <w:pStyle w:val="BodyText"/>
              <w:ind w:left="459" w:firstLine="425"/>
              <w:rPr>
                <w:lang w:eastAsia="ja-JP"/>
              </w:rPr>
            </w:pPr>
          </w:p>
        </w:tc>
      </w:tr>
      <w:tr w:rsidR="004E3A24" w14:paraId="11FBD1C1" w14:textId="77777777" w:rsidTr="004E3A24">
        <w:tc>
          <w:tcPr>
            <w:tcW w:w="5670" w:type="dxa"/>
          </w:tcPr>
          <w:p w14:paraId="5577D46E" w14:textId="696D0DE0" w:rsidR="004E3A24" w:rsidRDefault="004E3A24" w:rsidP="004E3A24">
            <w:pPr>
              <w:pStyle w:val="BodyText"/>
              <w:spacing w:line="240" w:lineRule="auto"/>
              <w:rPr>
                <w:color w:val="auto"/>
                <w:lang w:eastAsia="en-AU"/>
              </w:rPr>
            </w:pPr>
            <w:r>
              <w:rPr>
                <w:color w:val="auto"/>
                <w:lang w:eastAsia="en-AU"/>
              </w:rPr>
              <w:t>To chase losses/win back money lost</w:t>
            </w:r>
          </w:p>
        </w:tc>
        <w:tc>
          <w:tcPr>
            <w:tcW w:w="4250" w:type="dxa"/>
          </w:tcPr>
          <w:p w14:paraId="711D7419" w14:textId="77777777" w:rsidR="004E3A24" w:rsidRDefault="004E3A24" w:rsidP="004E3A24">
            <w:pPr>
              <w:pStyle w:val="BodyText"/>
              <w:ind w:left="459" w:firstLine="425"/>
              <w:rPr>
                <w:lang w:eastAsia="ja-JP"/>
              </w:rPr>
            </w:pPr>
          </w:p>
        </w:tc>
      </w:tr>
      <w:tr w:rsidR="004E3A24" w14:paraId="127D9518" w14:textId="77777777" w:rsidTr="004E3A24">
        <w:tc>
          <w:tcPr>
            <w:tcW w:w="5670" w:type="dxa"/>
          </w:tcPr>
          <w:p w14:paraId="6F2B1E79" w14:textId="01964F61" w:rsidR="004E3A24" w:rsidRPr="004E3A24" w:rsidRDefault="004E3A24" w:rsidP="004E3A24">
            <w:pPr>
              <w:pStyle w:val="BodyText"/>
              <w:spacing w:line="240" w:lineRule="auto"/>
              <w:rPr>
                <w:b/>
                <w:color w:val="auto"/>
                <w:lang w:eastAsia="en-AU"/>
              </w:rPr>
            </w:pPr>
            <w:r w:rsidRPr="004E3A24">
              <w:rPr>
                <w:b/>
                <w:color w:val="auto"/>
                <w:lang w:eastAsia="en-AU"/>
              </w:rPr>
              <w:t>Negative feelings</w:t>
            </w:r>
          </w:p>
        </w:tc>
        <w:tc>
          <w:tcPr>
            <w:tcW w:w="4250" w:type="dxa"/>
          </w:tcPr>
          <w:p w14:paraId="643CFB32" w14:textId="3485AD41" w:rsidR="004E3A24" w:rsidRPr="004E3A24" w:rsidRDefault="004E3A24" w:rsidP="00B82C10">
            <w:pPr>
              <w:pStyle w:val="BodyText"/>
              <w:ind w:left="459" w:firstLine="3"/>
              <w:jc w:val="center"/>
              <w:rPr>
                <w:b/>
                <w:lang w:eastAsia="ja-JP"/>
              </w:rPr>
            </w:pPr>
            <w:r w:rsidRPr="004E3A24">
              <w:rPr>
                <w:b/>
                <w:lang w:eastAsia="ja-JP"/>
              </w:rPr>
              <w:t>11.4</w:t>
            </w:r>
          </w:p>
        </w:tc>
      </w:tr>
      <w:tr w:rsidR="004E3A24" w14:paraId="2F727DF9" w14:textId="77777777" w:rsidTr="004E3A24">
        <w:tc>
          <w:tcPr>
            <w:tcW w:w="5670" w:type="dxa"/>
          </w:tcPr>
          <w:p w14:paraId="133ABBF0" w14:textId="5DF5A06F" w:rsidR="004E3A24" w:rsidRDefault="004E3A24" w:rsidP="004E3A24">
            <w:pPr>
              <w:pStyle w:val="BodyText"/>
              <w:spacing w:line="240" w:lineRule="auto"/>
              <w:rPr>
                <w:color w:val="auto"/>
                <w:lang w:eastAsia="en-AU"/>
              </w:rPr>
            </w:pPr>
            <w:r>
              <w:rPr>
                <w:color w:val="auto"/>
                <w:lang w:eastAsia="en-AU"/>
              </w:rPr>
              <w:t>Boredom</w:t>
            </w:r>
          </w:p>
        </w:tc>
        <w:tc>
          <w:tcPr>
            <w:tcW w:w="4250" w:type="dxa"/>
          </w:tcPr>
          <w:p w14:paraId="4F489B16" w14:textId="77777777" w:rsidR="004E3A24" w:rsidRDefault="004E3A24" w:rsidP="004E3A24">
            <w:pPr>
              <w:pStyle w:val="BodyText"/>
              <w:ind w:left="459" w:firstLine="425"/>
              <w:rPr>
                <w:lang w:eastAsia="ja-JP"/>
              </w:rPr>
            </w:pPr>
          </w:p>
        </w:tc>
      </w:tr>
      <w:tr w:rsidR="004E3A24" w14:paraId="18A99E73" w14:textId="77777777" w:rsidTr="004E3A24">
        <w:tc>
          <w:tcPr>
            <w:tcW w:w="5670" w:type="dxa"/>
          </w:tcPr>
          <w:p w14:paraId="1390F931" w14:textId="3CD51D81" w:rsidR="004E3A24" w:rsidRDefault="004E3A24" w:rsidP="004E3A24">
            <w:pPr>
              <w:pStyle w:val="BodyText"/>
              <w:spacing w:line="240" w:lineRule="auto"/>
              <w:rPr>
                <w:color w:val="auto"/>
                <w:lang w:eastAsia="en-AU"/>
              </w:rPr>
            </w:pPr>
            <w:r>
              <w:rPr>
                <w:color w:val="auto"/>
                <w:lang w:eastAsia="en-AU"/>
              </w:rPr>
              <w:t>Loneliness</w:t>
            </w:r>
          </w:p>
        </w:tc>
        <w:tc>
          <w:tcPr>
            <w:tcW w:w="4250" w:type="dxa"/>
          </w:tcPr>
          <w:p w14:paraId="3BB48D9D" w14:textId="77777777" w:rsidR="004E3A24" w:rsidRDefault="004E3A24" w:rsidP="004E3A24">
            <w:pPr>
              <w:pStyle w:val="BodyText"/>
              <w:ind w:left="459" w:firstLine="425"/>
              <w:rPr>
                <w:lang w:eastAsia="ja-JP"/>
              </w:rPr>
            </w:pPr>
          </w:p>
        </w:tc>
      </w:tr>
      <w:tr w:rsidR="004E3A24" w14:paraId="6BECD096" w14:textId="77777777" w:rsidTr="004E3A24">
        <w:tc>
          <w:tcPr>
            <w:tcW w:w="5670" w:type="dxa"/>
          </w:tcPr>
          <w:p w14:paraId="589757EF" w14:textId="2AA506E9" w:rsidR="004E3A24" w:rsidRPr="004E3A24" w:rsidRDefault="004E3A24" w:rsidP="004E3A24">
            <w:pPr>
              <w:pStyle w:val="BodyText"/>
              <w:spacing w:line="240" w:lineRule="auto"/>
              <w:rPr>
                <w:b/>
                <w:color w:val="auto"/>
                <w:lang w:eastAsia="en-AU"/>
              </w:rPr>
            </w:pPr>
            <w:r w:rsidRPr="004E3A24">
              <w:rPr>
                <w:b/>
                <w:color w:val="auto"/>
                <w:lang w:eastAsia="en-AU"/>
              </w:rPr>
              <w:t>Alcohol and other drugs</w:t>
            </w:r>
          </w:p>
        </w:tc>
        <w:tc>
          <w:tcPr>
            <w:tcW w:w="4250" w:type="dxa"/>
          </w:tcPr>
          <w:p w14:paraId="41155F10" w14:textId="48412F1A" w:rsidR="004E3A24" w:rsidRPr="004E3A24" w:rsidRDefault="004E3A24" w:rsidP="00B82C10">
            <w:pPr>
              <w:pStyle w:val="BodyText"/>
              <w:ind w:left="459" w:firstLine="425"/>
              <w:jc w:val="center"/>
              <w:rPr>
                <w:b/>
                <w:lang w:eastAsia="ja-JP"/>
              </w:rPr>
            </w:pPr>
            <w:r w:rsidRPr="004E3A24">
              <w:rPr>
                <w:b/>
                <w:lang w:eastAsia="ja-JP"/>
              </w:rPr>
              <w:t>6.23</w:t>
            </w:r>
          </w:p>
        </w:tc>
      </w:tr>
      <w:tr w:rsidR="004E3A24" w14:paraId="357A7017" w14:textId="77777777" w:rsidTr="004E3A24">
        <w:tc>
          <w:tcPr>
            <w:tcW w:w="5670" w:type="dxa"/>
          </w:tcPr>
          <w:p w14:paraId="1C4A553D" w14:textId="1615F44A" w:rsidR="004E3A24" w:rsidRDefault="00B82C10" w:rsidP="004E3A24">
            <w:pPr>
              <w:pStyle w:val="BodyText"/>
              <w:spacing w:line="240" w:lineRule="auto"/>
              <w:rPr>
                <w:color w:val="auto"/>
                <w:lang w:eastAsia="en-AU"/>
              </w:rPr>
            </w:pPr>
            <w:r>
              <w:rPr>
                <w:color w:val="auto"/>
                <w:lang w:eastAsia="en-AU"/>
              </w:rPr>
              <w:t>I bet when I use drugs</w:t>
            </w:r>
          </w:p>
        </w:tc>
        <w:tc>
          <w:tcPr>
            <w:tcW w:w="4250" w:type="dxa"/>
          </w:tcPr>
          <w:p w14:paraId="6AB4CF1D" w14:textId="77777777" w:rsidR="004E3A24" w:rsidRDefault="004E3A24" w:rsidP="004E3A24">
            <w:pPr>
              <w:pStyle w:val="BodyText"/>
              <w:ind w:left="459" w:firstLine="425"/>
              <w:rPr>
                <w:lang w:eastAsia="ja-JP"/>
              </w:rPr>
            </w:pPr>
          </w:p>
        </w:tc>
      </w:tr>
      <w:tr w:rsidR="00B82C10" w14:paraId="68F36FF4" w14:textId="77777777" w:rsidTr="004E3A24">
        <w:tc>
          <w:tcPr>
            <w:tcW w:w="5670" w:type="dxa"/>
          </w:tcPr>
          <w:p w14:paraId="46F67BFA" w14:textId="4A59DEAB" w:rsidR="00B82C10" w:rsidRDefault="00B82C10" w:rsidP="004E3A24">
            <w:pPr>
              <w:pStyle w:val="BodyText"/>
              <w:spacing w:line="240" w:lineRule="auto"/>
              <w:rPr>
                <w:color w:val="auto"/>
                <w:lang w:eastAsia="en-AU"/>
              </w:rPr>
            </w:pPr>
            <w:r>
              <w:rPr>
                <w:color w:val="auto"/>
                <w:lang w:eastAsia="en-AU"/>
              </w:rPr>
              <w:t>I bet when I drink alcohol</w:t>
            </w:r>
          </w:p>
        </w:tc>
        <w:tc>
          <w:tcPr>
            <w:tcW w:w="4250" w:type="dxa"/>
          </w:tcPr>
          <w:p w14:paraId="78FEFB16" w14:textId="77777777" w:rsidR="00B82C10" w:rsidRDefault="00B82C10" w:rsidP="004E3A24">
            <w:pPr>
              <w:pStyle w:val="BodyText"/>
              <w:ind w:left="459" w:firstLine="425"/>
              <w:rPr>
                <w:lang w:eastAsia="ja-JP"/>
              </w:rPr>
            </w:pPr>
          </w:p>
        </w:tc>
      </w:tr>
    </w:tbl>
    <w:p w14:paraId="09B4A3D2" w14:textId="00111F6D" w:rsidR="00172CC9" w:rsidRPr="00B82C10" w:rsidRDefault="00B82C10" w:rsidP="00B82C10">
      <w:pPr>
        <w:pStyle w:val="BodyText"/>
        <w:pBdr>
          <w:bottom w:val="single" w:sz="4" w:space="1" w:color="auto"/>
        </w:pBdr>
        <w:rPr>
          <w:sz w:val="18"/>
          <w:szCs w:val="18"/>
          <w:lang w:eastAsia="ja-JP"/>
        </w:rPr>
      </w:pPr>
      <w:r w:rsidRPr="00B82C10">
        <w:rPr>
          <w:sz w:val="18"/>
          <w:szCs w:val="18"/>
          <w:lang w:eastAsia="ja-JP"/>
        </w:rPr>
        <w:t>Note: Percentages exceed 100% due to multiple responses to this question.</w:t>
      </w:r>
    </w:p>
    <w:p w14:paraId="4E013248" w14:textId="33713704" w:rsidR="00172CC9" w:rsidRDefault="00172CC9" w:rsidP="00A81BD5">
      <w:pPr>
        <w:pStyle w:val="BodyText"/>
        <w:rPr>
          <w:lang w:eastAsia="ja-JP"/>
        </w:rPr>
      </w:pPr>
    </w:p>
    <w:p w14:paraId="242D8DAD" w14:textId="77777777" w:rsidR="008A2CBD" w:rsidRPr="00267E2C" w:rsidRDefault="008A2CBD" w:rsidP="00A55CD9">
      <w:pPr>
        <w:pStyle w:val="Heading3"/>
        <w:rPr>
          <w:color w:val="auto"/>
        </w:rPr>
      </w:pPr>
      <w:r w:rsidRPr="00267E2C">
        <w:rPr>
          <w:color w:val="auto"/>
        </w:rPr>
        <w:t>Self-control measures</w:t>
      </w:r>
    </w:p>
    <w:p w14:paraId="02A0F3DA" w14:textId="1E7BE04F" w:rsidR="008A2CBD" w:rsidRDefault="008A2CBD" w:rsidP="00DF2954">
      <w:pPr>
        <w:spacing w:before="120" w:line="280" w:lineRule="atLeast"/>
        <w:jc w:val="both"/>
        <w:rPr>
          <w:rFonts w:ascii="Arial" w:hAnsi="Arial" w:cs="Arial"/>
          <w:color w:val="000000"/>
          <w:sz w:val="20"/>
          <w:szCs w:val="20"/>
        </w:rPr>
      </w:pPr>
      <w:r w:rsidRPr="00664E64">
        <w:rPr>
          <w:rFonts w:ascii="Arial" w:hAnsi="Arial" w:cs="Arial"/>
          <w:color w:val="000000"/>
          <w:sz w:val="20"/>
          <w:szCs w:val="20"/>
        </w:rPr>
        <w:t>Participants were also asked if they had employed any strategies to try to limit or control the amount of time or money they spent betting online during the last 12 months. While around a third each reported that they had ‘monitored how much money they spent betting’ (39%) and had ‘set limits for how much they can spend each week’ (34%), smaller proportions reported having engaged in any of the other listed strategies. Another one third (34.9%) reported that they had no</w:t>
      </w:r>
      <w:r w:rsidR="00B333AB" w:rsidRPr="00664E64">
        <w:rPr>
          <w:rFonts w:ascii="Arial" w:hAnsi="Arial" w:cs="Arial"/>
          <w:color w:val="000000"/>
          <w:sz w:val="20"/>
          <w:szCs w:val="20"/>
        </w:rPr>
        <w:t xml:space="preserve">t </w:t>
      </w:r>
      <w:r w:rsidRPr="00664E64">
        <w:rPr>
          <w:rFonts w:ascii="Arial" w:hAnsi="Arial" w:cs="Arial"/>
          <w:color w:val="000000"/>
          <w:sz w:val="20"/>
          <w:szCs w:val="20"/>
        </w:rPr>
        <w:t xml:space="preserve">employed any strategies to limit </w:t>
      </w:r>
      <w:r w:rsidR="00B333AB" w:rsidRPr="00664E64">
        <w:rPr>
          <w:rFonts w:ascii="Arial" w:hAnsi="Arial" w:cs="Arial"/>
          <w:color w:val="000000"/>
          <w:sz w:val="20"/>
          <w:szCs w:val="20"/>
        </w:rPr>
        <w:t xml:space="preserve">or control </w:t>
      </w:r>
      <w:r w:rsidRPr="00664E64">
        <w:rPr>
          <w:rFonts w:ascii="Arial" w:hAnsi="Arial" w:cs="Arial"/>
          <w:color w:val="000000"/>
          <w:sz w:val="20"/>
          <w:szCs w:val="20"/>
        </w:rPr>
        <w:t>their involvement in betting (Table 5.2</w:t>
      </w:r>
      <w:r w:rsidR="00357014" w:rsidRPr="00664E64">
        <w:rPr>
          <w:rFonts w:ascii="Arial" w:hAnsi="Arial" w:cs="Arial"/>
          <w:color w:val="000000"/>
          <w:sz w:val="20"/>
          <w:szCs w:val="20"/>
        </w:rPr>
        <w:t>1</w:t>
      </w:r>
      <w:r w:rsidRPr="00664E64">
        <w:rPr>
          <w:rFonts w:ascii="Arial" w:hAnsi="Arial" w:cs="Arial"/>
          <w:color w:val="000000"/>
          <w:sz w:val="20"/>
          <w:szCs w:val="20"/>
        </w:rPr>
        <w:t xml:space="preserve">). </w:t>
      </w:r>
    </w:p>
    <w:p w14:paraId="115903F4" w14:textId="77777777" w:rsidR="00380FCF" w:rsidRPr="00664E64" w:rsidRDefault="00380FCF" w:rsidP="00DF2954">
      <w:pPr>
        <w:spacing w:before="120" w:line="280" w:lineRule="atLeast"/>
        <w:jc w:val="both"/>
        <w:rPr>
          <w:rFonts w:ascii="Arial" w:hAnsi="Arial" w:cs="Arial"/>
          <w:color w:val="000000"/>
          <w:sz w:val="20"/>
          <w:szCs w:val="20"/>
        </w:rPr>
      </w:pPr>
    </w:p>
    <w:p w14:paraId="73B7A90A" w14:textId="352AD3FB" w:rsidR="008A2CBD" w:rsidRPr="00267E2C" w:rsidRDefault="008A2CBD" w:rsidP="00415C73">
      <w:pPr>
        <w:pStyle w:val="FigureCaption"/>
        <w:rPr>
          <w:color w:val="auto"/>
          <w:lang w:val="en-AU"/>
        </w:rPr>
      </w:pPr>
      <w:bookmarkStart w:id="72" w:name="_Toc8330413"/>
      <w:bookmarkStart w:id="73" w:name="_Toc11864584"/>
      <w:bookmarkStart w:id="74" w:name="_Toc12549581"/>
      <w:r w:rsidRPr="00267E2C">
        <w:rPr>
          <w:color w:val="auto"/>
          <w:lang w:val="en-AU"/>
        </w:rPr>
        <w:t>Table 5.</w:t>
      </w:r>
      <w:r w:rsidR="00777624" w:rsidRPr="00267E2C">
        <w:rPr>
          <w:color w:val="auto"/>
          <w:lang w:val="en-AU"/>
        </w:rPr>
        <w:fldChar w:fldCharType="begin"/>
      </w:r>
      <w:r w:rsidR="00777624" w:rsidRPr="00267E2C">
        <w:rPr>
          <w:color w:val="auto"/>
          <w:lang w:val="en-AU"/>
        </w:rPr>
        <w:instrText xml:space="preserve"> SEQ Table_5. \* ARABIC </w:instrText>
      </w:r>
      <w:r w:rsidR="00777624" w:rsidRPr="00267E2C">
        <w:rPr>
          <w:color w:val="auto"/>
          <w:lang w:val="en-AU"/>
        </w:rPr>
        <w:fldChar w:fldCharType="separate"/>
      </w:r>
      <w:r w:rsidR="00354BBD" w:rsidRPr="00267E2C">
        <w:rPr>
          <w:noProof/>
          <w:color w:val="auto"/>
          <w:lang w:val="en-AU"/>
        </w:rPr>
        <w:t>21</w:t>
      </w:r>
      <w:r w:rsidR="00777624" w:rsidRPr="00267E2C">
        <w:rPr>
          <w:noProof/>
          <w:color w:val="auto"/>
          <w:lang w:val="en-AU"/>
        </w:rPr>
        <w:fldChar w:fldCharType="end"/>
      </w:r>
      <w:r w:rsidR="00356F0E" w:rsidRPr="00267E2C">
        <w:rPr>
          <w:color w:val="auto"/>
          <w:lang w:val="en-AU"/>
        </w:rPr>
        <w:t>:</w:t>
      </w:r>
      <w:r w:rsidRPr="00267E2C">
        <w:rPr>
          <w:color w:val="auto"/>
          <w:lang w:val="en-AU"/>
        </w:rPr>
        <w:t xml:space="preserve"> Self-control measures to control involvement (money or time) in online betting during the last 12 months (N</w:t>
      </w:r>
      <w:r w:rsidR="00356F0E" w:rsidRPr="00267E2C">
        <w:rPr>
          <w:color w:val="auto"/>
          <w:lang w:val="en-AU"/>
        </w:rPr>
        <w:t xml:space="preserve"> </w:t>
      </w:r>
      <w:r w:rsidRPr="00267E2C">
        <w:rPr>
          <w:color w:val="auto"/>
          <w:lang w:val="en-AU"/>
        </w:rPr>
        <w:t>=</w:t>
      </w:r>
      <w:r w:rsidR="00356F0E" w:rsidRPr="00267E2C">
        <w:rPr>
          <w:color w:val="auto"/>
          <w:lang w:val="en-AU"/>
        </w:rPr>
        <w:t xml:space="preserve"> </w:t>
      </w:r>
      <w:r w:rsidRPr="00267E2C">
        <w:rPr>
          <w:color w:val="auto"/>
          <w:lang w:val="en-AU"/>
        </w:rPr>
        <w:t>5,076)</w:t>
      </w:r>
      <w:bookmarkEnd w:id="72"/>
      <w:bookmarkEnd w:id="73"/>
      <w:bookmarkEnd w:id="74"/>
    </w:p>
    <w:tbl>
      <w:tblPr>
        <w:tblStyle w:val="TableGrid"/>
        <w:tblW w:w="5000" w:type="pct"/>
        <w:tblLook w:val="04A0" w:firstRow="1" w:lastRow="0" w:firstColumn="1" w:lastColumn="0" w:noHBand="0" w:noVBand="1"/>
        <w:tblCaption w:val="Self-control measures to control involvement (money or time) in online betting during the last 12 months "/>
        <w:tblDescription w:val="Shows the percentage of particpants who had used various self-control measures such as monitoring their spending on betting or talking to a health professional about their gambling."/>
      </w:tblPr>
      <w:tblGrid>
        <w:gridCol w:w="6726"/>
        <w:gridCol w:w="1773"/>
      </w:tblGrid>
      <w:tr w:rsidR="008A2CBD" w:rsidRPr="00664E64" w14:paraId="46D26962" w14:textId="77777777" w:rsidTr="00275782">
        <w:trPr>
          <w:cnfStyle w:val="100000000000" w:firstRow="1" w:lastRow="0" w:firstColumn="0" w:lastColumn="0" w:oddVBand="0" w:evenVBand="0" w:oddHBand="0" w:evenHBand="0" w:firstRowFirstColumn="0" w:firstRowLastColumn="0" w:lastRowFirstColumn="0" w:lastRowLastColumn="0"/>
          <w:trHeight w:val="294"/>
          <w:tblHeader/>
        </w:trPr>
        <w:tc>
          <w:tcPr>
            <w:tcW w:w="3957" w:type="pct"/>
            <w:hideMark/>
          </w:tcPr>
          <w:p w14:paraId="67DCE356" w14:textId="77777777" w:rsidR="008A2CBD" w:rsidRPr="00664E64" w:rsidRDefault="008A2CBD" w:rsidP="00A55CD9">
            <w:pPr>
              <w:pStyle w:val="TableColHeadLeft"/>
              <w:rPr>
                <w:lang w:val="en-AU"/>
              </w:rPr>
            </w:pPr>
            <w:r w:rsidRPr="00664E64">
              <w:rPr>
                <w:lang w:val="en-AU"/>
              </w:rPr>
              <w:t xml:space="preserve">Measures </w:t>
            </w:r>
          </w:p>
        </w:tc>
        <w:tc>
          <w:tcPr>
            <w:tcW w:w="1043" w:type="pct"/>
            <w:hideMark/>
          </w:tcPr>
          <w:p w14:paraId="200A5101" w14:textId="0EFCF3EF" w:rsidR="008A2CBD" w:rsidRPr="00664E64" w:rsidRDefault="008A2CBD" w:rsidP="00A55CD9">
            <w:pPr>
              <w:pStyle w:val="TableColHeadCentre"/>
              <w:rPr>
                <w:lang w:val="en-AU"/>
              </w:rPr>
            </w:pPr>
            <w:r w:rsidRPr="00664E64">
              <w:rPr>
                <w:lang w:val="en-AU"/>
              </w:rPr>
              <w:t xml:space="preserve">% of </w:t>
            </w:r>
            <w:r w:rsidRPr="00664E64">
              <w:rPr>
                <w:i/>
                <w:lang w:val="en-AU"/>
              </w:rPr>
              <w:t>N</w:t>
            </w:r>
            <w:r w:rsidRPr="00664E64">
              <w:rPr>
                <w:lang w:val="en-AU"/>
              </w:rPr>
              <w:t xml:space="preserve"> (5</w:t>
            </w:r>
            <w:r w:rsidR="00356F0E" w:rsidRPr="00664E64">
              <w:rPr>
                <w:lang w:val="en-AU"/>
              </w:rPr>
              <w:t>,</w:t>
            </w:r>
            <w:r w:rsidRPr="00664E64">
              <w:rPr>
                <w:lang w:val="en-AU"/>
              </w:rPr>
              <w:t>076)</w:t>
            </w:r>
          </w:p>
        </w:tc>
      </w:tr>
      <w:tr w:rsidR="008A2CBD" w:rsidRPr="00664E64" w14:paraId="67420346" w14:textId="77777777" w:rsidTr="00821340">
        <w:trPr>
          <w:trHeight w:val="454"/>
        </w:trPr>
        <w:tc>
          <w:tcPr>
            <w:tcW w:w="3957" w:type="pct"/>
            <w:hideMark/>
          </w:tcPr>
          <w:p w14:paraId="11219C29" w14:textId="77777777" w:rsidR="008A2CBD" w:rsidRPr="00664E64" w:rsidRDefault="008A2CBD" w:rsidP="00A55CD9">
            <w:pPr>
              <w:pStyle w:val="TableText"/>
              <w:rPr>
                <w:lang w:val="en-AU"/>
              </w:rPr>
            </w:pPr>
            <w:r w:rsidRPr="00664E64">
              <w:rPr>
                <w:lang w:val="en-AU"/>
              </w:rPr>
              <w:t>Monitor how much money I spend betting on sports/races</w:t>
            </w:r>
          </w:p>
        </w:tc>
        <w:tc>
          <w:tcPr>
            <w:tcW w:w="1043" w:type="pct"/>
            <w:noWrap/>
            <w:hideMark/>
          </w:tcPr>
          <w:p w14:paraId="51709647" w14:textId="77777777" w:rsidR="008A2CBD" w:rsidRPr="00664E64" w:rsidRDefault="008A2CBD" w:rsidP="006F5F49">
            <w:pPr>
              <w:jc w:val="center"/>
              <w:rPr>
                <w:rFonts w:cs="Arial"/>
                <w:color w:val="000000"/>
                <w:szCs w:val="20"/>
              </w:rPr>
            </w:pPr>
            <w:r w:rsidRPr="00664E64">
              <w:rPr>
                <w:rFonts w:cs="Arial"/>
                <w:color w:val="000000"/>
                <w:szCs w:val="20"/>
              </w:rPr>
              <w:t>38.8</w:t>
            </w:r>
          </w:p>
        </w:tc>
      </w:tr>
      <w:tr w:rsidR="008A2CBD" w:rsidRPr="00664E64" w14:paraId="35FBAA73" w14:textId="77777777" w:rsidTr="00821340">
        <w:trPr>
          <w:trHeight w:val="454"/>
        </w:trPr>
        <w:tc>
          <w:tcPr>
            <w:tcW w:w="3957" w:type="pct"/>
            <w:hideMark/>
          </w:tcPr>
          <w:p w14:paraId="6A847A54" w14:textId="77777777" w:rsidR="008A2CBD" w:rsidRPr="00664E64" w:rsidRDefault="008A2CBD" w:rsidP="00A55CD9">
            <w:pPr>
              <w:pStyle w:val="TableText"/>
              <w:rPr>
                <w:lang w:val="en-AU"/>
              </w:rPr>
            </w:pPr>
            <w:r w:rsidRPr="00664E64">
              <w:rPr>
                <w:lang w:val="en-AU"/>
              </w:rPr>
              <w:t xml:space="preserve">Set limits for how much I can spend each week </w:t>
            </w:r>
          </w:p>
        </w:tc>
        <w:tc>
          <w:tcPr>
            <w:tcW w:w="1043" w:type="pct"/>
            <w:noWrap/>
            <w:hideMark/>
          </w:tcPr>
          <w:p w14:paraId="7755E9EA" w14:textId="77777777" w:rsidR="008A2CBD" w:rsidRPr="00664E64" w:rsidRDefault="008A2CBD" w:rsidP="006F5F49">
            <w:pPr>
              <w:jc w:val="center"/>
              <w:rPr>
                <w:rFonts w:cs="Arial"/>
                <w:color w:val="000000"/>
                <w:szCs w:val="20"/>
              </w:rPr>
            </w:pPr>
            <w:r w:rsidRPr="00664E64">
              <w:rPr>
                <w:rFonts w:cs="Arial"/>
                <w:color w:val="000000"/>
                <w:szCs w:val="20"/>
              </w:rPr>
              <w:t>33.6</w:t>
            </w:r>
          </w:p>
        </w:tc>
      </w:tr>
      <w:tr w:rsidR="008A2CBD" w:rsidRPr="00664E64" w14:paraId="17B39E9B" w14:textId="77777777" w:rsidTr="00821340">
        <w:trPr>
          <w:trHeight w:val="454"/>
        </w:trPr>
        <w:tc>
          <w:tcPr>
            <w:tcW w:w="3957" w:type="pct"/>
            <w:hideMark/>
          </w:tcPr>
          <w:p w14:paraId="12C6BBBF" w14:textId="77777777" w:rsidR="008A2CBD" w:rsidRPr="00664E64" w:rsidRDefault="008A2CBD" w:rsidP="00A55CD9">
            <w:pPr>
              <w:pStyle w:val="TableText"/>
              <w:rPr>
                <w:lang w:val="en-AU"/>
              </w:rPr>
            </w:pPr>
            <w:r w:rsidRPr="00664E64">
              <w:rPr>
                <w:lang w:val="en-AU"/>
              </w:rPr>
              <w:t>Set limits for which days of the week I bet</w:t>
            </w:r>
          </w:p>
        </w:tc>
        <w:tc>
          <w:tcPr>
            <w:tcW w:w="1043" w:type="pct"/>
            <w:noWrap/>
            <w:hideMark/>
          </w:tcPr>
          <w:p w14:paraId="6D1D4A2D" w14:textId="77777777" w:rsidR="008A2CBD" w:rsidRPr="00664E64" w:rsidRDefault="008A2CBD" w:rsidP="006F5F49">
            <w:pPr>
              <w:jc w:val="center"/>
              <w:rPr>
                <w:rFonts w:cs="Arial"/>
                <w:color w:val="000000"/>
                <w:szCs w:val="20"/>
              </w:rPr>
            </w:pPr>
            <w:r w:rsidRPr="00664E64">
              <w:rPr>
                <w:rFonts w:cs="Arial"/>
                <w:color w:val="000000"/>
                <w:szCs w:val="20"/>
              </w:rPr>
              <w:t>9.9</w:t>
            </w:r>
          </w:p>
        </w:tc>
      </w:tr>
      <w:tr w:rsidR="008A2CBD" w:rsidRPr="00664E64" w14:paraId="2ADACAF9" w14:textId="77777777" w:rsidTr="00821340">
        <w:trPr>
          <w:trHeight w:val="454"/>
        </w:trPr>
        <w:tc>
          <w:tcPr>
            <w:tcW w:w="3957" w:type="pct"/>
            <w:hideMark/>
          </w:tcPr>
          <w:p w14:paraId="60D85655" w14:textId="77777777" w:rsidR="008A2CBD" w:rsidRPr="00664E64" w:rsidRDefault="008A2CBD" w:rsidP="00A55CD9">
            <w:pPr>
              <w:pStyle w:val="TableText"/>
              <w:rPr>
                <w:lang w:val="en-AU"/>
              </w:rPr>
            </w:pPr>
            <w:r w:rsidRPr="00664E64">
              <w:rPr>
                <w:lang w:val="en-AU"/>
              </w:rPr>
              <w:t>Substitute betting with other activities</w:t>
            </w:r>
          </w:p>
        </w:tc>
        <w:tc>
          <w:tcPr>
            <w:tcW w:w="1043" w:type="pct"/>
            <w:noWrap/>
            <w:hideMark/>
          </w:tcPr>
          <w:p w14:paraId="6674D34B" w14:textId="77777777" w:rsidR="008A2CBD" w:rsidRPr="00664E64" w:rsidRDefault="008A2CBD" w:rsidP="006F5F49">
            <w:pPr>
              <w:jc w:val="center"/>
              <w:rPr>
                <w:rFonts w:cs="Arial"/>
                <w:color w:val="000000"/>
                <w:szCs w:val="20"/>
              </w:rPr>
            </w:pPr>
            <w:r w:rsidRPr="00664E64">
              <w:rPr>
                <w:rFonts w:cs="Arial"/>
                <w:color w:val="000000"/>
                <w:szCs w:val="20"/>
              </w:rPr>
              <w:t>4.6</w:t>
            </w:r>
          </w:p>
        </w:tc>
      </w:tr>
      <w:tr w:rsidR="008A2CBD" w:rsidRPr="00664E64" w14:paraId="7C5C04E7" w14:textId="77777777" w:rsidTr="00821340">
        <w:trPr>
          <w:trHeight w:val="454"/>
        </w:trPr>
        <w:tc>
          <w:tcPr>
            <w:tcW w:w="3957" w:type="pct"/>
            <w:hideMark/>
          </w:tcPr>
          <w:p w14:paraId="26A98D6C" w14:textId="77777777" w:rsidR="008A2CBD" w:rsidRPr="00664E64" w:rsidRDefault="008A2CBD" w:rsidP="00A55CD9">
            <w:pPr>
              <w:pStyle w:val="TableText"/>
              <w:rPr>
                <w:lang w:val="en-AU"/>
              </w:rPr>
            </w:pPr>
            <w:r w:rsidRPr="00664E64">
              <w:rPr>
                <w:lang w:val="en-AU"/>
              </w:rPr>
              <w:t xml:space="preserve">Avoid drinking alcohol while betting </w:t>
            </w:r>
          </w:p>
        </w:tc>
        <w:tc>
          <w:tcPr>
            <w:tcW w:w="1043" w:type="pct"/>
            <w:noWrap/>
            <w:hideMark/>
          </w:tcPr>
          <w:p w14:paraId="51A32F57" w14:textId="77777777" w:rsidR="008A2CBD" w:rsidRPr="00664E64" w:rsidRDefault="008A2CBD" w:rsidP="006F5F49">
            <w:pPr>
              <w:jc w:val="center"/>
              <w:rPr>
                <w:rFonts w:cs="Arial"/>
                <w:color w:val="000000"/>
                <w:szCs w:val="20"/>
              </w:rPr>
            </w:pPr>
            <w:r w:rsidRPr="00664E64">
              <w:rPr>
                <w:rFonts w:cs="Arial"/>
                <w:color w:val="000000"/>
                <w:szCs w:val="20"/>
              </w:rPr>
              <w:t>4.2</w:t>
            </w:r>
          </w:p>
        </w:tc>
      </w:tr>
      <w:tr w:rsidR="008A2CBD" w:rsidRPr="00664E64" w14:paraId="110372E9" w14:textId="77777777" w:rsidTr="00821340">
        <w:trPr>
          <w:trHeight w:val="454"/>
        </w:trPr>
        <w:tc>
          <w:tcPr>
            <w:tcW w:w="3957" w:type="pct"/>
            <w:hideMark/>
          </w:tcPr>
          <w:p w14:paraId="71350C20" w14:textId="77777777" w:rsidR="008A2CBD" w:rsidRPr="00664E64" w:rsidRDefault="008A2CBD" w:rsidP="00A55CD9">
            <w:pPr>
              <w:pStyle w:val="TableText"/>
              <w:rPr>
                <w:lang w:val="en-AU"/>
              </w:rPr>
            </w:pPr>
            <w:r w:rsidRPr="00664E64">
              <w:rPr>
                <w:lang w:val="en-AU"/>
              </w:rPr>
              <w:t>Cancel or suspend apps/subscriptions to betting agencies</w:t>
            </w:r>
          </w:p>
        </w:tc>
        <w:tc>
          <w:tcPr>
            <w:tcW w:w="1043" w:type="pct"/>
            <w:noWrap/>
            <w:hideMark/>
          </w:tcPr>
          <w:p w14:paraId="1B1F0B5B" w14:textId="77777777" w:rsidR="008A2CBD" w:rsidRPr="00664E64" w:rsidRDefault="008A2CBD" w:rsidP="006F5F49">
            <w:pPr>
              <w:jc w:val="center"/>
              <w:rPr>
                <w:rFonts w:cs="Arial"/>
                <w:color w:val="000000"/>
                <w:szCs w:val="20"/>
              </w:rPr>
            </w:pPr>
            <w:r w:rsidRPr="00664E64">
              <w:rPr>
                <w:rFonts w:cs="Arial"/>
                <w:color w:val="000000"/>
                <w:szCs w:val="20"/>
              </w:rPr>
              <w:t>3.4</w:t>
            </w:r>
          </w:p>
        </w:tc>
      </w:tr>
      <w:tr w:rsidR="008A2CBD" w:rsidRPr="00664E64" w14:paraId="3ED6BEC3" w14:textId="77777777" w:rsidTr="00821340">
        <w:trPr>
          <w:trHeight w:val="454"/>
        </w:trPr>
        <w:tc>
          <w:tcPr>
            <w:tcW w:w="3957" w:type="pct"/>
            <w:hideMark/>
          </w:tcPr>
          <w:p w14:paraId="4C5C07BF" w14:textId="77777777" w:rsidR="008A2CBD" w:rsidRPr="00664E64" w:rsidRDefault="008A2CBD" w:rsidP="00A55CD9">
            <w:pPr>
              <w:pStyle w:val="TableText"/>
              <w:rPr>
                <w:lang w:val="en-AU"/>
              </w:rPr>
            </w:pPr>
            <w:r w:rsidRPr="00664E64">
              <w:rPr>
                <w:lang w:val="en-AU"/>
              </w:rPr>
              <w:t xml:space="preserve">Other </w:t>
            </w:r>
          </w:p>
        </w:tc>
        <w:tc>
          <w:tcPr>
            <w:tcW w:w="1043" w:type="pct"/>
            <w:noWrap/>
            <w:hideMark/>
          </w:tcPr>
          <w:p w14:paraId="01A1FF96" w14:textId="77777777" w:rsidR="008A2CBD" w:rsidRPr="00664E64" w:rsidRDefault="008A2CBD" w:rsidP="006F5F49">
            <w:pPr>
              <w:jc w:val="center"/>
              <w:rPr>
                <w:rFonts w:cs="Arial"/>
                <w:color w:val="000000"/>
                <w:szCs w:val="20"/>
              </w:rPr>
            </w:pPr>
            <w:r w:rsidRPr="00664E64">
              <w:rPr>
                <w:rFonts w:cs="Arial"/>
                <w:color w:val="000000"/>
                <w:szCs w:val="20"/>
              </w:rPr>
              <w:t>3.0</w:t>
            </w:r>
          </w:p>
        </w:tc>
      </w:tr>
      <w:tr w:rsidR="008A2CBD" w:rsidRPr="00664E64" w14:paraId="2050BB63" w14:textId="77777777" w:rsidTr="00821340">
        <w:trPr>
          <w:trHeight w:val="454"/>
        </w:trPr>
        <w:tc>
          <w:tcPr>
            <w:tcW w:w="3957" w:type="pct"/>
            <w:hideMark/>
          </w:tcPr>
          <w:p w14:paraId="4F610B31" w14:textId="77777777" w:rsidR="008A2CBD" w:rsidRPr="00664E64" w:rsidRDefault="008A2CBD" w:rsidP="00A55CD9">
            <w:pPr>
              <w:pStyle w:val="TableText"/>
              <w:rPr>
                <w:lang w:val="en-AU"/>
              </w:rPr>
            </w:pPr>
            <w:r w:rsidRPr="00664E64">
              <w:rPr>
                <w:lang w:val="en-AU"/>
              </w:rPr>
              <w:t xml:space="preserve">Talk to friends or family about my betting </w:t>
            </w:r>
          </w:p>
        </w:tc>
        <w:tc>
          <w:tcPr>
            <w:tcW w:w="1043" w:type="pct"/>
            <w:noWrap/>
            <w:hideMark/>
          </w:tcPr>
          <w:p w14:paraId="58F73FA0" w14:textId="77777777" w:rsidR="008A2CBD" w:rsidRPr="00664E64" w:rsidRDefault="008A2CBD" w:rsidP="006F5F49">
            <w:pPr>
              <w:jc w:val="center"/>
              <w:rPr>
                <w:rFonts w:cs="Arial"/>
                <w:color w:val="000000"/>
                <w:szCs w:val="20"/>
              </w:rPr>
            </w:pPr>
            <w:r w:rsidRPr="00664E64">
              <w:rPr>
                <w:rFonts w:cs="Arial"/>
                <w:color w:val="000000"/>
                <w:szCs w:val="20"/>
              </w:rPr>
              <w:t>2.1</w:t>
            </w:r>
          </w:p>
        </w:tc>
      </w:tr>
      <w:tr w:rsidR="008A2CBD" w:rsidRPr="00664E64" w14:paraId="2ADD4264" w14:textId="77777777" w:rsidTr="00821340">
        <w:trPr>
          <w:trHeight w:val="454"/>
        </w:trPr>
        <w:tc>
          <w:tcPr>
            <w:tcW w:w="3957" w:type="pct"/>
            <w:hideMark/>
          </w:tcPr>
          <w:p w14:paraId="54318BC5" w14:textId="77777777" w:rsidR="008A2CBD" w:rsidRPr="00664E64" w:rsidRDefault="008A2CBD" w:rsidP="00A55CD9">
            <w:pPr>
              <w:pStyle w:val="TableText"/>
              <w:rPr>
                <w:lang w:val="en-AU"/>
              </w:rPr>
            </w:pPr>
            <w:r w:rsidRPr="00664E64">
              <w:rPr>
                <w:lang w:val="en-AU"/>
              </w:rPr>
              <w:t>Avoid watching sports/races with ads for betting agencies</w:t>
            </w:r>
          </w:p>
        </w:tc>
        <w:tc>
          <w:tcPr>
            <w:tcW w:w="1043" w:type="pct"/>
            <w:noWrap/>
            <w:hideMark/>
          </w:tcPr>
          <w:p w14:paraId="0BCBF75C" w14:textId="77777777" w:rsidR="008A2CBD" w:rsidRPr="00664E64" w:rsidRDefault="008A2CBD" w:rsidP="006F5F49">
            <w:pPr>
              <w:jc w:val="center"/>
              <w:rPr>
                <w:rFonts w:cs="Arial"/>
                <w:color w:val="000000"/>
                <w:szCs w:val="20"/>
              </w:rPr>
            </w:pPr>
            <w:r w:rsidRPr="00664E64">
              <w:rPr>
                <w:rFonts w:cs="Arial"/>
                <w:color w:val="000000"/>
                <w:szCs w:val="20"/>
              </w:rPr>
              <w:t>1.6</w:t>
            </w:r>
          </w:p>
        </w:tc>
      </w:tr>
      <w:tr w:rsidR="008A2CBD" w:rsidRPr="00664E64" w14:paraId="2878DF7B" w14:textId="77777777" w:rsidTr="00821340">
        <w:trPr>
          <w:trHeight w:val="454"/>
        </w:trPr>
        <w:tc>
          <w:tcPr>
            <w:tcW w:w="3957" w:type="pct"/>
            <w:hideMark/>
          </w:tcPr>
          <w:p w14:paraId="0548B220" w14:textId="77777777" w:rsidR="008A2CBD" w:rsidRPr="00664E64" w:rsidRDefault="008A2CBD" w:rsidP="00A55CD9">
            <w:pPr>
              <w:pStyle w:val="TableText"/>
              <w:rPr>
                <w:lang w:val="en-AU"/>
              </w:rPr>
            </w:pPr>
            <w:r w:rsidRPr="00664E64">
              <w:rPr>
                <w:lang w:val="en-AU"/>
              </w:rPr>
              <w:t>Use joint bank accounts to manage how much I spend (e.g. with partner, friends)</w:t>
            </w:r>
          </w:p>
        </w:tc>
        <w:tc>
          <w:tcPr>
            <w:tcW w:w="1043" w:type="pct"/>
            <w:noWrap/>
            <w:hideMark/>
          </w:tcPr>
          <w:p w14:paraId="50E62727" w14:textId="77777777" w:rsidR="008A2CBD" w:rsidRPr="00664E64" w:rsidRDefault="008A2CBD" w:rsidP="006F5F49">
            <w:pPr>
              <w:jc w:val="center"/>
              <w:rPr>
                <w:rFonts w:cs="Arial"/>
                <w:color w:val="000000"/>
                <w:szCs w:val="20"/>
              </w:rPr>
            </w:pPr>
            <w:r w:rsidRPr="00664E64">
              <w:rPr>
                <w:rFonts w:cs="Arial"/>
                <w:color w:val="000000"/>
                <w:szCs w:val="20"/>
              </w:rPr>
              <w:t>1.4</w:t>
            </w:r>
          </w:p>
        </w:tc>
      </w:tr>
      <w:tr w:rsidR="008A2CBD" w:rsidRPr="00664E64" w14:paraId="3AAF7355" w14:textId="77777777" w:rsidTr="00821340">
        <w:trPr>
          <w:trHeight w:val="454"/>
        </w:trPr>
        <w:tc>
          <w:tcPr>
            <w:tcW w:w="3957" w:type="pct"/>
            <w:hideMark/>
          </w:tcPr>
          <w:p w14:paraId="40224322" w14:textId="77777777" w:rsidR="008A2CBD" w:rsidRPr="00664E64" w:rsidRDefault="008A2CBD" w:rsidP="00A55CD9">
            <w:pPr>
              <w:pStyle w:val="TableText"/>
              <w:rPr>
                <w:lang w:val="en-AU"/>
              </w:rPr>
            </w:pPr>
            <w:r w:rsidRPr="00664E64">
              <w:rPr>
                <w:lang w:val="en-AU"/>
              </w:rPr>
              <w:t>Avoid spending time with family/friends who regularly bet</w:t>
            </w:r>
          </w:p>
        </w:tc>
        <w:tc>
          <w:tcPr>
            <w:tcW w:w="1043" w:type="pct"/>
            <w:noWrap/>
            <w:hideMark/>
          </w:tcPr>
          <w:p w14:paraId="7D7633D5" w14:textId="77777777" w:rsidR="008A2CBD" w:rsidRPr="00664E64" w:rsidRDefault="008A2CBD" w:rsidP="006F5F49">
            <w:pPr>
              <w:jc w:val="center"/>
              <w:rPr>
                <w:rFonts w:cs="Arial"/>
                <w:color w:val="000000"/>
                <w:szCs w:val="20"/>
              </w:rPr>
            </w:pPr>
            <w:r w:rsidRPr="00664E64">
              <w:rPr>
                <w:rFonts w:cs="Arial"/>
                <w:color w:val="000000"/>
                <w:szCs w:val="20"/>
              </w:rPr>
              <w:t>1.3</w:t>
            </w:r>
          </w:p>
        </w:tc>
      </w:tr>
      <w:tr w:rsidR="008A2CBD" w:rsidRPr="00664E64" w14:paraId="092F6C6F" w14:textId="77777777" w:rsidTr="00821340">
        <w:trPr>
          <w:trHeight w:val="454"/>
        </w:trPr>
        <w:tc>
          <w:tcPr>
            <w:tcW w:w="3957" w:type="pct"/>
            <w:hideMark/>
          </w:tcPr>
          <w:p w14:paraId="77E84E94" w14:textId="77777777" w:rsidR="008A2CBD" w:rsidRPr="00664E64" w:rsidRDefault="008A2CBD" w:rsidP="00A55CD9">
            <w:pPr>
              <w:pStyle w:val="TableText"/>
              <w:rPr>
                <w:lang w:val="en-AU"/>
              </w:rPr>
            </w:pPr>
            <w:r w:rsidRPr="00664E64">
              <w:rPr>
                <w:lang w:val="en-AU"/>
              </w:rPr>
              <w:t>Remove access to mobile/internet data for betting</w:t>
            </w:r>
          </w:p>
        </w:tc>
        <w:tc>
          <w:tcPr>
            <w:tcW w:w="1043" w:type="pct"/>
            <w:noWrap/>
            <w:hideMark/>
          </w:tcPr>
          <w:p w14:paraId="261B87A4" w14:textId="77777777" w:rsidR="008A2CBD" w:rsidRPr="00664E64" w:rsidRDefault="008A2CBD" w:rsidP="006F5F49">
            <w:pPr>
              <w:jc w:val="center"/>
              <w:rPr>
                <w:rFonts w:cs="Arial"/>
                <w:color w:val="000000"/>
                <w:szCs w:val="20"/>
              </w:rPr>
            </w:pPr>
            <w:r w:rsidRPr="00664E64">
              <w:rPr>
                <w:rFonts w:cs="Arial"/>
                <w:color w:val="000000"/>
                <w:szCs w:val="20"/>
              </w:rPr>
              <w:t>1.1</w:t>
            </w:r>
          </w:p>
        </w:tc>
      </w:tr>
      <w:tr w:rsidR="008A2CBD" w:rsidRPr="00664E64" w14:paraId="4EAD0D52" w14:textId="77777777" w:rsidTr="00821340">
        <w:trPr>
          <w:trHeight w:val="454"/>
        </w:trPr>
        <w:tc>
          <w:tcPr>
            <w:tcW w:w="3957" w:type="pct"/>
            <w:hideMark/>
          </w:tcPr>
          <w:p w14:paraId="7B5F873B" w14:textId="77777777" w:rsidR="008A2CBD" w:rsidRPr="00664E64" w:rsidRDefault="008A2CBD" w:rsidP="00A55CD9">
            <w:pPr>
              <w:pStyle w:val="TableText"/>
              <w:rPr>
                <w:lang w:val="en-AU"/>
              </w:rPr>
            </w:pPr>
            <w:r w:rsidRPr="00664E64">
              <w:rPr>
                <w:lang w:val="en-AU"/>
              </w:rPr>
              <w:t>Talk to health professionals about my betting</w:t>
            </w:r>
          </w:p>
        </w:tc>
        <w:tc>
          <w:tcPr>
            <w:tcW w:w="1043" w:type="pct"/>
            <w:noWrap/>
            <w:hideMark/>
          </w:tcPr>
          <w:p w14:paraId="1AD3E962" w14:textId="77777777" w:rsidR="008A2CBD" w:rsidRPr="00664E64" w:rsidRDefault="008A2CBD" w:rsidP="006F5F49">
            <w:pPr>
              <w:jc w:val="center"/>
              <w:rPr>
                <w:rFonts w:cs="Arial"/>
                <w:color w:val="000000"/>
                <w:szCs w:val="20"/>
              </w:rPr>
            </w:pPr>
            <w:r w:rsidRPr="00664E64">
              <w:rPr>
                <w:rFonts w:cs="Arial"/>
                <w:color w:val="000000"/>
                <w:szCs w:val="20"/>
              </w:rPr>
              <w:t>0.5</w:t>
            </w:r>
          </w:p>
        </w:tc>
      </w:tr>
      <w:tr w:rsidR="008A2CBD" w:rsidRPr="00664E64" w14:paraId="0D37F230" w14:textId="77777777" w:rsidTr="00821340">
        <w:trPr>
          <w:trHeight w:val="454"/>
        </w:trPr>
        <w:tc>
          <w:tcPr>
            <w:tcW w:w="3957" w:type="pct"/>
            <w:hideMark/>
          </w:tcPr>
          <w:p w14:paraId="5FE4EFE2" w14:textId="77777777" w:rsidR="008A2CBD" w:rsidRPr="00664E64" w:rsidRDefault="008A2CBD" w:rsidP="00A55CD9">
            <w:pPr>
              <w:pStyle w:val="TableText"/>
              <w:rPr>
                <w:lang w:val="en-AU"/>
              </w:rPr>
            </w:pPr>
            <w:r w:rsidRPr="00664E64">
              <w:rPr>
                <w:lang w:val="en-AU"/>
              </w:rPr>
              <w:t>Access help/information from gambling/betting help websites or online forums</w:t>
            </w:r>
          </w:p>
        </w:tc>
        <w:tc>
          <w:tcPr>
            <w:tcW w:w="1043" w:type="pct"/>
            <w:noWrap/>
            <w:hideMark/>
          </w:tcPr>
          <w:p w14:paraId="6CD39CEC" w14:textId="77777777" w:rsidR="008A2CBD" w:rsidRPr="00664E64" w:rsidRDefault="008A2CBD" w:rsidP="006F5F49">
            <w:pPr>
              <w:jc w:val="center"/>
              <w:rPr>
                <w:rFonts w:cs="Arial"/>
                <w:color w:val="000000"/>
                <w:szCs w:val="20"/>
              </w:rPr>
            </w:pPr>
            <w:r w:rsidRPr="00664E64">
              <w:rPr>
                <w:rFonts w:cs="Arial"/>
                <w:color w:val="000000"/>
                <w:szCs w:val="20"/>
              </w:rPr>
              <w:t>0.5</w:t>
            </w:r>
          </w:p>
        </w:tc>
      </w:tr>
      <w:tr w:rsidR="008A2CBD" w:rsidRPr="00664E64" w14:paraId="17E670CB" w14:textId="77777777" w:rsidTr="00821340">
        <w:trPr>
          <w:trHeight w:val="454"/>
        </w:trPr>
        <w:tc>
          <w:tcPr>
            <w:tcW w:w="3957" w:type="pct"/>
          </w:tcPr>
          <w:p w14:paraId="3652D702" w14:textId="77777777" w:rsidR="008A2CBD" w:rsidRPr="00664E64" w:rsidRDefault="008A2CBD" w:rsidP="00A55CD9">
            <w:pPr>
              <w:pStyle w:val="TableText"/>
              <w:rPr>
                <w:b/>
                <w:lang w:val="en-AU"/>
              </w:rPr>
            </w:pPr>
            <w:r w:rsidRPr="00664E64">
              <w:rPr>
                <w:b/>
                <w:lang w:val="en-AU"/>
              </w:rPr>
              <w:t xml:space="preserve">I do not do anything to limit my betting </w:t>
            </w:r>
          </w:p>
        </w:tc>
        <w:tc>
          <w:tcPr>
            <w:tcW w:w="1043" w:type="pct"/>
            <w:noWrap/>
          </w:tcPr>
          <w:p w14:paraId="230F2AB7" w14:textId="77777777" w:rsidR="008A2CBD" w:rsidRPr="00664E64" w:rsidRDefault="008A2CBD" w:rsidP="006F5F49">
            <w:pPr>
              <w:jc w:val="center"/>
              <w:rPr>
                <w:rFonts w:cs="Arial"/>
                <w:b/>
                <w:color w:val="000000"/>
                <w:szCs w:val="20"/>
              </w:rPr>
            </w:pPr>
            <w:r w:rsidRPr="00664E64">
              <w:rPr>
                <w:rFonts w:cs="Arial"/>
                <w:b/>
                <w:color w:val="000000"/>
                <w:szCs w:val="20"/>
              </w:rPr>
              <w:t>34.9</w:t>
            </w:r>
          </w:p>
        </w:tc>
      </w:tr>
    </w:tbl>
    <w:p w14:paraId="24BA3257" w14:textId="2E1748E6" w:rsidR="00821340" w:rsidRPr="00821340" w:rsidRDefault="00821340" w:rsidP="00821340">
      <w:pPr>
        <w:pBdr>
          <w:bottom w:val="single" w:sz="4" w:space="1" w:color="auto"/>
        </w:pBdr>
        <w:rPr>
          <w:rFonts w:ascii="Arial" w:hAnsi="Arial" w:cs="Arial"/>
          <w:sz w:val="18"/>
          <w:szCs w:val="18"/>
        </w:rPr>
      </w:pPr>
      <w:bookmarkStart w:id="75" w:name="_Toc12022555"/>
      <w:r w:rsidRPr="00821340">
        <w:rPr>
          <w:rFonts w:ascii="Arial" w:hAnsi="Arial" w:cs="Arial"/>
          <w:sz w:val="18"/>
          <w:szCs w:val="18"/>
        </w:rPr>
        <w:t>Note: Percentages exceed 100% due to multiple responses to this question.</w:t>
      </w:r>
    </w:p>
    <w:p w14:paraId="0FAD3530" w14:textId="44C71695" w:rsidR="00D161F4" w:rsidRPr="00267E2C" w:rsidRDefault="00D161F4" w:rsidP="000A6D01">
      <w:pPr>
        <w:pStyle w:val="Heading2"/>
        <w:rPr>
          <w:color w:val="auto"/>
        </w:rPr>
      </w:pPr>
      <w:r w:rsidRPr="00267E2C">
        <w:rPr>
          <w:color w:val="auto"/>
        </w:rPr>
        <w:t>Gambling</w:t>
      </w:r>
      <w:r w:rsidR="009C39C7" w:rsidRPr="00267E2C">
        <w:rPr>
          <w:color w:val="auto"/>
        </w:rPr>
        <w:t>-related</w:t>
      </w:r>
      <w:r w:rsidRPr="00267E2C">
        <w:rPr>
          <w:color w:val="auto"/>
        </w:rPr>
        <w:t xml:space="preserve"> harm</w:t>
      </w:r>
      <w:bookmarkEnd w:id="75"/>
    </w:p>
    <w:p w14:paraId="0E625B7D" w14:textId="59D5045E" w:rsidR="00230ADC" w:rsidRPr="00664E64" w:rsidRDefault="00230ADC" w:rsidP="00A55CD9">
      <w:pPr>
        <w:pStyle w:val="BodyText"/>
        <w:rPr>
          <w:rFonts w:eastAsia="Calibri"/>
        </w:rPr>
      </w:pPr>
      <w:r w:rsidRPr="00664E64">
        <w:rPr>
          <w:rFonts w:eastAsia="Calibri"/>
        </w:rPr>
        <w:t xml:space="preserve">Gambling-related harm was assessed via the Problem Gambling Severity Index (PGSI) and the Gambling Harms Scale. </w:t>
      </w:r>
    </w:p>
    <w:p w14:paraId="75A6B295" w14:textId="5487433A" w:rsidR="00356F0E" w:rsidRPr="00664E64" w:rsidRDefault="00230ADC" w:rsidP="00356F0E">
      <w:pPr>
        <w:pStyle w:val="BodyText"/>
        <w:rPr>
          <w:rFonts w:eastAsia="Calibri"/>
        </w:rPr>
      </w:pPr>
      <w:r w:rsidRPr="00664E64">
        <w:rPr>
          <w:rFonts w:eastAsia="Calibri"/>
        </w:rPr>
        <w:t xml:space="preserve">According to the PGSI scores (Ferris &amp; Wynne, 2001), around half of all participants (51.8%; </w:t>
      </w:r>
      <w:r w:rsidRPr="00664E64">
        <w:rPr>
          <w:rFonts w:eastAsia="Calibri"/>
          <w:i/>
        </w:rPr>
        <w:t>n</w:t>
      </w:r>
      <w:r w:rsidR="00356F0E" w:rsidRPr="00664E64">
        <w:rPr>
          <w:rFonts w:eastAsia="Calibri"/>
        </w:rPr>
        <w:t xml:space="preserve"> </w:t>
      </w:r>
      <w:r w:rsidRPr="00664E64">
        <w:rPr>
          <w:rFonts w:eastAsia="Calibri"/>
        </w:rPr>
        <w:t>=</w:t>
      </w:r>
      <w:r w:rsidR="00356F0E" w:rsidRPr="00664E64">
        <w:rPr>
          <w:rFonts w:eastAsia="Calibri"/>
        </w:rPr>
        <w:t xml:space="preserve"> </w:t>
      </w:r>
      <w:r w:rsidRPr="00664E64">
        <w:rPr>
          <w:rFonts w:eastAsia="Calibri"/>
        </w:rPr>
        <w:t xml:space="preserve">2,629) would be classified as being at risk of or already experiencing </w:t>
      </w:r>
      <w:r w:rsidR="00357014" w:rsidRPr="00664E64">
        <w:rPr>
          <w:rFonts w:eastAsia="Calibri"/>
        </w:rPr>
        <w:t>any level of</w:t>
      </w:r>
      <w:r w:rsidR="006C6F6B" w:rsidRPr="00664E64">
        <w:rPr>
          <w:rFonts w:eastAsia="Calibri"/>
        </w:rPr>
        <w:t xml:space="preserve"> </w:t>
      </w:r>
      <w:r w:rsidRPr="00664E64">
        <w:rPr>
          <w:rFonts w:eastAsia="Calibri"/>
        </w:rPr>
        <w:t>gambling</w:t>
      </w:r>
      <w:r w:rsidR="006C6F6B" w:rsidRPr="00664E64">
        <w:rPr>
          <w:rFonts w:eastAsia="Calibri"/>
        </w:rPr>
        <w:t>-</w:t>
      </w:r>
      <w:r w:rsidRPr="00664E64">
        <w:rPr>
          <w:rFonts w:eastAsia="Calibri"/>
        </w:rPr>
        <w:t>related harm. The high-risk category (or ‘problem gambling’) comprised 8% of participants (Table 5.2</w:t>
      </w:r>
      <w:r w:rsidR="00357014" w:rsidRPr="00664E64">
        <w:rPr>
          <w:rFonts w:eastAsia="Calibri"/>
        </w:rPr>
        <w:t>2</w:t>
      </w:r>
      <w:r w:rsidRPr="00664E64">
        <w:rPr>
          <w:rFonts w:eastAsia="Calibri"/>
        </w:rPr>
        <w:t>).</w:t>
      </w:r>
    </w:p>
    <w:p w14:paraId="48727CF6" w14:textId="77777777" w:rsidR="00356F0E" w:rsidRPr="00664E64" w:rsidRDefault="00356F0E">
      <w:pPr>
        <w:rPr>
          <w:rFonts w:eastAsia="Calibri"/>
          <w:lang w:bidi="en-US"/>
        </w:rPr>
      </w:pPr>
      <w:r w:rsidRPr="00664E64">
        <w:rPr>
          <w:rFonts w:eastAsia="Calibri"/>
        </w:rPr>
        <w:br w:type="page"/>
      </w:r>
    </w:p>
    <w:p w14:paraId="6BB571E3" w14:textId="72AB3935" w:rsidR="00230ADC" w:rsidRPr="00267E2C" w:rsidRDefault="00230ADC" w:rsidP="00415C73">
      <w:pPr>
        <w:pStyle w:val="FigureCaption"/>
        <w:rPr>
          <w:color w:val="auto"/>
          <w:lang w:val="en-AU"/>
        </w:rPr>
      </w:pPr>
      <w:bookmarkStart w:id="76" w:name="_Toc8330414"/>
      <w:bookmarkStart w:id="77" w:name="_Toc11864585"/>
      <w:bookmarkStart w:id="78" w:name="_Toc12549582"/>
      <w:r w:rsidRPr="00267E2C">
        <w:rPr>
          <w:color w:val="auto"/>
          <w:lang w:val="en-AU"/>
        </w:rPr>
        <w:lastRenderedPageBreak/>
        <w:t>Table 5.</w:t>
      </w:r>
      <w:r w:rsidR="00777624" w:rsidRPr="00267E2C">
        <w:rPr>
          <w:color w:val="auto"/>
          <w:lang w:val="en-AU"/>
        </w:rPr>
        <w:fldChar w:fldCharType="begin"/>
      </w:r>
      <w:r w:rsidR="00777624" w:rsidRPr="00267E2C">
        <w:rPr>
          <w:color w:val="auto"/>
          <w:lang w:val="en-AU"/>
        </w:rPr>
        <w:instrText xml:space="preserve"> SEQ Table_5. \* ARABIC </w:instrText>
      </w:r>
      <w:r w:rsidR="00777624" w:rsidRPr="00267E2C">
        <w:rPr>
          <w:color w:val="auto"/>
          <w:lang w:val="en-AU"/>
        </w:rPr>
        <w:fldChar w:fldCharType="separate"/>
      </w:r>
      <w:r w:rsidR="00354BBD" w:rsidRPr="00267E2C">
        <w:rPr>
          <w:noProof/>
          <w:color w:val="auto"/>
          <w:lang w:val="en-AU"/>
        </w:rPr>
        <w:t>22</w:t>
      </w:r>
      <w:r w:rsidR="00777624" w:rsidRPr="00267E2C">
        <w:rPr>
          <w:noProof/>
          <w:color w:val="auto"/>
          <w:lang w:val="en-AU"/>
        </w:rPr>
        <w:fldChar w:fldCharType="end"/>
      </w:r>
      <w:r w:rsidR="00356F0E" w:rsidRPr="00267E2C">
        <w:rPr>
          <w:color w:val="auto"/>
          <w:lang w:val="en-AU"/>
        </w:rPr>
        <w:t>:</w:t>
      </w:r>
      <w:r w:rsidRPr="00267E2C">
        <w:rPr>
          <w:color w:val="auto"/>
          <w:lang w:val="en-AU"/>
        </w:rPr>
        <w:t xml:space="preserve"> Prevalence of at-risk gambling among survey participants (N</w:t>
      </w:r>
      <w:r w:rsidR="00356F0E" w:rsidRPr="00267E2C">
        <w:rPr>
          <w:color w:val="auto"/>
          <w:lang w:val="en-AU"/>
        </w:rPr>
        <w:t xml:space="preserve"> </w:t>
      </w:r>
      <w:r w:rsidRPr="00267E2C">
        <w:rPr>
          <w:color w:val="auto"/>
          <w:lang w:val="en-AU"/>
        </w:rPr>
        <w:t>=</w:t>
      </w:r>
      <w:r w:rsidR="00356F0E" w:rsidRPr="00267E2C">
        <w:rPr>
          <w:color w:val="auto"/>
          <w:lang w:val="en-AU"/>
        </w:rPr>
        <w:t xml:space="preserve"> </w:t>
      </w:r>
      <w:r w:rsidRPr="00267E2C">
        <w:rPr>
          <w:color w:val="auto"/>
          <w:lang w:val="en-AU"/>
        </w:rPr>
        <w:t>5,076)</w:t>
      </w:r>
      <w:bookmarkEnd w:id="76"/>
      <w:bookmarkEnd w:id="77"/>
      <w:bookmarkEnd w:id="78"/>
    </w:p>
    <w:tbl>
      <w:tblPr>
        <w:tblStyle w:val="TableGrid"/>
        <w:tblW w:w="5000" w:type="pct"/>
        <w:tblLook w:val="04A0" w:firstRow="1" w:lastRow="0" w:firstColumn="1" w:lastColumn="0" w:noHBand="0" w:noVBand="1"/>
        <w:tblCaption w:val="Prevalence of at-risk gambling among survey participants"/>
        <w:tblDescription w:val="Groups participants of the survey into risk categories from non-problem gambling to problem gambling."/>
      </w:tblPr>
      <w:tblGrid>
        <w:gridCol w:w="3264"/>
        <w:gridCol w:w="2687"/>
        <w:gridCol w:w="2548"/>
      </w:tblGrid>
      <w:tr w:rsidR="00230ADC" w:rsidRPr="00664E64" w14:paraId="186008D2" w14:textId="77777777" w:rsidTr="004F3852">
        <w:trPr>
          <w:cnfStyle w:val="100000000000" w:firstRow="1" w:lastRow="0" w:firstColumn="0" w:lastColumn="0" w:oddVBand="0" w:evenVBand="0" w:oddHBand="0" w:evenHBand="0" w:firstRowFirstColumn="0" w:firstRowLastColumn="0" w:lastRowFirstColumn="0" w:lastRowLastColumn="0"/>
          <w:trHeight w:val="368"/>
          <w:tblHeader/>
        </w:trPr>
        <w:tc>
          <w:tcPr>
            <w:tcW w:w="1920" w:type="pct"/>
            <w:noWrap/>
            <w:hideMark/>
          </w:tcPr>
          <w:p w14:paraId="2ADF0109" w14:textId="77777777" w:rsidR="00230ADC" w:rsidRPr="00664E64" w:rsidRDefault="00230ADC" w:rsidP="00A55CD9">
            <w:pPr>
              <w:pStyle w:val="TableColHeadLeft"/>
              <w:rPr>
                <w:lang w:val="en-AU"/>
              </w:rPr>
            </w:pPr>
            <w:r w:rsidRPr="00664E64">
              <w:rPr>
                <w:lang w:val="en-AU"/>
              </w:rPr>
              <w:t>Risk group</w:t>
            </w:r>
          </w:p>
        </w:tc>
        <w:tc>
          <w:tcPr>
            <w:tcW w:w="1581" w:type="pct"/>
            <w:noWrap/>
            <w:hideMark/>
          </w:tcPr>
          <w:p w14:paraId="48377B94" w14:textId="77777777" w:rsidR="00230ADC" w:rsidRPr="00664E64" w:rsidRDefault="00230ADC" w:rsidP="00A55CD9">
            <w:pPr>
              <w:pStyle w:val="TableColHeadCentre"/>
              <w:rPr>
                <w:lang w:val="en-AU"/>
              </w:rPr>
            </w:pPr>
            <w:r w:rsidRPr="00664E64">
              <w:rPr>
                <w:lang w:val="en-AU"/>
              </w:rPr>
              <w:t>Number</w:t>
            </w:r>
          </w:p>
        </w:tc>
        <w:tc>
          <w:tcPr>
            <w:tcW w:w="1500" w:type="pct"/>
          </w:tcPr>
          <w:p w14:paraId="138CB748" w14:textId="77777777" w:rsidR="00230ADC" w:rsidRPr="00664E64" w:rsidRDefault="00230ADC" w:rsidP="00A55CD9">
            <w:pPr>
              <w:pStyle w:val="TableColHeadCentre"/>
              <w:rPr>
                <w:lang w:val="en-AU"/>
              </w:rPr>
            </w:pPr>
            <w:r w:rsidRPr="00664E64">
              <w:rPr>
                <w:lang w:val="en-AU"/>
              </w:rPr>
              <w:t>% of total</w:t>
            </w:r>
          </w:p>
        </w:tc>
      </w:tr>
      <w:tr w:rsidR="00230ADC" w:rsidRPr="00664E64" w14:paraId="50AD30A8" w14:textId="77777777" w:rsidTr="004F3852">
        <w:trPr>
          <w:trHeight w:val="368"/>
        </w:trPr>
        <w:tc>
          <w:tcPr>
            <w:tcW w:w="1920" w:type="pct"/>
            <w:noWrap/>
            <w:hideMark/>
          </w:tcPr>
          <w:p w14:paraId="373F1497" w14:textId="77777777" w:rsidR="00230ADC" w:rsidRPr="00664E64" w:rsidRDefault="00230ADC" w:rsidP="00A55CD9">
            <w:pPr>
              <w:pStyle w:val="TableText"/>
              <w:rPr>
                <w:b/>
                <w:lang w:val="en-AU"/>
              </w:rPr>
            </w:pPr>
            <w:r w:rsidRPr="00664E64">
              <w:rPr>
                <w:lang w:val="en-AU"/>
              </w:rPr>
              <w:t>Non-problem gambling</w:t>
            </w:r>
          </w:p>
        </w:tc>
        <w:tc>
          <w:tcPr>
            <w:tcW w:w="1581" w:type="pct"/>
            <w:noWrap/>
            <w:hideMark/>
          </w:tcPr>
          <w:p w14:paraId="0A05B675" w14:textId="77777777" w:rsidR="00230ADC" w:rsidRPr="00664E64" w:rsidRDefault="00230ADC" w:rsidP="00A55CD9">
            <w:pPr>
              <w:pStyle w:val="TableTextCentre"/>
              <w:rPr>
                <w:lang w:val="en-AU"/>
              </w:rPr>
            </w:pPr>
            <w:r w:rsidRPr="00664E64">
              <w:rPr>
                <w:lang w:val="en-AU"/>
              </w:rPr>
              <w:t>2,447</w:t>
            </w:r>
          </w:p>
        </w:tc>
        <w:tc>
          <w:tcPr>
            <w:tcW w:w="1500" w:type="pct"/>
          </w:tcPr>
          <w:p w14:paraId="18355291" w14:textId="77777777" w:rsidR="00230ADC" w:rsidRPr="00664E64" w:rsidRDefault="00230ADC" w:rsidP="00A55CD9">
            <w:pPr>
              <w:pStyle w:val="TableTextAligned"/>
              <w:rPr>
                <w:b/>
                <w:lang w:val="en-AU"/>
              </w:rPr>
            </w:pPr>
            <w:r w:rsidRPr="00664E64">
              <w:rPr>
                <w:lang w:val="en-AU"/>
              </w:rPr>
              <w:t xml:space="preserve">48.2 </w:t>
            </w:r>
          </w:p>
        </w:tc>
      </w:tr>
      <w:tr w:rsidR="00230ADC" w:rsidRPr="00664E64" w14:paraId="58E2B6A3" w14:textId="77777777" w:rsidTr="004F3852">
        <w:trPr>
          <w:trHeight w:val="368"/>
        </w:trPr>
        <w:tc>
          <w:tcPr>
            <w:tcW w:w="1920" w:type="pct"/>
            <w:noWrap/>
            <w:hideMark/>
          </w:tcPr>
          <w:p w14:paraId="1F308EC6" w14:textId="77777777" w:rsidR="00230ADC" w:rsidRPr="00664E64" w:rsidRDefault="00230ADC" w:rsidP="00A55CD9">
            <w:pPr>
              <w:pStyle w:val="TableText"/>
              <w:rPr>
                <w:lang w:val="en-AU"/>
              </w:rPr>
            </w:pPr>
            <w:r w:rsidRPr="00664E64">
              <w:rPr>
                <w:lang w:val="en-AU"/>
              </w:rPr>
              <w:t>Low risk gambling</w:t>
            </w:r>
          </w:p>
        </w:tc>
        <w:tc>
          <w:tcPr>
            <w:tcW w:w="1581" w:type="pct"/>
            <w:noWrap/>
            <w:hideMark/>
          </w:tcPr>
          <w:p w14:paraId="24E2116E" w14:textId="6B30C42E" w:rsidR="00230ADC" w:rsidRPr="00664E64" w:rsidRDefault="00230ADC" w:rsidP="00A55CD9">
            <w:pPr>
              <w:pStyle w:val="TableTextCentre"/>
              <w:rPr>
                <w:lang w:val="en-AU"/>
              </w:rPr>
            </w:pPr>
            <w:r w:rsidRPr="00664E64">
              <w:rPr>
                <w:lang w:val="en-AU"/>
              </w:rPr>
              <w:t>1</w:t>
            </w:r>
            <w:r w:rsidR="00356F0E" w:rsidRPr="00664E64">
              <w:rPr>
                <w:lang w:val="en-AU"/>
              </w:rPr>
              <w:t>,</w:t>
            </w:r>
            <w:r w:rsidRPr="00664E64">
              <w:rPr>
                <w:lang w:val="en-AU"/>
              </w:rPr>
              <w:t>254</w:t>
            </w:r>
          </w:p>
        </w:tc>
        <w:tc>
          <w:tcPr>
            <w:tcW w:w="1500" w:type="pct"/>
          </w:tcPr>
          <w:p w14:paraId="0FC37817" w14:textId="77777777" w:rsidR="00230ADC" w:rsidRPr="00664E64" w:rsidRDefault="00230ADC" w:rsidP="00A55CD9">
            <w:pPr>
              <w:pStyle w:val="TableTextAligned"/>
              <w:rPr>
                <w:lang w:val="en-AU"/>
              </w:rPr>
            </w:pPr>
            <w:r w:rsidRPr="00664E64">
              <w:rPr>
                <w:lang w:val="en-AU"/>
              </w:rPr>
              <w:t xml:space="preserve">24.7 </w:t>
            </w:r>
          </w:p>
        </w:tc>
      </w:tr>
      <w:tr w:rsidR="00230ADC" w:rsidRPr="00664E64" w14:paraId="0CA1392C" w14:textId="77777777" w:rsidTr="004F3852">
        <w:trPr>
          <w:trHeight w:val="368"/>
        </w:trPr>
        <w:tc>
          <w:tcPr>
            <w:tcW w:w="1920" w:type="pct"/>
            <w:noWrap/>
            <w:hideMark/>
          </w:tcPr>
          <w:p w14:paraId="0C857278" w14:textId="77777777" w:rsidR="00230ADC" w:rsidRPr="00664E64" w:rsidRDefault="00230ADC" w:rsidP="00A55CD9">
            <w:pPr>
              <w:pStyle w:val="TableText"/>
              <w:rPr>
                <w:lang w:val="en-AU"/>
              </w:rPr>
            </w:pPr>
            <w:r w:rsidRPr="00664E64">
              <w:rPr>
                <w:lang w:val="en-AU"/>
              </w:rPr>
              <w:t>Moderate risk gambling </w:t>
            </w:r>
          </w:p>
        </w:tc>
        <w:tc>
          <w:tcPr>
            <w:tcW w:w="1581" w:type="pct"/>
            <w:noWrap/>
            <w:hideMark/>
          </w:tcPr>
          <w:p w14:paraId="7685249B" w14:textId="77777777" w:rsidR="00230ADC" w:rsidRPr="00664E64" w:rsidRDefault="00230ADC" w:rsidP="00A55CD9">
            <w:pPr>
              <w:pStyle w:val="TableTextCentre"/>
              <w:rPr>
                <w:lang w:val="en-AU"/>
              </w:rPr>
            </w:pPr>
            <w:r w:rsidRPr="00664E64">
              <w:rPr>
                <w:lang w:val="en-AU"/>
              </w:rPr>
              <w:t>944</w:t>
            </w:r>
          </w:p>
        </w:tc>
        <w:tc>
          <w:tcPr>
            <w:tcW w:w="1500" w:type="pct"/>
          </w:tcPr>
          <w:p w14:paraId="6CDA454B" w14:textId="77777777" w:rsidR="00230ADC" w:rsidRPr="00664E64" w:rsidRDefault="00230ADC" w:rsidP="00A55CD9">
            <w:pPr>
              <w:pStyle w:val="TableTextAligned"/>
              <w:rPr>
                <w:lang w:val="en-AU"/>
              </w:rPr>
            </w:pPr>
            <w:r w:rsidRPr="00664E64">
              <w:rPr>
                <w:lang w:val="en-AU"/>
              </w:rPr>
              <w:t xml:space="preserve">18.6 </w:t>
            </w:r>
          </w:p>
        </w:tc>
      </w:tr>
      <w:tr w:rsidR="00230ADC" w:rsidRPr="00664E64" w14:paraId="4F5302FE" w14:textId="77777777" w:rsidTr="004F3852">
        <w:trPr>
          <w:trHeight w:val="368"/>
        </w:trPr>
        <w:tc>
          <w:tcPr>
            <w:tcW w:w="1920" w:type="pct"/>
            <w:noWrap/>
            <w:hideMark/>
          </w:tcPr>
          <w:p w14:paraId="201B0841" w14:textId="77777777" w:rsidR="00230ADC" w:rsidRPr="00664E64" w:rsidRDefault="00230ADC" w:rsidP="00A55CD9">
            <w:pPr>
              <w:pStyle w:val="TableText"/>
              <w:rPr>
                <w:lang w:val="en-AU"/>
              </w:rPr>
            </w:pPr>
            <w:r w:rsidRPr="00664E64">
              <w:rPr>
                <w:lang w:val="en-AU"/>
              </w:rPr>
              <w:t>Problem gambling </w:t>
            </w:r>
          </w:p>
        </w:tc>
        <w:tc>
          <w:tcPr>
            <w:tcW w:w="1581" w:type="pct"/>
            <w:noWrap/>
            <w:hideMark/>
          </w:tcPr>
          <w:p w14:paraId="48187317" w14:textId="77777777" w:rsidR="00230ADC" w:rsidRPr="00664E64" w:rsidRDefault="00230ADC" w:rsidP="00A55CD9">
            <w:pPr>
              <w:pStyle w:val="TableTextCentre"/>
              <w:rPr>
                <w:lang w:val="en-AU"/>
              </w:rPr>
            </w:pPr>
            <w:r w:rsidRPr="00664E64">
              <w:rPr>
                <w:lang w:val="en-AU"/>
              </w:rPr>
              <w:t>431</w:t>
            </w:r>
          </w:p>
        </w:tc>
        <w:tc>
          <w:tcPr>
            <w:tcW w:w="1500" w:type="pct"/>
          </w:tcPr>
          <w:p w14:paraId="6D040C26" w14:textId="77777777" w:rsidR="00230ADC" w:rsidRPr="00664E64" w:rsidRDefault="00230ADC" w:rsidP="00A55CD9">
            <w:pPr>
              <w:pStyle w:val="TableTextAligned"/>
              <w:rPr>
                <w:lang w:val="en-AU"/>
              </w:rPr>
            </w:pPr>
            <w:r w:rsidRPr="00664E64">
              <w:rPr>
                <w:lang w:val="en-AU"/>
              </w:rPr>
              <w:t xml:space="preserve">8.5 </w:t>
            </w:r>
          </w:p>
        </w:tc>
      </w:tr>
      <w:tr w:rsidR="00230ADC" w:rsidRPr="00664E64" w14:paraId="70A9E116" w14:textId="77777777" w:rsidTr="004F3852">
        <w:trPr>
          <w:trHeight w:val="368"/>
        </w:trPr>
        <w:tc>
          <w:tcPr>
            <w:tcW w:w="1920" w:type="pct"/>
            <w:noWrap/>
            <w:hideMark/>
          </w:tcPr>
          <w:p w14:paraId="3EA6A769" w14:textId="77777777" w:rsidR="00230ADC" w:rsidRPr="00664E64" w:rsidRDefault="00230ADC" w:rsidP="00A55CD9">
            <w:pPr>
              <w:pStyle w:val="TableText"/>
              <w:rPr>
                <w:b/>
                <w:lang w:val="en-AU"/>
              </w:rPr>
            </w:pPr>
            <w:r w:rsidRPr="00664E64">
              <w:rPr>
                <w:b/>
                <w:lang w:val="en-AU"/>
              </w:rPr>
              <w:t>Any risk</w:t>
            </w:r>
          </w:p>
        </w:tc>
        <w:tc>
          <w:tcPr>
            <w:tcW w:w="1581" w:type="pct"/>
            <w:noWrap/>
            <w:hideMark/>
          </w:tcPr>
          <w:p w14:paraId="1A713885" w14:textId="77777777" w:rsidR="00230ADC" w:rsidRPr="00664E64" w:rsidRDefault="00230ADC" w:rsidP="00A55CD9">
            <w:pPr>
              <w:pStyle w:val="TableTextCentre"/>
              <w:rPr>
                <w:lang w:val="en-AU"/>
              </w:rPr>
            </w:pPr>
            <w:r w:rsidRPr="00664E64">
              <w:rPr>
                <w:lang w:val="en-AU"/>
              </w:rPr>
              <w:t>2,629</w:t>
            </w:r>
          </w:p>
        </w:tc>
        <w:tc>
          <w:tcPr>
            <w:tcW w:w="1500" w:type="pct"/>
          </w:tcPr>
          <w:p w14:paraId="049203D6" w14:textId="77777777" w:rsidR="00230ADC" w:rsidRPr="00664E64" w:rsidRDefault="00230ADC" w:rsidP="00A55CD9">
            <w:pPr>
              <w:pStyle w:val="TableTextAligned"/>
              <w:rPr>
                <w:b/>
                <w:lang w:val="en-AU"/>
              </w:rPr>
            </w:pPr>
            <w:r w:rsidRPr="00664E64">
              <w:rPr>
                <w:b/>
                <w:lang w:val="en-AU"/>
              </w:rPr>
              <w:t>51.8</w:t>
            </w:r>
          </w:p>
        </w:tc>
      </w:tr>
    </w:tbl>
    <w:p w14:paraId="0BEDB6E4" w14:textId="736694F7" w:rsidR="004F3852" w:rsidRPr="004F3852" w:rsidRDefault="004F3852" w:rsidP="004F3852">
      <w:pPr>
        <w:pStyle w:val="BodyText"/>
        <w:pBdr>
          <w:bottom w:val="single" w:sz="4" w:space="1" w:color="auto"/>
        </w:pBdr>
        <w:spacing w:before="0" w:line="240" w:lineRule="auto"/>
        <w:rPr>
          <w:rFonts w:eastAsia="Calibri"/>
          <w:sz w:val="18"/>
          <w:szCs w:val="18"/>
        </w:rPr>
      </w:pPr>
      <w:bookmarkStart w:id="79" w:name="_Toc8330416"/>
      <w:r w:rsidRPr="004F3852">
        <w:rPr>
          <w:rFonts w:eastAsia="Calibri"/>
          <w:sz w:val="18"/>
          <w:szCs w:val="18"/>
        </w:rPr>
        <w:t>Notes: ‘Any risk’ category includes low-risk, moderate-risk and problem gamblers. Percentages may not total 100% due to round.</w:t>
      </w:r>
    </w:p>
    <w:p w14:paraId="6C482504" w14:textId="71A96DFF" w:rsidR="000A387C" w:rsidRPr="00664E64" w:rsidRDefault="00BA2C8B" w:rsidP="00A55CD9">
      <w:pPr>
        <w:pStyle w:val="BodyText"/>
        <w:rPr>
          <w:rFonts w:eastAsia="Calibri"/>
        </w:rPr>
      </w:pPr>
      <w:r w:rsidRPr="00664E64">
        <w:rPr>
          <w:rFonts w:eastAsia="Calibri"/>
        </w:rPr>
        <w:t xml:space="preserve">Analysis by sex and age group highlighted further areas for exploration. For example, </w:t>
      </w:r>
      <w:r w:rsidR="00C83926" w:rsidRPr="00664E64">
        <w:rPr>
          <w:rFonts w:eastAsia="Calibri"/>
        </w:rPr>
        <w:t xml:space="preserve">according to PGSI scores, </w:t>
      </w:r>
      <w:r w:rsidRPr="00664E64">
        <w:rPr>
          <w:rFonts w:eastAsia="Calibri"/>
        </w:rPr>
        <w:t>over half (55%) of all male participants would be classified as being at risk of some harm (low, moderate</w:t>
      </w:r>
      <w:r w:rsidR="00C83926" w:rsidRPr="00664E64">
        <w:rPr>
          <w:rFonts w:eastAsia="Calibri"/>
        </w:rPr>
        <w:t xml:space="preserve"> or problem gambling)</w:t>
      </w:r>
      <w:r w:rsidRPr="00664E64">
        <w:rPr>
          <w:rFonts w:eastAsia="Calibri"/>
        </w:rPr>
        <w:t xml:space="preserve">, compared to around two in five (40%) female participants in the study (Table 5.23). </w:t>
      </w:r>
    </w:p>
    <w:p w14:paraId="67385957" w14:textId="6A2A3C7F" w:rsidR="000A387C" w:rsidRPr="00267E2C" w:rsidRDefault="000A387C" w:rsidP="00415C73">
      <w:pPr>
        <w:pStyle w:val="FigureCaption"/>
        <w:rPr>
          <w:color w:val="auto"/>
          <w:lang w:val="en-AU"/>
        </w:rPr>
      </w:pPr>
      <w:bookmarkStart w:id="80" w:name="_Toc12549583"/>
      <w:r w:rsidRPr="00267E2C">
        <w:rPr>
          <w:color w:val="auto"/>
          <w:lang w:val="en-AU"/>
        </w:rPr>
        <w:t>Table 5.23</w:t>
      </w:r>
      <w:r w:rsidR="00356F0E" w:rsidRPr="00267E2C">
        <w:rPr>
          <w:color w:val="auto"/>
          <w:lang w:val="en-AU"/>
        </w:rPr>
        <w:t>:</w:t>
      </w:r>
      <w:r w:rsidRPr="00267E2C">
        <w:rPr>
          <w:color w:val="auto"/>
          <w:lang w:val="en-AU"/>
        </w:rPr>
        <w:t xml:space="preserve"> Prevalence of at-risk gambling, among each sex (N</w:t>
      </w:r>
      <w:r w:rsidR="00356F0E" w:rsidRPr="00267E2C">
        <w:rPr>
          <w:color w:val="auto"/>
          <w:lang w:val="en-AU"/>
        </w:rPr>
        <w:t xml:space="preserve"> </w:t>
      </w:r>
      <w:r w:rsidRPr="00267E2C">
        <w:rPr>
          <w:color w:val="auto"/>
          <w:lang w:val="en-AU"/>
        </w:rPr>
        <w:t>=</w:t>
      </w:r>
      <w:r w:rsidR="00356F0E" w:rsidRPr="00267E2C">
        <w:rPr>
          <w:color w:val="auto"/>
          <w:lang w:val="en-AU"/>
        </w:rPr>
        <w:t xml:space="preserve"> </w:t>
      </w:r>
      <w:r w:rsidRPr="00267E2C">
        <w:rPr>
          <w:color w:val="auto"/>
          <w:lang w:val="en-AU"/>
        </w:rPr>
        <w:t>5,068)</w:t>
      </w:r>
      <w:bookmarkEnd w:id="80"/>
    </w:p>
    <w:tbl>
      <w:tblPr>
        <w:tblStyle w:val="TableGrid"/>
        <w:tblW w:w="0" w:type="auto"/>
        <w:tblLook w:val="04A0" w:firstRow="1" w:lastRow="0" w:firstColumn="1" w:lastColumn="0" w:noHBand="0" w:noVBand="1"/>
        <w:tblCaption w:val="Prevalence of at-risk gambling, among each sex (N = 5,068)"/>
        <w:tblDescription w:val="Looks at the risk categories for gambling by male and female participants."/>
      </w:tblPr>
      <w:tblGrid>
        <w:gridCol w:w="2833"/>
        <w:gridCol w:w="2833"/>
        <w:gridCol w:w="2833"/>
      </w:tblGrid>
      <w:tr w:rsidR="00D07A07" w14:paraId="627AFB7C" w14:textId="77777777" w:rsidTr="00D07A07">
        <w:trPr>
          <w:cnfStyle w:val="100000000000" w:firstRow="1" w:lastRow="0" w:firstColumn="0" w:lastColumn="0" w:oddVBand="0" w:evenVBand="0" w:oddHBand="0" w:evenHBand="0" w:firstRowFirstColumn="0" w:firstRowLastColumn="0" w:lastRowFirstColumn="0" w:lastRowLastColumn="0"/>
          <w:tblHeader/>
        </w:trPr>
        <w:tc>
          <w:tcPr>
            <w:tcW w:w="2833" w:type="dxa"/>
          </w:tcPr>
          <w:p w14:paraId="286D489C" w14:textId="36CC8DC1" w:rsidR="00D07A07" w:rsidRDefault="00D07A07" w:rsidP="00D07A07">
            <w:pPr>
              <w:pStyle w:val="BodyText"/>
              <w:rPr>
                <w:lang w:eastAsia="ja-JP"/>
              </w:rPr>
            </w:pPr>
            <w:r w:rsidRPr="00FF0153">
              <w:rPr>
                <w:color w:val="FFFFFF" w:themeColor="background1"/>
                <w:lang w:eastAsia="ja-JP"/>
              </w:rPr>
              <w:t>Ri</w:t>
            </w:r>
            <w:r>
              <w:rPr>
                <w:color w:val="FFFFFF" w:themeColor="background1"/>
                <w:lang w:eastAsia="ja-JP"/>
              </w:rPr>
              <w:t>sk group</w:t>
            </w:r>
          </w:p>
        </w:tc>
        <w:tc>
          <w:tcPr>
            <w:tcW w:w="2833" w:type="dxa"/>
          </w:tcPr>
          <w:p w14:paraId="03875062" w14:textId="6066F5CF" w:rsidR="00D07A07" w:rsidRDefault="00D07A07" w:rsidP="00D07A07">
            <w:pPr>
              <w:pStyle w:val="BodyText"/>
              <w:rPr>
                <w:lang w:eastAsia="ja-JP"/>
              </w:rPr>
            </w:pPr>
            <w:r>
              <w:rPr>
                <w:color w:val="FFFFFF" w:themeColor="background1"/>
                <w:lang w:eastAsia="ja-JP"/>
              </w:rPr>
              <w:t>Male</w:t>
            </w:r>
          </w:p>
        </w:tc>
        <w:tc>
          <w:tcPr>
            <w:tcW w:w="2833" w:type="dxa"/>
          </w:tcPr>
          <w:p w14:paraId="7923838F" w14:textId="68F0F817" w:rsidR="00D07A07" w:rsidRDefault="00D07A07" w:rsidP="00D07A07">
            <w:pPr>
              <w:pStyle w:val="BodyText"/>
              <w:rPr>
                <w:lang w:eastAsia="ja-JP"/>
              </w:rPr>
            </w:pPr>
            <w:r>
              <w:rPr>
                <w:color w:val="FFFFFF" w:themeColor="background1"/>
                <w:lang w:eastAsia="ja-JP"/>
              </w:rPr>
              <w:t>Female</w:t>
            </w:r>
          </w:p>
        </w:tc>
      </w:tr>
      <w:tr w:rsidR="00D07A07" w14:paraId="15C24E58" w14:textId="77777777" w:rsidTr="00D07A07">
        <w:tc>
          <w:tcPr>
            <w:tcW w:w="2833" w:type="dxa"/>
          </w:tcPr>
          <w:p w14:paraId="230EABAD" w14:textId="7593E325" w:rsidR="00D07A07" w:rsidRDefault="00D07A07" w:rsidP="00D07A07">
            <w:pPr>
              <w:pStyle w:val="BodyText"/>
              <w:rPr>
                <w:lang w:eastAsia="ja-JP"/>
              </w:rPr>
            </w:pPr>
            <w:r>
              <w:rPr>
                <w:lang w:eastAsia="ja-JP"/>
              </w:rPr>
              <w:t>Non-problem gambling</w:t>
            </w:r>
          </w:p>
        </w:tc>
        <w:tc>
          <w:tcPr>
            <w:tcW w:w="2833" w:type="dxa"/>
          </w:tcPr>
          <w:p w14:paraId="457DECFD" w14:textId="77777777" w:rsidR="00D07A07" w:rsidRDefault="00D07A07" w:rsidP="00D07A07">
            <w:pPr>
              <w:pStyle w:val="BodyText"/>
              <w:rPr>
                <w:lang w:eastAsia="ja-JP"/>
              </w:rPr>
            </w:pPr>
            <w:r w:rsidRPr="00FF0153">
              <w:rPr>
                <w:i/>
                <w:lang w:eastAsia="ja-JP"/>
              </w:rPr>
              <w:t>n</w:t>
            </w:r>
            <w:r>
              <w:rPr>
                <w:lang w:eastAsia="ja-JP"/>
              </w:rPr>
              <w:t xml:space="preserve"> = 1,741</w:t>
            </w:r>
          </w:p>
          <w:p w14:paraId="04DCC758" w14:textId="0AF98B24" w:rsidR="00D07A07" w:rsidRDefault="00D07A07" w:rsidP="00D07A07">
            <w:pPr>
              <w:pStyle w:val="BodyText"/>
              <w:rPr>
                <w:lang w:eastAsia="ja-JP"/>
              </w:rPr>
            </w:pPr>
            <w:r>
              <w:rPr>
                <w:lang w:eastAsia="ja-JP"/>
              </w:rPr>
              <w:t>(44.7%)</w:t>
            </w:r>
          </w:p>
        </w:tc>
        <w:tc>
          <w:tcPr>
            <w:tcW w:w="2833" w:type="dxa"/>
          </w:tcPr>
          <w:p w14:paraId="225BA6C4" w14:textId="77777777" w:rsidR="00D07A07" w:rsidRDefault="00D07A07" w:rsidP="00D07A07">
            <w:pPr>
              <w:pStyle w:val="BodyText"/>
              <w:rPr>
                <w:lang w:eastAsia="ja-JP"/>
              </w:rPr>
            </w:pPr>
            <w:r w:rsidRPr="00FF0153">
              <w:rPr>
                <w:i/>
                <w:lang w:eastAsia="ja-JP"/>
              </w:rPr>
              <w:t>n</w:t>
            </w:r>
            <w:r>
              <w:rPr>
                <w:lang w:eastAsia="ja-JP"/>
              </w:rPr>
              <w:t xml:space="preserve"> = 706</w:t>
            </w:r>
          </w:p>
          <w:p w14:paraId="24D836FD" w14:textId="31197A02" w:rsidR="00D07A07" w:rsidRDefault="00D07A07" w:rsidP="00D07A07">
            <w:pPr>
              <w:pStyle w:val="BodyText"/>
              <w:rPr>
                <w:lang w:eastAsia="ja-JP"/>
              </w:rPr>
            </w:pPr>
            <w:r>
              <w:rPr>
                <w:lang w:eastAsia="ja-JP"/>
              </w:rPr>
              <w:t>(60.3)</w:t>
            </w:r>
          </w:p>
        </w:tc>
      </w:tr>
      <w:tr w:rsidR="00D07A07" w14:paraId="7CA077E0" w14:textId="77777777" w:rsidTr="00D07A07">
        <w:tc>
          <w:tcPr>
            <w:tcW w:w="2833" w:type="dxa"/>
          </w:tcPr>
          <w:p w14:paraId="5A4455EA" w14:textId="396A592C" w:rsidR="00D07A07" w:rsidRDefault="00D07A07" w:rsidP="00D07A07">
            <w:pPr>
              <w:pStyle w:val="BodyText"/>
              <w:rPr>
                <w:lang w:eastAsia="ja-JP"/>
              </w:rPr>
            </w:pPr>
            <w:r>
              <w:rPr>
                <w:lang w:eastAsia="ja-JP"/>
              </w:rPr>
              <w:t>Low risk gambling</w:t>
            </w:r>
          </w:p>
        </w:tc>
        <w:tc>
          <w:tcPr>
            <w:tcW w:w="2833" w:type="dxa"/>
          </w:tcPr>
          <w:p w14:paraId="3FEBBA89" w14:textId="77777777" w:rsidR="00D07A07" w:rsidRDefault="00D07A07" w:rsidP="00D07A07">
            <w:pPr>
              <w:pStyle w:val="BodyText"/>
              <w:rPr>
                <w:lang w:eastAsia="ja-JP"/>
              </w:rPr>
            </w:pPr>
            <w:r w:rsidRPr="00CE2EAE">
              <w:rPr>
                <w:i/>
                <w:lang w:eastAsia="ja-JP"/>
              </w:rPr>
              <w:t>n</w:t>
            </w:r>
            <w:r>
              <w:rPr>
                <w:lang w:eastAsia="ja-JP"/>
              </w:rPr>
              <w:t xml:space="preserve"> = 1,006</w:t>
            </w:r>
          </w:p>
          <w:p w14:paraId="0AA0EAF2" w14:textId="515FF388" w:rsidR="00D07A07" w:rsidRDefault="00D07A07" w:rsidP="00D07A07">
            <w:pPr>
              <w:pStyle w:val="BodyText"/>
              <w:rPr>
                <w:lang w:eastAsia="ja-JP"/>
              </w:rPr>
            </w:pPr>
            <w:r>
              <w:rPr>
                <w:lang w:eastAsia="ja-JP"/>
              </w:rPr>
              <w:t>(25.8%)</w:t>
            </w:r>
          </w:p>
        </w:tc>
        <w:tc>
          <w:tcPr>
            <w:tcW w:w="2833" w:type="dxa"/>
          </w:tcPr>
          <w:p w14:paraId="690E9979" w14:textId="77777777" w:rsidR="00D07A07" w:rsidRDefault="00D07A07" w:rsidP="00D07A07">
            <w:pPr>
              <w:pStyle w:val="BodyText"/>
              <w:rPr>
                <w:lang w:eastAsia="ja-JP"/>
              </w:rPr>
            </w:pPr>
            <w:r>
              <w:rPr>
                <w:lang w:eastAsia="ja-JP"/>
              </w:rPr>
              <w:t>n = 245</w:t>
            </w:r>
          </w:p>
          <w:p w14:paraId="5A61FFD5" w14:textId="70229477" w:rsidR="00D07A07" w:rsidRDefault="00D07A07" w:rsidP="00D07A07">
            <w:pPr>
              <w:pStyle w:val="BodyText"/>
              <w:rPr>
                <w:lang w:eastAsia="ja-JP"/>
              </w:rPr>
            </w:pPr>
            <w:r>
              <w:rPr>
                <w:lang w:eastAsia="ja-JP"/>
              </w:rPr>
              <w:t>(20.9)</w:t>
            </w:r>
          </w:p>
        </w:tc>
      </w:tr>
      <w:tr w:rsidR="00D07A07" w14:paraId="23CE2A94" w14:textId="77777777" w:rsidTr="00D07A07">
        <w:tc>
          <w:tcPr>
            <w:tcW w:w="2833" w:type="dxa"/>
          </w:tcPr>
          <w:p w14:paraId="3323C2FD" w14:textId="79A68D71" w:rsidR="00D07A07" w:rsidRDefault="00D07A07" w:rsidP="00D07A07">
            <w:pPr>
              <w:pStyle w:val="BodyText"/>
              <w:rPr>
                <w:lang w:eastAsia="ja-JP"/>
              </w:rPr>
            </w:pPr>
            <w:r>
              <w:rPr>
                <w:lang w:eastAsia="ja-JP"/>
              </w:rPr>
              <w:t>Moderate risk gambling</w:t>
            </w:r>
          </w:p>
        </w:tc>
        <w:tc>
          <w:tcPr>
            <w:tcW w:w="2833" w:type="dxa"/>
          </w:tcPr>
          <w:p w14:paraId="058D1DC4" w14:textId="77777777" w:rsidR="00D07A07" w:rsidRDefault="00D07A07" w:rsidP="00D07A07">
            <w:pPr>
              <w:pStyle w:val="BodyText"/>
              <w:rPr>
                <w:lang w:eastAsia="ja-JP"/>
              </w:rPr>
            </w:pPr>
            <w:r w:rsidRPr="00CE2EAE">
              <w:rPr>
                <w:i/>
                <w:lang w:eastAsia="ja-JP"/>
              </w:rPr>
              <w:t>n</w:t>
            </w:r>
            <w:r>
              <w:rPr>
                <w:lang w:eastAsia="ja-JP"/>
              </w:rPr>
              <w:t xml:space="preserve"> = 790</w:t>
            </w:r>
          </w:p>
          <w:p w14:paraId="7DFC2C10" w14:textId="11BBA978" w:rsidR="00D07A07" w:rsidRDefault="00D07A07" w:rsidP="00D07A07">
            <w:pPr>
              <w:pStyle w:val="BodyText"/>
              <w:rPr>
                <w:lang w:eastAsia="ja-JP"/>
              </w:rPr>
            </w:pPr>
            <w:r>
              <w:rPr>
                <w:lang w:eastAsia="ja-JP"/>
              </w:rPr>
              <w:t>(20.3%)</w:t>
            </w:r>
          </w:p>
        </w:tc>
        <w:tc>
          <w:tcPr>
            <w:tcW w:w="2833" w:type="dxa"/>
          </w:tcPr>
          <w:p w14:paraId="67611C16" w14:textId="77777777" w:rsidR="00D07A07" w:rsidRDefault="00D07A07" w:rsidP="00D07A07">
            <w:pPr>
              <w:pStyle w:val="BodyText"/>
              <w:rPr>
                <w:lang w:eastAsia="ja-JP"/>
              </w:rPr>
            </w:pPr>
            <w:r w:rsidRPr="00CE2EAE">
              <w:rPr>
                <w:i/>
                <w:lang w:eastAsia="ja-JP"/>
              </w:rPr>
              <w:t>n</w:t>
            </w:r>
            <w:r>
              <w:rPr>
                <w:lang w:eastAsia="ja-JP"/>
              </w:rPr>
              <w:t xml:space="preserve"> = 150</w:t>
            </w:r>
          </w:p>
          <w:p w14:paraId="4E335EF1" w14:textId="137F5A60" w:rsidR="00D07A07" w:rsidRDefault="00D07A07" w:rsidP="00D07A07">
            <w:pPr>
              <w:pStyle w:val="BodyText"/>
              <w:rPr>
                <w:lang w:eastAsia="ja-JP"/>
              </w:rPr>
            </w:pPr>
            <w:r>
              <w:rPr>
                <w:lang w:eastAsia="ja-JP"/>
              </w:rPr>
              <w:t>(12.8%)</w:t>
            </w:r>
          </w:p>
        </w:tc>
      </w:tr>
      <w:tr w:rsidR="00D07A07" w14:paraId="16819A49" w14:textId="77777777" w:rsidTr="00D07A07">
        <w:tc>
          <w:tcPr>
            <w:tcW w:w="2833" w:type="dxa"/>
          </w:tcPr>
          <w:p w14:paraId="3744403D" w14:textId="17BADB4F" w:rsidR="00D07A07" w:rsidRDefault="00D07A07" w:rsidP="00D07A07">
            <w:pPr>
              <w:pStyle w:val="BodyText"/>
              <w:rPr>
                <w:lang w:eastAsia="ja-JP"/>
              </w:rPr>
            </w:pPr>
            <w:r>
              <w:rPr>
                <w:lang w:eastAsia="ja-JP"/>
              </w:rPr>
              <w:t>Problem gambling</w:t>
            </w:r>
          </w:p>
        </w:tc>
        <w:tc>
          <w:tcPr>
            <w:tcW w:w="2833" w:type="dxa"/>
          </w:tcPr>
          <w:p w14:paraId="767C35A5" w14:textId="77777777" w:rsidR="00D07A07" w:rsidRDefault="00D07A07" w:rsidP="00D07A07">
            <w:pPr>
              <w:pStyle w:val="BodyText"/>
              <w:rPr>
                <w:lang w:eastAsia="ja-JP"/>
              </w:rPr>
            </w:pPr>
            <w:r w:rsidRPr="00CE2EAE">
              <w:rPr>
                <w:i/>
                <w:lang w:eastAsia="ja-JP"/>
              </w:rPr>
              <w:t>n</w:t>
            </w:r>
            <w:r>
              <w:rPr>
                <w:lang w:eastAsia="ja-JP"/>
              </w:rPr>
              <w:t xml:space="preserve"> = 361</w:t>
            </w:r>
          </w:p>
          <w:p w14:paraId="50614125" w14:textId="1622F3E1" w:rsidR="00D07A07" w:rsidRDefault="00D07A07" w:rsidP="00D07A07">
            <w:pPr>
              <w:pStyle w:val="BodyText"/>
              <w:rPr>
                <w:lang w:eastAsia="ja-JP"/>
              </w:rPr>
            </w:pPr>
            <w:r>
              <w:rPr>
                <w:lang w:eastAsia="ja-JP"/>
              </w:rPr>
              <w:t>(9.3%)</w:t>
            </w:r>
          </w:p>
        </w:tc>
        <w:tc>
          <w:tcPr>
            <w:tcW w:w="2833" w:type="dxa"/>
          </w:tcPr>
          <w:p w14:paraId="55F2B8CF" w14:textId="77777777" w:rsidR="00D07A07" w:rsidRDefault="00D07A07" w:rsidP="00D07A07">
            <w:pPr>
              <w:pStyle w:val="BodyText"/>
              <w:rPr>
                <w:lang w:eastAsia="ja-JP"/>
              </w:rPr>
            </w:pPr>
            <w:r w:rsidRPr="00CE2EAE">
              <w:rPr>
                <w:i/>
                <w:lang w:eastAsia="ja-JP"/>
              </w:rPr>
              <w:t>n</w:t>
            </w:r>
            <w:r>
              <w:rPr>
                <w:lang w:eastAsia="ja-JP"/>
              </w:rPr>
              <w:t xml:space="preserve"> = 69</w:t>
            </w:r>
          </w:p>
          <w:p w14:paraId="3E0D123E" w14:textId="5BA8AE45" w:rsidR="00D07A07" w:rsidRDefault="00D07A07" w:rsidP="00D07A07">
            <w:pPr>
              <w:pStyle w:val="BodyText"/>
              <w:rPr>
                <w:lang w:eastAsia="ja-JP"/>
              </w:rPr>
            </w:pPr>
            <w:r>
              <w:rPr>
                <w:lang w:eastAsia="ja-JP"/>
              </w:rPr>
              <w:t>(5.9%)</w:t>
            </w:r>
          </w:p>
        </w:tc>
      </w:tr>
    </w:tbl>
    <w:p w14:paraId="2249A61C" w14:textId="44025D6B" w:rsidR="00B80401" w:rsidRPr="00B80401" w:rsidRDefault="00B80401" w:rsidP="00A2330F">
      <w:pPr>
        <w:pStyle w:val="BodyText"/>
        <w:pBdr>
          <w:top w:val="single" w:sz="4" w:space="1" w:color="auto"/>
          <w:bottom w:val="single" w:sz="4" w:space="1" w:color="auto"/>
        </w:pBdr>
        <w:spacing w:before="0" w:line="240" w:lineRule="auto"/>
        <w:rPr>
          <w:sz w:val="18"/>
          <w:szCs w:val="18"/>
          <w:lang w:eastAsia="ja-JP"/>
        </w:rPr>
      </w:pPr>
      <w:r w:rsidRPr="00B80401">
        <w:rPr>
          <w:sz w:val="18"/>
          <w:szCs w:val="18"/>
          <w:lang w:eastAsia="ja-JP"/>
        </w:rPr>
        <w:t>Notes: ‘Any risk’ category includes low-risk, moderate-risk and problem gamblers.  Columns add to 100% (excluding ‘Any risk’ row)</w:t>
      </w:r>
    </w:p>
    <w:p w14:paraId="5F15D834" w14:textId="226EEFFC" w:rsidR="00B80401" w:rsidRDefault="00B80401" w:rsidP="00B80401">
      <w:pPr>
        <w:pStyle w:val="BodyText"/>
        <w:rPr>
          <w:lang w:eastAsia="ja-JP"/>
        </w:rPr>
      </w:pPr>
    </w:p>
    <w:p w14:paraId="21004C0C" w14:textId="1FF00F94" w:rsidR="00C83926" w:rsidRPr="00664E64" w:rsidRDefault="00C83926" w:rsidP="00A55CD9">
      <w:pPr>
        <w:pStyle w:val="BodyText"/>
        <w:rPr>
          <w:rFonts w:eastAsia="Calibri"/>
        </w:rPr>
      </w:pPr>
      <w:r w:rsidRPr="00664E64">
        <w:rPr>
          <w:rFonts w:eastAsia="Calibri"/>
        </w:rPr>
        <w:t>Analysis by age group (Table 5.24) revealed that two-thirds (64%) of participants aged 18</w:t>
      </w:r>
      <w:r w:rsidR="00356F0E" w:rsidRPr="00664E64">
        <w:rPr>
          <w:rFonts w:eastAsia="Calibri"/>
        </w:rPr>
        <w:t>–</w:t>
      </w:r>
      <w:r w:rsidRPr="00664E64">
        <w:rPr>
          <w:rFonts w:eastAsia="Calibri"/>
        </w:rPr>
        <w:t>34 years would be classified as being at-risk of gambling</w:t>
      </w:r>
      <w:r w:rsidR="00356F0E" w:rsidRPr="00664E64">
        <w:rPr>
          <w:rFonts w:eastAsia="Calibri"/>
        </w:rPr>
        <w:t>-</w:t>
      </w:r>
      <w:r w:rsidRPr="00664E64">
        <w:rPr>
          <w:rFonts w:eastAsia="Calibri"/>
        </w:rPr>
        <w:t xml:space="preserve">related harm. The proportions of participants in the older age groups at any risk of harm decreased with increasing age, but within each age group, around two-fifths to half still met </w:t>
      </w:r>
      <w:r w:rsidR="00EC24BB" w:rsidRPr="00664E64">
        <w:rPr>
          <w:rFonts w:eastAsia="Calibri"/>
        </w:rPr>
        <w:t xml:space="preserve">these </w:t>
      </w:r>
      <w:r w:rsidRPr="00664E64">
        <w:rPr>
          <w:rFonts w:eastAsia="Calibri"/>
        </w:rPr>
        <w:t xml:space="preserve">criteria; highlighting the high prevalence of harm across different age groups in this sample. </w:t>
      </w:r>
    </w:p>
    <w:p w14:paraId="5D7CB3E6" w14:textId="77777777" w:rsidR="008928F8" w:rsidRDefault="008928F8">
      <w:pPr>
        <w:rPr>
          <w:rFonts w:ascii="Arial" w:hAnsi="Arial" w:cs="Arial"/>
          <w:b/>
          <w:color w:val="ED0C64"/>
          <w:sz w:val="20"/>
          <w:lang w:eastAsia="ja-JP" w:bidi="en-US"/>
        </w:rPr>
      </w:pPr>
      <w:bookmarkStart w:id="81" w:name="_Toc12549584"/>
      <w:r>
        <w:br w:type="page"/>
      </w:r>
    </w:p>
    <w:p w14:paraId="44AE0F75" w14:textId="5C1645B2" w:rsidR="000A387C" w:rsidRPr="00267E2C" w:rsidRDefault="000A387C" w:rsidP="00415C73">
      <w:pPr>
        <w:pStyle w:val="FigureCaption"/>
        <w:rPr>
          <w:color w:val="auto"/>
          <w:lang w:val="en-AU"/>
        </w:rPr>
      </w:pPr>
      <w:r w:rsidRPr="00267E2C">
        <w:rPr>
          <w:color w:val="auto"/>
          <w:lang w:val="en-AU"/>
        </w:rPr>
        <w:lastRenderedPageBreak/>
        <w:t>Table 5.24</w:t>
      </w:r>
      <w:r w:rsidR="00707BD9" w:rsidRPr="00267E2C">
        <w:rPr>
          <w:color w:val="auto"/>
          <w:lang w:val="en-AU"/>
        </w:rPr>
        <w:t>:</w:t>
      </w:r>
      <w:r w:rsidRPr="00267E2C">
        <w:rPr>
          <w:color w:val="auto"/>
          <w:lang w:val="en-AU"/>
        </w:rPr>
        <w:t xml:space="preserve"> Prevalence of at-risk gambling, among each age group (N</w:t>
      </w:r>
      <w:r w:rsidR="00707BD9" w:rsidRPr="00267E2C">
        <w:rPr>
          <w:color w:val="auto"/>
          <w:lang w:val="en-AU"/>
        </w:rPr>
        <w:t xml:space="preserve"> </w:t>
      </w:r>
      <w:r w:rsidRPr="00267E2C">
        <w:rPr>
          <w:color w:val="auto"/>
          <w:lang w:val="en-AU"/>
        </w:rPr>
        <w:t>=</w:t>
      </w:r>
      <w:r w:rsidR="00707BD9" w:rsidRPr="00267E2C">
        <w:rPr>
          <w:color w:val="auto"/>
          <w:lang w:val="en-AU"/>
        </w:rPr>
        <w:t xml:space="preserve"> </w:t>
      </w:r>
      <w:r w:rsidRPr="00267E2C">
        <w:rPr>
          <w:color w:val="auto"/>
          <w:lang w:val="en-AU"/>
        </w:rPr>
        <w:t>4,518)</w:t>
      </w:r>
      <w:bookmarkEnd w:id="81"/>
    </w:p>
    <w:tbl>
      <w:tblPr>
        <w:tblStyle w:val="TableGrid"/>
        <w:tblW w:w="5000" w:type="pct"/>
        <w:tblLook w:val="04A0" w:firstRow="1" w:lastRow="0" w:firstColumn="1" w:lastColumn="0" w:noHBand="0" w:noVBand="1"/>
        <w:tblCaption w:val="Prevalence of at-risk gambling, among each age group (N = 4,518)"/>
        <w:tblDescription w:val="This table looks at each risk category by age group from 18-35 to 65+."/>
      </w:tblPr>
      <w:tblGrid>
        <w:gridCol w:w="3113"/>
        <w:gridCol w:w="1348"/>
        <w:gridCol w:w="1346"/>
        <w:gridCol w:w="1346"/>
        <w:gridCol w:w="1346"/>
      </w:tblGrid>
      <w:tr w:rsidR="000A387C" w:rsidRPr="00664E64" w14:paraId="4CC880A5" w14:textId="77777777" w:rsidTr="008928F8">
        <w:trPr>
          <w:cnfStyle w:val="100000000000" w:firstRow="1" w:lastRow="0" w:firstColumn="0" w:lastColumn="0" w:oddVBand="0" w:evenVBand="0" w:oddHBand="0" w:evenHBand="0" w:firstRowFirstColumn="0" w:firstRowLastColumn="0" w:lastRowFirstColumn="0" w:lastRowLastColumn="0"/>
          <w:trHeight w:val="368"/>
          <w:tblHeader/>
        </w:trPr>
        <w:tc>
          <w:tcPr>
            <w:tcW w:w="1831" w:type="pct"/>
            <w:noWrap/>
            <w:hideMark/>
          </w:tcPr>
          <w:p w14:paraId="6493CADA" w14:textId="77777777" w:rsidR="000A387C" w:rsidRPr="00664E64" w:rsidRDefault="000A387C" w:rsidP="00A55CD9">
            <w:pPr>
              <w:pStyle w:val="TableColHeadLeft"/>
              <w:rPr>
                <w:lang w:val="en-AU"/>
              </w:rPr>
            </w:pPr>
            <w:r w:rsidRPr="00664E64">
              <w:rPr>
                <w:lang w:val="en-AU"/>
              </w:rPr>
              <w:t>Risk group</w:t>
            </w:r>
          </w:p>
        </w:tc>
        <w:tc>
          <w:tcPr>
            <w:tcW w:w="793" w:type="pct"/>
            <w:noWrap/>
            <w:hideMark/>
          </w:tcPr>
          <w:p w14:paraId="14D9F4C0" w14:textId="05B331EE" w:rsidR="000A387C" w:rsidRPr="00664E64" w:rsidRDefault="000A387C" w:rsidP="00A55CD9">
            <w:pPr>
              <w:pStyle w:val="TableColHeadCentre"/>
              <w:rPr>
                <w:lang w:val="en-AU"/>
              </w:rPr>
            </w:pPr>
            <w:r w:rsidRPr="00664E64">
              <w:rPr>
                <w:lang w:val="en-AU"/>
              </w:rPr>
              <w:t>18</w:t>
            </w:r>
            <w:r w:rsidR="00707BD9" w:rsidRPr="00664E64">
              <w:rPr>
                <w:lang w:val="en-AU"/>
              </w:rPr>
              <w:t>–</w:t>
            </w:r>
            <w:r w:rsidRPr="00664E64">
              <w:rPr>
                <w:lang w:val="en-AU"/>
              </w:rPr>
              <w:t>34</w:t>
            </w:r>
            <w:r w:rsidR="00707BD9" w:rsidRPr="00664E64">
              <w:rPr>
                <w:lang w:val="en-AU"/>
              </w:rPr>
              <w:t xml:space="preserve"> years</w:t>
            </w:r>
          </w:p>
        </w:tc>
        <w:tc>
          <w:tcPr>
            <w:tcW w:w="792" w:type="pct"/>
          </w:tcPr>
          <w:p w14:paraId="088F1E47" w14:textId="468F1EA6" w:rsidR="000A387C" w:rsidRPr="00664E64" w:rsidRDefault="000A387C" w:rsidP="00A55CD9">
            <w:pPr>
              <w:pStyle w:val="TableColHeadCentre"/>
              <w:rPr>
                <w:lang w:val="en-AU"/>
              </w:rPr>
            </w:pPr>
            <w:r w:rsidRPr="00664E64">
              <w:rPr>
                <w:lang w:val="en-AU"/>
              </w:rPr>
              <w:t>35</w:t>
            </w:r>
            <w:r w:rsidR="00707BD9" w:rsidRPr="00664E64">
              <w:rPr>
                <w:lang w:val="en-AU"/>
              </w:rPr>
              <w:t>–</w:t>
            </w:r>
            <w:r w:rsidRPr="00664E64">
              <w:rPr>
                <w:lang w:val="en-AU"/>
              </w:rPr>
              <w:t>49</w:t>
            </w:r>
            <w:r w:rsidR="00707BD9" w:rsidRPr="00664E64">
              <w:rPr>
                <w:lang w:val="en-AU"/>
              </w:rPr>
              <w:t xml:space="preserve"> years</w:t>
            </w:r>
          </w:p>
        </w:tc>
        <w:tc>
          <w:tcPr>
            <w:tcW w:w="792" w:type="pct"/>
          </w:tcPr>
          <w:p w14:paraId="758949EE" w14:textId="7B97A011" w:rsidR="000A387C" w:rsidRPr="00664E64" w:rsidRDefault="000A387C" w:rsidP="00A55CD9">
            <w:pPr>
              <w:pStyle w:val="TableColHeadCentre"/>
              <w:rPr>
                <w:lang w:val="en-AU"/>
              </w:rPr>
            </w:pPr>
            <w:r w:rsidRPr="00664E64">
              <w:rPr>
                <w:lang w:val="en-AU"/>
              </w:rPr>
              <w:t>50</w:t>
            </w:r>
            <w:r w:rsidR="00707BD9" w:rsidRPr="00664E64">
              <w:rPr>
                <w:lang w:val="en-AU"/>
              </w:rPr>
              <w:t>–</w:t>
            </w:r>
            <w:r w:rsidRPr="00664E64">
              <w:rPr>
                <w:lang w:val="en-AU"/>
              </w:rPr>
              <w:t>64</w:t>
            </w:r>
            <w:r w:rsidR="00707BD9" w:rsidRPr="00664E64">
              <w:rPr>
                <w:lang w:val="en-AU"/>
              </w:rPr>
              <w:t xml:space="preserve"> years </w:t>
            </w:r>
          </w:p>
        </w:tc>
        <w:tc>
          <w:tcPr>
            <w:tcW w:w="792" w:type="pct"/>
          </w:tcPr>
          <w:p w14:paraId="2EE61BE2" w14:textId="77777777" w:rsidR="000A387C" w:rsidRPr="00664E64" w:rsidRDefault="000A387C" w:rsidP="00A55CD9">
            <w:pPr>
              <w:pStyle w:val="TableColHeadCentre"/>
              <w:rPr>
                <w:lang w:val="en-AU"/>
              </w:rPr>
            </w:pPr>
            <w:r w:rsidRPr="00664E64">
              <w:rPr>
                <w:lang w:val="en-AU"/>
              </w:rPr>
              <w:t>65+</w:t>
            </w:r>
          </w:p>
        </w:tc>
      </w:tr>
      <w:tr w:rsidR="000A387C" w:rsidRPr="00664E64" w14:paraId="049E7514" w14:textId="77777777" w:rsidTr="00A41688">
        <w:trPr>
          <w:trHeight w:val="368"/>
        </w:trPr>
        <w:tc>
          <w:tcPr>
            <w:tcW w:w="1831" w:type="pct"/>
            <w:noWrap/>
            <w:hideMark/>
          </w:tcPr>
          <w:p w14:paraId="42FC2816" w14:textId="77777777" w:rsidR="000A387C" w:rsidRPr="00664E64" w:rsidRDefault="000A387C" w:rsidP="00A55CD9">
            <w:pPr>
              <w:pStyle w:val="TableText"/>
              <w:rPr>
                <w:lang w:val="en-AU"/>
              </w:rPr>
            </w:pPr>
            <w:r w:rsidRPr="00664E64">
              <w:rPr>
                <w:lang w:val="en-AU"/>
              </w:rPr>
              <w:t>Non-problem gambling</w:t>
            </w:r>
          </w:p>
        </w:tc>
        <w:tc>
          <w:tcPr>
            <w:tcW w:w="793" w:type="pct"/>
            <w:noWrap/>
            <w:hideMark/>
          </w:tcPr>
          <w:p w14:paraId="5E9AAE47" w14:textId="02E49D3F" w:rsidR="000A387C" w:rsidRPr="00664E64" w:rsidRDefault="00707BD9" w:rsidP="00A55CD9">
            <w:pPr>
              <w:pStyle w:val="TableTextCentre"/>
              <w:rPr>
                <w:lang w:val="en-AU"/>
              </w:rPr>
            </w:pPr>
            <w:r w:rsidRPr="00664E64">
              <w:rPr>
                <w:i/>
                <w:lang w:val="en-AU"/>
              </w:rPr>
              <w:t>n</w:t>
            </w:r>
            <w:r w:rsidRPr="00664E64">
              <w:rPr>
                <w:lang w:val="en-AU"/>
              </w:rPr>
              <w:t xml:space="preserve"> </w:t>
            </w:r>
            <w:r w:rsidR="000A387C" w:rsidRPr="00664E64">
              <w:rPr>
                <w:lang w:val="en-AU"/>
              </w:rPr>
              <w:t>=</w:t>
            </w:r>
            <w:r w:rsidRPr="00664E64">
              <w:rPr>
                <w:lang w:val="en-AU"/>
              </w:rPr>
              <w:t xml:space="preserve"> </w:t>
            </w:r>
            <w:r w:rsidR="000A387C" w:rsidRPr="00664E64">
              <w:rPr>
                <w:lang w:val="en-AU"/>
              </w:rPr>
              <w:t>334</w:t>
            </w:r>
          </w:p>
          <w:p w14:paraId="6F1CD546" w14:textId="77777777" w:rsidR="000A387C" w:rsidRPr="00664E64" w:rsidRDefault="000A387C" w:rsidP="00A55CD9">
            <w:pPr>
              <w:pStyle w:val="TableTextCentre"/>
              <w:rPr>
                <w:lang w:val="en-AU"/>
              </w:rPr>
            </w:pPr>
            <w:r w:rsidRPr="00664E64">
              <w:rPr>
                <w:lang w:val="en-AU"/>
              </w:rPr>
              <w:t>(35.6%)</w:t>
            </w:r>
          </w:p>
        </w:tc>
        <w:tc>
          <w:tcPr>
            <w:tcW w:w="792" w:type="pct"/>
          </w:tcPr>
          <w:p w14:paraId="402EC575" w14:textId="1771311D" w:rsidR="000A387C" w:rsidRPr="00664E64" w:rsidRDefault="00707BD9" w:rsidP="00A55CD9">
            <w:pPr>
              <w:pStyle w:val="TableTextCentre"/>
              <w:rPr>
                <w:lang w:val="en-AU"/>
              </w:rPr>
            </w:pPr>
            <w:r w:rsidRPr="00664E64">
              <w:rPr>
                <w:i/>
                <w:lang w:val="en-AU"/>
              </w:rPr>
              <w:t>n</w:t>
            </w:r>
            <w:r w:rsidRPr="00664E64">
              <w:rPr>
                <w:lang w:val="en-AU"/>
              </w:rPr>
              <w:t xml:space="preserve"> </w:t>
            </w:r>
            <w:r w:rsidR="000A387C" w:rsidRPr="00664E64">
              <w:rPr>
                <w:lang w:val="en-AU"/>
              </w:rPr>
              <w:t>=</w:t>
            </w:r>
            <w:r w:rsidRPr="00664E64">
              <w:rPr>
                <w:lang w:val="en-AU"/>
              </w:rPr>
              <w:t xml:space="preserve"> </w:t>
            </w:r>
            <w:r w:rsidR="000A387C" w:rsidRPr="00664E64">
              <w:rPr>
                <w:lang w:val="en-AU"/>
              </w:rPr>
              <w:t>753</w:t>
            </w:r>
          </w:p>
          <w:p w14:paraId="5D59EA0D" w14:textId="77777777" w:rsidR="000A387C" w:rsidRPr="00664E64" w:rsidRDefault="000A387C" w:rsidP="00A55CD9">
            <w:pPr>
              <w:pStyle w:val="TableTextCentre"/>
              <w:rPr>
                <w:b/>
                <w:lang w:val="en-AU"/>
              </w:rPr>
            </w:pPr>
            <w:r w:rsidRPr="00664E64">
              <w:rPr>
                <w:lang w:val="en-AU"/>
              </w:rPr>
              <w:t>(45.9%)</w:t>
            </w:r>
          </w:p>
        </w:tc>
        <w:tc>
          <w:tcPr>
            <w:tcW w:w="792" w:type="pct"/>
          </w:tcPr>
          <w:p w14:paraId="5D74D8AD" w14:textId="6C75D3FE"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682</w:t>
            </w:r>
          </w:p>
          <w:p w14:paraId="66A94A86" w14:textId="77777777" w:rsidR="000A387C" w:rsidRPr="00664E64" w:rsidRDefault="000A387C" w:rsidP="00A55CD9">
            <w:pPr>
              <w:pStyle w:val="TableTextCentre"/>
              <w:rPr>
                <w:lang w:val="en-AU"/>
              </w:rPr>
            </w:pPr>
            <w:r w:rsidRPr="00664E64">
              <w:rPr>
                <w:lang w:val="en-AU"/>
              </w:rPr>
              <w:t>(53.5%)</w:t>
            </w:r>
          </w:p>
        </w:tc>
        <w:tc>
          <w:tcPr>
            <w:tcW w:w="792" w:type="pct"/>
          </w:tcPr>
          <w:p w14:paraId="079CE32E" w14:textId="7F52996D"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395</w:t>
            </w:r>
          </w:p>
          <w:p w14:paraId="28C40FCA" w14:textId="77777777" w:rsidR="000A387C" w:rsidRPr="00664E64" w:rsidRDefault="000A387C" w:rsidP="00A55CD9">
            <w:pPr>
              <w:pStyle w:val="TableTextCentre"/>
              <w:rPr>
                <w:lang w:val="en-AU"/>
              </w:rPr>
            </w:pPr>
            <w:r w:rsidRPr="00664E64">
              <w:rPr>
                <w:lang w:val="en-AU"/>
              </w:rPr>
              <w:t>(59.2%)</w:t>
            </w:r>
          </w:p>
        </w:tc>
      </w:tr>
      <w:tr w:rsidR="000A387C" w:rsidRPr="00664E64" w14:paraId="5DB0460B" w14:textId="77777777" w:rsidTr="00A41688">
        <w:trPr>
          <w:trHeight w:val="368"/>
        </w:trPr>
        <w:tc>
          <w:tcPr>
            <w:tcW w:w="1831" w:type="pct"/>
            <w:noWrap/>
            <w:hideMark/>
          </w:tcPr>
          <w:p w14:paraId="4DFE38B0" w14:textId="77777777" w:rsidR="000A387C" w:rsidRPr="00664E64" w:rsidRDefault="000A387C" w:rsidP="00A55CD9">
            <w:pPr>
              <w:pStyle w:val="TableText"/>
              <w:rPr>
                <w:lang w:val="en-AU"/>
              </w:rPr>
            </w:pPr>
            <w:r w:rsidRPr="00664E64">
              <w:rPr>
                <w:lang w:val="en-AU"/>
              </w:rPr>
              <w:t>Low risk gambling</w:t>
            </w:r>
          </w:p>
        </w:tc>
        <w:tc>
          <w:tcPr>
            <w:tcW w:w="793" w:type="pct"/>
            <w:noWrap/>
            <w:hideMark/>
          </w:tcPr>
          <w:p w14:paraId="2CD18929" w14:textId="1ED4E901" w:rsidR="000A387C" w:rsidRPr="00664E64" w:rsidRDefault="00707BD9" w:rsidP="00A55CD9">
            <w:pPr>
              <w:pStyle w:val="TableTextCentre"/>
              <w:rPr>
                <w:lang w:val="en-AU"/>
              </w:rPr>
            </w:pPr>
            <w:r w:rsidRPr="00664E64">
              <w:rPr>
                <w:i/>
                <w:lang w:val="en-AU"/>
              </w:rPr>
              <w:t>n</w:t>
            </w:r>
            <w:r w:rsidRPr="00664E64">
              <w:rPr>
                <w:lang w:val="en-AU"/>
              </w:rPr>
              <w:t xml:space="preserve"> </w:t>
            </w:r>
            <w:r w:rsidR="000A387C" w:rsidRPr="00664E64">
              <w:rPr>
                <w:lang w:val="en-AU"/>
              </w:rPr>
              <w:t>=</w:t>
            </w:r>
            <w:r w:rsidRPr="00664E64">
              <w:rPr>
                <w:lang w:val="en-AU"/>
              </w:rPr>
              <w:t xml:space="preserve"> </w:t>
            </w:r>
            <w:r w:rsidR="000A387C" w:rsidRPr="00664E64">
              <w:rPr>
                <w:lang w:val="en-AU"/>
              </w:rPr>
              <w:t>257</w:t>
            </w:r>
          </w:p>
          <w:p w14:paraId="7D87BFD5" w14:textId="77777777" w:rsidR="000A387C" w:rsidRPr="00664E64" w:rsidRDefault="000A387C" w:rsidP="00A55CD9">
            <w:pPr>
              <w:pStyle w:val="TableTextCentre"/>
              <w:rPr>
                <w:lang w:val="en-AU"/>
              </w:rPr>
            </w:pPr>
            <w:r w:rsidRPr="00664E64">
              <w:rPr>
                <w:lang w:val="en-AU"/>
              </w:rPr>
              <w:t>(27.4%)</w:t>
            </w:r>
          </w:p>
        </w:tc>
        <w:tc>
          <w:tcPr>
            <w:tcW w:w="792" w:type="pct"/>
          </w:tcPr>
          <w:p w14:paraId="5BD75BB1" w14:textId="68FB8F52" w:rsidR="000A387C" w:rsidRPr="00664E64" w:rsidRDefault="00707BD9" w:rsidP="00A55CD9">
            <w:pPr>
              <w:pStyle w:val="TableTextCentre"/>
              <w:rPr>
                <w:lang w:val="en-AU"/>
              </w:rPr>
            </w:pPr>
            <w:r w:rsidRPr="00664E64">
              <w:rPr>
                <w:i/>
                <w:lang w:val="en-AU"/>
              </w:rPr>
              <w:t xml:space="preserve">n </w:t>
            </w:r>
            <w:r w:rsidR="000A387C" w:rsidRPr="00664E64">
              <w:rPr>
                <w:lang w:val="en-AU"/>
              </w:rPr>
              <w:t>=</w:t>
            </w:r>
            <w:r w:rsidRPr="00664E64">
              <w:rPr>
                <w:lang w:val="en-AU"/>
              </w:rPr>
              <w:t xml:space="preserve"> </w:t>
            </w:r>
            <w:r w:rsidR="000A387C" w:rsidRPr="00664E64">
              <w:rPr>
                <w:lang w:val="en-AU"/>
              </w:rPr>
              <w:t>401</w:t>
            </w:r>
          </w:p>
          <w:p w14:paraId="6FE58551" w14:textId="77777777" w:rsidR="000A387C" w:rsidRPr="00664E64" w:rsidRDefault="000A387C" w:rsidP="00A55CD9">
            <w:pPr>
              <w:pStyle w:val="TableTextCentre"/>
              <w:rPr>
                <w:lang w:val="en-AU"/>
              </w:rPr>
            </w:pPr>
            <w:r w:rsidRPr="00664E64">
              <w:rPr>
                <w:lang w:val="en-AU"/>
              </w:rPr>
              <w:t>(24.5%)</w:t>
            </w:r>
          </w:p>
        </w:tc>
        <w:tc>
          <w:tcPr>
            <w:tcW w:w="792" w:type="pct"/>
          </w:tcPr>
          <w:p w14:paraId="53386378" w14:textId="15B63354"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314</w:t>
            </w:r>
          </w:p>
          <w:p w14:paraId="354CD3ED" w14:textId="77777777" w:rsidR="000A387C" w:rsidRPr="00664E64" w:rsidRDefault="000A387C" w:rsidP="00A55CD9">
            <w:pPr>
              <w:pStyle w:val="TableTextCentre"/>
              <w:rPr>
                <w:lang w:val="en-AU"/>
              </w:rPr>
            </w:pPr>
            <w:r w:rsidRPr="00664E64">
              <w:rPr>
                <w:lang w:val="en-AU"/>
              </w:rPr>
              <w:t>(24.6%)</w:t>
            </w:r>
          </w:p>
        </w:tc>
        <w:tc>
          <w:tcPr>
            <w:tcW w:w="792" w:type="pct"/>
          </w:tcPr>
          <w:p w14:paraId="5F6B0310" w14:textId="09DBDEA2"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160</w:t>
            </w:r>
          </w:p>
          <w:p w14:paraId="27616018" w14:textId="77777777" w:rsidR="000A387C" w:rsidRPr="00664E64" w:rsidRDefault="000A387C" w:rsidP="00A55CD9">
            <w:pPr>
              <w:pStyle w:val="TableTextCentre"/>
              <w:rPr>
                <w:lang w:val="en-AU"/>
              </w:rPr>
            </w:pPr>
            <w:r w:rsidRPr="00664E64">
              <w:rPr>
                <w:lang w:val="en-AU"/>
              </w:rPr>
              <w:t>(24.0%)</w:t>
            </w:r>
          </w:p>
        </w:tc>
      </w:tr>
      <w:tr w:rsidR="000A387C" w:rsidRPr="00664E64" w14:paraId="53BBD476" w14:textId="77777777" w:rsidTr="00A41688">
        <w:trPr>
          <w:trHeight w:val="368"/>
        </w:trPr>
        <w:tc>
          <w:tcPr>
            <w:tcW w:w="1831" w:type="pct"/>
            <w:noWrap/>
            <w:hideMark/>
          </w:tcPr>
          <w:p w14:paraId="4E7BFF38" w14:textId="77777777" w:rsidR="000A387C" w:rsidRPr="00664E64" w:rsidRDefault="000A387C" w:rsidP="00A55CD9">
            <w:pPr>
              <w:pStyle w:val="TableText"/>
              <w:rPr>
                <w:lang w:val="en-AU"/>
              </w:rPr>
            </w:pPr>
            <w:r w:rsidRPr="00664E64">
              <w:rPr>
                <w:lang w:val="en-AU"/>
              </w:rPr>
              <w:t>Moderate risk gambling </w:t>
            </w:r>
          </w:p>
        </w:tc>
        <w:tc>
          <w:tcPr>
            <w:tcW w:w="793" w:type="pct"/>
            <w:noWrap/>
            <w:hideMark/>
          </w:tcPr>
          <w:p w14:paraId="05FADE6A" w14:textId="52F89A68" w:rsidR="000A387C" w:rsidRPr="00664E64" w:rsidRDefault="00707BD9" w:rsidP="00A55CD9">
            <w:pPr>
              <w:pStyle w:val="TableTextCentre"/>
              <w:rPr>
                <w:lang w:val="en-AU"/>
              </w:rPr>
            </w:pPr>
            <w:r w:rsidRPr="00664E64">
              <w:rPr>
                <w:i/>
                <w:lang w:val="en-AU"/>
              </w:rPr>
              <w:t xml:space="preserve">n </w:t>
            </w:r>
            <w:r w:rsidR="000A387C" w:rsidRPr="00664E64">
              <w:rPr>
                <w:lang w:val="en-AU"/>
              </w:rPr>
              <w:t>=</w:t>
            </w:r>
            <w:r w:rsidRPr="00664E64">
              <w:rPr>
                <w:lang w:val="en-AU"/>
              </w:rPr>
              <w:t xml:space="preserve"> </w:t>
            </w:r>
            <w:r w:rsidR="000A387C" w:rsidRPr="00664E64">
              <w:rPr>
                <w:lang w:val="en-AU"/>
              </w:rPr>
              <w:t>228</w:t>
            </w:r>
          </w:p>
          <w:p w14:paraId="04333E89" w14:textId="77777777" w:rsidR="000A387C" w:rsidRPr="00664E64" w:rsidRDefault="000A387C" w:rsidP="00A55CD9">
            <w:pPr>
              <w:pStyle w:val="TableTextCentre"/>
              <w:rPr>
                <w:lang w:val="en-AU"/>
              </w:rPr>
            </w:pPr>
            <w:r w:rsidRPr="00664E64">
              <w:rPr>
                <w:lang w:val="en-AU"/>
              </w:rPr>
              <w:t>(24.3%)</w:t>
            </w:r>
          </w:p>
        </w:tc>
        <w:tc>
          <w:tcPr>
            <w:tcW w:w="792" w:type="pct"/>
          </w:tcPr>
          <w:p w14:paraId="3CF2BFD2" w14:textId="26487268" w:rsidR="000A387C" w:rsidRPr="00664E64" w:rsidRDefault="00707BD9" w:rsidP="00A55CD9">
            <w:pPr>
              <w:pStyle w:val="TableTextCentre"/>
              <w:rPr>
                <w:lang w:val="en-AU"/>
              </w:rPr>
            </w:pPr>
            <w:r w:rsidRPr="00664E64">
              <w:rPr>
                <w:i/>
                <w:lang w:val="en-AU"/>
              </w:rPr>
              <w:t xml:space="preserve">n </w:t>
            </w:r>
            <w:r w:rsidR="000A387C" w:rsidRPr="00664E64">
              <w:rPr>
                <w:lang w:val="en-AU"/>
              </w:rPr>
              <w:t>=</w:t>
            </w:r>
            <w:r w:rsidRPr="00664E64">
              <w:rPr>
                <w:lang w:val="en-AU"/>
              </w:rPr>
              <w:t xml:space="preserve"> </w:t>
            </w:r>
            <w:r w:rsidR="000A387C" w:rsidRPr="00664E64">
              <w:rPr>
                <w:lang w:val="en-AU"/>
              </w:rPr>
              <w:t>321</w:t>
            </w:r>
          </w:p>
          <w:p w14:paraId="47B5C204" w14:textId="77777777" w:rsidR="000A387C" w:rsidRPr="00664E64" w:rsidRDefault="000A387C" w:rsidP="00A55CD9">
            <w:pPr>
              <w:pStyle w:val="TableTextCentre"/>
              <w:rPr>
                <w:lang w:val="en-AU"/>
              </w:rPr>
            </w:pPr>
            <w:r w:rsidRPr="00664E64">
              <w:rPr>
                <w:lang w:val="en-AU"/>
              </w:rPr>
              <w:t>(19.6%)</w:t>
            </w:r>
          </w:p>
        </w:tc>
        <w:tc>
          <w:tcPr>
            <w:tcW w:w="792" w:type="pct"/>
          </w:tcPr>
          <w:p w14:paraId="22E0EE6B" w14:textId="4459C577"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205</w:t>
            </w:r>
          </w:p>
          <w:p w14:paraId="2A2745FB" w14:textId="77777777" w:rsidR="000A387C" w:rsidRPr="00664E64" w:rsidRDefault="000A387C" w:rsidP="00A55CD9">
            <w:pPr>
              <w:pStyle w:val="TableTextCentre"/>
              <w:rPr>
                <w:lang w:val="en-AU"/>
              </w:rPr>
            </w:pPr>
            <w:r w:rsidRPr="00664E64">
              <w:rPr>
                <w:lang w:val="en-AU"/>
              </w:rPr>
              <w:t>(16.1%)</w:t>
            </w:r>
          </w:p>
        </w:tc>
        <w:tc>
          <w:tcPr>
            <w:tcW w:w="792" w:type="pct"/>
          </w:tcPr>
          <w:p w14:paraId="3FB4701F" w14:textId="42F93D39"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92</w:t>
            </w:r>
          </w:p>
          <w:p w14:paraId="083E291C" w14:textId="77777777" w:rsidR="000A387C" w:rsidRPr="00664E64" w:rsidRDefault="000A387C" w:rsidP="00A55CD9">
            <w:pPr>
              <w:pStyle w:val="TableTextCentre"/>
              <w:rPr>
                <w:lang w:val="en-AU"/>
              </w:rPr>
            </w:pPr>
            <w:r w:rsidRPr="00664E64">
              <w:rPr>
                <w:lang w:val="en-AU"/>
              </w:rPr>
              <w:t>(13.8%)</w:t>
            </w:r>
          </w:p>
        </w:tc>
      </w:tr>
      <w:tr w:rsidR="000A387C" w:rsidRPr="00664E64" w14:paraId="7024D07C" w14:textId="77777777" w:rsidTr="00A41688">
        <w:trPr>
          <w:trHeight w:val="368"/>
        </w:trPr>
        <w:tc>
          <w:tcPr>
            <w:tcW w:w="1831" w:type="pct"/>
            <w:noWrap/>
            <w:hideMark/>
          </w:tcPr>
          <w:p w14:paraId="67D2A308" w14:textId="77777777" w:rsidR="000A387C" w:rsidRPr="00664E64" w:rsidRDefault="000A387C" w:rsidP="00A55CD9">
            <w:pPr>
              <w:pStyle w:val="TableText"/>
              <w:rPr>
                <w:lang w:val="en-AU"/>
              </w:rPr>
            </w:pPr>
            <w:r w:rsidRPr="00664E64">
              <w:rPr>
                <w:lang w:val="en-AU"/>
              </w:rPr>
              <w:t>Problem gambling </w:t>
            </w:r>
          </w:p>
        </w:tc>
        <w:tc>
          <w:tcPr>
            <w:tcW w:w="793" w:type="pct"/>
            <w:noWrap/>
            <w:hideMark/>
          </w:tcPr>
          <w:p w14:paraId="16C566E4" w14:textId="6EAE891F" w:rsidR="000A387C" w:rsidRPr="00664E64" w:rsidRDefault="00707BD9" w:rsidP="00A55CD9">
            <w:pPr>
              <w:pStyle w:val="TableTextCentre"/>
              <w:rPr>
                <w:lang w:val="en-AU"/>
              </w:rPr>
            </w:pPr>
            <w:r w:rsidRPr="00664E64">
              <w:rPr>
                <w:i/>
                <w:lang w:val="en-AU"/>
              </w:rPr>
              <w:t>n</w:t>
            </w:r>
            <w:r w:rsidRPr="00664E64">
              <w:rPr>
                <w:lang w:val="en-AU"/>
              </w:rPr>
              <w:t xml:space="preserve"> </w:t>
            </w:r>
            <w:r w:rsidR="000A387C" w:rsidRPr="00664E64">
              <w:rPr>
                <w:lang w:val="en-AU"/>
              </w:rPr>
              <w:t>=</w:t>
            </w:r>
            <w:r w:rsidRPr="00664E64">
              <w:rPr>
                <w:lang w:val="en-AU"/>
              </w:rPr>
              <w:t xml:space="preserve"> </w:t>
            </w:r>
            <w:r w:rsidR="000A387C" w:rsidRPr="00664E64">
              <w:rPr>
                <w:lang w:val="en-AU"/>
              </w:rPr>
              <w:t>118</w:t>
            </w:r>
          </w:p>
          <w:p w14:paraId="2E08EB68" w14:textId="77777777" w:rsidR="000A387C" w:rsidRPr="00664E64" w:rsidRDefault="000A387C" w:rsidP="00A55CD9">
            <w:pPr>
              <w:pStyle w:val="TableTextCentre"/>
              <w:rPr>
                <w:lang w:val="en-AU"/>
              </w:rPr>
            </w:pPr>
            <w:r w:rsidRPr="00664E64">
              <w:rPr>
                <w:lang w:val="en-AU"/>
              </w:rPr>
              <w:t>(12.6%)</w:t>
            </w:r>
          </w:p>
        </w:tc>
        <w:tc>
          <w:tcPr>
            <w:tcW w:w="792" w:type="pct"/>
          </w:tcPr>
          <w:p w14:paraId="273BBF90" w14:textId="38CF6D2A" w:rsidR="000A387C" w:rsidRPr="00664E64" w:rsidRDefault="00707BD9" w:rsidP="00A55CD9">
            <w:pPr>
              <w:pStyle w:val="TableTextCentre"/>
              <w:rPr>
                <w:lang w:val="en-AU"/>
              </w:rPr>
            </w:pPr>
            <w:r w:rsidRPr="00664E64">
              <w:rPr>
                <w:i/>
                <w:lang w:val="en-AU"/>
              </w:rPr>
              <w:t xml:space="preserve">n </w:t>
            </w:r>
            <w:r w:rsidR="000A387C" w:rsidRPr="00664E64">
              <w:rPr>
                <w:lang w:val="en-AU"/>
              </w:rPr>
              <w:t>=</w:t>
            </w:r>
            <w:r w:rsidRPr="00664E64">
              <w:rPr>
                <w:lang w:val="en-AU"/>
              </w:rPr>
              <w:t xml:space="preserve"> </w:t>
            </w:r>
            <w:r w:rsidR="000A387C" w:rsidRPr="00664E64">
              <w:rPr>
                <w:lang w:val="en-AU"/>
              </w:rPr>
              <w:t>164</w:t>
            </w:r>
          </w:p>
          <w:p w14:paraId="3A30B56E" w14:textId="77777777" w:rsidR="000A387C" w:rsidRPr="00664E64" w:rsidRDefault="000A387C" w:rsidP="00A55CD9">
            <w:pPr>
              <w:pStyle w:val="TableTextCentre"/>
              <w:rPr>
                <w:lang w:val="en-AU"/>
              </w:rPr>
            </w:pPr>
            <w:r w:rsidRPr="00664E64">
              <w:rPr>
                <w:lang w:val="en-AU"/>
              </w:rPr>
              <w:t>(10.0%)</w:t>
            </w:r>
          </w:p>
        </w:tc>
        <w:tc>
          <w:tcPr>
            <w:tcW w:w="792" w:type="pct"/>
          </w:tcPr>
          <w:p w14:paraId="79AD06B0" w14:textId="089BA453"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74</w:t>
            </w:r>
          </w:p>
          <w:p w14:paraId="7DE683F2" w14:textId="77777777" w:rsidR="000A387C" w:rsidRPr="00664E64" w:rsidRDefault="000A387C" w:rsidP="00A55CD9">
            <w:pPr>
              <w:pStyle w:val="TableTextCentre"/>
              <w:rPr>
                <w:lang w:val="en-AU"/>
              </w:rPr>
            </w:pPr>
            <w:r w:rsidRPr="00664E64">
              <w:rPr>
                <w:lang w:val="en-AU"/>
              </w:rPr>
              <w:t>(5.8%)</w:t>
            </w:r>
          </w:p>
        </w:tc>
        <w:tc>
          <w:tcPr>
            <w:tcW w:w="792" w:type="pct"/>
          </w:tcPr>
          <w:p w14:paraId="0F60DE6B" w14:textId="55FBC33E"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20</w:t>
            </w:r>
          </w:p>
          <w:p w14:paraId="124159F5" w14:textId="77777777" w:rsidR="000A387C" w:rsidRPr="00664E64" w:rsidRDefault="000A387C" w:rsidP="00A55CD9">
            <w:pPr>
              <w:pStyle w:val="TableTextCentre"/>
              <w:rPr>
                <w:lang w:val="en-AU"/>
              </w:rPr>
            </w:pPr>
            <w:r w:rsidRPr="00664E64">
              <w:rPr>
                <w:lang w:val="en-AU"/>
              </w:rPr>
              <w:t>(3.0%)</w:t>
            </w:r>
          </w:p>
        </w:tc>
      </w:tr>
      <w:tr w:rsidR="000A387C" w:rsidRPr="00664E64" w14:paraId="43A61637" w14:textId="77777777" w:rsidTr="00A41688">
        <w:trPr>
          <w:trHeight w:val="368"/>
        </w:trPr>
        <w:tc>
          <w:tcPr>
            <w:tcW w:w="1831" w:type="pct"/>
            <w:noWrap/>
            <w:hideMark/>
          </w:tcPr>
          <w:p w14:paraId="4F5F25FF" w14:textId="77777777" w:rsidR="000A387C" w:rsidRPr="00664E64" w:rsidRDefault="000A387C" w:rsidP="00A55CD9">
            <w:pPr>
              <w:pStyle w:val="TableText"/>
              <w:rPr>
                <w:b/>
                <w:lang w:val="en-AU"/>
              </w:rPr>
            </w:pPr>
            <w:r w:rsidRPr="00664E64">
              <w:rPr>
                <w:b/>
                <w:lang w:val="en-AU"/>
              </w:rPr>
              <w:t>Any risk</w:t>
            </w:r>
          </w:p>
        </w:tc>
        <w:tc>
          <w:tcPr>
            <w:tcW w:w="793" w:type="pct"/>
            <w:noWrap/>
            <w:hideMark/>
          </w:tcPr>
          <w:p w14:paraId="104198B5" w14:textId="367DF91E" w:rsidR="000A387C" w:rsidRPr="00664E64" w:rsidRDefault="00707BD9" w:rsidP="00A55CD9">
            <w:pPr>
              <w:pStyle w:val="TableTextCentre"/>
              <w:rPr>
                <w:lang w:val="en-AU"/>
              </w:rPr>
            </w:pPr>
            <w:r w:rsidRPr="00664E64">
              <w:rPr>
                <w:i/>
                <w:lang w:val="en-AU"/>
              </w:rPr>
              <w:t>n</w:t>
            </w:r>
            <w:r w:rsidRPr="00664E64">
              <w:rPr>
                <w:lang w:val="en-AU"/>
              </w:rPr>
              <w:t xml:space="preserve"> </w:t>
            </w:r>
            <w:r w:rsidR="000A387C" w:rsidRPr="00664E64">
              <w:rPr>
                <w:lang w:val="en-AU"/>
              </w:rPr>
              <w:t>=</w:t>
            </w:r>
            <w:r w:rsidRPr="00664E64">
              <w:rPr>
                <w:lang w:val="en-AU"/>
              </w:rPr>
              <w:t xml:space="preserve"> </w:t>
            </w:r>
            <w:r w:rsidR="000A387C" w:rsidRPr="00664E64">
              <w:rPr>
                <w:lang w:val="en-AU"/>
              </w:rPr>
              <w:t>603</w:t>
            </w:r>
          </w:p>
          <w:p w14:paraId="3F8C0EE7" w14:textId="77777777" w:rsidR="000A387C" w:rsidRPr="00664E64" w:rsidRDefault="000A387C" w:rsidP="00A55CD9">
            <w:pPr>
              <w:pStyle w:val="TableTextCentre"/>
              <w:rPr>
                <w:b/>
                <w:lang w:val="en-AU"/>
              </w:rPr>
            </w:pPr>
            <w:r w:rsidRPr="00664E64">
              <w:rPr>
                <w:lang w:val="en-AU"/>
              </w:rPr>
              <w:t>(64.4%)</w:t>
            </w:r>
          </w:p>
        </w:tc>
        <w:tc>
          <w:tcPr>
            <w:tcW w:w="792" w:type="pct"/>
          </w:tcPr>
          <w:p w14:paraId="7B2481C4" w14:textId="19CAB457" w:rsidR="000A387C" w:rsidRPr="00664E64" w:rsidRDefault="00707BD9" w:rsidP="00A55CD9">
            <w:pPr>
              <w:pStyle w:val="TableTextCentre"/>
              <w:rPr>
                <w:lang w:val="en-AU"/>
              </w:rPr>
            </w:pPr>
            <w:r w:rsidRPr="00664E64">
              <w:rPr>
                <w:i/>
                <w:lang w:val="en-AU"/>
              </w:rPr>
              <w:t xml:space="preserve">n </w:t>
            </w:r>
            <w:r w:rsidR="000A387C" w:rsidRPr="00664E64">
              <w:rPr>
                <w:lang w:val="en-AU"/>
              </w:rPr>
              <w:t>=</w:t>
            </w:r>
            <w:r w:rsidRPr="00664E64">
              <w:rPr>
                <w:lang w:val="en-AU"/>
              </w:rPr>
              <w:t xml:space="preserve"> </w:t>
            </w:r>
            <w:r w:rsidR="000A387C" w:rsidRPr="00664E64">
              <w:rPr>
                <w:lang w:val="en-AU"/>
              </w:rPr>
              <w:t>886</w:t>
            </w:r>
          </w:p>
          <w:p w14:paraId="429331D7" w14:textId="77777777" w:rsidR="000A387C" w:rsidRPr="00664E64" w:rsidRDefault="000A387C" w:rsidP="00A55CD9">
            <w:pPr>
              <w:pStyle w:val="TableTextCentre"/>
              <w:rPr>
                <w:b/>
                <w:lang w:val="en-AU"/>
              </w:rPr>
            </w:pPr>
            <w:r w:rsidRPr="00664E64">
              <w:rPr>
                <w:lang w:val="en-AU"/>
              </w:rPr>
              <w:t>(54.1%)</w:t>
            </w:r>
          </w:p>
        </w:tc>
        <w:tc>
          <w:tcPr>
            <w:tcW w:w="792" w:type="pct"/>
          </w:tcPr>
          <w:p w14:paraId="23EBE5D7" w14:textId="1075292D"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593</w:t>
            </w:r>
          </w:p>
          <w:p w14:paraId="2BDD2FB1" w14:textId="77777777" w:rsidR="000A387C" w:rsidRPr="00664E64" w:rsidRDefault="000A387C" w:rsidP="00A55CD9">
            <w:pPr>
              <w:pStyle w:val="TableTextCentre"/>
              <w:rPr>
                <w:lang w:val="en-AU"/>
              </w:rPr>
            </w:pPr>
            <w:r w:rsidRPr="00664E64">
              <w:rPr>
                <w:lang w:val="en-AU"/>
              </w:rPr>
              <w:t>(46.5%)</w:t>
            </w:r>
          </w:p>
        </w:tc>
        <w:tc>
          <w:tcPr>
            <w:tcW w:w="792" w:type="pct"/>
          </w:tcPr>
          <w:p w14:paraId="5F7B50D2" w14:textId="79B96655" w:rsidR="000A387C" w:rsidRPr="00664E64" w:rsidRDefault="00707BD9" w:rsidP="00A55CD9">
            <w:pPr>
              <w:pStyle w:val="TableTextCentre"/>
              <w:rPr>
                <w:lang w:val="en-AU"/>
              </w:rPr>
            </w:pPr>
            <w:r w:rsidRPr="00664E64">
              <w:rPr>
                <w:i/>
                <w:lang w:val="en-AU"/>
              </w:rPr>
              <w:t xml:space="preserve">n </w:t>
            </w:r>
            <w:r w:rsidRPr="00664E64">
              <w:rPr>
                <w:lang w:val="en-AU"/>
              </w:rPr>
              <w:t xml:space="preserve">= </w:t>
            </w:r>
            <w:r w:rsidR="000A387C" w:rsidRPr="00664E64">
              <w:rPr>
                <w:lang w:val="en-AU"/>
              </w:rPr>
              <w:t>272</w:t>
            </w:r>
          </w:p>
          <w:p w14:paraId="18D878FC" w14:textId="77777777" w:rsidR="000A387C" w:rsidRPr="00664E64" w:rsidRDefault="000A387C" w:rsidP="00A55CD9">
            <w:pPr>
              <w:pStyle w:val="TableTextCentre"/>
              <w:rPr>
                <w:lang w:val="en-AU"/>
              </w:rPr>
            </w:pPr>
            <w:r w:rsidRPr="00664E64">
              <w:rPr>
                <w:lang w:val="en-AU"/>
              </w:rPr>
              <w:t>(40.8%)</w:t>
            </w:r>
          </w:p>
        </w:tc>
      </w:tr>
    </w:tbl>
    <w:p w14:paraId="36558549" w14:textId="1790DA2B" w:rsidR="00821340" w:rsidRPr="00821340" w:rsidRDefault="00821340" w:rsidP="00821340">
      <w:pPr>
        <w:pStyle w:val="BodyText"/>
        <w:pBdr>
          <w:bottom w:val="single" w:sz="4" w:space="1" w:color="auto"/>
        </w:pBdr>
        <w:spacing w:before="0"/>
        <w:rPr>
          <w:rFonts w:eastAsia="Calibri"/>
          <w:sz w:val="18"/>
          <w:szCs w:val="18"/>
        </w:rPr>
      </w:pPr>
      <w:r w:rsidRPr="00821340">
        <w:rPr>
          <w:sz w:val="18"/>
          <w:szCs w:val="18"/>
        </w:rPr>
        <w:t>Notes: ‘Any risk’ category includes low-risk, moderate-risk and problem gamblers. Age reported as ‘Rather not say/Don’t know’ excluded. Columns add to 100% (excluding ‘Any risk’ row).</w:t>
      </w:r>
    </w:p>
    <w:p w14:paraId="361585BF" w14:textId="7C35C863" w:rsidR="00230ADC" w:rsidRPr="00664E64" w:rsidRDefault="00230ADC" w:rsidP="00A55CD9">
      <w:pPr>
        <w:pStyle w:val="BodyText"/>
        <w:rPr>
          <w:rFonts w:eastAsia="Calibri"/>
        </w:rPr>
      </w:pPr>
      <w:r w:rsidRPr="00664E64">
        <w:rPr>
          <w:rFonts w:eastAsia="Calibri"/>
        </w:rPr>
        <w:t>Among those who were classified as experiencing any risk of gambling problems (</w:t>
      </w:r>
      <w:r w:rsidR="00707BD9" w:rsidRPr="00664E64">
        <w:rPr>
          <w:i/>
        </w:rPr>
        <w:t>n</w:t>
      </w:r>
      <w:r w:rsidR="00707BD9" w:rsidRPr="00664E64">
        <w:rPr>
          <w:rFonts w:eastAsia="Calibri"/>
        </w:rPr>
        <w:t xml:space="preserve"> </w:t>
      </w:r>
      <w:r w:rsidRPr="00664E64">
        <w:rPr>
          <w:rFonts w:eastAsia="Calibri"/>
        </w:rPr>
        <w:t>=</w:t>
      </w:r>
      <w:r w:rsidR="00707BD9" w:rsidRPr="00664E64">
        <w:rPr>
          <w:rFonts w:eastAsia="Calibri"/>
        </w:rPr>
        <w:t xml:space="preserve"> </w:t>
      </w:r>
      <w:r w:rsidRPr="00664E64">
        <w:rPr>
          <w:rFonts w:eastAsia="Calibri"/>
        </w:rPr>
        <w:t xml:space="preserve">2,629), 77% reported having wagered </w:t>
      </w:r>
      <w:r w:rsidR="00707BD9" w:rsidRPr="00664E64">
        <w:rPr>
          <w:rFonts w:eastAsia="Calibri"/>
        </w:rPr>
        <w:t xml:space="preserve">on </w:t>
      </w:r>
      <w:r w:rsidRPr="00664E64">
        <w:rPr>
          <w:rFonts w:eastAsia="Calibri"/>
        </w:rPr>
        <w:t xml:space="preserve">horse racing in the last 12 months and 62% on sports. A similar trend was observed for those who </w:t>
      </w:r>
      <w:r w:rsidR="00707BD9" w:rsidRPr="00664E64">
        <w:rPr>
          <w:rFonts w:eastAsia="Calibri"/>
        </w:rPr>
        <w:t xml:space="preserve">were </w:t>
      </w:r>
      <w:r w:rsidRPr="00664E64">
        <w:rPr>
          <w:rFonts w:eastAsia="Calibri"/>
        </w:rPr>
        <w:t>classified as experiencing ‘problem gambling’ (Table 5.2</w:t>
      </w:r>
      <w:r w:rsidR="00F57245" w:rsidRPr="00664E64">
        <w:rPr>
          <w:rFonts w:eastAsia="Calibri"/>
        </w:rPr>
        <w:t>5</w:t>
      </w:r>
      <w:r w:rsidRPr="00664E64">
        <w:rPr>
          <w:rFonts w:eastAsia="Calibri"/>
        </w:rPr>
        <w:t>).</w:t>
      </w:r>
    </w:p>
    <w:p w14:paraId="72B8B94A" w14:textId="4ED01EFC" w:rsidR="00230ADC" w:rsidRPr="00664E64" w:rsidRDefault="00230ADC" w:rsidP="00A55CD9">
      <w:pPr>
        <w:pStyle w:val="BodyText"/>
        <w:rPr>
          <w:rFonts w:eastAsia="Calibri"/>
        </w:rPr>
      </w:pPr>
      <w:r w:rsidRPr="00664E64">
        <w:rPr>
          <w:rFonts w:eastAsia="Calibri"/>
        </w:rPr>
        <w:t>Few participants who were classified as being at risk of harm</w:t>
      </w:r>
      <w:r w:rsidR="00C83926" w:rsidRPr="00664E64">
        <w:rPr>
          <w:rFonts w:eastAsia="Calibri"/>
        </w:rPr>
        <w:t xml:space="preserve"> </w:t>
      </w:r>
      <w:r w:rsidRPr="00664E64">
        <w:rPr>
          <w:rFonts w:eastAsia="Calibri"/>
        </w:rPr>
        <w:t xml:space="preserve">reported having wagered on eSports (4%) or </w:t>
      </w:r>
      <w:r w:rsidR="00707BD9" w:rsidRPr="00664E64">
        <w:rPr>
          <w:rFonts w:eastAsia="Calibri"/>
        </w:rPr>
        <w:t xml:space="preserve">current affairs </w:t>
      </w:r>
      <w:r w:rsidRPr="00664E64">
        <w:rPr>
          <w:rFonts w:eastAsia="Calibri"/>
        </w:rPr>
        <w:t>(3%) during that time (Table 5.2</w:t>
      </w:r>
      <w:r w:rsidR="00707BD9" w:rsidRPr="00664E64">
        <w:rPr>
          <w:rFonts w:eastAsia="Calibri"/>
        </w:rPr>
        <w:t>5</w:t>
      </w:r>
      <w:r w:rsidRPr="00664E64">
        <w:rPr>
          <w:rFonts w:eastAsia="Calibri"/>
        </w:rPr>
        <w:t xml:space="preserve">). </w:t>
      </w:r>
    </w:p>
    <w:p w14:paraId="33A941F9" w14:textId="3630F186" w:rsidR="00230ADC" w:rsidRPr="00267E2C" w:rsidRDefault="00230ADC" w:rsidP="00415C73">
      <w:pPr>
        <w:pStyle w:val="FigureCaption"/>
        <w:rPr>
          <w:color w:val="auto"/>
          <w:lang w:val="en-AU"/>
        </w:rPr>
      </w:pPr>
      <w:bookmarkStart w:id="82" w:name="_Toc12549585"/>
      <w:r w:rsidRPr="00267E2C">
        <w:rPr>
          <w:color w:val="auto"/>
          <w:lang w:val="en-AU"/>
        </w:rPr>
        <w:t>Table 5.</w:t>
      </w:r>
      <w:r w:rsidR="00F57245" w:rsidRPr="00267E2C">
        <w:rPr>
          <w:color w:val="auto"/>
          <w:lang w:val="en-AU"/>
        </w:rPr>
        <w:t>25</w:t>
      </w:r>
      <w:r w:rsidR="00707BD9" w:rsidRPr="00267E2C">
        <w:rPr>
          <w:color w:val="auto"/>
          <w:lang w:val="en-AU"/>
        </w:rPr>
        <w:t>:</w:t>
      </w:r>
      <w:r w:rsidR="00F57245" w:rsidRPr="00267E2C">
        <w:rPr>
          <w:color w:val="auto"/>
          <w:lang w:val="en-AU"/>
        </w:rPr>
        <w:t xml:space="preserve"> </w:t>
      </w:r>
      <w:r w:rsidRPr="00267E2C">
        <w:rPr>
          <w:color w:val="auto"/>
          <w:lang w:val="en-AU"/>
        </w:rPr>
        <w:t>Proportions of respondents in each risk category</w:t>
      </w:r>
      <w:r w:rsidR="00E13773" w:rsidRPr="00267E2C">
        <w:rPr>
          <w:color w:val="auto"/>
          <w:lang w:val="en-AU"/>
        </w:rPr>
        <w:t>,</w:t>
      </w:r>
      <w:r w:rsidRPr="00267E2C">
        <w:rPr>
          <w:color w:val="auto"/>
          <w:lang w:val="en-AU"/>
        </w:rPr>
        <w:t xml:space="preserve"> by activit</w:t>
      </w:r>
      <w:r w:rsidR="00E13773" w:rsidRPr="00267E2C">
        <w:rPr>
          <w:color w:val="auto"/>
          <w:lang w:val="en-AU"/>
        </w:rPr>
        <w:t>y</w:t>
      </w:r>
      <w:bookmarkEnd w:id="82"/>
    </w:p>
    <w:tbl>
      <w:tblPr>
        <w:tblStyle w:val="TableGrid"/>
        <w:tblW w:w="5000" w:type="pct"/>
        <w:tblLook w:val="04A0" w:firstRow="1" w:lastRow="0" w:firstColumn="1" w:lastColumn="0" w:noHBand="0" w:noVBand="1"/>
        <w:tblCaption w:val="Proportions of respondents in each risk category, by activity"/>
        <w:tblDescription w:val="This table goes through the risk categories by the percentage of in each category who takes part in each gambling activity."/>
      </w:tblPr>
      <w:tblGrid>
        <w:gridCol w:w="2057"/>
        <w:gridCol w:w="805"/>
        <w:gridCol w:w="805"/>
        <w:gridCol w:w="813"/>
        <w:gridCol w:w="816"/>
        <w:gridCol w:w="787"/>
        <w:gridCol w:w="806"/>
        <w:gridCol w:w="806"/>
        <w:gridCol w:w="804"/>
      </w:tblGrid>
      <w:tr w:rsidR="00230ADC" w:rsidRPr="00664E64" w14:paraId="7491D54D" w14:textId="77777777" w:rsidTr="00821340">
        <w:trPr>
          <w:cnfStyle w:val="100000000000" w:firstRow="1" w:lastRow="0" w:firstColumn="0" w:lastColumn="0" w:oddVBand="0" w:evenVBand="0" w:oddHBand="0" w:evenHBand="0" w:firstRowFirstColumn="0" w:firstRowLastColumn="0" w:lastRowFirstColumn="0" w:lastRowLastColumn="0"/>
          <w:trHeight w:val="443"/>
          <w:tblHeader/>
        </w:trPr>
        <w:tc>
          <w:tcPr>
            <w:tcW w:w="1210" w:type="pct"/>
            <w:noWrap/>
            <w:hideMark/>
          </w:tcPr>
          <w:p w14:paraId="7F54AB1F" w14:textId="77777777" w:rsidR="00230ADC" w:rsidRPr="00664E64" w:rsidRDefault="00230ADC" w:rsidP="00A55CD9">
            <w:pPr>
              <w:pStyle w:val="TableColHeadLeft"/>
              <w:rPr>
                <w:lang w:val="en-AU"/>
              </w:rPr>
            </w:pPr>
            <w:r w:rsidRPr="00664E64">
              <w:rPr>
                <w:lang w:val="en-AU"/>
              </w:rPr>
              <w:t>Risk group (</w:t>
            </w:r>
            <w:r w:rsidRPr="00664E64">
              <w:rPr>
                <w:i/>
                <w:lang w:val="en-AU"/>
              </w:rPr>
              <w:t>N</w:t>
            </w:r>
            <w:r w:rsidRPr="00664E64">
              <w:rPr>
                <w:lang w:val="en-AU"/>
              </w:rPr>
              <w:t>)</w:t>
            </w:r>
          </w:p>
        </w:tc>
        <w:tc>
          <w:tcPr>
            <w:tcW w:w="474" w:type="pct"/>
          </w:tcPr>
          <w:p w14:paraId="6E35B0E8" w14:textId="77777777" w:rsidR="00230ADC" w:rsidRPr="00664E64" w:rsidRDefault="00230ADC" w:rsidP="00A55CD9">
            <w:pPr>
              <w:pStyle w:val="TableColHeadCentre"/>
              <w:rPr>
                <w:sz w:val="16"/>
                <w:szCs w:val="16"/>
                <w:lang w:val="en-AU"/>
              </w:rPr>
            </w:pPr>
            <w:r w:rsidRPr="00664E64">
              <w:rPr>
                <w:sz w:val="16"/>
                <w:szCs w:val="16"/>
                <w:lang w:val="en-AU"/>
              </w:rPr>
              <w:t>Sports</w:t>
            </w:r>
          </w:p>
        </w:tc>
        <w:tc>
          <w:tcPr>
            <w:tcW w:w="474" w:type="pct"/>
          </w:tcPr>
          <w:p w14:paraId="1CD09CCF" w14:textId="77777777" w:rsidR="00230ADC" w:rsidRPr="00664E64" w:rsidRDefault="00230ADC" w:rsidP="00A55CD9">
            <w:pPr>
              <w:pStyle w:val="TableColHeadCentre"/>
              <w:rPr>
                <w:sz w:val="16"/>
                <w:szCs w:val="16"/>
                <w:lang w:val="en-AU"/>
              </w:rPr>
            </w:pPr>
            <w:r w:rsidRPr="00664E64">
              <w:rPr>
                <w:sz w:val="16"/>
                <w:szCs w:val="16"/>
                <w:lang w:val="en-AU"/>
              </w:rPr>
              <w:t>Horse racing</w:t>
            </w:r>
          </w:p>
        </w:tc>
        <w:tc>
          <w:tcPr>
            <w:tcW w:w="478" w:type="pct"/>
          </w:tcPr>
          <w:p w14:paraId="0A1C73AA" w14:textId="77777777" w:rsidR="00230ADC" w:rsidRPr="00664E64" w:rsidRDefault="00230ADC" w:rsidP="00A55CD9">
            <w:pPr>
              <w:pStyle w:val="TableColHeadCentre"/>
              <w:rPr>
                <w:sz w:val="16"/>
                <w:szCs w:val="16"/>
                <w:lang w:val="en-AU"/>
              </w:rPr>
            </w:pPr>
            <w:r w:rsidRPr="00664E64">
              <w:rPr>
                <w:sz w:val="16"/>
                <w:szCs w:val="16"/>
                <w:lang w:val="en-AU"/>
              </w:rPr>
              <w:t>Harness racing</w:t>
            </w:r>
          </w:p>
        </w:tc>
        <w:tc>
          <w:tcPr>
            <w:tcW w:w="480" w:type="pct"/>
          </w:tcPr>
          <w:p w14:paraId="008DF8A9" w14:textId="77777777" w:rsidR="00230ADC" w:rsidRPr="00664E64" w:rsidRDefault="00230ADC" w:rsidP="00A55CD9">
            <w:pPr>
              <w:pStyle w:val="TableColHeadCentre"/>
              <w:rPr>
                <w:sz w:val="16"/>
                <w:szCs w:val="16"/>
                <w:lang w:val="en-AU"/>
              </w:rPr>
            </w:pPr>
            <w:r w:rsidRPr="00664E64">
              <w:rPr>
                <w:sz w:val="16"/>
                <w:szCs w:val="16"/>
                <w:lang w:val="en-AU"/>
              </w:rPr>
              <w:t>G'hound racing</w:t>
            </w:r>
          </w:p>
        </w:tc>
        <w:tc>
          <w:tcPr>
            <w:tcW w:w="463" w:type="pct"/>
          </w:tcPr>
          <w:p w14:paraId="61890BD6" w14:textId="77777777" w:rsidR="00230ADC" w:rsidRPr="00664E64" w:rsidRDefault="00230ADC" w:rsidP="00A55CD9">
            <w:pPr>
              <w:pStyle w:val="TableColHeadCentre"/>
              <w:rPr>
                <w:sz w:val="16"/>
                <w:szCs w:val="16"/>
                <w:lang w:val="en-AU"/>
              </w:rPr>
            </w:pPr>
            <w:r w:rsidRPr="00664E64">
              <w:rPr>
                <w:sz w:val="16"/>
                <w:szCs w:val="16"/>
                <w:lang w:val="en-AU"/>
              </w:rPr>
              <w:t>Fantasy sports</w:t>
            </w:r>
          </w:p>
        </w:tc>
        <w:tc>
          <w:tcPr>
            <w:tcW w:w="474" w:type="pct"/>
          </w:tcPr>
          <w:p w14:paraId="61980388" w14:textId="77777777" w:rsidR="00230ADC" w:rsidRPr="00664E64" w:rsidRDefault="00230ADC" w:rsidP="00A55CD9">
            <w:pPr>
              <w:pStyle w:val="TableColHeadCentre"/>
              <w:rPr>
                <w:sz w:val="16"/>
                <w:szCs w:val="16"/>
                <w:lang w:val="en-AU"/>
              </w:rPr>
            </w:pPr>
            <w:r w:rsidRPr="00664E64">
              <w:rPr>
                <w:sz w:val="16"/>
                <w:szCs w:val="16"/>
                <w:lang w:val="en-AU"/>
              </w:rPr>
              <w:t>eSports</w:t>
            </w:r>
          </w:p>
        </w:tc>
        <w:tc>
          <w:tcPr>
            <w:tcW w:w="474" w:type="pct"/>
          </w:tcPr>
          <w:p w14:paraId="1FCC6834" w14:textId="77777777" w:rsidR="00230ADC" w:rsidRPr="00664E64" w:rsidRDefault="00230ADC" w:rsidP="00A55CD9">
            <w:pPr>
              <w:pStyle w:val="TableColHeadCentre"/>
              <w:rPr>
                <w:sz w:val="16"/>
                <w:szCs w:val="16"/>
                <w:lang w:val="en-AU"/>
              </w:rPr>
            </w:pPr>
            <w:r w:rsidRPr="00664E64">
              <w:rPr>
                <w:sz w:val="16"/>
                <w:szCs w:val="16"/>
                <w:lang w:val="en-AU"/>
              </w:rPr>
              <w:t>TV shows</w:t>
            </w:r>
          </w:p>
        </w:tc>
        <w:tc>
          <w:tcPr>
            <w:tcW w:w="473" w:type="pct"/>
          </w:tcPr>
          <w:p w14:paraId="7FC646AA" w14:textId="77777777" w:rsidR="00230ADC" w:rsidRPr="00664E64" w:rsidRDefault="00230ADC" w:rsidP="00A55CD9">
            <w:pPr>
              <w:pStyle w:val="TableColHeadCentre"/>
              <w:rPr>
                <w:sz w:val="16"/>
                <w:szCs w:val="16"/>
                <w:lang w:val="en-AU"/>
              </w:rPr>
            </w:pPr>
            <w:r w:rsidRPr="00664E64">
              <w:rPr>
                <w:sz w:val="16"/>
                <w:szCs w:val="16"/>
                <w:lang w:val="en-AU"/>
              </w:rPr>
              <w:t>Current affairs</w:t>
            </w:r>
          </w:p>
        </w:tc>
      </w:tr>
      <w:tr w:rsidR="00230ADC" w:rsidRPr="00664E64" w14:paraId="4748DF9A" w14:textId="77777777" w:rsidTr="00821340">
        <w:trPr>
          <w:trHeight w:val="680"/>
        </w:trPr>
        <w:tc>
          <w:tcPr>
            <w:tcW w:w="1210" w:type="pct"/>
            <w:noWrap/>
            <w:hideMark/>
          </w:tcPr>
          <w:p w14:paraId="19B0DA65" w14:textId="02E9CBDA" w:rsidR="00230ADC" w:rsidRPr="00664E64" w:rsidRDefault="00230ADC" w:rsidP="006F5F49">
            <w:pPr>
              <w:rPr>
                <w:rFonts w:cs="Arial"/>
                <w:bCs/>
                <w:color w:val="000000"/>
                <w:szCs w:val="20"/>
              </w:rPr>
            </w:pPr>
            <w:r w:rsidRPr="00664E64">
              <w:rPr>
                <w:rFonts w:cs="Arial"/>
                <w:bCs/>
                <w:color w:val="000000"/>
                <w:szCs w:val="20"/>
              </w:rPr>
              <w:t>Non-problem (2</w:t>
            </w:r>
            <w:r w:rsidR="00707BD9" w:rsidRPr="00664E64">
              <w:rPr>
                <w:rFonts w:cs="Arial"/>
                <w:bCs/>
                <w:color w:val="000000"/>
                <w:szCs w:val="20"/>
              </w:rPr>
              <w:t>,</w:t>
            </w:r>
            <w:r w:rsidRPr="00664E64">
              <w:rPr>
                <w:rFonts w:cs="Arial"/>
                <w:bCs/>
                <w:color w:val="000000"/>
                <w:szCs w:val="20"/>
              </w:rPr>
              <w:t>447)</w:t>
            </w:r>
          </w:p>
        </w:tc>
        <w:tc>
          <w:tcPr>
            <w:tcW w:w="474" w:type="pct"/>
          </w:tcPr>
          <w:p w14:paraId="30B70C11" w14:textId="77777777" w:rsidR="00230ADC" w:rsidRPr="00664E64" w:rsidRDefault="00230ADC" w:rsidP="00A55CD9">
            <w:pPr>
              <w:pStyle w:val="TableTextCentre"/>
              <w:rPr>
                <w:lang w:val="en-AU"/>
              </w:rPr>
            </w:pPr>
            <w:r w:rsidRPr="00664E64">
              <w:rPr>
                <w:lang w:val="en-AU"/>
              </w:rPr>
              <w:t>42.8</w:t>
            </w:r>
          </w:p>
        </w:tc>
        <w:tc>
          <w:tcPr>
            <w:tcW w:w="474" w:type="pct"/>
          </w:tcPr>
          <w:p w14:paraId="7956A491" w14:textId="77777777" w:rsidR="00230ADC" w:rsidRPr="00664E64" w:rsidRDefault="00230ADC" w:rsidP="00A55CD9">
            <w:pPr>
              <w:pStyle w:val="TableTextCentre"/>
              <w:rPr>
                <w:lang w:val="en-AU"/>
              </w:rPr>
            </w:pPr>
            <w:r w:rsidRPr="00664E64">
              <w:rPr>
                <w:lang w:val="en-AU"/>
              </w:rPr>
              <w:t>73.0</w:t>
            </w:r>
          </w:p>
        </w:tc>
        <w:tc>
          <w:tcPr>
            <w:tcW w:w="478" w:type="pct"/>
          </w:tcPr>
          <w:p w14:paraId="0BF437F4" w14:textId="77777777" w:rsidR="00230ADC" w:rsidRPr="00664E64" w:rsidRDefault="00230ADC" w:rsidP="00A55CD9">
            <w:pPr>
              <w:pStyle w:val="TableTextCentre"/>
              <w:rPr>
                <w:lang w:val="en-AU"/>
              </w:rPr>
            </w:pPr>
            <w:r w:rsidRPr="00664E64">
              <w:rPr>
                <w:lang w:val="en-AU"/>
              </w:rPr>
              <w:t>15.0</w:t>
            </w:r>
          </w:p>
        </w:tc>
        <w:tc>
          <w:tcPr>
            <w:tcW w:w="480" w:type="pct"/>
          </w:tcPr>
          <w:p w14:paraId="3313470F" w14:textId="77777777" w:rsidR="00230ADC" w:rsidRPr="00664E64" w:rsidRDefault="00230ADC" w:rsidP="00A55CD9">
            <w:pPr>
              <w:pStyle w:val="TableTextCentre"/>
              <w:rPr>
                <w:lang w:val="en-AU"/>
              </w:rPr>
            </w:pPr>
            <w:r w:rsidRPr="00664E64">
              <w:rPr>
                <w:lang w:val="en-AU"/>
              </w:rPr>
              <w:t>22.1</w:t>
            </w:r>
          </w:p>
        </w:tc>
        <w:tc>
          <w:tcPr>
            <w:tcW w:w="463" w:type="pct"/>
          </w:tcPr>
          <w:p w14:paraId="0599E5DE" w14:textId="77777777" w:rsidR="00230ADC" w:rsidRPr="00664E64" w:rsidRDefault="00230ADC" w:rsidP="00A55CD9">
            <w:pPr>
              <w:pStyle w:val="TableTextCentre"/>
              <w:rPr>
                <w:lang w:val="en-AU"/>
              </w:rPr>
            </w:pPr>
            <w:r w:rsidRPr="00664E64">
              <w:rPr>
                <w:lang w:val="en-AU"/>
              </w:rPr>
              <w:t>2.2</w:t>
            </w:r>
          </w:p>
        </w:tc>
        <w:tc>
          <w:tcPr>
            <w:tcW w:w="474" w:type="pct"/>
          </w:tcPr>
          <w:p w14:paraId="7C1419D6" w14:textId="77777777" w:rsidR="00230ADC" w:rsidRPr="00664E64" w:rsidRDefault="00230ADC" w:rsidP="00A55CD9">
            <w:pPr>
              <w:pStyle w:val="TableTextCentre"/>
              <w:rPr>
                <w:lang w:val="en-AU"/>
              </w:rPr>
            </w:pPr>
            <w:r w:rsidRPr="00664E64">
              <w:rPr>
                <w:lang w:val="en-AU"/>
              </w:rPr>
              <w:t>1.5</w:t>
            </w:r>
          </w:p>
        </w:tc>
        <w:tc>
          <w:tcPr>
            <w:tcW w:w="474" w:type="pct"/>
          </w:tcPr>
          <w:p w14:paraId="2A301CAE" w14:textId="77777777" w:rsidR="00230ADC" w:rsidRPr="00664E64" w:rsidRDefault="00230ADC" w:rsidP="00A55CD9">
            <w:pPr>
              <w:pStyle w:val="TableTextCentre"/>
              <w:rPr>
                <w:lang w:val="en-AU"/>
              </w:rPr>
            </w:pPr>
            <w:r w:rsidRPr="00664E64">
              <w:rPr>
                <w:lang w:val="en-AU"/>
              </w:rPr>
              <w:t>2.4</w:t>
            </w:r>
          </w:p>
        </w:tc>
        <w:tc>
          <w:tcPr>
            <w:tcW w:w="473" w:type="pct"/>
          </w:tcPr>
          <w:p w14:paraId="12C91575" w14:textId="77777777" w:rsidR="00230ADC" w:rsidRPr="00664E64" w:rsidRDefault="00230ADC" w:rsidP="00A55CD9">
            <w:pPr>
              <w:pStyle w:val="TableTextCentre"/>
              <w:rPr>
                <w:lang w:val="en-AU"/>
              </w:rPr>
            </w:pPr>
            <w:r w:rsidRPr="00664E64">
              <w:rPr>
                <w:lang w:val="en-AU"/>
              </w:rPr>
              <w:t>1.8</w:t>
            </w:r>
          </w:p>
        </w:tc>
      </w:tr>
      <w:tr w:rsidR="00230ADC" w:rsidRPr="00664E64" w14:paraId="7EB8086C" w14:textId="77777777" w:rsidTr="00821340">
        <w:trPr>
          <w:trHeight w:val="680"/>
        </w:trPr>
        <w:tc>
          <w:tcPr>
            <w:tcW w:w="1210" w:type="pct"/>
            <w:noWrap/>
            <w:hideMark/>
          </w:tcPr>
          <w:p w14:paraId="51B6F654" w14:textId="5E3E2563" w:rsidR="00230ADC" w:rsidRPr="00664E64" w:rsidRDefault="00230ADC" w:rsidP="006F5F49">
            <w:pPr>
              <w:rPr>
                <w:rFonts w:cs="Arial"/>
                <w:bCs/>
                <w:color w:val="000000"/>
                <w:szCs w:val="20"/>
              </w:rPr>
            </w:pPr>
            <w:r w:rsidRPr="00664E64">
              <w:rPr>
                <w:rFonts w:cs="Arial"/>
                <w:bCs/>
                <w:color w:val="000000"/>
                <w:szCs w:val="20"/>
              </w:rPr>
              <w:t>Low risk (1</w:t>
            </w:r>
            <w:r w:rsidR="00707BD9" w:rsidRPr="00664E64">
              <w:rPr>
                <w:rFonts w:cs="Arial"/>
                <w:bCs/>
                <w:color w:val="000000"/>
                <w:szCs w:val="20"/>
              </w:rPr>
              <w:t>,</w:t>
            </w:r>
            <w:r w:rsidRPr="00664E64">
              <w:rPr>
                <w:rFonts w:cs="Arial"/>
                <w:bCs/>
                <w:color w:val="000000"/>
                <w:szCs w:val="20"/>
              </w:rPr>
              <w:t>254)</w:t>
            </w:r>
          </w:p>
        </w:tc>
        <w:tc>
          <w:tcPr>
            <w:tcW w:w="474" w:type="pct"/>
          </w:tcPr>
          <w:p w14:paraId="7314D71E" w14:textId="77777777" w:rsidR="00230ADC" w:rsidRPr="00664E64" w:rsidRDefault="00230ADC" w:rsidP="00A55CD9">
            <w:pPr>
              <w:pStyle w:val="TableTextCentre"/>
              <w:rPr>
                <w:lang w:val="en-AU"/>
              </w:rPr>
            </w:pPr>
            <w:r w:rsidRPr="00664E64">
              <w:rPr>
                <w:lang w:val="en-AU"/>
              </w:rPr>
              <w:t>57.4</w:t>
            </w:r>
          </w:p>
        </w:tc>
        <w:tc>
          <w:tcPr>
            <w:tcW w:w="474" w:type="pct"/>
          </w:tcPr>
          <w:p w14:paraId="018D9B9A" w14:textId="77777777" w:rsidR="00230ADC" w:rsidRPr="00664E64" w:rsidRDefault="00230ADC" w:rsidP="00A55CD9">
            <w:pPr>
              <w:pStyle w:val="TableTextCentre"/>
              <w:rPr>
                <w:lang w:val="en-AU"/>
              </w:rPr>
            </w:pPr>
            <w:r w:rsidRPr="00664E64">
              <w:rPr>
                <w:lang w:val="en-AU"/>
              </w:rPr>
              <w:t>75.3</w:t>
            </w:r>
          </w:p>
        </w:tc>
        <w:tc>
          <w:tcPr>
            <w:tcW w:w="478" w:type="pct"/>
          </w:tcPr>
          <w:p w14:paraId="3097269B" w14:textId="77777777" w:rsidR="00230ADC" w:rsidRPr="00664E64" w:rsidRDefault="00230ADC" w:rsidP="00A55CD9">
            <w:pPr>
              <w:pStyle w:val="TableTextCentre"/>
              <w:rPr>
                <w:lang w:val="en-AU"/>
              </w:rPr>
            </w:pPr>
            <w:r w:rsidRPr="00664E64">
              <w:rPr>
                <w:lang w:val="en-AU"/>
              </w:rPr>
              <w:t>22.6</w:t>
            </w:r>
          </w:p>
        </w:tc>
        <w:tc>
          <w:tcPr>
            <w:tcW w:w="480" w:type="pct"/>
          </w:tcPr>
          <w:p w14:paraId="31B0E2F9" w14:textId="77777777" w:rsidR="00230ADC" w:rsidRPr="00664E64" w:rsidRDefault="00230ADC" w:rsidP="00A55CD9">
            <w:pPr>
              <w:pStyle w:val="TableTextCentre"/>
              <w:rPr>
                <w:lang w:val="en-AU"/>
              </w:rPr>
            </w:pPr>
            <w:r w:rsidRPr="00664E64">
              <w:rPr>
                <w:lang w:val="en-AU"/>
              </w:rPr>
              <w:t>32.9</w:t>
            </w:r>
          </w:p>
        </w:tc>
        <w:tc>
          <w:tcPr>
            <w:tcW w:w="463" w:type="pct"/>
          </w:tcPr>
          <w:p w14:paraId="6A00478E" w14:textId="77777777" w:rsidR="00230ADC" w:rsidRPr="00664E64" w:rsidRDefault="00230ADC" w:rsidP="00A55CD9">
            <w:pPr>
              <w:pStyle w:val="TableTextCentre"/>
              <w:rPr>
                <w:lang w:val="en-AU"/>
              </w:rPr>
            </w:pPr>
            <w:r w:rsidRPr="00664E64">
              <w:rPr>
                <w:lang w:val="en-AU"/>
              </w:rPr>
              <w:t>3.7</w:t>
            </w:r>
          </w:p>
        </w:tc>
        <w:tc>
          <w:tcPr>
            <w:tcW w:w="474" w:type="pct"/>
          </w:tcPr>
          <w:p w14:paraId="27C5F3A8" w14:textId="77777777" w:rsidR="00230ADC" w:rsidRPr="00664E64" w:rsidRDefault="00230ADC" w:rsidP="00A55CD9">
            <w:pPr>
              <w:pStyle w:val="TableTextCentre"/>
              <w:rPr>
                <w:lang w:val="en-AU"/>
              </w:rPr>
            </w:pPr>
            <w:r w:rsidRPr="00664E64">
              <w:rPr>
                <w:lang w:val="en-AU"/>
              </w:rPr>
              <w:t>2.5</w:t>
            </w:r>
          </w:p>
        </w:tc>
        <w:tc>
          <w:tcPr>
            <w:tcW w:w="474" w:type="pct"/>
          </w:tcPr>
          <w:p w14:paraId="702146C0" w14:textId="77777777" w:rsidR="00230ADC" w:rsidRPr="00664E64" w:rsidRDefault="00230ADC" w:rsidP="00A55CD9">
            <w:pPr>
              <w:pStyle w:val="TableTextCentre"/>
              <w:rPr>
                <w:lang w:val="en-AU"/>
              </w:rPr>
            </w:pPr>
            <w:r w:rsidRPr="00664E64">
              <w:rPr>
                <w:lang w:val="en-AU"/>
              </w:rPr>
              <w:t>4.1</w:t>
            </w:r>
          </w:p>
        </w:tc>
        <w:tc>
          <w:tcPr>
            <w:tcW w:w="473" w:type="pct"/>
          </w:tcPr>
          <w:p w14:paraId="47A421F8" w14:textId="77777777" w:rsidR="00230ADC" w:rsidRPr="00664E64" w:rsidRDefault="00230ADC" w:rsidP="00A55CD9">
            <w:pPr>
              <w:pStyle w:val="TableTextCentre"/>
              <w:rPr>
                <w:lang w:val="en-AU"/>
              </w:rPr>
            </w:pPr>
            <w:r w:rsidRPr="00664E64">
              <w:rPr>
                <w:lang w:val="en-AU"/>
              </w:rPr>
              <w:t>3.0</w:t>
            </w:r>
          </w:p>
        </w:tc>
      </w:tr>
      <w:tr w:rsidR="00230ADC" w:rsidRPr="00664E64" w14:paraId="31BEC6FF" w14:textId="77777777" w:rsidTr="00821340">
        <w:trPr>
          <w:trHeight w:val="680"/>
        </w:trPr>
        <w:tc>
          <w:tcPr>
            <w:tcW w:w="1210" w:type="pct"/>
            <w:noWrap/>
            <w:hideMark/>
          </w:tcPr>
          <w:p w14:paraId="75281590" w14:textId="77777777" w:rsidR="00230ADC" w:rsidRPr="00664E64" w:rsidRDefault="00230ADC" w:rsidP="006F5F49">
            <w:pPr>
              <w:rPr>
                <w:rFonts w:cs="Arial"/>
                <w:bCs/>
                <w:color w:val="000000"/>
                <w:szCs w:val="20"/>
              </w:rPr>
            </w:pPr>
            <w:r w:rsidRPr="00664E64">
              <w:rPr>
                <w:rFonts w:cs="Arial"/>
                <w:bCs/>
                <w:color w:val="000000"/>
                <w:szCs w:val="20"/>
              </w:rPr>
              <w:t>Moderate risk (944)</w:t>
            </w:r>
          </w:p>
        </w:tc>
        <w:tc>
          <w:tcPr>
            <w:tcW w:w="474" w:type="pct"/>
          </w:tcPr>
          <w:p w14:paraId="1DD018BF" w14:textId="77777777" w:rsidR="00230ADC" w:rsidRPr="00664E64" w:rsidRDefault="00230ADC" w:rsidP="00A55CD9">
            <w:pPr>
              <w:pStyle w:val="TableTextCentre"/>
              <w:rPr>
                <w:lang w:val="en-AU"/>
              </w:rPr>
            </w:pPr>
            <w:r w:rsidRPr="00664E64">
              <w:rPr>
                <w:lang w:val="en-AU"/>
              </w:rPr>
              <w:t>65.0</w:t>
            </w:r>
          </w:p>
        </w:tc>
        <w:tc>
          <w:tcPr>
            <w:tcW w:w="474" w:type="pct"/>
          </w:tcPr>
          <w:p w14:paraId="53520C5C" w14:textId="77777777" w:rsidR="00230ADC" w:rsidRPr="00664E64" w:rsidRDefault="00230ADC" w:rsidP="00A55CD9">
            <w:pPr>
              <w:pStyle w:val="TableTextCentre"/>
              <w:rPr>
                <w:lang w:val="en-AU"/>
              </w:rPr>
            </w:pPr>
            <w:r w:rsidRPr="00664E64">
              <w:rPr>
                <w:lang w:val="en-AU"/>
              </w:rPr>
              <w:t>80.1</w:t>
            </w:r>
          </w:p>
        </w:tc>
        <w:tc>
          <w:tcPr>
            <w:tcW w:w="478" w:type="pct"/>
          </w:tcPr>
          <w:p w14:paraId="0DB10F60" w14:textId="77777777" w:rsidR="00230ADC" w:rsidRPr="00664E64" w:rsidRDefault="00230ADC" w:rsidP="00A55CD9">
            <w:pPr>
              <w:pStyle w:val="TableTextCentre"/>
              <w:rPr>
                <w:lang w:val="en-AU"/>
              </w:rPr>
            </w:pPr>
            <w:r w:rsidRPr="00664E64">
              <w:rPr>
                <w:lang w:val="en-AU"/>
              </w:rPr>
              <w:t>33.6</w:t>
            </w:r>
          </w:p>
        </w:tc>
        <w:tc>
          <w:tcPr>
            <w:tcW w:w="480" w:type="pct"/>
          </w:tcPr>
          <w:p w14:paraId="5CA78335" w14:textId="77777777" w:rsidR="00230ADC" w:rsidRPr="00664E64" w:rsidRDefault="00230ADC" w:rsidP="00A55CD9">
            <w:pPr>
              <w:pStyle w:val="TableTextCentre"/>
              <w:rPr>
                <w:lang w:val="en-AU"/>
              </w:rPr>
            </w:pPr>
            <w:r w:rsidRPr="00664E64">
              <w:rPr>
                <w:lang w:val="en-AU"/>
              </w:rPr>
              <w:t>46.2</w:t>
            </w:r>
          </w:p>
        </w:tc>
        <w:tc>
          <w:tcPr>
            <w:tcW w:w="463" w:type="pct"/>
          </w:tcPr>
          <w:p w14:paraId="21615DF9" w14:textId="77777777" w:rsidR="00230ADC" w:rsidRPr="00664E64" w:rsidRDefault="00230ADC" w:rsidP="00A55CD9">
            <w:pPr>
              <w:pStyle w:val="TableTextCentre"/>
              <w:rPr>
                <w:lang w:val="en-AU"/>
              </w:rPr>
            </w:pPr>
            <w:r w:rsidRPr="00664E64">
              <w:rPr>
                <w:lang w:val="en-AU"/>
              </w:rPr>
              <w:t>5.6</w:t>
            </w:r>
          </w:p>
        </w:tc>
        <w:tc>
          <w:tcPr>
            <w:tcW w:w="474" w:type="pct"/>
          </w:tcPr>
          <w:p w14:paraId="2F5EEB81" w14:textId="77777777" w:rsidR="00230ADC" w:rsidRPr="00664E64" w:rsidRDefault="00230ADC" w:rsidP="00A55CD9">
            <w:pPr>
              <w:pStyle w:val="TableTextCentre"/>
              <w:rPr>
                <w:lang w:val="en-AU"/>
              </w:rPr>
            </w:pPr>
            <w:r w:rsidRPr="00664E64">
              <w:rPr>
                <w:lang w:val="en-AU"/>
              </w:rPr>
              <w:t>3.6</w:t>
            </w:r>
          </w:p>
        </w:tc>
        <w:tc>
          <w:tcPr>
            <w:tcW w:w="474" w:type="pct"/>
          </w:tcPr>
          <w:p w14:paraId="677D89BB" w14:textId="77777777" w:rsidR="00230ADC" w:rsidRPr="00664E64" w:rsidRDefault="00230ADC" w:rsidP="00A55CD9">
            <w:pPr>
              <w:pStyle w:val="TableTextCentre"/>
              <w:rPr>
                <w:lang w:val="en-AU"/>
              </w:rPr>
            </w:pPr>
            <w:r w:rsidRPr="00664E64">
              <w:rPr>
                <w:lang w:val="en-AU"/>
              </w:rPr>
              <w:t>6.5</w:t>
            </w:r>
          </w:p>
        </w:tc>
        <w:tc>
          <w:tcPr>
            <w:tcW w:w="473" w:type="pct"/>
          </w:tcPr>
          <w:p w14:paraId="5619AAEA" w14:textId="77777777" w:rsidR="00230ADC" w:rsidRPr="00664E64" w:rsidRDefault="00230ADC" w:rsidP="00A55CD9">
            <w:pPr>
              <w:pStyle w:val="TableTextCentre"/>
              <w:rPr>
                <w:lang w:val="en-AU"/>
              </w:rPr>
            </w:pPr>
            <w:r w:rsidRPr="00664E64">
              <w:rPr>
                <w:lang w:val="en-AU"/>
              </w:rPr>
              <w:t>3.7</w:t>
            </w:r>
          </w:p>
        </w:tc>
      </w:tr>
      <w:tr w:rsidR="00230ADC" w:rsidRPr="00664E64" w14:paraId="772845B8" w14:textId="77777777" w:rsidTr="00821340">
        <w:trPr>
          <w:trHeight w:val="680"/>
        </w:trPr>
        <w:tc>
          <w:tcPr>
            <w:tcW w:w="1210" w:type="pct"/>
            <w:noWrap/>
            <w:hideMark/>
          </w:tcPr>
          <w:p w14:paraId="7EE5055E" w14:textId="77777777" w:rsidR="00230ADC" w:rsidRPr="00664E64" w:rsidRDefault="00230ADC" w:rsidP="006F5F49">
            <w:pPr>
              <w:rPr>
                <w:rFonts w:cs="Arial"/>
                <w:bCs/>
                <w:color w:val="000000"/>
                <w:szCs w:val="20"/>
              </w:rPr>
            </w:pPr>
            <w:r w:rsidRPr="00664E64">
              <w:rPr>
                <w:rFonts w:cs="Arial"/>
                <w:bCs/>
                <w:color w:val="000000"/>
                <w:szCs w:val="20"/>
              </w:rPr>
              <w:t>Problem gambler (431)</w:t>
            </w:r>
          </w:p>
        </w:tc>
        <w:tc>
          <w:tcPr>
            <w:tcW w:w="474" w:type="pct"/>
          </w:tcPr>
          <w:p w14:paraId="330BD418" w14:textId="77777777" w:rsidR="00230ADC" w:rsidRPr="00664E64" w:rsidRDefault="00230ADC" w:rsidP="00A55CD9">
            <w:pPr>
              <w:pStyle w:val="TableTextCentre"/>
              <w:rPr>
                <w:lang w:val="en-AU"/>
              </w:rPr>
            </w:pPr>
            <w:r w:rsidRPr="00664E64">
              <w:rPr>
                <w:lang w:val="en-AU"/>
              </w:rPr>
              <w:t>70.1</w:t>
            </w:r>
          </w:p>
        </w:tc>
        <w:tc>
          <w:tcPr>
            <w:tcW w:w="474" w:type="pct"/>
          </w:tcPr>
          <w:p w14:paraId="67D47AC0" w14:textId="77777777" w:rsidR="00230ADC" w:rsidRPr="00664E64" w:rsidRDefault="00230ADC" w:rsidP="00A55CD9">
            <w:pPr>
              <w:pStyle w:val="TableTextCentre"/>
              <w:rPr>
                <w:lang w:val="en-AU"/>
              </w:rPr>
            </w:pPr>
            <w:r w:rsidRPr="00664E64">
              <w:rPr>
                <w:lang w:val="en-AU"/>
              </w:rPr>
              <w:t>74.0</w:t>
            </w:r>
          </w:p>
        </w:tc>
        <w:tc>
          <w:tcPr>
            <w:tcW w:w="478" w:type="pct"/>
          </w:tcPr>
          <w:p w14:paraId="5D761661" w14:textId="77777777" w:rsidR="00230ADC" w:rsidRPr="00664E64" w:rsidRDefault="00230ADC" w:rsidP="00A55CD9">
            <w:pPr>
              <w:pStyle w:val="TableTextCentre"/>
              <w:rPr>
                <w:lang w:val="en-AU"/>
              </w:rPr>
            </w:pPr>
            <w:r w:rsidRPr="00664E64">
              <w:rPr>
                <w:lang w:val="en-AU"/>
              </w:rPr>
              <w:t>38.3</w:t>
            </w:r>
          </w:p>
        </w:tc>
        <w:tc>
          <w:tcPr>
            <w:tcW w:w="480" w:type="pct"/>
          </w:tcPr>
          <w:p w14:paraId="16456008" w14:textId="77777777" w:rsidR="00230ADC" w:rsidRPr="00664E64" w:rsidRDefault="00230ADC" w:rsidP="00A55CD9">
            <w:pPr>
              <w:pStyle w:val="TableTextCentre"/>
              <w:rPr>
                <w:lang w:val="en-AU"/>
              </w:rPr>
            </w:pPr>
            <w:r w:rsidRPr="00664E64">
              <w:rPr>
                <w:lang w:val="en-AU"/>
              </w:rPr>
              <w:t>51.3</w:t>
            </w:r>
          </w:p>
        </w:tc>
        <w:tc>
          <w:tcPr>
            <w:tcW w:w="463" w:type="pct"/>
          </w:tcPr>
          <w:p w14:paraId="7E81CFBF" w14:textId="77777777" w:rsidR="00230ADC" w:rsidRPr="00664E64" w:rsidRDefault="00230ADC" w:rsidP="00A55CD9">
            <w:pPr>
              <w:pStyle w:val="TableTextCentre"/>
              <w:rPr>
                <w:lang w:val="en-AU"/>
              </w:rPr>
            </w:pPr>
            <w:r w:rsidRPr="00664E64">
              <w:rPr>
                <w:lang w:val="en-AU"/>
              </w:rPr>
              <w:t>7.9</w:t>
            </w:r>
          </w:p>
        </w:tc>
        <w:tc>
          <w:tcPr>
            <w:tcW w:w="474" w:type="pct"/>
          </w:tcPr>
          <w:p w14:paraId="550BBF1B" w14:textId="77777777" w:rsidR="00230ADC" w:rsidRPr="00664E64" w:rsidRDefault="00230ADC" w:rsidP="00A55CD9">
            <w:pPr>
              <w:pStyle w:val="TableTextCentre"/>
              <w:rPr>
                <w:lang w:val="en-AU"/>
              </w:rPr>
            </w:pPr>
            <w:r w:rsidRPr="00664E64">
              <w:rPr>
                <w:lang w:val="en-AU"/>
              </w:rPr>
              <w:t>6.5</w:t>
            </w:r>
          </w:p>
        </w:tc>
        <w:tc>
          <w:tcPr>
            <w:tcW w:w="474" w:type="pct"/>
          </w:tcPr>
          <w:p w14:paraId="3EAF5E3A" w14:textId="77777777" w:rsidR="00230ADC" w:rsidRPr="00664E64" w:rsidRDefault="00230ADC" w:rsidP="00A55CD9">
            <w:pPr>
              <w:pStyle w:val="TableTextCentre"/>
              <w:rPr>
                <w:lang w:val="en-AU"/>
              </w:rPr>
            </w:pPr>
            <w:r w:rsidRPr="00664E64">
              <w:rPr>
                <w:lang w:val="en-AU"/>
              </w:rPr>
              <w:t>6.3</w:t>
            </w:r>
          </w:p>
        </w:tc>
        <w:tc>
          <w:tcPr>
            <w:tcW w:w="473" w:type="pct"/>
          </w:tcPr>
          <w:p w14:paraId="68BEB4BB" w14:textId="77777777" w:rsidR="00230ADC" w:rsidRPr="00664E64" w:rsidRDefault="00230ADC" w:rsidP="00A55CD9">
            <w:pPr>
              <w:pStyle w:val="TableTextCentre"/>
              <w:rPr>
                <w:lang w:val="en-AU"/>
              </w:rPr>
            </w:pPr>
            <w:r w:rsidRPr="00664E64">
              <w:rPr>
                <w:lang w:val="en-AU"/>
              </w:rPr>
              <w:t>4.2</w:t>
            </w:r>
          </w:p>
        </w:tc>
      </w:tr>
      <w:tr w:rsidR="00230ADC" w:rsidRPr="00664E64" w14:paraId="3A8F6369" w14:textId="77777777" w:rsidTr="00821340">
        <w:trPr>
          <w:trHeight w:val="680"/>
        </w:trPr>
        <w:tc>
          <w:tcPr>
            <w:tcW w:w="1210" w:type="pct"/>
            <w:noWrap/>
            <w:hideMark/>
          </w:tcPr>
          <w:p w14:paraId="5F07913D" w14:textId="77777777" w:rsidR="00230ADC" w:rsidRPr="00E13773" w:rsidRDefault="00230ADC" w:rsidP="006F5F49">
            <w:pPr>
              <w:rPr>
                <w:rFonts w:cs="Arial"/>
                <w:b/>
                <w:bCs/>
                <w:color w:val="000000"/>
                <w:szCs w:val="20"/>
              </w:rPr>
            </w:pPr>
            <w:r w:rsidRPr="00E13773">
              <w:rPr>
                <w:rFonts w:cs="Arial"/>
                <w:b/>
                <w:bCs/>
                <w:color w:val="000000"/>
                <w:szCs w:val="20"/>
              </w:rPr>
              <w:t>Any risk (2,629)</w:t>
            </w:r>
          </w:p>
        </w:tc>
        <w:tc>
          <w:tcPr>
            <w:tcW w:w="474" w:type="pct"/>
          </w:tcPr>
          <w:p w14:paraId="405BB27E" w14:textId="77777777" w:rsidR="00230ADC" w:rsidRPr="00664E64" w:rsidRDefault="00230ADC" w:rsidP="00A55CD9">
            <w:pPr>
              <w:pStyle w:val="TableTextCentre"/>
              <w:rPr>
                <w:lang w:val="en-AU"/>
              </w:rPr>
            </w:pPr>
            <w:r w:rsidRPr="00664E64">
              <w:rPr>
                <w:lang w:val="en-AU"/>
              </w:rPr>
              <w:t>62.2</w:t>
            </w:r>
          </w:p>
        </w:tc>
        <w:tc>
          <w:tcPr>
            <w:tcW w:w="474" w:type="pct"/>
          </w:tcPr>
          <w:p w14:paraId="18DB63BE" w14:textId="77777777" w:rsidR="00230ADC" w:rsidRPr="00664E64" w:rsidRDefault="00230ADC" w:rsidP="00A55CD9">
            <w:pPr>
              <w:pStyle w:val="TableTextCentre"/>
              <w:rPr>
                <w:lang w:val="en-AU"/>
              </w:rPr>
            </w:pPr>
            <w:r w:rsidRPr="00664E64">
              <w:rPr>
                <w:lang w:val="en-AU"/>
              </w:rPr>
              <w:t>76.8</w:t>
            </w:r>
          </w:p>
        </w:tc>
        <w:tc>
          <w:tcPr>
            <w:tcW w:w="478" w:type="pct"/>
          </w:tcPr>
          <w:p w14:paraId="338E2CF1" w14:textId="77777777" w:rsidR="00230ADC" w:rsidRPr="00664E64" w:rsidRDefault="00230ADC" w:rsidP="00A55CD9">
            <w:pPr>
              <w:pStyle w:val="TableTextCentre"/>
              <w:rPr>
                <w:lang w:val="en-AU"/>
              </w:rPr>
            </w:pPr>
            <w:r w:rsidRPr="00664E64">
              <w:rPr>
                <w:lang w:val="en-AU"/>
              </w:rPr>
              <w:t>29.1</w:t>
            </w:r>
          </w:p>
        </w:tc>
        <w:tc>
          <w:tcPr>
            <w:tcW w:w="480" w:type="pct"/>
          </w:tcPr>
          <w:p w14:paraId="705EE6E0" w14:textId="77777777" w:rsidR="00230ADC" w:rsidRPr="00664E64" w:rsidRDefault="00230ADC" w:rsidP="00A55CD9">
            <w:pPr>
              <w:pStyle w:val="TableTextCentre"/>
              <w:rPr>
                <w:lang w:val="en-AU"/>
              </w:rPr>
            </w:pPr>
            <w:r w:rsidRPr="00664E64">
              <w:rPr>
                <w:lang w:val="en-AU"/>
              </w:rPr>
              <w:t>40.7</w:t>
            </w:r>
          </w:p>
        </w:tc>
        <w:tc>
          <w:tcPr>
            <w:tcW w:w="463" w:type="pct"/>
          </w:tcPr>
          <w:p w14:paraId="03CC0A9A" w14:textId="77777777" w:rsidR="00230ADC" w:rsidRPr="00664E64" w:rsidRDefault="00230ADC" w:rsidP="00A55CD9">
            <w:pPr>
              <w:pStyle w:val="TableTextCentre"/>
              <w:rPr>
                <w:lang w:val="en-AU"/>
              </w:rPr>
            </w:pPr>
            <w:r w:rsidRPr="00664E64">
              <w:rPr>
                <w:lang w:val="en-AU"/>
              </w:rPr>
              <w:t>5.1</w:t>
            </w:r>
          </w:p>
        </w:tc>
        <w:tc>
          <w:tcPr>
            <w:tcW w:w="474" w:type="pct"/>
          </w:tcPr>
          <w:p w14:paraId="45BF66B9" w14:textId="77777777" w:rsidR="00230ADC" w:rsidRPr="00664E64" w:rsidRDefault="00230ADC" w:rsidP="00A55CD9">
            <w:pPr>
              <w:pStyle w:val="TableTextCentre"/>
              <w:rPr>
                <w:lang w:val="en-AU"/>
              </w:rPr>
            </w:pPr>
            <w:r w:rsidRPr="00664E64">
              <w:rPr>
                <w:lang w:val="en-AU"/>
              </w:rPr>
              <w:t>3.5</w:t>
            </w:r>
          </w:p>
        </w:tc>
        <w:tc>
          <w:tcPr>
            <w:tcW w:w="474" w:type="pct"/>
          </w:tcPr>
          <w:p w14:paraId="5AD4AA90" w14:textId="77777777" w:rsidR="00230ADC" w:rsidRPr="00664E64" w:rsidRDefault="00230ADC" w:rsidP="00A55CD9">
            <w:pPr>
              <w:pStyle w:val="TableTextCentre"/>
              <w:rPr>
                <w:lang w:val="en-AU"/>
              </w:rPr>
            </w:pPr>
            <w:r w:rsidRPr="00664E64">
              <w:rPr>
                <w:lang w:val="en-AU"/>
              </w:rPr>
              <w:t>5.3</w:t>
            </w:r>
          </w:p>
        </w:tc>
        <w:tc>
          <w:tcPr>
            <w:tcW w:w="473" w:type="pct"/>
          </w:tcPr>
          <w:p w14:paraId="2BA02A9C" w14:textId="77777777" w:rsidR="00230ADC" w:rsidRPr="00664E64" w:rsidRDefault="00230ADC" w:rsidP="00A55CD9">
            <w:pPr>
              <w:pStyle w:val="TableTextCentre"/>
              <w:rPr>
                <w:lang w:val="en-AU"/>
              </w:rPr>
            </w:pPr>
            <w:r w:rsidRPr="00664E64">
              <w:rPr>
                <w:lang w:val="en-AU"/>
              </w:rPr>
              <w:t>3.4</w:t>
            </w:r>
          </w:p>
        </w:tc>
      </w:tr>
    </w:tbl>
    <w:p w14:paraId="5A6EA0B6" w14:textId="2336A484" w:rsidR="00E13773" w:rsidRPr="00821340" w:rsidRDefault="00821340" w:rsidP="00821340">
      <w:pPr>
        <w:pBdr>
          <w:bottom w:val="single" w:sz="4" w:space="1" w:color="auto"/>
        </w:pBdr>
        <w:jc w:val="both"/>
        <w:rPr>
          <w:rFonts w:ascii="Arial" w:eastAsia="Calibri" w:hAnsi="Arial" w:cs="Arial"/>
          <w:sz w:val="18"/>
          <w:szCs w:val="18"/>
        </w:rPr>
      </w:pPr>
      <w:r w:rsidRPr="00821340">
        <w:rPr>
          <w:rFonts w:ascii="Arial" w:hAnsi="Arial" w:cs="Arial"/>
          <w:sz w:val="18"/>
          <w:szCs w:val="18"/>
        </w:rPr>
        <w:t>Notes: ‘Any risk’ category includes low-risk, moderate-risk and problem gamblers. For each risk category, cell values represent proportions for that particular risk group. Values across a row do not total 100% due to participation in multiple activities.</w:t>
      </w:r>
    </w:p>
    <w:p w14:paraId="7E767C57" w14:textId="1BC90DC2" w:rsidR="00E13773" w:rsidRDefault="00E13773" w:rsidP="00DF2954">
      <w:pPr>
        <w:spacing w:before="120" w:line="280" w:lineRule="atLeast"/>
        <w:jc w:val="both"/>
        <w:rPr>
          <w:rFonts w:ascii="Arial" w:eastAsia="Calibri" w:hAnsi="Arial" w:cs="Arial"/>
          <w:sz w:val="20"/>
          <w:szCs w:val="20"/>
        </w:rPr>
      </w:pPr>
      <w:r w:rsidRPr="00912EFE">
        <w:rPr>
          <w:rFonts w:ascii="Arial" w:eastAsia="Calibri" w:hAnsi="Arial" w:cs="Arial"/>
          <w:sz w:val="20"/>
          <w:szCs w:val="20"/>
        </w:rPr>
        <w:t xml:space="preserve">Table 5.26 presents findings on typical daily expenditure </w:t>
      </w:r>
      <w:r w:rsidR="00912EFE" w:rsidRPr="00912EFE">
        <w:rPr>
          <w:rFonts w:ascii="Arial" w:eastAsia="Calibri" w:hAnsi="Arial" w:cs="Arial"/>
          <w:sz w:val="20"/>
          <w:szCs w:val="20"/>
        </w:rPr>
        <w:t xml:space="preserve">(mean and median) </w:t>
      </w:r>
      <w:r w:rsidRPr="00912EFE">
        <w:rPr>
          <w:rFonts w:ascii="Arial" w:eastAsia="Calibri" w:hAnsi="Arial" w:cs="Arial"/>
          <w:sz w:val="20"/>
          <w:szCs w:val="20"/>
        </w:rPr>
        <w:t xml:space="preserve">for each activity that </w:t>
      </w:r>
      <w:r w:rsidR="00912EFE" w:rsidRPr="00912EFE">
        <w:rPr>
          <w:rFonts w:ascii="Arial" w:eastAsia="Calibri" w:hAnsi="Arial" w:cs="Arial"/>
          <w:sz w:val="20"/>
          <w:szCs w:val="20"/>
        </w:rPr>
        <w:t>participants</w:t>
      </w:r>
      <w:r w:rsidRPr="00912EFE">
        <w:rPr>
          <w:rFonts w:ascii="Arial" w:eastAsia="Calibri" w:hAnsi="Arial" w:cs="Arial"/>
          <w:sz w:val="20"/>
          <w:szCs w:val="20"/>
        </w:rPr>
        <w:t xml:space="preserve"> reported having placed bets on in the </w:t>
      </w:r>
      <w:r w:rsidR="00E86854">
        <w:rPr>
          <w:rFonts w:ascii="Arial" w:eastAsia="Calibri" w:hAnsi="Arial" w:cs="Arial"/>
          <w:sz w:val="20"/>
          <w:szCs w:val="20"/>
        </w:rPr>
        <w:t>l</w:t>
      </w:r>
      <w:r w:rsidRPr="00912EFE">
        <w:rPr>
          <w:rFonts w:ascii="Arial" w:eastAsia="Calibri" w:hAnsi="Arial" w:cs="Arial"/>
          <w:sz w:val="20"/>
          <w:szCs w:val="20"/>
        </w:rPr>
        <w:t>ast 12 months</w:t>
      </w:r>
      <w:r w:rsidR="00912EFE" w:rsidRPr="00912EFE">
        <w:rPr>
          <w:rFonts w:ascii="Arial" w:eastAsia="Calibri" w:hAnsi="Arial" w:cs="Arial"/>
          <w:sz w:val="20"/>
          <w:szCs w:val="20"/>
        </w:rPr>
        <w:t>. Across all activities, median typical expenditure generally increases with increased risk group. For example, typical median daily expenditure on sports was $20 (mean $57) among non</w:t>
      </w:r>
      <w:r w:rsidR="00912EFE">
        <w:rPr>
          <w:rFonts w:ascii="Arial" w:eastAsia="Calibri" w:hAnsi="Arial" w:cs="Arial"/>
          <w:sz w:val="20"/>
          <w:szCs w:val="20"/>
        </w:rPr>
        <w:t xml:space="preserve">-problem gamblers who bet on sports, compared to $30 (mean $87) among low risk, $50 (mean $101) among moderate risk and $50 (mean $137) among those classified as experiencing gambling problems. </w:t>
      </w:r>
    </w:p>
    <w:p w14:paraId="0F0E1B98" w14:textId="5A929497" w:rsidR="00912EFE" w:rsidRPr="00267E2C" w:rsidRDefault="00912EFE" w:rsidP="00912EFE">
      <w:pPr>
        <w:pStyle w:val="FigureCaption"/>
        <w:rPr>
          <w:color w:val="auto"/>
          <w:lang w:val="en-AU"/>
        </w:rPr>
      </w:pPr>
      <w:bookmarkStart w:id="83" w:name="_Toc12549586"/>
      <w:r w:rsidRPr="00267E2C">
        <w:rPr>
          <w:color w:val="auto"/>
          <w:lang w:val="en-AU"/>
        </w:rPr>
        <w:lastRenderedPageBreak/>
        <w:t xml:space="preserve">Table 5.26: </w:t>
      </w:r>
      <w:r w:rsidR="008928F8" w:rsidRPr="00267E2C">
        <w:rPr>
          <w:color w:val="auto"/>
          <w:lang w:val="en-AU"/>
        </w:rPr>
        <w:t>Amounts spent by</w:t>
      </w:r>
      <w:r w:rsidRPr="00267E2C">
        <w:rPr>
          <w:color w:val="auto"/>
          <w:lang w:val="en-AU"/>
        </w:rPr>
        <w:t xml:space="preserve"> respondents in each risk category, by activity</w:t>
      </w:r>
      <w:bookmarkEnd w:id="83"/>
    </w:p>
    <w:p w14:paraId="26D92916" w14:textId="23A7E8D7" w:rsidR="00E13773" w:rsidRPr="00912EFE" w:rsidRDefault="00912EFE" w:rsidP="00D95938">
      <w:pPr>
        <w:pStyle w:val="BodyText"/>
        <w:pBdr>
          <w:bottom w:val="single" w:sz="4" w:space="1" w:color="auto"/>
        </w:pBdr>
        <w:spacing w:before="0" w:line="240" w:lineRule="auto"/>
        <w:rPr>
          <w:sz w:val="18"/>
          <w:szCs w:val="18"/>
        </w:rPr>
      </w:pPr>
      <w:r w:rsidRPr="00912EFE">
        <w:rPr>
          <w:sz w:val="18"/>
          <w:szCs w:val="18"/>
        </w:rPr>
        <w:t xml:space="preserve">Notes: </w:t>
      </w:r>
      <w:r w:rsidR="00E86854" w:rsidRPr="00912EFE">
        <w:rPr>
          <w:sz w:val="18"/>
          <w:szCs w:val="18"/>
        </w:rPr>
        <w:t xml:space="preserve">For each risk category, cell values represent </w:t>
      </w:r>
      <w:r w:rsidR="00E86854">
        <w:rPr>
          <w:sz w:val="18"/>
          <w:szCs w:val="18"/>
        </w:rPr>
        <w:t>typical daily expenditure</w:t>
      </w:r>
      <w:r w:rsidR="00E86854" w:rsidRPr="00912EFE">
        <w:rPr>
          <w:sz w:val="18"/>
          <w:szCs w:val="18"/>
        </w:rPr>
        <w:t xml:space="preserve"> </w:t>
      </w:r>
      <w:r w:rsidR="00E86854">
        <w:rPr>
          <w:sz w:val="18"/>
          <w:szCs w:val="18"/>
        </w:rPr>
        <w:t xml:space="preserve">(money placed) </w:t>
      </w:r>
      <w:r w:rsidR="00E86854" w:rsidRPr="00912EFE">
        <w:rPr>
          <w:sz w:val="18"/>
          <w:szCs w:val="18"/>
        </w:rPr>
        <w:t>for that particular risk group</w:t>
      </w:r>
      <w:r w:rsidR="002777A6">
        <w:rPr>
          <w:sz w:val="18"/>
          <w:szCs w:val="18"/>
        </w:rPr>
        <w:t xml:space="preserve"> </w:t>
      </w:r>
      <w:r w:rsidR="002777A6" w:rsidRPr="002777A6">
        <w:rPr>
          <w:sz w:val="18"/>
          <w:szCs w:val="18"/>
        </w:rPr>
        <w:t>(only valid expenditure responses were included in the analysis)</w:t>
      </w:r>
      <w:r w:rsidR="00E86854" w:rsidRPr="00912EFE">
        <w:rPr>
          <w:sz w:val="18"/>
          <w:szCs w:val="18"/>
        </w:rPr>
        <w:t>.</w:t>
      </w:r>
      <w:r w:rsidR="00E86854">
        <w:rPr>
          <w:sz w:val="18"/>
          <w:szCs w:val="18"/>
        </w:rPr>
        <w:t xml:space="preserve"> Expenditure includes money placed via any mode. E</w:t>
      </w:r>
      <w:r>
        <w:rPr>
          <w:sz w:val="18"/>
          <w:szCs w:val="18"/>
        </w:rPr>
        <w:t xml:space="preserve">xpenditure for activities with small n’s should be interpreted with caution. </w:t>
      </w:r>
    </w:p>
    <w:tbl>
      <w:tblPr>
        <w:tblStyle w:val="TableGrid"/>
        <w:tblpPr w:leftFromText="180" w:rightFromText="180" w:vertAnchor="page" w:horzAnchor="margin" w:tblpY="1774"/>
        <w:tblW w:w="5000" w:type="pct"/>
        <w:tblLayout w:type="fixed"/>
        <w:tblLook w:val="04A0" w:firstRow="1" w:lastRow="0" w:firstColumn="1" w:lastColumn="0" w:noHBand="0" w:noVBand="1"/>
        <w:tblCaption w:val="Amounts spent by respondents in each risk category, by activity"/>
        <w:tblDescription w:val="This table shows for each respondent risk category the typical daily expenditure for each gambling activity."/>
      </w:tblPr>
      <w:tblGrid>
        <w:gridCol w:w="993"/>
        <w:gridCol w:w="991"/>
        <w:gridCol w:w="993"/>
        <w:gridCol w:w="991"/>
        <w:gridCol w:w="993"/>
        <w:gridCol w:w="847"/>
        <w:gridCol w:w="796"/>
        <w:gridCol w:w="870"/>
        <w:gridCol w:w="1025"/>
      </w:tblGrid>
      <w:tr w:rsidR="00912EFE" w:rsidRPr="00387987" w14:paraId="57C82760" w14:textId="77777777" w:rsidTr="00523E94">
        <w:trPr>
          <w:cnfStyle w:val="100000000000" w:firstRow="1" w:lastRow="0" w:firstColumn="0" w:lastColumn="0" w:oddVBand="0" w:evenVBand="0" w:oddHBand="0" w:evenHBand="0" w:firstRowFirstColumn="0" w:firstRowLastColumn="0" w:lastRowFirstColumn="0" w:lastRowLastColumn="0"/>
          <w:trHeight w:val="1020"/>
          <w:tblHeader/>
        </w:trPr>
        <w:tc>
          <w:tcPr>
            <w:tcW w:w="585" w:type="pct"/>
            <w:noWrap/>
            <w:hideMark/>
          </w:tcPr>
          <w:p w14:paraId="1D97D957" w14:textId="77777777" w:rsidR="00912EFE" w:rsidRPr="00387987" w:rsidRDefault="00912EFE" w:rsidP="00E86854">
            <w:pPr>
              <w:jc w:val="center"/>
              <w:rPr>
                <w:rFonts w:cs="Arial"/>
                <w:color w:val="FFFFFF" w:themeColor="background1"/>
                <w:szCs w:val="20"/>
                <w:lang w:val="en-US"/>
              </w:rPr>
            </w:pPr>
            <w:r w:rsidRPr="00387987">
              <w:rPr>
                <w:rFonts w:cs="Arial"/>
                <w:color w:val="FFFFFF" w:themeColor="background1"/>
                <w:szCs w:val="20"/>
                <w:lang w:val="en-US"/>
              </w:rPr>
              <w:t>Risk group</w:t>
            </w:r>
          </w:p>
        </w:tc>
        <w:tc>
          <w:tcPr>
            <w:tcW w:w="583" w:type="pct"/>
            <w:hideMark/>
          </w:tcPr>
          <w:p w14:paraId="6579923B" w14:textId="3B53E5EC"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Sports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2,662)</w:t>
            </w:r>
            <w:r w:rsidRPr="00E13773">
              <w:rPr>
                <w:rFonts w:cs="Arial"/>
                <w:color w:val="FFFFFF" w:themeColor="background1"/>
                <w:sz w:val="16"/>
                <w:szCs w:val="16"/>
                <w:lang w:val="en-US"/>
              </w:rPr>
              <w:br/>
              <w:t>(mean)</w:t>
            </w:r>
            <w:r w:rsidRPr="00E13773">
              <w:rPr>
                <w:rFonts w:cs="Arial"/>
                <w:color w:val="FFFFFF" w:themeColor="background1"/>
                <w:sz w:val="16"/>
                <w:szCs w:val="16"/>
                <w:lang w:val="en-US"/>
              </w:rPr>
              <w:br/>
              <w:t>(median)</w:t>
            </w:r>
          </w:p>
        </w:tc>
        <w:tc>
          <w:tcPr>
            <w:tcW w:w="584" w:type="pct"/>
            <w:noWrap/>
            <w:hideMark/>
          </w:tcPr>
          <w:p w14:paraId="03EBC10C" w14:textId="3B9AE996"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Horse racing (</w:t>
            </w:r>
            <w:r w:rsidRPr="00912EFE">
              <w:rPr>
                <w:rFonts w:cs="Arial"/>
                <w:i/>
                <w:color w:val="FFFFFF" w:themeColor="background1"/>
                <w:sz w:val="16"/>
                <w:szCs w:val="16"/>
                <w:lang w:val="en-US"/>
              </w:rPr>
              <w:t xml:space="preserve">N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 xml:space="preserve">3,779) </w:t>
            </w:r>
          </w:p>
        </w:tc>
        <w:tc>
          <w:tcPr>
            <w:tcW w:w="583" w:type="pct"/>
            <w:noWrap/>
            <w:hideMark/>
          </w:tcPr>
          <w:p w14:paraId="06599426" w14:textId="59898655"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Harness racing (</w:t>
            </w:r>
            <w:r w:rsidRPr="00912EFE">
              <w:rPr>
                <w:rFonts w:cs="Arial"/>
                <w:i/>
                <w:color w:val="FFFFFF" w:themeColor="background1"/>
                <w:sz w:val="16"/>
                <w:szCs w:val="16"/>
                <w:lang w:val="en-US"/>
              </w:rPr>
              <w:t xml:space="preserve">N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1,127)</w:t>
            </w:r>
          </w:p>
        </w:tc>
        <w:tc>
          <w:tcPr>
            <w:tcW w:w="584" w:type="pct"/>
            <w:noWrap/>
            <w:hideMark/>
          </w:tcPr>
          <w:p w14:paraId="35951E6B" w14:textId="7B70BBC3"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G'hound racing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1,600)</w:t>
            </w:r>
          </w:p>
        </w:tc>
        <w:tc>
          <w:tcPr>
            <w:tcW w:w="498" w:type="pct"/>
            <w:noWrap/>
            <w:hideMark/>
          </w:tcPr>
          <w:p w14:paraId="34BCB395" w14:textId="65BBE1D3"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Fantasy sports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188)</w:t>
            </w:r>
          </w:p>
        </w:tc>
        <w:tc>
          <w:tcPr>
            <w:tcW w:w="468" w:type="pct"/>
            <w:noWrap/>
            <w:hideMark/>
          </w:tcPr>
          <w:p w14:paraId="46422442" w14:textId="5A5119F9"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eSports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130)</w:t>
            </w:r>
          </w:p>
        </w:tc>
        <w:tc>
          <w:tcPr>
            <w:tcW w:w="512" w:type="pct"/>
            <w:noWrap/>
            <w:hideMark/>
          </w:tcPr>
          <w:p w14:paraId="7275DC9A" w14:textId="36FA5B5E"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TV shows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198)</w:t>
            </w:r>
          </w:p>
        </w:tc>
        <w:tc>
          <w:tcPr>
            <w:tcW w:w="603" w:type="pct"/>
            <w:noWrap/>
            <w:hideMark/>
          </w:tcPr>
          <w:p w14:paraId="2E9CFDFA" w14:textId="032DDD53" w:rsidR="00912EFE" w:rsidRPr="00E13773" w:rsidRDefault="00912EFE" w:rsidP="00E86854">
            <w:pPr>
              <w:jc w:val="center"/>
              <w:rPr>
                <w:rFonts w:cs="Arial"/>
                <w:color w:val="FFFFFF" w:themeColor="background1"/>
                <w:sz w:val="16"/>
                <w:szCs w:val="16"/>
                <w:lang w:val="en-US"/>
              </w:rPr>
            </w:pPr>
            <w:r w:rsidRPr="00E13773">
              <w:rPr>
                <w:rFonts w:cs="Arial"/>
                <w:color w:val="FFFFFF" w:themeColor="background1"/>
                <w:sz w:val="16"/>
                <w:szCs w:val="16"/>
                <w:lang w:val="en-US"/>
              </w:rPr>
              <w:t>Current affairs (</w:t>
            </w:r>
            <w:r w:rsidRPr="00912EFE">
              <w:rPr>
                <w:rFonts w:cs="Arial"/>
                <w:i/>
                <w:color w:val="FFFFFF" w:themeColor="background1"/>
                <w:sz w:val="16"/>
                <w:szCs w:val="16"/>
                <w:lang w:val="en-US"/>
              </w:rPr>
              <w:t>N</w:t>
            </w:r>
            <w:r>
              <w:rPr>
                <w:rFonts w:cs="Arial"/>
                <w:color w:val="FFFFFF" w:themeColor="background1"/>
                <w:sz w:val="16"/>
                <w:szCs w:val="16"/>
                <w:lang w:val="en-US"/>
              </w:rPr>
              <w:t xml:space="preserve"> </w:t>
            </w:r>
            <w:r w:rsidRPr="00E13773">
              <w:rPr>
                <w:rFonts w:cs="Arial"/>
                <w:color w:val="FFFFFF" w:themeColor="background1"/>
                <w:sz w:val="16"/>
                <w:szCs w:val="16"/>
                <w:lang w:val="en-US"/>
              </w:rPr>
              <w:t>=</w:t>
            </w:r>
            <w:r>
              <w:rPr>
                <w:rFonts w:cs="Arial"/>
                <w:color w:val="FFFFFF" w:themeColor="background1"/>
                <w:sz w:val="16"/>
                <w:szCs w:val="16"/>
                <w:lang w:val="en-US"/>
              </w:rPr>
              <w:t xml:space="preserve"> </w:t>
            </w:r>
            <w:r w:rsidRPr="00E13773">
              <w:rPr>
                <w:rFonts w:cs="Arial"/>
                <w:color w:val="FFFFFF" w:themeColor="background1"/>
                <w:sz w:val="16"/>
                <w:szCs w:val="16"/>
                <w:lang w:val="en-US"/>
              </w:rPr>
              <w:t>135)</w:t>
            </w:r>
          </w:p>
        </w:tc>
      </w:tr>
      <w:tr w:rsidR="00912EFE" w:rsidRPr="00387987" w14:paraId="1AE586A8" w14:textId="77777777" w:rsidTr="00454A33">
        <w:trPr>
          <w:trHeight w:val="680"/>
        </w:trPr>
        <w:tc>
          <w:tcPr>
            <w:tcW w:w="585" w:type="pct"/>
            <w:noWrap/>
            <w:hideMark/>
          </w:tcPr>
          <w:p w14:paraId="349B799F" w14:textId="77777777" w:rsidR="00912EFE" w:rsidRPr="00387987" w:rsidRDefault="00912EFE" w:rsidP="00E86854">
            <w:pPr>
              <w:jc w:val="center"/>
              <w:rPr>
                <w:rFonts w:cs="Arial"/>
                <w:color w:val="000000"/>
                <w:szCs w:val="20"/>
                <w:lang w:val="en-US"/>
              </w:rPr>
            </w:pPr>
            <w:r w:rsidRPr="00387987">
              <w:rPr>
                <w:rFonts w:cs="Arial"/>
                <w:color w:val="000000"/>
                <w:szCs w:val="20"/>
                <w:lang w:val="en-US"/>
              </w:rPr>
              <w:t>Non-problem</w:t>
            </w:r>
          </w:p>
        </w:tc>
        <w:tc>
          <w:tcPr>
            <w:tcW w:w="583" w:type="pct"/>
            <w:hideMark/>
          </w:tcPr>
          <w:p w14:paraId="4B95AA3E"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57.1</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584" w:type="pct"/>
            <w:hideMark/>
          </w:tcPr>
          <w:p w14:paraId="47B0F26D"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68.0</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30</w:t>
            </w:r>
          </w:p>
        </w:tc>
        <w:tc>
          <w:tcPr>
            <w:tcW w:w="583" w:type="pct"/>
            <w:hideMark/>
          </w:tcPr>
          <w:p w14:paraId="6A511AA2"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34.4</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10</w:t>
            </w:r>
          </w:p>
        </w:tc>
        <w:tc>
          <w:tcPr>
            <w:tcW w:w="584" w:type="pct"/>
            <w:hideMark/>
          </w:tcPr>
          <w:p w14:paraId="4477AD4A"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34.6</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15</w:t>
            </w:r>
          </w:p>
        </w:tc>
        <w:tc>
          <w:tcPr>
            <w:tcW w:w="498" w:type="pct"/>
            <w:hideMark/>
          </w:tcPr>
          <w:p w14:paraId="3E3FD410"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22.5</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10</w:t>
            </w:r>
          </w:p>
        </w:tc>
        <w:tc>
          <w:tcPr>
            <w:tcW w:w="468" w:type="pct"/>
            <w:hideMark/>
          </w:tcPr>
          <w:p w14:paraId="31B73E08"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77.4</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15</w:t>
            </w:r>
          </w:p>
        </w:tc>
        <w:tc>
          <w:tcPr>
            <w:tcW w:w="512" w:type="pct"/>
            <w:hideMark/>
          </w:tcPr>
          <w:p w14:paraId="5DD3990A"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62.2</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15</w:t>
            </w:r>
          </w:p>
        </w:tc>
        <w:tc>
          <w:tcPr>
            <w:tcW w:w="603" w:type="pct"/>
            <w:hideMark/>
          </w:tcPr>
          <w:p w14:paraId="19A2F033"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75.8</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r>
      <w:tr w:rsidR="00912EFE" w:rsidRPr="00387987" w14:paraId="45EC7122" w14:textId="77777777" w:rsidTr="00454A33">
        <w:trPr>
          <w:trHeight w:val="680"/>
        </w:trPr>
        <w:tc>
          <w:tcPr>
            <w:tcW w:w="585" w:type="pct"/>
            <w:noWrap/>
            <w:hideMark/>
          </w:tcPr>
          <w:p w14:paraId="726BA25C" w14:textId="77777777" w:rsidR="00912EFE" w:rsidRPr="00387987" w:rsidRDefault="00912EFE" w:rsidP="00E86854">
            <w:pPr>
              <w:jc w:val="center"/>
              <w:rPr>
                <w:rFonts w:cs="Arial"/>
                <w:color w:val="000000"/>
                <w:szCs w:val="20"/>
                <w:lang w:val="en-US"/>
              </w:rPr>
            </w:pPr>
            <w:r w:rsidRPr="00387987">
              <w:rPr>
                <w:rFonts w:cs="Arial"/>
                <w:color w:val="000000"/>
                <w:szCs w:val="20"/>
                <w:lang w:val="en-US"/>
              </w:rPr>
              <w:t>Low risk</w:t>
            </w:r>
          </w:p>
        </w:tc>
        <w:tc>
          <w:tcPr>
            <w:tcW w:w="583" w:type="pct"/>
            <w:hideMark/>
          </w:tcPr>
          <w:p w14:paraId="2640A0A1"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87.3</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30</w:t>
            </w:r>
          </w:p>
        </w:tc>
        <w:tc>
          <w:tcPr>
            <w:tcW w:w="584" w:type="pct"/>
            <w:hideMark/>
          </w:tcPr>
          <w:p w14:paraId="185F080C"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109.0</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c>
          <w:tcPr>
            <w:tcW w:w="583" w:type="pct"/>
            <w:hideMark/>
          </w:tcPr>
          <w:p w14:paraId="10C479BF"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49.1</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584" w:type="pct"/>
            <w:hideMark/>
          </w:tcPr>
          <w:p w14:paraId="5C7F4F81"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50.4</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498" w:type="pct"/>
            <w:hideMark/>
          </w:tcPr>
          <w:p w14:paraId="1B19EDC5"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40.8</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10</w:t>
            </w:r>
          </w:p>
        </w:tc>
        <w:tc>
          <w:tcPr>
            <w:tcW w:w="468" w:type="pct"/>
            <w:hideMark/>
          </w:tcPr>
          <w:p w14:paraId="4CC3533E"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70.3</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512" w:type="pct"/>
            <w:hideMark/>
          </w:tcPr>
          <w:p w14:paraId="7C5D3F98"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83.5</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603" w:type="pct"/>
            <w:hideMark/>
          </w:tcPr>
          <w:p w14:paraId="205DB4C3"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238.8</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r>
      <w:tr w:rsidR="00912EFE" w:rsidRPr="00387987" w14:paraId="52C961E5" w14:textId="77777777" w:rsidTr="00454A33">
        <w:trPr>
          <w:trHeight w:val="680"/>
        </w:trPr>
        <w:tc>
          <w:tcPr>
            <w:tcW w:w="585" w:type="pct"/>
            <w:noWrap/>
            <w:hideMark/>
          </w:tcPr>
          <w:p w14:paraId="1ABD0C75" w14:textId="77777777" w:rsidR="00912EFE" w:rsidRPr="00387987" w:rsidRDefault="00912EFE" w:rsidP="00E86854">
            <w:pPr>
              <w:jc w:val="center"/>
              <w:rPr>
                <w:rFonts w:cs="Arial"/>
                <w:color w:val="000000"/>
                <w:szCs w:val="20"/>
                <w:lang w:val="en-US"/>
              </w:rPr>
            </w:pPr>
            <w:r w:rsidRPr="00387987">
              <w:rPr>
                <w:rFonts w:cs="Arial"/>
                <w:color w:val="000000"/>
                <w:szCs w:val="20"/>
                <w:lang w:val="en-US"/>
              </w:rPr>
              <w:t>Moderate risk</w:t>
            </w:r>
          </w:p>
        </w:tc>
        <w:tc>
          <w:tcPr>
            <w:tcW w:w="583" w:type="pct"/>
            <w:hideMark/>
          </w:tcPr>
          <w:p w14:paraId="61939595"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101.2</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c>
          <w:tcPr>
            <w:tcW w:w="584" w:type="pct"/>
            <w:hideMark/>
          </w:tcPr>
          <w:p w14:paraId="75DE4DFE"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123.1</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c>
          <w:tcPr>
            <w:tcW w:w="583" w:type="pct"/>
            <w:hideMark/>
          </w:tcPr>
          <w:p w14:paraId="6C62F372"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47.5</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584" w:type="pct"/>
            <w:hideMark/>
          </w:tcPr>
          <w:p w14:paraId="2B224517"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60.2</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498" w:type="pct"/>
            <w:hideMark/>
          </w:tcPr>
          <w:p w14:paraId="5CC153C1"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29.7</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15</w:t>
            </w:r>
          </w:p>
        </w:tc>
        <w:tc>
          <w:tcPr>
            <w:tcW w:w="468" w:type="pct"/>
            <w:hideMark/>
          </w:tcPr>
          <w:p w14:paraId="7FB6E921"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49.3</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25</w:t>
            </w:r>
          </w:p>
        </w:tc>
        <w:tc>
          <w:tcPr>
            <w:tcW w:w="512" w:type="pct"/>
            <w:hideMark/>
          </w:tcPr>
          <w:p w14:paraId="271A84E9"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76.2</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603" w:type="pct"/>
            <w:hideMark/>
          </w:tcPr>
          <w:p w14:paraId="3F69A41A"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156.1</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r>
      <w:tr w:rsidR="00912EFE" w:rsidRPr="00387987" w14:paraId="69B98AF9" w14:textId="77777777" w:rsidTr="00454A33">
        <w:trPr>
          <w:trHeight w:val="680"/>
        </w:trPr>
        <w:tc>
          <w:tcPr>
            <w:tcW w:w="585" w:type="pct"/>
            <w:noWrap/>
            <w:hideMark/>
          </w:tcPr>
          <w:p w14:paraId="12BD6FFA" w14:textId="77777777" w:rsidR="00912EFE" w:rsidRPr="00387987" w:rsidRDefault="00912EFE" w:rsidP="00E86854">
            <w:pPr>
              <w:jc w:val="center"/>
              <w:rPr>
                <w:rFonts w:cs="Arial"/>
                <w:color w:val="000000"/>
                <w:szCs w:val="20"/>
                <w:lang w:val="en-US"/>
              </w:rPr>
            </w:pPr>
            <w:r w:rsidRPr="00387987">
              <w:rPr>
                <w:rFonts w:cs="Arial"/>
                <w:color w:val="000000"/>
                <w:szCs w:val="20"/>
                <w:lang w:val="en-US"/>
              </w:rPr>
              <w:t>Problem gambler</w:t>
            </w:r>
          </w:p>
        </w:tc>
        <w:tc>
          <w:tcPr>
            <w:tcW w:w="583" w:type="pct"/>
            <w:hideMark/>
          </w:tcPr>
          <w:p w14:paraId="087D7EE0"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136.7</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c>
          <w:tcPr>
            <w:tcW w:w="584" w:type="pct"/>
            <w:hideMark/>
          </w:tcPr>
          <w:p w14:paraId="5178FB91"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154.5</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64.5</w:t>
            </w:r>
          </w:p>
        </w:tc>
        <w:tc>
          <w:tcPr>
            <w:tcW w:w="583" w:type="pct"/>
            <w:hideMark/>
          </w:tcPr>
          <w:p w14:paraId="2957B940"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70.2</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35</w:t>
            </w:r>
          </w:p>
        </w:tc>
        <w:tc>
          <w:tcPr>
            <w:tcW w:w="584" w:type="pct"/>
            <w:hideMark/>
          </w:tcPr>
          <w:p w14:paraId="256AA258"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81.4</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c>
          <w:tcPr>
            <w:tcW w:w="498" w:type="pct"/>
            <w:hideMark/>
          </w:tcPr>
          <w:p w14:paraId="06E2D87F"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70.8</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30</w:t>
            </w:r>
          </w:p>
        </w:tc>
        <w:tc>
          <w:tcPr>
            <w:tcW w:w="468" w:type="pct"/>
            <w:hideMark/>
          </w:tcPr>
          <w:p w14:paraId="47984166"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74.9</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20</w:t>
            </w:r>
          </w:p>
        </w:tc>
        <w:tc>
          <w:tcPr>
            <w:tcW w:w="512" w:type="pct"/>
            <w:hideMark/>
          </w:tcPr>
          <w:p w14:paraId="3711C7E9"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58.1</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30</w:t>
            </w:r>
          </w:p>
        </w:tc>
        <w:tc>
          <w:tcPr>
            <w:tcW w:w="603" w:type="pct"/>
            <w:hideMark/>
          </w:tcPr>
          <w:p w14:paraId="402F1807" w14:textId="77777777" w:rsidR="00912EFE" w:rsidRPr="00387987" w:rsidRDefault="00912EFE" w:rsidP="00E86854">
            <w:pPr>
              <w:jc w:val="center"/>
              <w:rPr>
                <w:rFonts w:cs="Arial"/>
                <w:color w:val="000000"/>
                <w:szCs w:val="20"/>
                <w:lang w:val="en-US"/>
              </w:rPr>
            </w:pPr>
            <w:r>
              <w:rPr>
                <w:rFonts w:cs="Arial"/>
                <w:color w:val="000000"/>
                <w:szCs w:val="20"/>
                <w:lang w:val="en-US"/>
              </w:rPr>
              <w:t>$</w:t>
            </w:r>
            <w:r w:rsidRPr="00387987">
              <w:rPr>
                <w:rFonts w:cs="Arial"/>
                <w:color w:val="000000"/>
                <w:szCs w:val="20"/>
                <w:lang w:val="en-US"/>
              </w:rPr>
              <w:t>66.6</w:t>
            </w:r>
            <w:r w:rsidRPr="00387987">
              <w:rPr>
                <w:rFonts w:cs="Arial"/>
                <w:color w:val="000000"/>
                <w:szCs w:val="20"/>
                <w:lang w:val="en-US"/>
              </w:rPr>
              <w:br/>
            </w:r>
            <w:r>
              <w:rPr>
                <w:rFonts w:cs="Arial"/>
                <w:color w:val="000000"/>
                <w:szCs w:val="20"/>
                <w:lang w:val="en-US"/>
              </w:rPr>
              <w:t>$</w:t>
            </w:r>
            <w:r w:rsidRPr="00387987">
              <w:rPr>
                <w:rFonts w:cs="Arial"/>
                <w:color w:val="000000"/>
                <w:szCs w:val="20"/>
                <w:lang w:val="en-US"/>
              </w:rPr>
              <w:t>50</w:t>
            </w:r>
          </w:p>
        </w:tc>
      </w:tr>
    </w:tbl>
    <w:p w14:paraId="109C367B" w14:textId="77777777" w:rsidR="00912EFE" w:rsidRDefault="00912EFE" w:rsidP="00912EFE">
      <w:pPr>
        <w:spacing w:before="120" w:line="280" w:lineRule="atLeast"/>
        <w:jc w:val="both"/>
        <w:rPr>
          <w:rFonts w:ascii="Arial" w:eastAsia="Calibri" w:hAnsi="Arial" w:cs="Arial"/>
          <w:sz w:val="20"/>
          <w:szCs w:val="20"/>
        </w:rPr>
      </w:pPr>
    </w:p>
    <w:p w14:paraId="2D10AF08" w14:textId="7134C5FC" w:rsidR="0030560E" w:rsidRPr="00912EFE" w:rsidRDefault="00230ADC" w:rsidP="00912EFE">
      <w:pPr>
        <w:spacing w:before="120" w:line="280" w:lineRule="atLeast"/>
        <w:jc w:val="both"/>
        <w:rPr>
          <w:rFonts w:ascii="Arial" w:eastAsia="Calibri" w:hAnsi="Arial" w:cs="Arial"/>
          <w:sz w:val="20"/>
          <w:szCs w:val="20"/>
        </w:rPr>
      </w:pPr>
      <w:r w:rsidRPr="00664E64">
        <w:rPr>
          <w:rFonts w:ascii="Arial" w:eastAsia="Calibri" w:hAnsi="Arial" w:cs="Arial"/>
          <w:sz w:val="20"/>
          <w:szCs w:val="20"/>
        </w:rPr>
        <w:t xml:space="preserve">Among the Gambling Harm Scale </w:t>
      </w:r>
      <w:r w:rsidR="0024538A">
        <w:rPr>
          <w:rFonts w:ascii="Arial" w:eastAsia="Calibri" w:hAnsi="Arial" w:cs="Arial"/>
          <w:sz w:val="20"/>
          <w:szCs w:val="20"/>
        </w:rPr>
        <w:t>(</w:t>
      </w:r>
      <w:r w:rsidR="0024538A" w:rsidRPr="0024538A">
        <w:rPr>
          <w:rFonts w:ascii="Arial" w:eastAsia="Calibri" w:hAnsi="Arial" w:cs="Arial"/>
          <w:sz w:val="20"/>
          <w:szCs w:val="20"/>
        </w:rPr>
        <w:t>Brown</w:t>
      </w:r>
      <w:r w:rsidR="0024538A">
        <w:rPr>
          <w:rFonts w:ascii="Arial" w:eastAsia="Calibri" w:hAnsi="Arial" w:cs="Arial"/>
          <w:sz w:val="20"/>
          <w:szCs w:val="20"/>
        </w:rPr>
        <w:t>e, Goodwin &amp; Rockloff,</w:t>
      </w:r>
      <w:r w:rsidR="0024538A" w:rsidRPr="0024538A">
        <w:rPr>
          <w:rFonts w:ascii="Arial" w:eastAsia="Calibri" w:hAnsi="Arial" w:cs="Arial"/>
          <w:sz w:val="20"/>
          <w:szCs w:val="20"/>
        </w:rPr>
        <w:t xml:space="preserve"> 2017</w:t>
      </w:r>
      <w:r w:rsidR="0024538A">
        <w:rPr>
          <w:rFonts w:ascii="Arial" w:eastAsia="Calibri" w:hAnsi="Arial" w:cs="Arial"/>
          <w:sz w:val="20"/>
          <w:szCs w:val="20"/>
        </w:rPr>
        <w:t xml:space="preserve">) </w:t>
      </w:r>
      <w:r w:rsidRPr="00664E64">
        <w:rPr>
          <w:rFonts w:ascii="Arial" w:eastAsia="Calibri" w:hAnsi="Arial" w:cs="Arial"/>
          <w:sz w:val="20"/>
          <w:szCs w:val="20"/>
        </w:rPr>
        <w:t>items that were included, reduction of available spending money (24%) and reduction of savings (22%) were the most commonly reported harms, followed by regrets that made them feel sorry about their gambling (18%) and having less spending for recreational purposes</w:t>
      </w:r>
      <w:r w:rsidR="000D12D9" w:rsidRPr="00664E64">
        <w:rPr>
          <w:rFonts w:ascii="Arial" w:eastAsia="Calibri" w:hAnsi="Arial" w:cs="Arial"/>
          <w:sz w:val="20"/>
          <w:szCs w:val="20"/>
        </w:rPr>
        <w:t xml:space="preserve"> (15%)</w:t>
      </w:r>
      <w:r w:rsidRPr="00664E64">
        <w:rPr>
          <w:rFonts w:ascii="Arial" w:eastAsia="Calibri" w:hAnsi="Arial" w:cs="Arial"/>
          <w:sz w:val="20"/>
          <w:szCs w:val="20"/>
        </w:rPr>
        <w:t xml:space="preserve"> (Table 5.2</w:t>
      </w:r>
      <w:r w:rsidR="0057013A">
        <w:rPr>
          <w:rFonts w:ascii="Arial" w:eastAsia="Calibri" w:hAnsi="Arial" w:cs="Arial"/>
          <w:sz w:val="20"/>
          <w:szCs w:val="20"/>
        </w:rPr>
        <w:t>7</w:t>
      </w:r>
      <w:r w:rsidRPr="00664E64">
        <w:rPr>
          <w:rFonts w:ascii="Arial" w:eastAsia="Calibri" w:hAnsi="Arial" w:cs="Arial"/>
          <w:sz w:val="20"/>
          <w:szCs w:val="20"/>
        </w:rPr>
        <w:t>).</w:t>
      </w:r>
    </w:p>
    <w:p w14:paraId="7E945E8C" w14:textId="77777777" w:rsidR="00912EFE" w:rsidRDefault="00912EFE">
      <w:pPr>
        <w:rPr>
          <w:rFonts w:ascii="Arial" w:hAnsi="Arial" w:cs="Arial"/>
          <w:b/>
          <w:color w:val="ED0C64"/>
          <w:sz w:val="20"/>
          <w:lang w:eastAsia="ja-JP" w:bidi="en-US"/>
        </w:rPr>
      </w:pPr>
      <w:r>
        <w:br w:type="page"/>
      </w:r>
    </w:p>
    <w:p w14:paraId="7CE82D4B" w14:textId="0A191056" w:rsidR="00230ADC" w:rsidRPr="00267E2C" w:rsidRDefault="00230ADC" w:rsidP="00415C73">
      <w:pPr>
        <w:pStyle w:val="FigureCaption"/>
        <w:rPr>
          <w:color w:val="auto"/>
          <w:lang w:val="en-AU"/>
        </w:rPr>
      </w:pPr>
      <w:bookmarkStart w:id="84" w:name="_Toc12549587"/>
      <w:r w:rsidRPr="00267E2C">
        <w:rPr>
          <w:color w:val="auto"/>
          <w:lang w:val="en-AU"/>
        </w:rPr>
        <w:lastRenderedPageBreak/>
        <w:t>Table 5.</w:t>
      </w:r>
      <w:r w:rsidR="00F57245" w:rsidRPr="00267E2C">
        <w:rPr>
          <w:color w:val="auto"/>
          <w:lang w:val="en-AU"/>
        </w:rPr>
        <w:t>2</w:t>
      </w:r>
      <w:r w:rsidR="0057013A" w:rsidRPr="00267E2C">
        <w:rPr>
          <w:color w:val="auto"/>
          <w:lang w:val="en-AU"/>
        </w:rPr>
        <w:t>7</w:t>
      </w:r>
      <w:r w:rsidR="007B4502" w:rsidRPr="00267E2C">
        <w:rPr>
          <w:color w:val="auto"/>
          <w:lang w:val="en-AU"/>
        </w:rPr>
        <w:t>:</w:t>
      </w:r>
      <w:r w:rsidR="00F57245" w:rsidRPr="00267E2C">
        <w:rPr>
          <w:color w:val="auto"/>
          <w:lang w:val="en-AU"/>
        </w:rPr>
        <w:t xml:space="preserve"> </w:t>
      </w:r>
      <w:r w:rsidRPr="00267E2C">
        <w:rPr>
          <w:color w:val="auto"/>
          <w:lang w:val="en-AU"/>
        </w:rPr>
        <w:t>Prevalence of gambling harm experienced as a result of betting online in the last 12 months (N</w:t>
      </w:r>
      <w:r w:rsidR="007B4502" w:rsidRPr="00267E2C">
        <w:rPr>
          <w:color w:val="auto"/>
          <w:lang w:val="en-AU"/>
        </w:rPr>
        <w:t xml:space="preserve"> </w:t>
      </w:r>
      <w:r w:rsidRPr="00267E2C">
        <w:rPr>
          <w:color w:val="auto"/>
          <w:lang w:val="en-AU"/>
        </w:rPr>
        <w:t>=</w:t>
      </w:r>
      <w:r w:rsidR="007B4502" w:rsidRPr="00267E2C">
        <w:rPr>
          <w:color w:val="auto"/>
          <w:lang w:val="en-AU"/>
        </w:rPr>
        <w:t xml:space="preserve"> </w:t>
      </w:r>
      <w:r w:rsidRPr="00267E2C">
        <w:rPr>
          <w:color w:val="auto"/>
          <w:lang w:val="en-AU"/>
        </w:rPr>
        <w:t>5</w:t>
      </w:r>
      <w:r w:rsidR="007B4502" w:rsidRPr="00267E2C">
        <w:rPr>
          <w:color w:val="auto"/>
          <w:lang w:val="en-AU"/>
        </w:rPr>
        <w:t>,</w:t>
      </w:r>
      <w:r w:rsidRPr="00267E2C">
        <w:rPr>
          <w:color w:val="auto"/>
          <w:lang w:val="en-AU"/>
        </w:rPr>
        <w:t>076)</w:t>
      </w:r>
      <w:bookmarkEnd w:id="79"/>
      <w:bookmarkEnd w:id="84"/>
    </w:p>
    <w:tbl>
      <w:tblPr>
        <w:tblStyle w:val="TableGrid"/>
        <w:tblW w:w="5000" w:type="pct"/>
        <w:tblLook w:val="04A0" w:firstRow="1" w:lastRow="0" w:firstColumn="1" w:lastColumn="0" w:noHBand="0" w:noVBand="1"/>
        <w:tblCaption w:val="Prevalence of gambling harm experienced as a result of betting online in the last 12 months "/>
        <w:tblDescription w:val="Lists different categories of gambling harm and the prevalence by count and percentage. Gambling harms range from 'reduction in available spending money' to 'spent less time with people I care about'."/>
      </w:tblPr>
      <w:tblGrid>
        <w:gridCol w:w="4364"/>
        <w:gridCol w:w="2104"/>
        <w:gridCol w:w="2031"/>
      </w:tblGrid>
      <w:tr w:rsidR="00230ADC" w:rsidRPr="00664E64" w14:paraId="498D8645" w14:textId="77777777" w:rsidTr="00523E94">
        <w:trPr>
          <w:cnfStyle w:val="100000000000" w:firstRow="1" w:lastRow="0" w:firstColumn="0" w:lastColumn="0" w:oddVBand="0" w:evenVBand="0" w:oddHBand="0" w:evenHBand="0" w:firstRowFirstColumn="0" w:firstRowLastColumn="0" w:lastRowFirstColumn="0" w:lastRowLastColumn="0"/>
          <w:trHeight w:val="332"/>
          <w:tblHeader/>
        </w:trPr>
        <w:tc>
          <w:tcPr>
            <w:tcW w:w="2567" w:type="pct"/>
            <w:hideMark/>
          </w:tcPr>
          <w:p w14:paraId="721E87E9" w14:textId="77777777" w:rsidR="00230ADC" w:rsidRPr="00664E64" w:rsidRDefault="00230ADC" w:rsidP="00A55CD9">
            <w:pPr>
              <w:pStyle w:val="TableColHeadLeft"/>
              <w:rPr>
                <w:i/>
                <w:lang w:val="en-AU"/>
              </w:rPr>
            </w:pPr>
            <w:r w:rsidRPr="00664E64">
              <w:rPr>
                <w:lang w:val="en-AU"/>
              </w:rPr>
              <w:t>Item</w:t>
            </w:r>
          </w:p>
        </w:tc>
        <w:tc>
          <w:tcPr>
            <w:tcW w:w="1238" w:type="pct"/>
            <w:hideMark/>
          </w:tcPr>
          <w:p w14:paraId="1850E49E" w14:textId="77777777" w:rsidR="00230ADC" w:rsidRPr="00664E64" w:rsidRDefault="00230ADC" w:rsidP="00A55CD9">
            <w:pPr>
              <w:pStyle w:val="TableColHeadCentre"/>
              <w:rPr>
                <w:lang w:val="en-AU"/>
              </w:rPr>
            </w:pPr>
            <w:r w:rsidRPr="00664E64">
              <w:rPr>
                <w:lang w:val="en-AU"/>
              </w:rPr>
              <w:t>Count</w:t>
            </w:r>
          </w:p>
        </w:tc>
        <w:tc>
          <w:tcPr>
            <w:tcW w:w="1195" w:type="pct"/>
            <w:hideMark/>
          </w:tcPr>
          <w:p w14:paraId="725F3552" w14:textId="77777777" w:rsidR="00230ADC" w:rsidRPr="00664E64" w:rsidRDefault="00230ADC" w:rsidP="00A55CD9">
            <w:pPr>
              <w:pStyle w:val="TableColHeadCentre"/>
              <w:rPr>
                <w:lang w:val="en-AU"/>
              </w:rPr>
            </w:pPr>
            <w:r w:rsidRPr="00664E64">
              <w:rPr>
                <w:lang w:val="en-AU"/>
              </w:rPr>
              <w:t>%</w:t>
            </w:r>
          </w:p>
        </w:tc>
      </w:tr>
      <w:tr w:rsidR="00230ADC" w:rsidRPr="00664E64" w14:paraId="2CF9F9D2" w14:textId="77777777" w:rsidTr="00454A33">
        <w:trPr>
          <w:trHeight w:val="550"/>
        </w:trPr>
        <w:tc>
          <w:tcPr>
            <w:tcW w:w="2567" w:type="pct"/>
            <w:hideMark/>
          </w:tcPr>
          <w:p w14:paraId="5564EC18" w14:textId="77777777" w:rsidR="00230ADC" w:rsidRPr="00664E64" w:rsidRDefault="00230ADC" w:rsidP="00A55CD9">
            <w:pPr>
              <w:pStyle w:val="TableText"/>
              <w:rPr>
                <w:lang w:val="en-AU"/>
              </w:rPr>
            </w:pPr>
            <w:r w:rsidRPr="00664E64">
              <w:rPr>
                <w:lang w:val="en-AU"/>
              </w:rPr>
              <w:t>Reduction of my available spending money</w:t>
            </w:r>
          </w:p>
        </w:tc>
        <w:tc>
          <w:tcPr>
            <w:tcW w:w="1238" w:type="pct"/>
            <w:noWrap/>
            <w:hideMark/>
          </w:tcPr>
          <w:p w14:paraId="1BC22532" w14:textId="4F254D1C" w:rsidR="00230ADC" w:rsidRPr="00664E64" w:rsidRDefault="00230ADC" w:rsidP="00A55CD9">
            <w:pPr>
              <w:pStyle w:val="TableTextCentre"/>
              <w:rPr>
                <w:lang w:val="en-AU"/>
              </w:rPr>
            </w:pPr>
            <w:r w:rsidRPr="00664E64">
              <w:rPr>
                <w:lang w:val="en-AU"/>
              </w:rPr>
              <w:t>1</w:t>
            </w:r>
            <w:r w:rsidR="007B4502" w:rsidRPr="00664E64">
              <w:rPr>
                <w:lang w:val="en-AU"/>
              </w:rPr>
              <w:t>,</w:t>
            </w:r>
            <w:r w:rsidRPr="00664E64">
              <w:rPr>
                <w:lang w:val="en-AU"/>
              </w:rPr>
              <w:t>195</w:t>
            </w:r>
          </w:p>
        </w:tc>
        <w:tc>
          <w:tcPr>
            <w:tcW w:w="1195" w:type="pct"/>
            <w:noWrap/>
            <w:hideMark/>
          </w:tcPr>
          <w:p w14:paraId="0219A5CA" w14:textId="77777777" w:rsidR="00230ADC" w:rsidRPr="00664E64" w:rsidRDefault="00230ADC" w:rsidP="00A55CD9">
            <w:pPr>
              <w:pStyle w:val="TableTextCentre"/>
              <w:rPr>
                <w:lang w:val="en-AU"/>
              </w:rPr>
            </w:pPr>
            <w:r w:rsidRPr="00664E64">
              <w:rPr>
                <w:lang w:val="en-AU"/>
              </w:rPr>
              <w:t>23.5</w:t>
            </w:r>
          </w:p>
        </w:tc>
      </w:tr>
      <w:tr w:rsidR="00230ADC" w:rsidRPr="00664E64" w14:paraId="7137ED56" w14:textId="77777777" w:rsidTr="00454A33">
        <w:trPr>
          <w:trHeight w:val="550"/>
        </w:trPr>
        <w:tc>
          <w:tcPr>
            <w:tcW w:w="2567" w:type="pct"/>
            <w:hideMark/>
          </w:tcPr>
          <w:p w14:paraId="0CF1B30E" w14:textId="77777777" w:rsidR="00230ADC" w:rsidRPr="00664E64" w:rsidRDefault="00230ADC" w:rsidP="00A55CD9">
            <w:pPr>
              <w:pStyle w:val="TableText"/>
              <w:rPr>
                <w:lang w:val="en-AU"/>
              </w:rPr>
            </w:pPr>
            <w:r w:rsidRPr="00664E64">
              <w:rPr>
                <w:lang w:val="en-AU"/>
              </w:rPr>
              <w:t>Reduction of my savings</w:t>
            </w:r>
          </w:p>
        </w:tc>
        <w:tc>
          <w:tcPr>
            <w:tcW w:w="1238" w:type="pct"/>
            <w:noWrap/>
            <w:hideMark/>
          </w:tcPr>
          <w:p w14:paraId="2F6EC853" w14:textId="77777777" w:rsidR="00230ADC" w:rsidRPr="00664E64" w:rsidRDefault="00230ADC" w:rsidP="00A55CD9">
            <w:pPr>
              <w:pStyle w:val="TableTextCentre"/>
              <w:rPr>
                <w:lang w:val="en-AU"/>
              </w:rPr>
            </w:pPr>
            <w:r w:rsidRPr="00664E64">
              <w:rPr>
                <w:lang w:val="en-AU"/>
              </w:rPr>
              <w:t>1091</w:t>
            </w:r>
          </w:p>
        </w:tc>
        <w:tc>
          <w:tcPr>
            <w:tcW w:w="1195" w:type="pct"/>
            <w:noWrap/>
            <w:hideMark/>
          </w:tcPr>
          <w:p w14:paraId="4807E062" w14:textId="77777777" w:rsidR="00230ADC" w:rsidRPr="00664E64" w:rsidRDefault="00230ADC" w:rsidP="00A55CD9">
            <w:pPr>
              <w:pStyle w:val="TableTextCentre"/>
              <w:rPr>
                <w:lang w:val="en-AU"/>
              </w:rPr>
            </w:pPr>
            <w:r w:rsidRPr="00664E64">
              <w:rPr>
                <w:lang w:val="en-AU"/>
              </w:rPr>
              <w:t>21.5</w:t>
            </w:r>
          </w:p>
        </w:tc>
      </w:tr>
      <w:tr w:rsidR="00230ADC" w:rsidRPr="00664E64" w14:paraId="41BEEDEC" w14:textId="77777777" w:rsidTr="00454A33">
        <w:trPr>
          <w:trHeight w:val="550"/>
        </w:trPr>
        <w:tc>
          <w:tcPr>
            <w:tcW w:w="2567" w:type="pct"/>
            <w:hideMark/>
          </w:tcPr>
          <w:p w14:paraId="0998DF00" w14:textId="77777777" w:rsidR="00230ADC" w:rsidRPr="00664E64" w:rsidRDefault="00230ADC" w:rsidP="00A55CD9">
            <w:pPr>
              <w:pStyle w:val="TableText"/>
              <w:rPr>
                <w:lang w:val="en-AU"/>
              </w:rPr>
            </w:pPr>
            <w:r w:rsidRPr="00664E64">
              <w:rPr>
                <w:lang w:val="en-AU"/>
              </w:rPr>
              <w:t>Had regrets that made me feel sorry about my gambling</w:t>
            </w:r>
          </w:p>
        </w:tc>
        <w:tc>
          <w:tcPr>
            <w:tcW w:w="1238" w:type="pct"/>
            <w:noWrap/>
            <w:hideMark/>
          </w:tcPr>
          <w:p w14:paraId="48AFC610" w14:textId="77777777" w:rsidR="00230ADC" w:rsidRPr="00664E64" w:rsidRDefault="00230ADC" w:rsidP="00A55CD9">
            <w:pPr>
              <w:pStyle w:val="TableTextCentre"/>
              <w:rPr>
                <w:lang w:val="en-AU"/>
              </w:rPr>
            </w:pPr>
            <w:r w:rsidRPr="00664E64">
              <w:rPr>
                <w:lang w:val="en-AU"/>
              </w:rPr>
              <w:t>913</w:t>
            </w:r>
          </w:p>
        </w:tc>
        <w:tc>
          <w:tcPr>
            <w:tcW w:w="1195" w:type="pct"/>
            <w:noWrap/>
            <w:hideMark/>
          </w:tcPr>
          <w:p w14:paraId="1A4E1D18" w14:textId="77777777" w:rsidR="00230ADC" w:rsidRPr="00664E64" w:rsidRDefault="00230ADC" w:rsidP="00A55CD9">
            <w:pPr>
              <w:pStyle w:val="TableTextCentre"/>
              <w:rPr>
                <w:lang w:val="en-AU"/>
              </w:rPr>
            </w:pPr>
            <w:r w:rsidRPr="00664E64">
              <w:rPr>
                <w:lang w:val="en-AU"/>
              </w:rPr>
              <w:t>18.0</w:t>
            </w:r>
          </w:p>
        </w:tc>
      </w:tr>
      <w:tr w:rsidR="00230ADC" w:rsidRPr="00664E64" w14:paraId="0F7D1A4A" w14:textId="77777777" w:rsidTr="00454A33">
        <w:trPr>
          <w:trHeight w:val="550"/>
        </w:trPr>
        <w:tc>
          <w:tcPr>
            <w:tcW w:w="2567" w:type="pct"/>
            <w:hideMark/>
          </w:tcPr>
          <w:p w14:paraId="54BA4628" w14:textId="77777777" w:rsidR="00230ADC" w:rsidRPr="00664E64" w:rsidRDefault="00230ADC" w:rsidP="00A55CD9">
            <w:pPr>
              <w:pStyle w:val="TableText"/>
              <w:rPr>
                <w:lang w:val="en-AU"/>
              </w:rPr>
            </w:pPr>
            <w:r w:rsidRPr="00664E64">
              <w:rPr>
                <w:lang w:val="en-AU"/>
              </w:rPr>
              <w:t>Less spending on recreational expenses such as eating out, going to movies or other entertainment</w:t>
            </w:r>
          </w:p>
        </w:tc>
        <w:tc>
          <w:tcPr>
            <w:tcW w:w="1238" w:type="pct"/>
            <w:noWrap/>
            <w:hideMark/>
          </w:tcPr>
          <w:p w14:paraId="09225B0E" w14:textId="77777777" w:rsidR="00230ADC" w:rsidRPr="00664E64" w:rsidRDefault="00230ADC" w:rsidP="00A55CD9">
            <w:pPr>
              <w:pStyle w:val="TableTextCentre"/>
              <w:rPr>
                <w:lang w:val="en-AU"/>
              </w:rPr>
            </w:pPr>
            <w:r w:rsidRPr="00664E64">
              <w:rPr>
                <w:lang w:val="en-AU"/>
              </w:rPr>
              <w:t>763</w:t>
            </w:r>
          </w:p>
        </w:tc>
        <w:tc>
          <w:tcPr>
            <w:tcW w:w="1195" w:type="pct"/>
            <w:noWrap/>
            <w:hideMark/>
          </w:tcPr>
          <w:p w14:paraId="060BD87E" w14:textId="77777777" w:rsidR="00230ADC" w:rsidRPr="00664E64" w:rsidRDefault="00230ADC" w:rsidP="00A55CD9">
            <w:pPr>
              <w:pStyle w:val="TableTextCentre"/>
              <w:rPr>
                <w:lang w:val="en-AU"/>
              </w:rPr>
            </w:pPr>
            <w:r w:rsidRPr="00664E64">
              <w:rPr>
                <w:lang w:val="en-AU"/>
              </w:rPr>
              <w:t>15.0</w:t>
            </w:r>
          </w:p>
        </w:tc>
      </w:tr>
      <w:tr w:rsidR="00230ADC" w:rsidRPr="00664E64" w14:paraId="5F134227" w14:textId="77777777" w:rsidTr="00454A33">
        <w:trPr>
          <w:trHeight w:val="550"/>
        </w:trPr>
        <w:tc>
          <w:tcPr>
            <w:tcW w:w="2567" w:type="pct"/>
            <w:hideMark/>
          </w:tcPr>
          <w:p w14:paraId="4D664B6B" w14:textId="77777777" w:rsidR="00230ADC" w:rsidRPr="00664E64" w:rsidRDefault="00230ADC" w:rsidP="00A55CD9">
            <w:pPr>
              <w:pStyle w:val="TableText"/>
              <w:rPr>
                <w:lang w:val="en-AU"/>
              </w:rPr>
            </w:pPr>
            <w:r w:rsidRPr="00664E64">
              <w:rPr>
                <w:lang w:val="en-AU"/>
              </w:rPr>
              <w:t>Felt ashamed of my gambling</w:t>
            </w:r>
          </w:p>
        </w:tc>
        <w:tc>
          <w:tcPr>
            <w:tcW w:w="1238" w:type="pct"/>
            <w:noWrap/>
            <w:hideMark/>
          </w:tcPr>
          <w:p w14:paraId="68682D19" w14:textId="77777777" w:rsidR="00230ADC" w:rsidRPr="00664E64" w:rsidRDefault="00230ADC" w:rsidP="00A55CD9">
            <w:pPr>
              <w:pStyle w:val="TableTextCentre"/>
              <w:rPr>
                <w:lang w:val="en-AU"/>
              </w:rPr>
            </w:pPr>
            <w:r w:rsidRPr="00664E64">
              <w:rPr>
                <w:lang w:val="en-AU"/>
              </w:rPr>
              <w:t>594</w:t>
            </w:r>
          </w:p>
        </w:tc>
        <w:tc>
          <w:tcPr>
            <w:tcW w:w="1195" w:type="pct"/>
            <w:noWrap/>
            <w:hideMark/>
          </w:tcPr>
          <w:p w14:paraId="7F970121" w14:textId="77777777" w:rsidR="00230ADC" w:rsidRPr="00664E64" w:rsidRDefault="00230ADC" w:rsidP="00A55CD9">
            <w:pPr>
              <w:pStyle w:val="TableTextCentre"/>
              <w:rPr>
                <w:lang w:val="en-AU"/>
              </w:rPr>
            </w:pPr>
            <w:r w:rsidRPr="00664E64">
              <w:rPr>
                <w:lang w:val="en-AU"/>
              </w:rPr>
              <w:t>11.7</w:t>
            </w:r>
          </w:p>
        </w:tc>
      </w:tr>
      <w:tr w:rsidR="00230ADC" w:rsidRPr="00664E64" w14:paraId="1C8EA62A" w14:textId="77777777" w:rsidTr="00454A33">
        <w:trPr>
          <w:trHeight w:val="550"/>
        </w:trPr>
        <w:tc>
          <w:tcPr>
            <w:tcW w:w="2567" w:type="pct"/>
            <w:hideMark/>
          </w:tcPr>
          <w:p w14:paraId="00DDB30E" w14:textId="77777777" w:rsidR="00230ADC" w:rsidRPr="00664E64" w:rsidRDefault="00230ADC" w:rsidP="00A55CD9">
            <w:pPr>
              <w:pStyle w:val="TableText"/>
              <w:rPr>
                <w:lang w:val="en-AU"/>
              </w:rPr>
            </w:pPr>
            <w:r w:rsidRPr="00664E64">
              <w:rPr>
                <w:lang w:val="en-AU"/>
              </w:rPr>
              <w:t>Felt like a failure</w:t>
            </w:r>
          </w:p>
        </w:tc>
        <w:tc>
          <w:tcPr>
            <w:tcW w:w="1238" w:type="pct"/>
            <w:noWrap/>
            <w:hideMark/>
          </w:tcPr>
          <w:p w14:paraId="542ACE3E" w14:textId="77777777" w:rsidR="00230ADC" w:rsidRPr="00664E64" w:rsidRDefault="00230ADC" w:rsidP="00A55CD9">
            <w:pPr>
              <w:pStyle w:val="TableTextCentre"/>
              <w:rPr>
                <w:lang w:val="en-AU"/>
              </w:rPr>
            </w:pPr>
            <w:r w:rsidRPr="00664E64">
              <w:rPr>
                <w:lang w:val="en-AU"/>
              </w:rPr>
              <w:t>576</w:t>
            </w:r>
          </w:p>
        </w:tc>
        <w:tc>
          <w:tcPr>
            <w:tcW w:w="1195" w:type="pct"/>
            <w:noWrap/>
            <w:hideMark/>
          </w:tcPr>
          <w:p w14:paraId="0936F62C" w14:textId="77777777" w:rsidR="00230ADC" w:rsidRPr="00664E64" w:rsidRDefault="00230ADC" w:rsidP="00A55CD9">
            <w:pPr>
              <w:pStyle w:val="TableTextCentre"/>
              <w:rPr>
                <w:lang w:val="en-AU"/>
              </w:rPr>
            </w:pPr>
            <w:r w:rsidRPr="00664E64">
              <w:rPr>
                <w:lang w:val="en-AU"/>
              </w:rPr>
              <w:t>11.3</w:t>
            </w:r>
          </w:p>
        </w:tc>
      </w:tr>
      <w:tr w:rsidR="00230ADC" w:rsidRPr="00664E64" w14:paraId="2D161DCD" w14:textId="77777777" w:rsidTr="00454A33">
        <w:trPr>
          <w:trHeight w:val="550"/>
        </w:trPr>
        <w:tc>
          <w:tcPr>
            <w:tcW w:w="2567" w:type="pct"/>
            <w:hideMark/>
          </w:tcPr>
          <w:p w14:paraId="27896B3B" w14:textId="77777777" w:rsidR="00230ADC" w:rsidRPr="00664E64" w:rsidRDefault="00230ADC" w:rsidP="00A55CD9">
            <w:pPr>
              <w:pStyle w:val="TableText"/>
              <w:rPr>
                <w:lang w:val="en-AU"/>
              </w:rPr>
            </w:pPr>
            <w:r w:rsidRPr="00664E64">
              <w:rPr>
                <w:lang w:val="en-AU"/>
              </w:rPr>
              <w:t>Felt distressed about my gambling</w:t>
            </w:r>
          </w:p>
        </w:tc>
        <w:tc>
          <w:tcPr>
            <w:tcW w:w="1238" w:type="pct"/>
            <w:noWrap/>
            <w:hideMark/>
          </w:tcPr>
          <w:p w14:paraId="5DE38555" w14:textId="77777777" w:rsidR="00230ADC" w:rsidRPr="00664E64" w:rsidRDefault="00230ADC" w:rsidP="00A55CD9">
            <w:pPr>
              <w:pStyle w:val="TableTextCentre"/>
              <w:rPr>
                <w:lang w:val="en-AU"/>
              </w:rPr>
            </w:pPr>
            <w:r w:rsidRPr="00664E64">
              <w:rPr>
                <w:lang w:val="en-AU"/>
              </w:rPr>
              <w:t>531</w:t>
            </w:r>
          </w:p>
        </w:tc>
        <w:tc>
          <w:tcPr>
            <w:tcW w:w="1195" w:type="pct"/>
            <w:noWrap/>
            <w:hideMark/>
          </w:tcPr>
          <w:p w14:paraId="7C7EF1FB" w14:textId="77777777" w:rsidR="00230ADC" w:rsidRPr="00664E64" w:rsidRDefault="00230ADC" w:rsidP="00A55CD9">
            <w:pPr>
              <w:pStyle w:val="TableTextCentre"/>
              <w:rPr>
                <w:lang w:val="en-AU"/>
              </w:rPr>
            </w:pPr>
            <w:r w:rsidRPr="00664E64">
              <w:rPr>
                <w:lang w:val="en-AU"/>
              </w:rPr>
              <w:t>10.5</w:t>
            </w:r>
          </w:p>
        </w:tc>
      </w:tr>
      <w:tr w:rsidR="00230ADC" w:rsidRPr="00664E64" w14:paraId="4A19B8BC" w14:textId="77777777" w:rsidTr="00454A33">
        <w:trPr>
          <w:trHeight w:val="550"/>
        </w:trPr>
        <w:tc>
          <w:tcPr>
            <w:tcW w:w="2567" w:type="pct"/>
            <w:hideMark/>
          </w:tcPr>
          <w:p w14:paraId="4481FF70" w14:textId="77777777" w:rsidR="00230ADC" w:rsidRPr="00664E64" w:rsidRDefault="00230ADC" w:rsidP="00A55CD9">
            <w:pPr>
              <w:pStyle w:val="TableText"/>
              <w:rPr>
                <w:lang w:val="en-AU"/>
              </w:rPr>
            </w:pPr>
            <w:r w:rsidRPr="00664E64">
              <w:rPr>
                <w:lang w:val="en-AU"/>
              </w:rPr>
              <w:t>Spent less time with people I care about</w:t>
            </w:r>
          </w:p>
        </w:tc>
        <w:tc>
          <w:tcPr>
            <w:tcW w:w="1238" w:type="pct"/>
            <w:noWrap/>
            <w:hideMark/>
          </w:tcPr>
          <w:p w14:paraId="4A314DD8" w14:textId="77777777" w:rsidR="00230ADC" w:rsidRPr="00664E64" w:rsidRDefault="00230ADC" w:rsidP="00A55CD9">
            <w:pPr>
              <w:pStyle w:val="TableTextCentre"/>
              <w:rPr>
                <w:lang w:val="en-AU"/>
              </w:rPr>
            </w:pPr>
            <w:r w:rsidRPr="00664E64">
              <w:rPr>
                <w:lang w:val="en-AU"/>
              </w:rPr>
              <w:t>473</w:t>
            </w:r>
          </w:p>
        </w:tc>
        <w:tc>
          <w:tcPr>
            <w:tcW w:w="1195" w:type="pct"/>
            <w:noWrap/>
            <w:hideMark/>
          </w:tcPr>
          <w:p w14:paraId="60842F5C" w14:textId="77777777" w:rsidR="00230ADC" w:rsidRPr="00664E64" w:rsidRDefault="00230ADC" w:rsidP="00A55CD9">
            <w:pPr>
              <w:pStyle w:val="TableTextCentre"/>
              <w:rPr>
                <w:lang w:val="en-AU"/>
              </w:rPr>
            </w:pPr>
            <w:r w:rsidRPr="00664E64">
              <w:rPr>
                <w:lang w:val="en-AU"/>
              </w:rPr>
              <w:t>9.3</w:t>
            </w:r>
          </w:p>
        </w:tc>
      </w:tr>
      <w:tr w:rsidR="00230ADC" w:rsidRPr="00664E64" w14:paraId="0442D394" w14:textId="77777777" w:rsidTr="00454A33">
        <w:trPr>
          <w:trHeight w:val="550"/>
        </w:trPr>
        <w:tc>
          <w:tcPr>
            <w:tcW w:w="2567" w:type="pct"/>
            <w:hideMark/>
          </w:tcPr>
          <w:p w14:paraId="57D0D5BE" w14:textId="77777777" w:rsidR="00230ADC" w:rsidRPr="00664E64" w:rsidRDefault="00230ADC" w:rsidP="00A55CD9">
            <w:pPr>
              <w:pStyle w:val="TableText"/>
              <w:rPr>
                <w:lang w:val="en-AU"/>
              </w:rPr>
            </w:pPr>
            <w:r w:rsidRPr="00664E64">
              <w:rPr>
                <w:lang w:val="en-AU"/>
              </w:rPr>
              <w:t>Increased credit card debt</w:t>
            </w:r>
          </w:p>
        </w:tc>
        <w:tc>
          <w:tcPr>
            <w:tcW w:w="1238" w:type="pct"/>
            <w:noWrap/>
            <w:hideMark/>
          </w:tcPr>
          <w:p w14:paraId="01A4C4E0" w14:textId="77777777" w:rsidR="00230ADC" w:rsidRPr="00664E64" w:rsidRDefault="00230ADC" w:rsidP="00A55CD9">
            <w:pPr>
              <w:pStyle w:val="TableTextCentre"/>
              <w:rPr>
                <w:lang w:val="en-AU"/>
              </w:rPr>
            </w:pPr>
            <w:r w:rsidRPr="00664E64">
              <w:rPr>
                <w:lang w:val="en-AU"/>
              </w:rPr>
              <w:t>393</w:t>
            </w:r>
          </w:p>
        </w:tc>
        <w:tc>
          <w:tcPr>
            <w:tcW w:w="1195" w:type="pct"/>
            <w:noWrap/>
            <w:hideMark/>
          </w:tcPr>
          <w:p w14:paraId="2921799A" w14:textId="77777777" w:rsidR="00230ADC" w:rsidRPr="00664E64" w:rsidRDefault="00230ADC" w:rsidP="00A55CD9">
            <w:pPr>
              <w:pStyle w:val="TableTextCentre"/>
              <w:rPr>
                <w:lang w:val="en-AU"/>
              </w:rPr>
            </w:pPr>
            <w:r w:rsidRPr="00664E64">
              <w:rPr>
                <w:lang w:val="en-AU"/>
              </w:rPr>
              <w:t>7.7</w:t>
            </w:r>
          </w:p>
        </w:tc>
      </w:tr>
      <w:tr w:rsidR="00230ADC" w:rsidRPr="00664E64" w14:paraId="1285A30E" w14:textId="77777777" w:rsidTr="00454A33">
        <w:trPr>
          <w:trHeight w:val="550"/>
        </w:trPr>
        <w:tc>
          <w:tcPr>
            <w:tcW w:w="2567" w:type="pct"/>
            <w:hideMark/>
          </w:tcPr>
          <w:p w14:paraId="12BB9073" w14:textId="77777777" w:rsidR="00230ADC" w:rsidRPr="00664E64" w:rsidRDefault="00230ADC" w:rsidP="00A55CD9">
            <w:pPr>
              <w:pStyle w:val="TableText"/>
              <w:rPr>
                <w:lang w:val="en-AU"/>
              </w:rPr>
            </w:pPr>
            <w:r w:rsidRPr="00664E64">
              <w:rPr>
                <w:lang w:val="en-AU"/>
              </w:rPr>
              <w:t>Experienced greater conflict in my relationships (e.g. arguing, fighting, ultimatums)</w:t>
            </w:r>
          </w:p>
        </w:tc>
        <w:tc>
          <w:tcPr>
            <w:tcW w:w="1238" w:type="pct"/>
            <w:noWrap/>
            <w:hideMark/>
          </w:tcPr>
          <w:p w14:paraId="40A14609" w14:textId="77777777" w:rsidR="00230ADC" w:rsidRPr="00664E64" w:rsidRDefault="00230ADC" w:rsidP="00A55CD9">
            <w:pPr>
              <w:pStyle w:val="TableTextCentre"/>
              <w:rPr>
                <w:lang w:val="en-AU"/>
              </w:rPr>
            </w:pPr>
            <w:r w:rsidRPr="00664E64">
              <w:rPr>
                <w:lang w:val="en-AU"/>
              </w:rPr>
              <w:t>378</w:t>
            </w:r>
          </w:p>
        </w:tc>
        <w:tc>
          <w:tcPr>
            <w:tcW w:w="1195" w:type="pct"/>
            <w:noWrap/>
            <w:hideMark/>
          </w:tcPr>
          <w:p w14:paraId="06089696" w14:textId="77777777" w:rsidR="00230ADC" w:rsidRPr="00664E64" w:rsidRDefault="00230ADC" w:rsidP="00A55CD9">
            <w:pPr>
              <w:pStyle w:val="TableTextCentre"/>
              <w:rPr>
                <w:lang w:val="en-AU"/>
              </w:rPr>
            </w:pPr>
            <w:r w:rsidRPr="00664E64">
              <w:rPr>
                <w:lang w:val="en-AU"/>
              </w:rPr>
              <w:t>7.4</w:t>
            </w:r>
          </w:p>
        </w:tc>
      </w:tr>
      <w:tr w:rsidR="00230ADC" w:rsidRPr="00664E64" w14:paraId="2DE25F55" w14:textId="77777777" w:rsidTr="00454A33">
        <w:trPr>
          <w:trHeight w:val="550"/>
        </w:trPr>
        <w:tc>
          <w:tcPr>
            <w:tcW w:w="2567" w:type="pct"/>
            <w:hideMark/>
          </w:tcPr>
          <w:p w14:paraId="2BCD0A28" w14:textId="77777777" w:rsidR="00230ADC" w:rsidRPr="00664E64" w:rsidRDefault="00230ADC" w:rsidP="00A55CD9">
            <w:pPr>
              <w:pStyle w:val="TableText"/>
              <w:rPr>
                <w:lang w:val="en-AU"/>
              </w:rPr>
            </w:pPr>
            <w:r w:rsidRPr="00664E64">
              <w:rPr>
                <w:lang w:val="en-AU"/>
              </w:rPr>
              <w:t>Loss of sleep due to stress or worry about gambling or gambling-related problems</w:t>
            </w:r>
          </w:p>
        </w:tc>
        <w:tc>
          <w:tcPr>
            <w:tcW w:w="1238" w:type="pct"/>
            <w:noWrap/>
            <w:hideMark/>
          </w:tcPr>
          <w:p w14:paraId="740B719A" w14:textId="77777777" w:rsidR="00230ADC" w:rsidRPr="00664E64" w:rsidRDefault="00230ADC" w:rsidP="00A55CD9">
            <w:pPr>
              <w:pStyle w:val="TableTextCentre"/>
              <w:rPr>
                <w:lang w:val="en-AU"/>
              </w:rPr>
            </w:pPr>
            <w:r w:rsidRPr="00664E64">
              <w:rPr>
                <w:lang w:val="en-AU"/>
              </w:rPr>
              <w:t>372</w:t>
            </w:r>
          </w:p>
        </w:tc>
        <w:tc>
          <w:tcPr>
            <w:tcW w:w="1195" w:type="pct"/>
            <w:noWrap/>
            <w:hideMark/>
          </w:tcPr>
          <w:p w14:paraId="76120F50" w14:textId="77777777" w:rsidR="00230ADC" w:rsidRPr="00664E64" w:rsidRDefault="00230ADC" w:rsidP="00A55CD9">
            <w:pPr>
              <w:pStyle w:val="TableTextCentre"/>
              <w:rPr>
                <w:lang w:val="en-AU"/>
              </w:rPr>
            </w:pPr>
            <w:r w:rsidRPr="00664E64">
              <w:rPr>
                <w:lang w:val="en-AU"/>
              </w:rPr>
              <w:t>7.3</w:t>
            </w:r>
          </w:p>
        </w:tc>
      </w:tr>
      <w:tr w:rsidR="00230ADC" w:rsidRPr="00664E64" w14:paraId="652B8105" w14:textId="77777777" w:rsidTr="00454A33">
        <w:trPr>
          <w:trHeight w:val="550"/>
        </w:trPr>
        <w:tc>
          <w:tcPr>
            <w:tcW w:w="2567" w:type="pct"/>
            <w:hideMark/>
          </w:tcPr>
          <w:p w14:paraId="60700FAD" w14:textId="77777777" w:rsidR="00230ADC" w:rsidRPr="00664E64" w:rsidRDefault="00230ADC" w:rsidP="00A55CD9">
            <w:pPr>
              <w:pStyle w:val="TableText"/>
              <w:rPr>
                <w:lang w:val="en-AU"/>
              </w:rPr>
            </w:pPr>
            <w:r w:rsidRPr="00664E64">
              <w:rPr>
                <w:lang w:val="en-AU"/>
              </w:rPr>
              <w:t>Neglected my relationship responsibilities</w:t>
            </w:r>
          </w:p>
        </w:tc>
        <w:tc>
          <w:tcPr>
            <w:tcW w:w="1238" w:type="pct"/>
            <w:noWrap/>
            <w:hideMark/>
          </w:tcPr>
          <w:p w14:paraId="46164AD8" w14:textId="77777777" w:rsidR="00230ADC" w:rsidRPr="00664E64" w:rsidRDefault="00230ADC" w:rsidP="00A55CD9">
            <w:pPr>
              <w:pStyle w:val="TableTextCentre"/>
              <w:rPr>
                <w:lang w:val="en-AU"/>
              </w:rPr>
            </w:pPr>
            <w:r w:rsidRPr="00664E64">
              <w:rPr>
                <w:lang w:val="en-AU"/>
              </w:rPr>
              <w:t>350</w:t>
            </w:r>
          </w:p>
        </w:tc>
        <w:tc>
          <w:tcPr>
            <w:tcW w:w="1195" w:type="pct"/>
            <w:noWrap/>
            <w:hideMark/>
          </w:tcPr>
          <w:p w14:paraId="604228FE" w14:textId="77777777" w:rsidR="00230ADC" w:rsidRPr="00664E64" w:rsidRDefault="00230ADC" w:rsidP="00A55CD9">
            <w:pPr>
              <w:pStyle w:val="TableTextCentre"/>
              <w:rPr>
                <w:lang w:val="en-AU"/>
              </w:rPr>
            </w:pPr>
            <w:r w:rsidRPr="00664E64">
              <w:rPr>
                <w:lang w:val="en-AU"/>
              </w:rPr>
              <w:t>6.9</w:t>
            </w:r>
          </w:p>
        </w:tc>
      </w:tr>
      <w:tr w:rsidR="00230ADC" w:rsidRPr="00664E64" w14:paraId="64DD8DCD" w14:textId="77777777" w:rsidTr="00454A33">
        <w:trPr>
          <w:trHeight w:val="550"/>
        </w:trPr>
        <w:tc>
          <w:tcPr>
            <w:tcW w:w="2567" w:type="pct"/>
            <w:hideMark/>
          </w:tcPr>
          <w:p w14:paraId="51019A78" w14:textId="0C26FF85" w:rsidR="00230ADC" w:rsidRPr="00664E64" w:rsidRDefault="00230ADC" w:rsidP="00A55CD9">
            <w:pPr>
              <w:pStyle w:val="TableText"/>
              <w:rPr>
                <w:lang w:val="en-AU"/>
              </w:rPr>
            </w:pPr>
            <w:r w:rsidRPr="00664E64">
              <w:rPr>
                <w:lang w:val="en-AU"/>
              </w:rPr>
              <w:t>Less spending on essential expenses such as medications, health</w:t>
            </w:r>
            <w:r w:rsidR="007B4502" w:rsidRPr="00664E64">
              <w:rPr>
                <w:lang w:val="en-AU"/>
              </w:rPr>
              <w:t xml:space="preserve"> </w:t>
            </w:r>
            <w:r w:rsidRPr="00664E64">
              <w:rPr>
                <w:lang w:val="en-AU"/>
              </w:rPr>
              <w:t>care and food</w:t>
            </w:r>
          </w:p>
        </w:tc>
        <w:tc>
          <w:tcPr>
            <w:tcW w:w="1238" w:type="pct"/>
            <w:noWrap/>
            <w:hideMark/>
          </w:tcPr>
          <w:p w14:paraId="458FDEE3" w14:textId="77777777" w:rsidR="00230ADC" w:rsidRPr="00664E64" w:rsidRDefault="00230ADC" w:rsidP="00A55CD9">
            <w:pPr>
              <w:pStyle w:val="TableTextCentre"/>
              <w:rPr>
                <w:lang w:val="en-AU"/>
              </w:rPr>
            </w:pPr>
            <w:r w:rsidRPr="00664E64">
              <w:rPr>
                <w:lang w:val="en-AU"/>
              </w:rPr>
              <w:t>335</w:t>
            </w:r>
          </w:p>
        </w:tc>
        <w:tc>
          <w:tcPr>
            <w:tcW w:w="1195" w:type="pct"/>
            <w:noWrap/>
            <w:hideMark/>
          </w:tcPr>
          <w:p w14:paraId="3B667685" w14:textId="77777777" w:rsidR="00230ADC" w:rsidRPr="00664E64" w:rsidRDefault="00230ADC" w:rsidP="00A55CD9">
            <w:pPr>
              <w:pStyle w:val="TableTextCentre"/>
              <w:rPr>
                <w:lang w:val="en-AU"/>
              </w:rPr>
            </w:pPr>
            <w:r w:rsidRPr="00664E64">
              <w:rPr>
                <w:lang w:val="en-AU"/>
              </w:rPr>
              <w:t>6.6</w:t>
            </w:r>
          </w:p>
        </w:tc>
      </w:tr>
      <w:tr w:rsidR="00230ADC" w:rsidRPr="00664E64" w14:paraId="55F1A281" w14:textId="77777777" w:rsidTr="00454A33">
        <w:trPr>
          <w:trHeight w:val="550"/>
        </w:trPr>
        <w:tc>
          <w:tcPr>
            <w:tcW w:w="2567" w:type="pct"/>
            <w:hideMark/>
          </w:tcPr>
          <w:p w14:paraId="2295E83C" w14:textId="5B2F49A8" w:rsidR="00230ADC" w:rsidRPr="00664E64" w:rsidRDefault="00230ADC" w:rsidP="00A55CD9">
            <w:pPr>
              <w:pStyle w:val="TableText"/>
              <w:rPr>
                <w:lang w:val="en-AU"/>
              </w:rPr>
            </w:pPr>
            <w:r w:rsidRPr="00664E64">
              <w:rPr>
                <w:lang w:val="en-AU"/>
              </w:rPr>
              <w:t>Late payment on bills (e.g. utilities, rates)</w:t>
            </w:r>
          </w:p>
        </w:tc>
        <w:tc>
          <w:tcPr>
            <w:tcW w:w="1238" w:type="pct"/>
            <w:noWrap/>
            <w:hideMark/>
          </w:tcPr>
          <w:p w14:paraId="6BFB1BD0" w14:textId="77777777" w:rsidR="00230ADC" w:rsidRPr="00664E64" w:rsidRDefault="00230ADC" w:rsidP="00A55CD9">
            <w:pPr>
              <w:pStyle w:val="TableTextCentre"/>
              <w:rPr>
                <w:lang w:val="en-AU"/>
              </w:rPr>
            </w:pPr>
            <w:r w:rsidRPr="00664E64">
              <w:rPr>
                <w:lang w:val="en-AU"/>
              </w:rPr>
              <w:t>326</w:t>
            </w:r>
          </w:p>
        </w:tc>
        <w:tc>
          <w:tcPr>
            <w:tcW w:w="1195" w:type="pct"/>
            <w:noWrap/>
            <w:hideMark/>
          </w:tcPr>
          <w:p w14:paraId="1B66E87C" w14:textId="77777777" w:rsidR="00230ADC" w:rsidRPr="00664E64" w:rsidRDefault="00230ADC" w:rsidP="00A55CD9">
            <w:pPr>
              <w:pStyle w:val="TableTextCentre"/>
              <w:rPr>
                <w:lang w:val="en-AU"/>
              </w:rPr>
            </w:pPr>
            <w:r w:rsidRPr="00664E64">
              <w:rPr>
                <w:lang w:val="en-AU"/>
              </w:rPr>
              <w:t>6.4</w:t>
            </w:r>
          </w:p>
        </w:tc>
      </w:tr>
      <w:tr w:rsidR="00230ADC" w:rsidRPr="00664E64" w14:paraId="163B1EA8" w14:textId="77777777" w:rsidTr="00454A33">
        <w:trPr>
          <w:trHeight w:val="550"/>
        </w:trPr>
        <w:tc>
          <w:tcPr>
            <w:tcW w:w="2567" w:type="pct"/>
            <w:hideMark/>
          </w:tcPr>
          <w:p w14:paraId="31F41751" w14:textId="77777777" w:rsidR="00230ADC" w:rsidRPr="00664E64" w:rsidRDefault="00230ADC" w:rsidP="00A55CD9">
            <w:pPr>
              <w:pStyle w:val="TableText"/>
              <w:rPr>
                <w:lang w:val="en-AU"/>
              </w:rPr>
            </w:pPr>
            <w:r w:rsidRPr="00664E64">
              <w:rPr>
                <w:lang w:val="en-AU"/>
              </w:rPr>
              <w:t>Reduced performance at work or study due to tiredness or distraction</w:t>
            </w:r>
          </w:p>
        </w:tc>
        <w:tc>
          <w:tcPr>
            <w:tcW w:w="1238" w:type="pct"/>
            <w:noWrap/>
            <w:hideMark/>
          </w:tcPr>
          <w:p w14:paraId="7C2F39D7" w14:textId="77777777" w:rsidR="00230ADC" w:rsidRPr="00664E64" w:rsidRDefault="00230ADC" w:rsidP="00A55CD9">
            <w:pPr>
              <w:pStyle w:val="TableTextCentre"/>
              <w:rPr>
                <w:lang w:val="en-AU"/>
              </w:rPr>
            </w:pPr>
            <w:r w:rsidRPr="00664E64">
              <w:rPr>
                <w:lang w:val="en-AU"/>
              </w:rPr>
              <w:t>326</w:t>
            </w:r>
          </w:p>
        </w:tc>
        <w:tc>
          <w:tcPr>
            <w:tcW w:w="1195" w:type="pct"/>
            <w:noWrap/>
            <w:hideMark/>
          </w:tcPr>
          <w:p w14:paraId="3ACAEEE2" w14:textId="77777777" w:rsidR="00230ADC" w:rsidRPr="00664E64" w:rsidRDefault="00230ADC" w:rsidP="00A55CD9">
            <w:pPr>
              <w:pStyle w:val="TableTextCentre"/>
              <w:rPr>
                <w:lang w:val="en-AU"/>
              </w:rPr>
            </w:pPr>
            <w:r w:rsidRPr="00664E64">
              <w:rPr>
                <w:lang w:val="en-AU"/>
              </w:rPr>
              <w:t>6.4</w:t>
            </w:r>
          </w:p>
        </w:tc>
      </w:tr>
      <w:tr w:rsidR="00230ADC" w:rsidRPr="00664E64" w14:paraId="1C98080D" w14:textId="77777777" w:rsidTr="00454A33">
        <w:trPr>
          <w:trHeight w:val="550"/>
        </w:trPr>
        <w:tc>
          <w:tcPr>
            <w:tcW w:w="2567" w:type="pct"/>
            <w:hideMark/>
          </w:tcPr>
          <w:p w14:paraId="7513E29A" w14:textId="77777777" w:rsidR="00230ADC" w:rsidRPr="00664E64" w:rsidRDefault="00230ADC" w:rsidP="00A55CD9">
            <w:pPr>
              <w:pStyle w:val="TableText"/>
              <w:rPr>
                <w:lang w:val="en-AU"/>
              </w:rPr>
            </w:pPr>
            <w:r w:rsidRPr="00664E64">
              <w:rPr>
                <w:lang w:val="en-AU"/>
              </w:rPr>
              <w:t>Increased my consumption of alcohol</w:t>
            </w:r>
          </w:p>
        </w:tc>
        <w:tc>
          <w:tcPr>
            <w:tcW w:w="1238" w:type="pct"/>
            <w:noWrap/>
            <w:hideMark/>
          </w:tcPr>
          <w:p w14:paraId="16E92A67" w14:textId="77777777" w:rsidR="00230ADC" w:rsidRPr="00664E64" w:rsidRDefault="00230ADC" w:rsidP="00A55CD9">
            <w:pPr>
              <w:pStyle w:val="TableTextCentre"/>
              <w:rPr>
                <w:lang w:val="en-AU"/>
              </w:rPr>
            </w:pPr>
            <w:r w:rsidRPr="00664E64">
              <w:rPr>
                <w:lang w:val="en-AU"/>
              </w:rPr>
              <w:t>321</w:t>
            </w:r>
          </w:p>
        </w:tc>
        <w:tc>
          <w:tcPr>
            <w:tcW w:w="1195" w:type="pct"/>
            <w:noWrap/>
            <w:hideMark/>
          </w:tcPr>
          <w:p w14:paraId="0A0C8005" w14:textId="77777777" w:rsidR="00230ADC" w:rsidRPr="00664E64" w:rsidRDefault="00230ADC" w:rsidP="00A55CD9">
            <w:pPr>
              <w:pStyle w:val="TableTextCentre"/>
              <w:rPr>
                <w:lang w:val="en-AU"/>
              </w:rPr>
            </w:pPr>
            <w:r w:rsidRPr="00664E64">
              <w:rPr>
                <w:lang w:val="en-AU"/>
              </w:rPr>
              <w:t>6.3</w:t>
            </w:r>
          </w:p>
        </w:tc>
      </w:tr>
      <w:tr w:rsidR="00230ADC" w:rsidRPr="00664E64" w14:paraId="5E2E2523" w14:textId="77777777" w:rsidTr="00454A33">
        <w:trPr>
          <w:trHeight w:val="550"/>
        </w:trPr>
        <w:tc>
          <w:tcPr>
            <w:tcW w:w="2567" w:type="pct"/>
            <w:hideMark/>
          </w:tcPr>
          <w:p w14:paraId="0F799219" w14:textId="77777777" w:rsidR="00230ADC" w:rsidRPr="00664E64" w:rsidRDefault="00230ADC" w:rsidP="00A55CD9">
            <w:pPr>
              <w:pStyle w:val="TableText"/>
              <w:rPr>
                <w:lang w:val="en-AU"/>
              </w:rPr>
            </w:pPr>
            <w:r w:rsidRPr="00664E64">
              <w:rPr>
                <w:lang w:val="en-AU"/>
              </w:rPr>
              <w:t>Sold personal items</w:t>
            </w:r>
          </w:p>
        </w:tc>
        <w:tc>
          <w:tcPr>
            <w:tcW w:w="1238" w:type="pct"/>
            <w:noWrap/>
            <w:hideMark/>
          </w:tcPr>
          <w:p w14:paraId="45E68579" w14:textId="77777777" w:rsidR="00230ADC" w:rsidRPr="00664E64" w:rsidRDefault="00230ADC" w:rsidP="00A55CD9">
            <w:pPr>
              <w:pStyle w:val="TableTextCentre"/>
              <w:rPr>
                <w:lang w:val="en-AU"/>
              </w:rPr>
            </w:pPr>
            <w:r w:rsidRPr="00664E64">
              <w:rPr>
                <w:lang w:val="en-AU"/>
              </w:rPr>
              <w:t>189</w:t>
            </w:r>
          </w:p>
        </w:tc>
        <w:tc>
          <w:tcPr>
            <w:tcW w:w="1195" w:type="pct"/>
            <w:noWrap/>
            <w:hideMark/>
          </w:tcPr>
          <w:p w14:paraId="379B5C3B" w14:textId="77777777" w:rsidR="00230ADC" w:rsidRPr="00664E64" w:rsidRDefault="00230ADC" w:rsidP="00A55CD9">
            <w:pPr>
              <w:pStyle w:val="TableTextCentre"/>
              <w:rPr>
                <w:lang w:val="en-AU"/>
              </w:rPr>
            </w:pPr>
            <w:r w:rsidRPr="00664E64">
              <w:rPr>
                <w:lang w:val="en-AU"/>
              </w:rPr>
              <w:t>3.7</w:t>
            </w:r>
          </w:p>
        </w:tc>
      </w:tr>
    </w:tbl>
    <w:p w14:paraId="2B53AA86" w14:textId="60AF4870" w:rsidR="00230ADC" w:rsidRPr="00267E2C" w:rsidRDefault="00230ADC" w:rsidP="00230ADC">
      <w:pPr>
        <w:pStyle w:val="Heading2"/>
        <w:rPr>
          <w:color w:val="auto"/>
        </w:rPr>
      </w:pPr>
      <w:bookmarkStart w:id="85" w:name="_Toc8326334"/>
      <w:bookmarkStart w:id="86" w:name="_Toc12022556"/>
      <w:r w:rsidRPr="00267E2C">
        <w:rPr>
          <w:color w:val="auto"/>
        </w:rPr>
        <w:t>Personal wellbeing</w:t>
      </w:r>
      <w:bookmarkEnd w:id="85"/>
      <w:bookmarkEnd w:id="86"/>
    </w:p>
    <w:p w14:paraId="43C1A55B" w14:textId="07A16840" w:rsidR="00230ADC" w:rsidRPr="00664E64" w:rsidRDefault="00230ADC" w:rsidP="00A55CD9">
      <w:pPr>
        <w:pStyle w:val="BodyText"/>
      </w:pPr>
      <w:r w:rsidRPr="00664E64">
        <w:t xml:space="preserve">A total of eight questions covering various aspects of satisfaction with life were also asked (the Personal Wellbeing </w:t>
      </w:r>
      <w:r w:rsidR="007B4502" w:rsidRPr="00664E64">
        <w:t>I</w:t>
      </w:r>
      <w:r w:rsidRPr="00664E64">
        <w:t>ndex; PWI), each on a scale of 0 (no satisfaction at all) to 10 (completely satisfied). The frequency distribution for responses to the overarching question, ‘How satisfied are you with your life as a whole’, is shown below</w:t>
      </w:r>
      <w:r w:rsidR="00F57245" w:rsidRPr="00664E64">
        <w:t xml:space="preserve"> (Table 5.2</w:t>
      </w:r>
      <w:r w:rsidR="0057013A">
        <w:t>8</w:t>
      </w:r>
      <w:r w:rsidR="00F57245" w:rsidRPr="00664E64">
        <w:t>)</w:t>
      </w:r>
      <w:r w:rsidRPr="00664E64">
        <w:t>:</w:t>
      </w:r>
    </w:p>
    <w:p w14:paraId="4553225B" w14:textId="77777777" w:rsidR="0030560E" w:rsidRPr="00664E64" w:rsidRDefault="0030560E" w:rsidP="00415C73">
      <w:pPr>
        <w:pStyle w:val="FigureCaption"/>
        <w:rPr>
          <w:lang w:val="en-AU"/>
        </w:rPr>
      </w:pPr>
      <w:bookmarkStart w:id="87" w:name="_Toc8330417"/>
    </w:p>
    <w:p w14:paraId="76F16341" w14:textId="56291679" w:rsidR="00230ADC" w:rsidRPr="00267E2C" w:rsidRDefault="00230ADC" w:rsidP="00415C73">
      <w:pPr>
        <w:pStyle w:val="FigureCaption"/>
        <w:rPr>
          <w:color w:val="auto"/>
          <w:lang w:val="en-AU"/>
        </w:rPr>
      </w:pPr>
      <w:bookmarkStart w:id="88" w:name="_Toc12549588"/>
      <w:r w:rsidRPr="00267E2C">
        <w:rPr>
          <w:color w:val="auto"/>
          <w:lang w:val="en-AU"/>
        </w:rPr>
        <w:lastRenderedPageBreak/>
        <w:t>Table 5.</w:t>
      </w:r>
      <w:r w:rsidR="00F57245" w:rsidRPr="00267E2C">
        <w:rPr>
          <w:color w:val="auto"/>
          <w:lang w:val="en-AU"/>
        </w:rPr>
        <w:t>2</w:t>
      </w:r>
      <w:r w:rsidR="0057013A" w:rsidRPr="00267E2C">
        <w:rPr>
          <w:color w:val="auto"/>
          <w:lang w:val="en-AU"/>
        </w:rPr>
        <w:t>8</w:t>
      </w:r>
      <w:r w:rsidR="007B4502" w:rsidRPr="00267E2C">
        <w:rPr>
          <w:color w:val="auto"/>
          <w:lang w:val="en-AU"/>
        </w:rPr>
        <w:t>:</w:t>
      </w:r>
      <w:r w:rsidR="00F57245" w:rsidRPr="00267E2C">
        <w:rPr>
          <w:color w:val="auto"/>
          <w:lang w:val="en-AU"/>
        </w:rPr>
        <w:t xml:space="preserve"> </w:t>
      </w:r>
      <w:r w:rsidRPr="00267E2C">
        <w:rPr>
          <w:color w:val="auto"/>
          <w:lang w:val="en-AU"/>
        </w:rPr>
        <w:t>Responses to the question, ‘How satisfied are you with your life as a whole’ (N</w:t>
      </w:r>
      <w:r w:rsidR="007B4502" w:rsidRPr="00267E2C">
        <w:rPr>
          <w:color w:val="auto"/>
          <w:lang w:val="en-AU"/>
        </w:rPr>
        <w:t xml:space="preserve"> </w:t>
      </w:r>
      <w:r w:rsidRPr="00267E2C">
        <w:rPr>
          <w:color w:val="auto"/>
          <w:lang w:val="en-AU"/>
        </w:rPr>
        <w:t>=</w:t>
      </w:r>
      <w:r w:rsidR="007B4502" w:rsidRPr="00267E2C">
        <w:rPr>
          <w:color w:val="auto"/>
          <w:lang w:val="en-AU"/>
        </w:rPr>
        <w:t xml:space="preserve"> </w:t>
      </w:r>
      <w:r w:rsidRPr="00267E2C">
        <w:rPr>
          <w:color w:val="auto"/>
          <w:lang w:val="en-AU"/>
        </w:rPr>
        <w:t>5</w:t>
      </w:r>
      <w:r w:rsidR="00F57245" w:rsidRPr="00267E2C">
        <w:rPr>
          <w:color w:val="auto"/>
          <w:lang w:val="en-AU"/>
        </w:rPr>
        <w:t>,</w:t>
      </w:r>
      <w:r w:rsidRPr="00267E2C">
        <w:rPr>
          <w:color w:val="auto"/>
          <w:lang w:val="en-AU"/>
        </w:rPr>
        <w:t>076)</w:t>
      </w:r>
      <w:bookmarkEnd w:id="87"/>
      <w:bookmarkEnd w:id="88"/>
    </w:p>
    <w:tbl>
      <w:tblPr>
        <w:tblStyle w:val="TableGrid"/>
        <w:tblW w:w="5000" w:type="pct"/>
        <w:tblLook w:val="04A0" w:firstRow="1" w:lastRow="0" w:firstColumn="1" w:lastColumn="0" w:noHBand="0" w:noVBand="1"/>
        <w:tblCaption w:val="Responses to the question, ‘How satisfied are you with your life as a whole’ (N = 5,076)"/>
        <w:tblDescription w:val="On a scale of 1 to 10 participants rate how satisfied they are with their lives. 60% rated themselves between 5 and 8."/>
      </w:tblPr>
      <w:tblGrid>
        <w:gridCol w:w="2716"/>
        <w:gridCol w:w="5783"/>
      </w:tblGrid>
      <w:tr w:rsidR="00230ADC" w:rsidRPr="00664E64" w14:paraId="4EFD944D" w14:textId="77777777" w:rsidTr="00523E94">
        <w:trPr>
          <w:cnfStyle w:val="100000000000" w:firstRow="1" w:lastRow="0" w:firstColumn="0" w:lastColumn="0" w:oddVBand="0" w:evenVBand="0" w:oddHBand="0" w:evenHBand="0" w:firstRowFirstColumn="0" w:firstRowLastColumn="0" w:lastRowFirstColumn="0" w:lastRowLastColumn="0"/>
          <w:trHeight w:val="449"/>
          <w:tblHeader/>
        </w:trPr>
        <w:tc>
          <w:tcPr>
            <w:tcW w:w="1598" w:type="pct"/>
            <w:noWrap/>
          </w:tcPr>
          <w:p w14:paraId="2579B498" w14:textId="77777777" w:rsidR="00230ADC" w:rsidRPr="00664E64" w:rsidRDefault="00230ADC" w:rsidP="00A55CD9">
            <w:pPr>
              <w:pStyle w:val="TableColHeadLeft"/>
              <w:rPr>
                <w:lang w:val="en-AU"/>
              </w:rPr>
            </w:pPr>
            <w:r w:rsidRPr="00664E64">
              <w:rPr>
                <w:lang w:val="en-AU"/>
              </w:rPr>
              <w:t>Score</w:t>
            </w:r>
          </w:p>
        </w:tc>
        <w:tc>
          <w:tcPr>
            <w:tcW w:w="3402" w:type="pct"/>
            <w:noWrap/>
          </w:tcPr>
          <w:p w14:paraId="4911E7FC" w14:textId="77777777" w:rsidR="00230ADC" w:rsidRPr="00664E64" w:rsidRDefault="00230ADC" w:rsidP="00A55CD9">
            <w:pPr>
              <w:pStyle w:val="TableColHeadCentre"/>
              <w:rPr>
                <w:lang w:val="en-AU"/>
              </w:rPr>
            </w:pPr>
            <w:r w:rsidRPr="00664E64">
              <w:rPr>
                <w:lang w:val="en-AU"/>
              </w:rPr>
              <w:t>% of total</w:t>
            </w:r>
          </w:p>
        </w:tc>
      </w:tr>
      <w:tr w:rsidR="00230ADC" w:rsidRPr="00664E64" w14:paraId="0DAD0DC7" w14:textId="77777777" w:rsidTr="00454A33">
        <w:trPr>
          <w:trHeight w:val="378"/>
        </w:trPr>
        <w:tc>
          <w:tcPr>
            <w:tcW w:w="1598" w:type="pct"/>
            <w:noWrap/>
            <w:hideMark/>
          </w:tcPr>
          <w:p w14:paraId="712F1B12" w14:textId="77777777" w:rsidR="00230ADC" w:rsidRPr="00664E64" w:rsidRDefault="00230ADC" w:rsidP="00A55CD9">
            <w:pPr>
              <w:pStyle w:val="TableText"/>
              <w:rPr>
                <w:lang w:val="en-AU"/>
              </w:rPr>
            </w:pPr>
            <w:r w:rsidRPr="00664E64">
              <w:rPr>
                <w:lang w:val="en-AU"/>
              </w:rPr>
              <w:t>0</w:t>
            </w:r>
          </w:p>
        </w:tc>
        <w:tc>
          <w:tcPr>
            <w:tcW w:w="3402" w:type="pct"/>
            <w:noWrap/>
            <w:hideMark/>
          </w:tcPr>
          <w:p w14:paraId="372E7E38" w14:textId="77777777" w:rsidR="00230ADC" w:rsidRPr="00664E64" w:rsidRDefault="00230ADC" w:rsidP="00A55CD9">
            <w:pPr>
              <w:pStyle w:val="TableTextCentre"/>
              <w:rPr>
                <w:lang w:val="en-AU"/>
              </w:rPr>
            </w:pPr>
            <w:r w:rsidRPr="00664E64">
              <w:rPr>
                <w:lang w:val="en-AU"/>
              </w:rPr>
              <w:t>1.1</w:t>
            </w:r>
          </w:p>
        </w:tc>
      </w:tr>
      <w:tr w:rsidR="00230ADC" w:rsidRPr="00664E64" w14:paraId="12B8227A" w14:textId="77777777" w:rsidTr="00454A33">
        <w:trPr>
          <w:trHeight w:val="378"/>
        </w:trPr>
        <w:tc>
          <w:tcPr>
            <w:tcW w:w="1598" w:type="pct"/>
            <w:noWrap/>
            <w:hideMark/>
          </w:tcPr>
          <w:p w14:paraId="42F64031" w14:textId="3E0C2BBB" w:rsidR="00230ADC" w:rsidRPr="00664E64" w:rsidRDefault="00230ADC" w:rsidP="00A55CD9">
            <w:pPr>
              <w:pStyle w:val="TableText"/>
              <w:rPr>
                <w:lang w:val="en-AU"/>
              </w:rPr>
            </w:pPr>
            <w:r w:rsidRPr="00664E64">
              <w:rPr>
                <w:lang w:val="en-AU"/>
              </w:rPr>
              <w:t>1</w:t>
            </w:r>
            <w:r w:rsidR="007B4502" w:rsidRPr="00664E64">
              <w:rPr>
                <w:lang w:val="en-AU"/>
              </w:rPr>
              <w:t>–</w:t>
            </w:r>
            <w:r w:rsidRPr="00664E64">
              <w:rPr>
                <w:lang w:val="en-AU"/>
              </w:rPr>
              <w:t>4</w:t>
            </w:r>
          </w:p>
        </w:tc>
        <w:tc>
          <w:tcPr>
            <w:tcW w:w="3402" w:type="pct"/>
            <w:noWrap/>
            <w:hideMark/>
          </w:tcPr>
          <w:p w14:paraId="7C097AC7" w14:textId="77777777" w:rsidR="00230ADC" w:rsidRPr="00664E64" w:rsidRDefault="00230ADC" w:rsidP="00A55CD9">
            <w:pPr>
              <w:pStyle w:val="TableTextCentre"/>
              <w:rPr>
                <w:lang w:val="en-AU"/>
              </w:rPr>
            </w:pPr>
            <w:r w:rsidRPr="00664E64">
              <w:rPr>
                <w:lang w:val="en-AU"/>
              </w:rPr>
              <w:t>7.3</w:t>
            </w:r>
          </w:p>
        </w:tc>
      </w:tr>
      <w:tr w:rsidR="00230ADC" w:rsidRPr="00664E64" w14:paraId="3FE9B49B" w14:textId="77777777" w:rsidTr="00454A33">
        <w:trPr>
          <w:trHeight w:val="378"/>
        </w:trPr>
        <w:tc>
          <w:tcPr>
            <w:tcW w:w="1598" w:type="pct"/>
            <w:noWrap/>
            <w:hideMark/>
          </w:tcPr>
          <w:p w14:paraId="3D0F514D" w14:textId="73F68883" w:rsidR="00230ADC" w:rsidRPr="00664E64" w:rsidRDefault="00230ADC" w:rsidP="00A55CD9">
            <w:pPr>
              <w:pStyle w:val="TableText"/>
              <w:rPr>
                <w:lang w:val="en-AU"/>
              </w:rPr>
            </w:pPr>
            <w:r w:rsidRPr="00664E64">
              <w:rPr>
                <w:lang w:val="en-AU"/>
              </w:rPr>
              <w:t>5</w:t>
            </w:r>
            <w:r w:rsidR="007B4502" w:rsidRPr="00664E64">
              <w:rPr>
                <w:lang w:val="en-AU"/>
              </w:rPr>
              <w:t>–</w:t>
            </w:r>
            <w:r w:rsidRPr="00664E64">
              <w:rPr>
                <w:lang w:val="en-AU"/>
              </w:rPr>
              <w:t>8</w:t>
            </w:r>
          </w:p>
        </w:tc>
        <w:tc>
          <w:tcPr>
            <w:tcW w:w="3402" w:type="pct"/>
            <w:noWrap/>
            <w:hideMark/>
          </w:tcPr>
          <w:p w14:paraId="0FAECC8B" w14:textId="77777777" w:rsidR="00230ADC" w:rsidRPr="00664E64" w:rsidRDefault="00230ADC" w:rsidP="00A55CD9">
            <w:pPr>
              <w:pStyle w:val="TableTextCentre"/>
              <w:rPr>
                <w:lang w:val="en-AU"/>
              </w:rPr>
            </w:pPr>
            <w:r w:rsidRPr="00664E64">
              <w:rPr>
                <w:lang w:val="en-AU"/>
              </w:rPr>
              <w:t>60.3</w:t>
            </w:r>
          </w:p>
        </w:tc>
      </w:tr>
      <w:tr w:rsidR="00230ADC" w:rsidRPr="00664E64" w14:paraId="4C40847A" w14:textId="77777777" w:rsidTr="00454A33">
        <w:trPr>
          <w:trHeight w:val="378"/>
        </w:trPr>
        <w:tc>
          <w:tcPr>
            <w:tcW w:w="1598" w:type="pct"/>
            <w:noWrap/>
            <w:hideMark/>
          </w:tcPr>
          <w:p w14:paraId="03C27C6C" w14:textId="77777777" w:rsidR="00230ADC" w:rsidRPr="00664E64" w:rsidRDefault="00230ADC" w:rsidP="00A55CD9">
            <w:pPr>
              <w:pStyle w:val="TableText"/>
              <w:rPr>
                <w:lang w:val="en-AU"/>
              </w:rPr>
            </w:pPr>
            <w:r w:rsidRPr="00664E64">
              <w:rPr>
                <w:lang w:val="en-AU"/>
              </w:rPr>
              <w:t>9</w:t>
            </w:r>
          </w:p>
        </w:tc>
        <w:tc>
          <w:tcPr>
            <w:tcW w:w="3402" w:type="pct"/>
            <w:noWrap/>
            <w:hideMark/>
          </w:tcPr>
          <w:p w14:paraId="572BF41B" w14:textId="77777777" w:rsidR="00230ADC" w:rsidRPr="00664E64" w:rsidRDefault="00230ADC" w:rsidP="00A55CD9">
            <w:pPr>
              <w:pStyle w:val="TableTextCentre"/>
              <w:rPr>
                <w:lang w:val="en-AU"/>
              </w:rPr>
            </w:pPr>
            <w:r w:rsidRPr="00664E64">
              <w:rPr>
                <w:lang w:val="en-AU"/>
              </w:rPr>
              <w:t>14.2</w:t>
            </w:r>
          </w:p>
        </w:tc>
      </w:tr>
      <w:tr w:rsidR="00230ADC" w:rsidRPr="00664E64" w14:paraId="1739FDDB" w14:textId="77777777" w:rsidTr="00454A33">
        <w:trPr>
          <w:trHeight w:val="378"/>
        </w:trPr>
        <w:tc>
          <w:tcPr>
            <w:tcW w:w="1598" w:type="pct"/>
            <w:noWrap/>
            <w:hideMark/>
          </w:tcPr>
          <w:p w14:paraId="62271FE6" w14:textId="77777777" w:rsidR="00230ADC" w:rsidRPr="00664E64" w:rsidRDefault="00230ADC" w:rsidP="00A55CD9">
            <w:pPr>
              <w:pStyle w:val="TableText"/>
              <w:rPr>
                <w:lang w:val="en-AU"/>
              </w:rPr>
            </w:pPr>
            <w:r w:rsidRPr="00664E64">
              <w:rPr>
                <w:lang w:val="en-AU"/>
              </w:rPr>
              <w:t>10</w:t>
            </w:r>
          </w:p>
        </w:tc>
        <w:tc>
          <w:tcPr>
            <w:tcW w:w="3402" w:type="pct"/>
            <w:noWrap/>
            <w:hideMark/>
          </w:tcPr>
          <w:p w14:paraId="11FFA3C2" w14:textId="77777777" w:rsidR="00230ADC" w:rsidRPr="00664E64" w:rsidRDefault="00230ADC" w:rsidP="00A55CD9">
            <w:pPr>
              <w:pStyle w:val="TableTextCentre"/>
              <w:rPr>
                <w:lang w:val="en-AU"/>
              </w:rPr>
            </w:pPr>
            <w:r w:rsidRPr="00664E64">
              <w:rPr>
                <w:lang w:val="en-AU"/>
              </w:rPr>
              <w:t>17.8</w:t>
            </w:r>
          </w:p>
        </w:tc>
      </w:tr>
    </w:tbl>
    <w:p w14:paraId="0B754325" w14:textId="1EFB1FD4" w:rsidR="00230ADC" w:rsidRPr="00664E64" w:rsidRDefault="00230ADC" w:rsidP="00A55CD9">
      <w:pPr>
        <w:pStyle w:val="BodyText"/>
      </w:pPr>
      <w:r w:rsidRPr="00664E64">
        <w:t xml:space="preserve">Overall, </w:t>
      </w:r>
      <w:r w:rsidR="007B4502" w:rsidRPr="00664E64">
        <w:t xml:space="preserve">the </w:t>
      </w:r>
      <w:r w:rsidRPr="00664E64">
        <w:t>PWI score ranged from 0 to 85.7 with mean and median of 64.3 and 67.1, respectively. The average Australian national PWI score is 75.5 with the normative range of 74.2</w:t>
      </w:r>
      <w:r w:rsidR="007B4502" w:rsidRPr="00664E64">
        <w:t>–</w:t>
      </w:r>
      <w:r w:rsidRPr="00664E64">
        <w:t xml:space="preserve">76.7 [Mean-2SD </w:t>
      </w:r>
      <w:r w:rsidR="007B4502" w:rsidRPr="00664E64">
        <w:t xml:space="preserve">– </w:t>
      </w:r>
      <w:r w:rsidRPr="00664E64">
        <w:t>Mean+2SD, for all the past survey means] (Capic et al., 2018). The 95% confidence interval for mean (63.9</w:t>
      </w:r>
      <w:r w:rsidR="007B4502" w:rsidRPr="00664E64">
        <w:t>–</w:t>
      </w:r>
      <w:r w:rsidRPr="00664E64">
        <w:t xml:space="preserve">64.8) for the current sample does not overlap with this normative range. It, therefore, can be inferred that the sample in this study seemed to have scored significantly lower on personal wellbeing, when compared to the Australian population. </w:t>
      </w:r>
    </w:p>
    <w:p w14:paraId="2C9D8ECD" w14:textId="3A2431AF" w:rsidR="00230ADC" w:rsidRPr="00267E2C" w:rsidRDefault="00230ADC" w:rsidP="00230ADC">
      <w:pPr>
        <w:pStyle w:val="Heading2"/>
        <w:rPr>
          <w:color w:val="auto"/>
        </w:rPr>
      </w:pPr>
      <w:bookmarkStart w:id="89" w:name="_Toc8326335"/>
      <w:bookmarkStart w:id="90" w:name="_Toc12022557"/>
      <w:r w:rsidRPr="00267E2C">
        <w:rPr>
          <w:color w:val="auto"/>
        </w:rPr>
        <w:t xml:space="preserve">Consumer protection </w:t>
      </w:r>
      <w:bookmarkEnd w:id="89"/>
      <w:r w:rsidRPr="00267E2C">
        <w:rPr>
          <w:color w:val="auto"/>
        </w:rPr>
        <w:t>measures</w:t>
      </w:r>
      <w:bookmarkEnd w:id="90"/>
    </w:p>
    <w:p w14:paraId="337C1654" w14:textId="2833C9C6" w:rsidR="00230ADC" w:rsidRPr="00267E2C" w:rsidRDefault="00230ADC" w:rsidP="00DF2954">
      <w:pPr>
        <w:spacing w:before="120" w:line="280" w:lineRule="atLeast"/>
        <w:jc w:val="both"/>
        <w:rPr>
          <w:rFonts w:ascii="Arial" w:hAnsi="Arial" w:cs="Arial"/>
          <w:sz w:val="20"/>
          <w:szCs w:val="20"/>
        </w:rPr>
      </w:pPr>
      <w:r w:rsidRPr="00267E2C">
        <w:rPr>
          <w:rFonts w:ascii="Arial" w:hAnsi="Arial" w:cs="Arial"/>
          <w:sz w:val="20"/>
          <w:szCs w:val="20"/>
        </w:rPr>
        <w:t xml:space="preserve">Participants were asked a number of questions related </w:t>
      </w:r>
      <w:r w:rsidR="00BA6623" w:rsidRPr="00267E2C">
        <w:rPr>
          <w:rFonts w:ascii="Arial" w:hAnsi="Arial" w:cs="Arial"/>
          <w:sz w:val="20"/>
          <w:szCs w:val="20"/>
        </w:rPr>
        <w:t xml:space="preserve">to </w:t>
      </w:r>
      <w:r w:rsidRPr="00267E2C">
        <w:rPr>
          <w:rFonts w:ascii="Arial" w:hAnsi="Arial" w:cs="Arial"/>
          <w:sz w:val="20"/>
          <w:szCs w:val="20"/>
        </w:rPr>
        <w:t>their awareness and use of different consumer protection measures/features, and for those who had used any of the features, how useful they perceived them to be.</w:t>
      </w:r>
    </w:p>
    <w:p w14:paraId="3A7175C6" w14:textId="77777777" w:rsidR="00230ADC" w:rsidRPr="00267E2C" w:rsidRDefault="00230ADC" w:rsidP="00A55CD9">
      <w:pPr>
        <w:pStyle w:val="Heading3"/>
        <w:rPr>
          <w:color w:val="auto"/>
        </w:rPr>
      </w:pPr>
      <w:r w:rsidRPr="00267E2C">
        <w:rPr>
          <w:color w:val="auto"/>
        </w:rPr>
        <w:t>Awareness and use of consumer protection measures</w:t>
      </w:r>
    </w:p>
    <w:p w14:paraId="2DBFFDEE" w14:textId="6542A09B" w:rsidR="00230ADC" w:rsidRPr="00664E64" w:rsidRDefault="00230ADC" w:rsidP="00A55CD9">
      <w:pPr>
        <w:pStyle w:val="BodyText"/>
      </w:pPr>
      <w:r w:rsidRPr="00664E64">
        <w:t>Around three</w:t>
      </w:r>
      <w:r w:rsidR="007B4502" w:rsidRPr="00664E64">
        <w:t>-</w:t>
      </w:r>
      <w:r w:rsidRPr="00664E64">
        <w:t>quarters (77%) of online survey participants reported that they had seen one or more consumer protection measures/features on betting apps/websites, and 59% report</w:t>
      </w:r>
      <w:r w:rsidR="00BD5322" w:rsidRPr="00664E64">
        <w:t>ed</w:t>
      </w:r>
      <w:r w:rsidRPr="00664E64">
        <w:t xml:space="preserve"> having used a feature/s</w:t>
      </w:r>
      <w:r w:rsidR="00F57245" w:rsidRPr="00664E64">
        <w:t xml:space="preserve"> (Table 5.2</w:t>
      </w:r>
      <w:r w:rsidR="0057013A">
        <w:t>9</w:t>
      </w:r>
      <w:r w:rsidR="00F57245" w:rsidRPr="00664E64">
        <w:t>)</w:t>
      </w:r>
      <w:r w:rsidRPr="00664E64">
        <w:t>. The features that were reported to have been seen (46%) or used (13%) by the highest proportion of respondents were those to set deposit limits in accounts, followed by those to set limits on betting expenditure (seen 44%; used 1</w:t>
      </w:r>
      <w:r w:rsidR="00F57245" w:rsidRPr="00664E64">
        <w:t>0</w:t>
      </w:r>
      <w:r w:rsidRPr="00664E64">
        <w:t xml:space="preserve">%). </w:t>
      </w:r>
    </w:p>
    <w:p w14:paraId="397D5480" w14:textId="77777777" w:rsidR="00230ADC" w:rsidRPr="00664E64" w:rsidRDefault="00230ADC" w:rsidP="00A55CD9">
      <w:pPr>
        <w:pStyle w:val="BodyText"/>
      </w:pPr>
      <w:r w:rsidRPr="00664E64">
        <w:t>In terms of the proportion of respondents who reported having used a feature among those who had seen it, access to regular financial statements (38%) was the most cited. Around a quarter of participants who had seen other measures reported having also used them. Fewer participants reported having used features to exclude themselves from a website/app either permanently or for a period of time.</w:t>
      </w:r>
    </w:p>
    <w:p w14:paraId="438D1035" w14:textId="6D4CD7AD" w:rsidR="007B4502" w:rsidRPr="00664E64" w:rsidRDefault="00230ADC" w:rsidP="007B4502">
      <w:pPr>
        <w:pStyle w:val="BodyText"/>
      </w:pPr>
      <w:r w:rsidRPr="00664E64">
        <w:t xml:space="preserve">Of the 3,931 respondents who reported having seen at least one of the features, half (47%) reported having used one or more features. </w:t>
      </w:r>
      <w:bookmarkStart w:id="91" w:name="_Toc8330418"/>
    </w:p>
    <w:p w14:paraId="37FAF76B" w14:textId="77777777" w:rsidR="007B4502" w:rsidRPr="00664E64" w:rsidRDefault="007B4502">
      <w:pPr>
        <w:rPr>
          <w:lang w:bidi="en-US"/>
        </w:rPr>
      </w:pPr>
      <w:r w:rsidRPr="00664E64">
        <w:br w:type="page"/>
      </w:r>
    </w:p>
    <w:p w14:paraId="61CFD2FD" w14:textId="48183772" w:rsidR="00230ADC" w:rsidRPr="00267E2C" w:rsidRDefault="00230ADC" w:rsidP="00415C73">
      <w:pPr>
        <w:pStyle w:val="FigureCaption"/>
        <w:rPr>
          <w:color w:val="auto"/>
          <w:lang w:val="en-AU"/>
        </w:rPr>
      </w:pPr>
      <w:bookmarkStart w:id="92" w:name="_Toc11864586"/>
      <w:bookmarkStart w:id="93" w:name="_Toc12549589"/>
      <w:r w:rsidRPr="00267E2C">
        <w:rPr>
          <w:color w:val="auto"/>
          <w:lang w:val="en-AU"/>
        </w:rPr>
        <w:lastRenderedPageBreak/>
        <w:t>Table 5.</w:t>
      </w:r>
      <w:r w:rsidR="0057013A" w:rsidRPr="00267E2C">
        <w:rPr>
          <w:color w:val="auto"/>
          <w:lang w:val="en-AU"/>
        </w:rPr>
        <w:t>29</w:t>
      </w:r>
      <w:r w:rsidR="007B4502" w:rsidRPr="00267E2C">
        <w:rPr>
          <w:color w:val="auto"/>
          <w:lang w:val="en-AU"/>
        </w:rPr>
        <w:t xml:space="preserve">: </w:t>
      </w:r>
      <w:r w:rsidRPr="00267E2C">
        <w:rPr>
          <w:color w:val="auto"/>
          <w:lang w:val="en-AU"/>
        </w:rPr>
        <w:t>Proportion of participants having seen consumer protection features on betting apps and websites and/or used those features</w:t>
      </w:r>
      <w:bookmarkEnd w:id="91"/>
      <w:bookmarkEnd w:id="92"/>
      <w:bookmarkEnd w:id="93"/>
    </w:p>
    <w:tbl>
      <w:tblPr>
        <w:tblStyle w:val="TableGrid"/>
        <w:tblW w:w="5000" w:type="pct"/>
        <w:tblLook w:val="04A0" w:firstRow="1" w:lastRow="0" w:firstColumn="1" w:lastColumn="0" w:noHBand="0" w:noVBand="1"/>
        <w:tblCaption w:val="Proportion of participants having seen consumer protection features on betting apps and websites and/or used those features"/>
        <w:tblDescription w:val="Gives details of the numbers of particpants who had seen or used various protective features online such as setting a spend limit or closing an account, or receiving regular financial statements."/>
      </w:tblPr>
      <w:tblGrid>
        <w:gridCol w:w="3433"/>
        <w:gridCol w:w="1265"/>
        <w:gridCol w:w="1265"/>
        <w:gridCol w:w="1265"/>
        <w:gridCol w:w="1271"/>
      </w:tblGrid>
      <w:tr w:rsidR="00230ADC" w:rsidRPr="00664E64" w14:paraId="30F9BCBE" w14:textId="77777777" w:rsidTr="00821340">
        <w:trPr>
          <w:cnfStyle w:val="100000000000" w:firstRow="1" w:lastRow="0" w:firstColumn="0" w:lastColumn="0" w:oddVBand="0" w:evenVBand="0" w:oddHBand="0" w:evenHBand="0" w:firstRowFirstColumn="0" w:firstRowLastColumn="0" w:lastRowFirstColumn="0" w:lastRowLastColumn="0"/>
          <w:trHeight w:val="426"/>
          <w:tblHeader/>
        </w:trPr>
        <w:tc>
          <w:tcPr>
            <w:tcW w:w="2020" w:type="pct"/>
            <w:hideMark/>
          </w:tcPr>
          <w:p w14:paraId="7CDE0E6C" w14:textId="77777777" w:rsidR="00230ADC" w:rsidRPr="00664E64" w:rsidRDefault="00230ADC" w:rsidP="00A55CD9">
            <w:pPr>
              <w:pStyle w:val="TableColHeadLeft"/>
              <w:rPr>
                <w:lang w:val="en-AU"/>
              </w:rPr>
            </w:pPr>
            <w:r w:rsidRPr="00664E64">
              <w:rPr>
                <w:lang w:val="en-AU"/>
              </w:rPr>
              <w:t>Features</w:t>
            </w:r>
          </w:p>
        </w:tc>
        <w:tc>
          <w:tcPr>
            <w:tcW w:w="744" w:type="pct"/>
            <w:hideMark/>
          </w:tcPr>
          <w:p w14:paraId="6DDC2F41" w14:textId="77777777" w:rsidR="00230ADC" w:rsidRPr="00664E64" w:rsidRDefault="00230ADC" w:rsidP="00A55CD9">
            <w:pPr>
              <w:pStyle w:val="TableColHeadCentre"/>
              <w:rPr>
                <w:lang w:val="en-AU"/>
              </w:rPr>
            </w:pPr>
            <w:r w:rsidRPr="00664E64">
              <w:rPr>
                <w:lang w:val="en-AU"/>
              </w:rPr>
              <w:t>Seen (%)</w:t>
            </w:r>
          </w:p>
          <w:p w14:paraId="330DD1B7" w14:textId="57898F47" w:rsidR="00230ADC" w:rsidRPr="00664E64" w:rsidRDefault="00230ADC" w:rsidP="00A55CD9">
            <w:pPr>
              <w:pStyle w:val="TableColHeadCentre"/>
              <w:rPr>
                <w:lang w:val="en-AU"/>
              </w:rPr>
            </w:pPr>
            <w:r w:rsidRPr="00664E64">
              <w:rPr>
                <w:bCs/>
                <w:lang w:val="en-AU"/>
              </w:rPr>
              <w:t>(</w:t>
            </w:r>
            <w:r w:rsidRPr="00664E64">
              <w:rPr>
                <w:bCs/>
                <w:i/>
                <w:lang w:val="en-AU"/>
              </w:rPr>
              <w:t>N</w:t>
            </w:r>
            <w:r w:rsidR="007B4502" w:rsidRPr="00664E64">
              <w:rPr>
                <w:bCs/>
                <w:lang w:val="en-AU"/>
              </w:rPr>
              <w:t xml:space="preserve"> </w:t>
            </w:r>
            <w:r w:rsidRPr="00664E64">
              <w:rPr>
                <w:bCs/>
                <w:lang w:val="en-AU"/>
              </w:rPr>
              <w:t>=</w:t>
            </w:r>
            <w:r w:rsidR="007B4502" w:rsidRPr="00664E64">
              <w:rPr>
                <w:bCs/>
                <w:lang w:val="en-AU"/>
              </w:rPr>
              <w:t xml:space="preserve"> </w:t>
            </w:r>
            <w:r w:rsidRPr="00664E64">
              <w:rPr>
                <w:bCs/>
                <w:lang w:val="en-AU"/>
              </w:rPr>
              <w:t>5,076)</w:t>
            </w:r>
          </w:p>
        </w:tc>
        <w:tc>
          <w:tcPr>
            <w:tcW w:w="744" w:type="pct"/>
          </w:tcPr>
          <w:p w14:paraId="3433321F" w14:textId="77777777" w:rsidR="00230ADC" w:rsidRPr="00664E64" w:rsidRDefault="00230ADC" w:rsidP="00A55CD9">
            <w:pPr>
              <w:pStyle w:val="TableColHeadCentre"/>
              <w:rPr>
                <w:lang w:val="en-AU"/>
              </w:rPr>
            </w:pPr>
            <w:r w:rsidRPr="00664E64">
              <w:rPr>
                <w:lang w:val="en-AU"/>
              </w:rPr>
              <w:t>Used (%)</w:t>
            </w:r>
          </w:p>
          <w:p w14:paraId="2B16A488" w14:textId="6DF758AC" w:rsidR="00230ADC" w:rsidRPr="00664E64" w:rsidRDefault="00230ADC" w:rsidP="00A55CD9">
            <w:pPr>
              <w:pStyle w:val="TableColHeadCentre"/>
              <w:rPr>
                <w:lang w:val="en-AU"/>
              </w:rPr>
            </w:pPr>
            <w:r w:rsidRPr="00664E64">
              <w:rPr>
                <w:bCs/>
                <w:lang w:val="en-AU"/>
              </w:rPr>
              <w:t>(</w:t>
            </w:r>
            <w:r w:rsidRPr="00664E64">
              <w:rPr>
                <w:bCs/>
                <w:i/>
                <w:lang w:val="en-AU"/>
              </w:rPr>
              <w:t>N</w:t>
            </w:r>
            <w:r w:rsidR="007B4502" w:rsidRPr="00664E64">
              <w:rPr>
                <w:bCs/>
                <w:lang w:val="en-AU"/>
              </w:rPr>
              <w:t xml:space="preserve"> </w:t>
            </w:r>
            <w:r w:rsidRPr="00664E64">
              <w:rPr>
                <w:bCs/>
                <w:lang w:val="en-AU"/>
              </w:rPr>
              <w:t>=</w:t>
            </w:r>
            <w:r w:rsidR="007B4502" w:rsidRPr="00664E64">
              <w:rPr>
                <w:bCs/>
                <w:lang w:val="en-AU"/>
              </w:rPr>
              <w:t xml:space="preserve"> </w:t>
            </w:r>
            <w:r w:rsidRPr="00664E64">
              <w:rPr>
                <w:bCs/>
                <w:lang w:val="en-AU"/>
              </w:rPr>
              <w:t>5,076)</w:t>
            </w:r>
          </w:p>
        </w:tc>
        <w:tc>
          <w:tcPr>
            <w:tcW w:w="744" w:type="pct"/>
          </w:tcPr>
          <w:p w14:paraId="1EB2C402" w14:textId="77777777" w:rsidR="00230ADC" w:rsidRPr="00664E64" w:rsidRDefault="00230ADC" w:rsidP="00A55CD9">
            <w:pPr>
              <w:pStyle w:val="TableColHeadCentre"/>
              <w:rPr>
                <w:lang w:val="en-AU"/>
              </w:rPr>
            </w:pPr>
            <w:r w:rsidRPr="00664E64">
              <w:rPr>
                <w:lang w:val="en-AU"/>
              </w:rPr>
              <w:t>Used from who had seen this feature (%)</w:t>
            </w:r>
          </w:p>
        </w:tc>
        <w:tc>
          <w:tcPr>
            <w:tcW w:w="748" w:type="pct"/>
          </w:tcPr>
          <w:p w14:paraId="4B1648F5" w14:textId="5071E9DD" w:rsidR="00230ADC" w:rsidRPr="00664E64" w:rsidRDefault="00230ADC" w:rsidP="00A55CD9">
            <w:pPr>
              <w:pStyle w:val="TableColHeadCentre"/>
              <w:rPr>
                <w:lang w:val="en-AU"/>
              </w:rPr>
            </w:pPr>
            <w:r w:rsidRPr="00664E64">
              <w:rPr>
                <w:lang w:val="en-AU"/>
              </w:rPr>
              <w:t>Used (%) from who had seen any features (</w:t>
            </w:r>
            <w:r w:rsidRPr="00664E64">
              <w:rPr>
                <w:bCs/>
                <w:i/>
                <w:lang w:val="en-AU"/>
              </w:rPr>
              <w:t>N</w:t>
            </w:r>
            <w:r w:rsidR="007B4502" w:rsidRPr="00664E64">
              <w:rPr>
                <w:bCs/>
                <w:lang w:val="en-AU"/>
              </w:rPr>
              <w:t xml:space="preserve"> </w:t>
            </w:r>
            <w:r w:rsidRPr="00664E64">
              <w:rPr>
                <w:bCs/>
                <w:lang w:val="en-AU"/>
              </w:rPr>
              <w:t>=</w:t>
            </w:r>
            <w:r w:rsidR="007B4502" w:rsidRPr="00664E64">
              <w:rPr>
                <w:bCs/>
                <w:lang w:val="en-AU"/>
              </w:rPr>
              <w:t xml:space="preserve"> </w:t>
            </w:r>
            <w:r w:rsidRPr="00664E64">
              <w:rPr>
                <w:bCs/>
                <w:lang w:val="en-AU"/>
              </w:rPr>
              <w:t>3,931</w:t>
            </w:r>
            <w:r w:rsidRPr="00664E64">
              <w:rPr>
                <w:lang w:val="en-AU"/>
              </w:rPr>
              <w:t>)</w:t>
            </w:r>
          </w:p>
        </w:tc>
      </w:tr>
      <w:tr w:rsidR="00230ADC" w:rsidRPr="00664E64" w14:paraId="0620ED94" w14:textId="77777777" w:rsidTr="00821340">
        <w:trPr>
          <w:trHeight w:val="776"/>
        </w:trPr>
        <w:tc>
          <w:tcPr>
            <w:tcW w:w="2020" w:type="pct"/>
            <w:hideMark/>
          </w:tcPr>
          <w:p w14:paraId="77CA816A" w14:textId="77777777" w:rsidR="00230ADC" w:rsidRPr="00664E64" w:rsidRDefault="00230ADC" w:rsidP="00A55CD9">
            <w:pPr>
              <w:pStyle w:val="TableText"/>
              <w:rPr>
                <w:lang w:val="en-AU"/>
              </w:rPr>
            </w:pPr>
            <w:r w:rsidRPr="00664E64">
              <w:rPr>
                <w:lang w:val="en-AU"/>
              </w:rPr>
              <w:t>Set limits on how much I want to deposit in my account</w:t>
            </w:r>
          </w:p>
        </w:tc>
        <w:tc>
          <w:tcPr>
            <w:tcW w:w="744" w:type="pct"/>
            <w:noWrap/>
            <w:hideMark/>
          </w:tcPr>
          <w:p w14:paraId="2ED3A8C9" w14:textId="77777777" w:rsidR="00230ADC" w:rsidRPr="00664E64" w:rsidRDefault="00230ADC" w:rsidP="00A55CD9">
            <w:pPr>
              <w:pStyle w:val="TableTextCentre"/>
              <w:rPr>
                <w:lang w:val="en-AU"/>
              </w:rPr>
            </w:pPr>
            <w:r w:rsidRPr="00664E64">
              <w:rPr>
                <w:lang w:val="en-AU"/>
              </w:rPr>
              <w:t xml:space="preserve">45.8 </w:t>
            </w:r>
          </w:p>
        </w:tc>
        <w:tc>
          <w:tcPr>
            <w:tcW w:w="744" w:type="pct"/>
          </w:tcPr>
          <w:p w14:paraId="08FEE271" w14:textId="77777777" w:rsidR="00230ADC" w:rsidRPr="00664E64" w:rsidRDefault="00230ADC" w:rsidP="00A55CD9">
            <w:pPr>
              <w:pStyle w:val="TableTextCentre"/>
              <w:rPr>
                <w:lang w:val="en-AU"/>
              </w:rPr>
            </w:pPr>
            <w:r w:rsidRPr="00664E64">
              <w:rPr>
                <w:lang w:val="en-AU"/>
              </w:rPr>
              <w:t xml:space="preserve">13.2 </w:t>
            </w:r>
          </w:p>
        </w:tc>
        <w:tc>
          <w:tcPr>
            <w:tcW w:w="744" w:type="pct"/>
          </w:tcPr>
          <w:p w14:paraId="3541BE1A" w14:textId="77777777" w:rsidR="00230ADC" w:rsidRPr="00664E64" w:rsidRDefault="00230ADC" w:rsidP="00A55CD9">
            <w:pPr>
              <w:pStyle w:val="TableTextCentre"/>
              <w:rPr>
                <w:lang w:val="en-AU"/>
              </w:rPr>
            </w:pPr>
            <w:r w:rsidRPr="00664E64">
              <w:rPr>
                <w:lang w:val="en-AU"/>
              </w:rPr>
              <w:t>28.8</w:t>
            </w:r>
          </w:p>
        </w:tc>
        <w:tc>
          <w:tcPr>
            <w:tcW w:w="748" w:type="pct"/>
          </w:tcPr>
          <w:p w14:paraId="3626B600" w14:textId="77777777" w:rsidR="00230ADC" w:rsidRPr="00664E64" w:rsidRDefault="00230ADC" w:rsidP="00A55CD9">
            <w:pPr>
              <w:pStyle w:val="TableTextCentre"/>
              <w:rPr>
                <w:lang w:val="en-AU"/>
              </w:rPr>
            </w:pPr>
            <w:r w:rsidRPr="00664E64">
              <w:rPr>
                <w:lang w:val="en-AU"/>
              </w:rPr>
              <w:t>17.0</w:t>
            </w:r>
          </w:p>
        </w:tc>
      </w:tr>
      <w:tr w:rsidR="00230ADC" w:rsidRPr="00664E64" w14:paraId="47021715" w14:textId="77777777" w:rsidTr="00821340">
        <w:trPr>
          <w:trHeight w:val="776"/>
        </w:trPr>
        <w:tc>
          <w:tcPr>
            <w:tcW w:w="2020" w:type="pct"/>
            <w:hideMark/>
          </w:tcPr>
          <w:p w14:paraId="3846F67F" w14:textId="77777777" w:rsidR="00230ADC" w:rsidRPr="00664E64" w:rsidRDefault="00230ADC" w:rsidP="00A55CD9">
            <w:pPr>
              <w:pStyle w:val="TableText"/>
              <w:rPr>
                <w:lang w:val="en-AU"/>
              </w:rPr>
            </w:pPr>
            <w:r w:rsidRPr="00664E64">
              <w:rPr>
                <w:lang w:val="en-AU"/>
              </w:rPr>
              <w:t>Set limits on how much I want to bet/spend</w:t>
            </w:r>
          </w:p>
        </w:tc>
        <w:tc>
          <w:tcPr>
            <w:tcW w:w="744" w:type="pct"/>
            <w:noWrap/>
            <w:hideMark/>
          </w:tcPr>
          <w:p w14:paraId="156B34AA" w14:textId="77777777" w:rsidR="00230ADC" w:rsidRPr="00664E64" w:rsidRDefault="00230ADC" w:rsidP="00A55CD9">
            <w:pPr>
              <w:pStyle w:val="TableTextCentre"/>
              <w:rPr>
                <w:lang w:val="en-AU"/>
              </w:rPr>
            </w:pPr>
            <w:r w:rsidRPr="00664E64">
              <w:rPr>
                <w:lang w:val="en-AU"/>
              </w:rPr>
              <w:t xml:space="preserve">43.5 </w:t>
            </w:r>
          </w:p>
        </w:tc>
        <w:tc>
          <w:tcPr>
            <w:tcW w:w="744" w:type="pct"/>
          </w:tcPr>
          <w:p w14:paraId="4CD01F05" w14:textId="77777777" w:rsidR="00230ADC" w:rsidRPr="00664E64" w:rsidRDefault="00230ADC" w:rsidP="00A55CD9">
            <w:pPr>
              <w:pStyle w:val="TableTextCentre"/>
              <w:rPr>
                <w:lang w:val="en-AU"/>
              </w:rPr>
            </w:pPr>
            <w:r w:rsidRPr="00664E64">
              <w:rPr>
                <w:lang w:val="en-AU"/>
              </w:rPr>
              <w:t xml:space="preserve">10.1 </w:t>
            </w:r>
          </w:p>
        </w:tc>
        <w:tc>
          <w:tcPr>
            <w:tcW w:w="744" w:type="pct"/>
          </w:tcPr>
          <w:p w14:paraId="6742E4AC" w14:textId="77777777" w:rsidR="00230ADC" w:rsidRPr="00664E64" w:rsidRDefault="00230ADC" w:rsidP="00A55CD9">
            <w:pPr>
              <w:pStyle w:val="TableTextCentre"/>
              <w:rPr>
                <w:lang w:val="en-AU"/>
              </w:rPr>
            </w:pPr>
            <w:r w:rsidRPr="00664E64">
              <w:rPr>
                <w:lang w:val="en-AU"/>
              </w:rPr>
              <w:t>23.3</w:t>
            </w:r>
          </w:p>
        </w:tc>
        <w:tc>
          <w:tcPr>
            <w:tcW w:w="748" w:type="pct"/>
          </w:tcPr>
          <w:p w14:paraId="0C4B7CDE" w14:textId="77777777" w:rsidR="00230ADC" w:rsidRPr="00664E64" w:rsidRDefault="00230ADC" w:rsidP="00A55CD9">
            <w:pPr>
              <w:pStyle w:val="TableTextCentre"/>
              <w:rPr>
                <w:lang w:val="en-AU"/>
              </w:rPr>
            </w:pPr>
            <w:r w:rsidRPr="00664E64">
              <w:rPr>
                <w:lang w:val="en-AU"/>
              </w:rPr>
              <w:t>13.1</w:t>
            </w:r>
          </w:p>
        </w:tc>
      </w:tr>
      <w:tr w:rsidR="00230ADC" w:rsidRPr="00664E64" w14:paraId="06815674" w14:textId="77777777" w:rsidTr="00821340">
        <w:trPr>
          <w:trHeight w:val="776"/>
        </w:trPr>
        <w:tc>
          <w:tcPr>
            <w:tcW w:w="2020" w:type="pct"/>
            <w:hideMark/>
          </w:tcPr>
          <w:p w14:paraId="363C5094" w14:textId="77777777" w:rsidR="00230ADC" w:rsidRPr="00664E64" w:rsidRDefault="00230ADC" w:rsidP="00A55CD9">
            <w:pPr>
              <w:pStyle w:val="TableText"/>
              <w:rPr>
                <w:lang w:val="en-AU"/>
              </w:rPr>
            </w:pPr>
            <w:r w:rsidRPr="00664E64">
              <w:rPr>
                <w:lang w:val="en-AU"/>
              </w:rPr>
              <w:t>Unsubscribe from direct marketing (e.g. emails, text messages)</w:t>
            </w:r>
          </w:p>
        </w:tc>
        <w:tc>
          <w:tcPr>
            <w:tcW w:w="744" w:type="pct"/>
            <w:noWrap/>
            <w:hideMark/>
          </w:tcPr>
          <w:p w14:paraId="42EC1056" w14:textId="77777777" w:rsidR="00230ADC" w:rsidRPr="00664E64" w:rsidRDefault="00230ADC" w:rsidP="00A55CD9">
            <w:pPr>
              <w:pStyle w:val="TableTextCentre"/>
              <w:rPr>
                <w:lang w:val="en-AU"/>
              </w:rPr>
            </w:pPr>
            <w:r w:rsidRPr="00664E64">
              <w:rPr>
                <w:lang w:val="en-AU"/>
              </w:rPr>
              <w:t xml:space="preserve">40.2 </w:t>
            </w:r>
          </w:p>
        </w:tc>
        <w:tc>
          <w:tcPr>
            <w:tcW w:w="744" w:type="pct"/>
          </w:tcPr>
          <w:p w14:paraId="753B9386" w14:textId="77777777" w:rsidR="00230ADC" w:rsidRPr="00664E64" w:rsidRDefault="00230ADC" w:rsidP="00A55CD9">
            <w:pPr>
              <w:pStyle w:val="TableTextCentre"/>
              <w:rPr>
                <w:lang w:val="en-AU"/>
              </w:rPr>
            </w:pPr>
            <w:r w:rsidRPr="00664E64">
              <w:rPr>
                <w:lang w:val="en-AU"/>
              </w:rPr>
              <w:t xml:space="preserve">11.0 </w:t>
            </w:r>
          </w:p>
        </w:tc>
        <w:tc>
          <w:tcPr>
            <w:tcW w:w="744" w:type="pct"/>
          </w:tcPr>
          <w:p w14:paraId="0997652F" w14:textId="77777777" w:rsidR="00230ADC" w:rsidRPr="00664E64" w:rsidRDefault="00230ADC" w:rsidP="00A55CD9">
            <w:pPr>
              <w:pStyle w:val="TableTextCentre"/>
              <w:rPr>
                <w:lang w:val="en-AU"/>
              </w:rPr>
            </w:pPr>
            <w:r w:rsidRPr="00664E64">
              <w:rPr>
                <w:lang w:val="en-AU"/>
              </w:rPr>
              <w:t>27.2</w:t>
            </w:r>
          </w:p>
        </w:tc>
        <w:tc>
          <w:tcPr>
            <w:tcW w:w="748" w:type="pct"/>
          </w:tcPr>
          <w:p w14:paraId="101165F6" w14:textId="77777777" w:rsidR="00230ADC" w:rsidRPr="00664E64" w:rsidRDefault="00230ADC" w:rsidP="00A55CD9">
            <w:pPr>
              <w:pStyle w:val="TableTextCentre"/>
              <w:rPr>
                <w:lang w:val="en-AU"/>
              </w:rPr>
            </w:pPr>
            <w:r w:rsidRPr="00664E64">
              <w:rPr>
                <w:lang w:val="en-AU"/>
              </w:rPr>
              <w:t>14.1</w:t>
            </w:r>
          </w:p>
        </w:tc>
      </w:tr>
      <w:tr w:rsidR="00230ADC" w:rsidRPr="00664E64" w14:paraId="607460E3" w14:textId="77777777" w:rsidTr="00821340">
        <w:trPr>
          <w:trHeight w:val="776"/>
        </w:trPr>
        <w:tc>
          <w:tcPr>
            <w:tcW w:w="2020" w:type="pct"/>
            <w:hideMark/>
          </w:tcPr>
          <w:p w14:paraId="2ADE4994" w14:textId="77777777" w:rsidR="00230ADC" w:rsidRPr="00664E64" w:rsidRDefault="00230ADC" w:rsidP="00A55CD9">
            <w:pPr>
              <w:pStyle w:val="TableText"/>
              <w:rPr>
                <w:lang w:val="en-AU"/>
              </w:rPr>
            </w:pPr>
            <w:r w:rsidRPr="00664E64">
              <w:rPr>
                <w:lang w:val="en-AU"/>
              </w:rPr>
              <w:t>Clear and consistent responsible gambling messages</w:t>
            </w:r>
          </w:p>
        </w:tc>
        <w:tc>
          <w:tcPr>
            <w:tcW w:w="744" w:type="pct"/>
            <w:noWrap/>
            <w:hideMark/>
          </w:tcPr>
          <w:p w14:paraId="2CB97767" w14:textId="77777777" w:rsidR="00230ADC" w:rsidRPr="00664E64" w:rsidRDefault="00230ADC" w:rsidP="00A55CD9">
            <w:pPr>
              <w:pStyle w:val="TableTextCentre"/>
              <w:rPr>
                <w:lang w:val="en-AU"/>
              </w:rPr>
            </w:pPr>
            <w:r w:rsidRPr="00664E64">
              <w:rPr>
                <w:lang w:val="en-AU"/>
              </w:rPr>
              <w:t xml:space="preserve">39.8 </w:t>
            </w:r>
          </w:p>
        </w:tc>
        <w:tc>
          <w:tcPr>
            <w:tcW w:w="744" w:type="pct"/>
          </w:tcPr>
          <w:p w14:paraId="62266C94" w14:textId="77777777" w:rsidR="00230ADC" w:rsidRPr="00664E64" w:rsidRDefault="00230ADC" w:rsidP="00A55CD9">
            <w:pPr>
              <w:pStyle w:val="TableTextCentre"/>
              <w:rPr>
                <w:lang w:val="en-AU"/>
              </w:rPr>
            </w:pPr>
            <w:r w:rsidRPr="00664E64">
              <w:rPr>
                <w:lang w:val="en-AU"/>
              </w:rPr>
              <w:t xml:space="preserve">8.4 </w:t>
            </w:r>
          </w:p>
        </w:tc>
        <w:tc>
          <w:tcPr>
            <w:tcW w:w="744" w:type="pct"/>
          </w:tcPr>
          <w:p w14:paraId="77205283" w14:textId="77777777" w:rsidR="00230ADC" w:rsidRPr="00664E64" w:rsidRDefault="00230ADC" w:rsidP="00A55CD9">
            <w:pPr>
              <w:pStyle w:val="TableTextCentre"/>
              <w:rPr>
                <w:lang w:val="en-AU"/>
              </w:rPr>
            </w:pPr>
            <w:r w:rsidRPr="00664E64">
              <w:rPr>
                <w:lang w:val="en-AU"/>
              </w:rPr>
              <w:t>21.1</w:t>
            </w:r>
          </w:p>
        </w:tc>
        <w:tc>
          <w:tcPr>
            <w:tcW w:w="748" w:type="pct"/>
          </w:tcPr>
          <w:p w14:paraId="2E0A693F" w14:textId="77777777" w:rsidR="00230ADC" w:rsidRPr="00664E64" w:rsidRDefault="00230ADC" w:rsidP="00A55CD9">
            <w:pPr>
              <w:pStyle w:val="TableTextCentre"/>
              <w:rPr>
                <w:lang w:val="en-AU"/>
              </w:rPr>
            </w:pPr>
            <w:r w:rsidRPr="00664E64">
              <w:rPr>
                <w:lang w:val="en-AU"/>
              </w:rPr>
              <w:t>11.8</w:t>
            </w:r>
          </w:p>
        </w:tc>
      </w:tr>
      <w:tr w:rsidR="00230ADC" w:rsidRPr="00664E64" w14:paraId="46E082C5" w14:textId="77777777" w:rsidTr="00821340">
        <w:trPr>
          <w:trHeight w:val="776"/>
        </w:trPr>
        <w:tc>
          <w:tcPr>
            <w:tcW w:w="2020" w:type="pct"/>
            <w:hideMark/>
          </w:tcPr>
          <w:p w14:paraId="6BB5DDD9" w14:textId="77777777" w:rsidR="00230ADC" w:rsidRPr="00664E64" w:rsidRDefault="00230ADC" w:rsidP="00A55CD9">
            <w:pPr>
              <w:pStyle w:val="TableText"/>
              <w:rPr>
                <w:lang w:val="en-AU"/>
              </w:rPr>
            </w:pPr>
            <w:r w:rsidRPr="00664E64">
              <w:rPr>
                <w:lang w:val="en-AU"/>
              </w:rPr>
              <w:t>Clear information about the terms and conditions for offers of any credit, voucher, reward or other benefit</w:t>
            </w:r>
          </w:p>
        </w:tc>
        <w:tc>
          <w:tcPr>
            <w:tcW w:w="744" w:type="pct"/>
            <w:noWrap/>
            <w:hideMark/>
          </w:tcPr>
          <w:p w14:paraId="3B0CB190" w14:textId="77777777" w:rsidR="00230ADC" w:rsidRPr="00664E64" w:rsidRDefault="00230ADC" w:rsidP="00A55CD9">
            <w:pPr>
              <w:pStyle w:val="TableTextCentre"/>
              <w:rPr>
                <w:lang w:val="en-AU"/>
              </w:rPr>
            </w:pPr>
            <w:r w:rsidRPr="00664E64">
              <w:rPr>
                <w:lang w:val="en-AU"/>
              </w:rPr>
              <w:t xml:space="preserve">32.4 </w:t>
            </w:r>
          </w:p>
        </w:tc>
        <w:tc>
          <w:tcPr>
            <w:tcW w:w="744" w:type="pct"/>
          </w:tcPr>
          <w:p w14:paraId="7104B228" w14:textId="77777777" w:rsidR="00230ADC" w:rsidRPr="00664E64" w:rsidRDefault="00230ADC" w:rsidP="00A55CD9">
            <w:pPr>
              <w:pStyle w:val="TableTextCentre"/>
              <w:rPr>
                <w:lang w:val="en-AU"/>
              </w:rPr>
            </w:pPr>
            <w:r w:rsidRPr="00664E64">
              <w:rPr>
                <w:lang w:val="en-AU"/>
              </w:rPr>
              <w:t xml:space="preserve">9.2 </w:t>
            </w:r>
          </w:p>
        </w:tc>
        <w:tc>
          <w:tcPr>
            <w:tcW w:w="744" w:type="pct"/>
          </w:tcPr>
          <w:p w14:paraId="5C33A85C" w14:textId="77777777" w:rsidR="00230ADC" w:rsidRPr="00664E64" w:rsidRDefault="00230ADC" w:rsidP="00A55CD9">
            <w:pPr>
              <w:pStyle w:val="TableTextCentre"/>
              <w:rPr>
                <w:lang w:val="en-AU"/>
              </w:rPr>
            </w:pPr>
            <w:r w:rsidRPr="00664E64">
              <w:rPr>
                <w:lang w:val="en-AU"/>
              </w:rPr>
              <w:t>28.3</w:t>
            </w:r>
          </w:p>
        </w:tc>
        <w:tc>
          <w:tcPr>
            <w:tcW w:w="748" w:type="pct"/>
          </w:tcPr>
          <w:p w14:paraId="44CEA6C4" w14:textId="77777777" w:rsidR="00230ADC" w:rsidRPr="00664E64" w:rsidRDefault="00230ADC" w:rsidP="00A55CD9">
            <w:pPr>
              <w:pStyle w:val="TableTextCentre"/>
              <w:rPr>
                <w:lang w:val="en-AU"/>
              </w:rPr>
            </w:pPr>
            <w:r w:rsidRPr="00664E64">
              <w:rPr>
                <w:lang w:val="en-AU"/>
              </w:rPr>
              <w:t>6.5</w:t>
            </w:r>
          </w:p>
        </w:tc>
      </w:tr>
      <w:tr w:rsidR="00230ADC" w:rsidRPr="00664E64" w14:paraId="0A915F85" w14:textId="77777777" w:rsidTr="00821340">
        <w:trPr>
          <w:trHeight w:val="776"/>
        </w:trPr>
        <w:tc>
          <w:tcPr>
            <w:tcW w:w="2020" w:type="pct"/>
            <w:hideMark/>
          </w:tcPr>
          <w:p w14:paraId="2E05AA0A" w14:textId="77777777" w:rsidR="00230ADC" w:rsidRPr="00664E64" w:rsidRDefault="00230ADC" w:rsidP="00A55CD9">
            <w:pPr>
              <w:pStyle w:val="TableText"/>
              <w:rPr>
                <w:lang w:val="en-AU"/>
              </w:rPr>
            </w:pPr>
            <w:r w:rsidRPr="00664E64">
              <w:rPr>
                <w:lang w:val="en-AU"/>
              </w:rPr>
              <w:t>Access to regular financial statements</w:t>
            </w:r>
          </w:p>
        </w:tc>
        <w:tc>
          <w:tcPr>
            <w:tcW w:w="744" w:type="pct"/>
            <w:noWrap/>
            <w:hideMark/>
          </w:tcPr>
          <w:p w14:paraId="2A591FBF" w14:textId="77777777" w:rsidR="00230ADC" w:rsidRPr="00664E64" w:rsidRDefault="00230ADC" w:rsidP="00A55CD9">
            <w:pPr>
              <w:pStyle w:val="TableTextCentre"/>
              <w:rPr>
                <w:lang w:val="en-AU"/>
              </w:rPr>
            </w:pPr>
            <w:r w:rsidRPr="00664E64">
              <w:rPr>
                <w:lang w:val="en-AU"/>
              </w:rPr>
              <w:t xml:space="preserve">25.0 </w:t>
            </w:r>
          </w:p>
        </w:tc>
        <w:tc>
          <w:tcPr>
            <w:tcW w:w="744" w:type="pct"/>
          </w:tcPr>
          <w:p w14:paraId="38239B42" w14:textId="77777777" w:rsidR="00230ADC" w:rsidRPr="00664E64" w:rsidRDefault="00230ADC" w:rsidP="00A55CD9">
            <w:pPr>
              <w:pStyle w:val="TableTextCentre"/>
              <w:rPr>
                <w:lang w:val="en-AU"/>
              </w:rPr>
            </w:pPr>
            <w:r w:rsidRPr="00664E64">
              <w:rPr>
                <w:lang w:val="en-AU"/>
              </w:rPr>
              <w:t xml:space="preserve">9.4 </w:t>
            </w:r>
          </w:p>
        </w:tc>
        <w:tc>
          <w:tcPr>
            <w:tcW w:w="744" w:type="pct"/>
          </w:tcPr>
          <w:p w14:paraId="490807A5" w14:textId="77777777" w:rsidR="00230ADC" w:rsidRPr="00664E64" w:rsidRDefault="00230ADC" w:rsidP="00A55CD9">
            <w:pPr>
              <w:pStyle w:val="TableTextCentre"/>
              <w:rPr>
                <w:lang w:val="en-AU"/>
              </w:rPr>
            </w:pPr>
            <w:r w:rsidRPr="00664E64">
              <w:rPr>
                <w:lang w:val="en-AU"/>
              </w:rPr>
              <w:t>37.8</w:t>
            </w:r>
          </w:p>
        </w:tc>
        <w:tc>
          <w:tcPr>
            <w:tcW w:w="748" w:type="pct"/>
          </w:tcPr>
          <w:p w14:paraId="541A2885" w14:textId="77777777" w:rsidR="00230ADC" w:rsidRPr="00664E64" w:rsidRDefault="00230ADC" w:rsidP="00A55CD9">
            <w:pPr>
              <w:pStyle w:val="TableTextCentre"/>
              <w:rPr>
                <w:lang w:val="en-AU"/>
              </w:rPr>
            </w:pPr>
            <w:r w:rsidRPr="00664E64">
              <w:rPr>
                <w:lang w:val="en-AU"/>
              </w:rPr>
              <w:t>5.6</w:t>
            </w:r>
          </w:p>
        </w:tc>
      </w:tr>
      <w:tr w:rsidR="00230ADC" w:rsidRPr="00664E64" w14:paraId="598A3BD0" w14:textId="77777777" w:rsidTr="00821340">
        <w:trPr>
          <w:trHeight w:val="776"/>
        </w:trPr>
        <w:tc>
          <w:tcPr>
            <w:tcW w:w="2020" w:type="pct"/>
            <w:hideMark/>
          </w:tcPr>
          <w:p w14:paraId="060A25B2" w14:textId="6C4B9CD9" w:rsidR="00230ADC" w:rsidRPr="00664E64" w:rsidRDefault="00230ADC" w:rsidP="00A55CD9">
            <w:pPr>
              <w:pStyle w:val="TableText"/>
              <w:rPr>
                <w:lang w:val="en-AU"/>
              </w:rPr>
            </w:pPr>
            <w:r w:rsidRPr="00664E64">
              <w:rPr>
                <w:lang w:val="en-AU"/>
              </w:rPr>
              <w:t>Exclude myself from the app/website for a period of time (i.e. time out/take a break)</w:t>
            </w:r>
          </w:p>
        </w:tc>
        <w:tc>
          <w:tcPr>
            <w:tcW w:w="744" w:type="pct"/>
            <w:noWrap/>
            <w:hideMark/>
          </w:tcPr>
          <w:p w14:paraId="4E54CFDE" w14:textId="77777777" w:rsidR="00230ADC" w:rsidRPr="00664E64" w:rsidRDefault="00230ADC" w:rsidP="00A55CD9">
            <w:pPr>
              <w:pStyle w:val="TableTextCentre"/>
              <w:rPr>
                <w:lang w:val="en-AU"/>
              </w:rPr>
            </w:pPr>
            <w:r w:rsidRPr="00664E64">
              <w:rPr>
                <w:lang w:val="en-AU"/>
              </w:rPr>
              <w:t xml:space="preserve">23.3 </w:t>
            </w:r>
          </w:p>
        </w:tc>
        <w:tc>
          <w:tcPr>
            <w:tcW w:w="744" w:type="pct"/>
          </w:tcPr>
          <w:p w14:paraId="26B745F3" w14:textId="77777777" w:rsidR="00230ADC" w:rsidRPr="00664E64" w:rsidRDefault="00230ADC" w:rsidP="00A55CD9">
            <w:pPr>
              <w:pStyle w:val="TableTextCentre"/>
              <w:rPr>
                <w:lang w:val="en-AU"/>
              </w:rPr>
            </w:pPr>
            <w:r w:rsidRPr="00664E64">
              <w:rPr>
                <w:lang w:val="en-AU"/>
              </w:rPr>
              <w:t xml:space="preserve">3.3 </w:t>
            </w:r>
          </w:p>
        </w:tc>
        <w:tc>
          <w:tcPr>
            <w:tcW w:w="744" w:type="pct"/>
          </w:tcPr>
          <w:p w14:paraId="60034DFF" w14:textId="77777777" w:rsidR="00230ADC" w:rsidRPr="00664E64" w:rsidRDefault="00230ADC" w:rsidP="00A55CD9">
            <w:pPr>
              <w:pStyle w:val="TableTextCentre"/>
              <w:rPr>
                <w:lang w:val="en-AU"/>
              </w:rPr>
            </w:pPr>
            <w:r w:rsidRPr="00664E64">
              <w:rPr>
                <w:lang w:val="en-AU"/>
              </w:rPr>
              <w:t>14.1</w:t>
            </w:r>
          </w:p>
        </w:tc>
        <w:tc>
          <w:tcPr>
            <w:tcW w:w="748" w:type="pct"/>
          </w:tcPr>
          <w:p w14:paraId="79D41DDA" w14:textId="77777777" w:rsidR="00230ADC" w:rsidRPr="00664E64" w:rsidRDefault="00230ADC" w:rsidP="00A55CD9">
            <w:pPr>
              <w:pStyle w:val="TableTextCentre"/>
              <w:rPr>
                <w:lang w:val="en-AU"/>
              </w:rPr>
            </w:pPr>
            <w:r w:rsidRPr="00664E64">
              <w:rPr>
                <w:lang w:val="en-AU"/>
              </w:rPr>
              <w:t>4.2</w:t>
            </w:r>
          </w:p>
        </w:tc>
      </w:tr>
      <w:tr w:rsidR="00230ADC" w:rsidRPr="00664E64" w14:paraId="5FB5DB4F" w14:textId="77777777" w:rsidTr="00821340">
        <w:trPr>
          <w:trHeight w:val="776"/>
        </w:trPr>
        <w:tc>
          <w:tcPr>
            <w:tcW w:w="2020" w:type="pct"/>
            <w:hideMark/>
          </w:tcPr>
          <w:p w14:paraId="27259213" w14:textId="77777777" w:rsidR="00230ADC" w:rsidRPr="00664E64" w:rsidRDefault="00230ADC" w:rsidP="00A55CD9">
            <w:pPr>
              <w:pStyle w:val="TableText"/>
              <w:rPr>
                <w:lang w:val="en-AU"/>
              </w:rPr>
            </w:pPr>
            <w:r w:rsidRPr="00664E64">
              <w:rPr>
                <w:lang w:val="en-AU"/>
              </w:rPr>
              <w:t>Information about customer verification periods and waiting times</w:t>
            </w:r>
          </w:p>
        </w:tc>
        <w:tc>
          <w:tcPr>
            <w:tcW w:w="744" w:type="pct"/>
            <w:noWrap/>
            <w:hideMark/>
          </w:tcPr>
          <w:p w14:paraId="6761B1E0" w14:textId="77777777" w:rsidR="00230ADC" w:rsidRPr="00664E64" w:rsidRDefault="00230ADC" w:rsidP="00A55CD9">
            <w:pPr>
              <w:pStyle w:val="TableTextCentre"/>
              <w:rPr>
                <w:lang w:val="en-AU"/>
              </w:rPr>
            </w:pPr>
            <w:r w:rsidRPr="00664E64">
              <w:rPr>
                <w:lang w:val="en-AU"/>
              </w:rPr>
              <w:t xml:space="preserve">22.6 </w:t>
            </w:r>
          </w:p>
        </w:tc>
        <w:tc>
          <w:tcPr>
            <w:tcW w:w="744" w:type="pct"/>
          </w:tcPr>
          <w:p w14:paraId="29F1C973" w14:textId="77777777" w:rsidR="00230ADC" w:rsidRPr="00664E64" w:rsidRDefault="00230ADC" w:rsidP="00A55CD9">
            <w:pPr>
              <w:pStyle w:val="TableTextCentre"/>
              <w:rPr>
                <w:lang w:val="en-AU"/>
              </w:rPr>
            </w:pPr>
            <w:r w:rsidRPr="00664E64">
              <w:rPr>
                <w:lang w:val="en-AU"/>
              </w:rPr>
              <w:t xml:space="preserve">5.0 </w:t>
            </w:r>
          </w:p>
        </w:tc>
        <w:tc>
          <w:tcPr>
            <w:tcW w:w="744" w:type="pct"/>
          </w:tcPr>
          <w:p w14:paraId="3BCA09E8" w14:textId="77777777" w:rsidR="00230ADC" w:rsidRPr="00664E64" w:rsidRDefault="00230ADC" w:rsidP="00A55CD9">
            <w:pPr>
              <w:pStyle w:val="TableTextCentre"/>
              <w:rPr>
                <w:lang w:val="en-AU"/>
              </w:rPr>
            </w:pPr>
            <w:r w:rsidRPr="00664E64">
              <w:rPr>
                <w:lang w:val="en-AU"/>
              </w:rPr>
              <w:t>22.3</w:t>
            </w:r>
          </w:p>
        </w:tc>
        <w:tc>
          <w:tcPr>
            <w:tcW w:w="748" w:type="pct"/>
          </w:tcPr>
          <w:p w14:paraId="50EAEDE9" w14:textId="77777777" w:rsidR="00230ADC" w:rsidRPr="00664E64" w:rsidRDefault="00230ADC" w:rsidP="00A55CD9">
            <w:pPr>
              <w:pStyle w:val="TableTextCentre"/>
              <w:rPr>
                <w:lang w:val="en-AU"/>
              </w:rPr>
            </w:pPr>
            <w:r w:rsidRPr="00664E64">
              <w:rPr>
                <w:lang w:val="en-AU"/>
              </w:rPr>
              <w:t>2.8</w:t>
            </w:r>
          </w:p>
        </w:tc>
      </w:tr>
      <w:tr w:rsidR="00230ADC" w:rsidRPr="00664E64" w14:paraId="26E30EC5" w14:textId="77777777" w:rsidTr="00821340">
        <w:trPr>
          <w:trHeight w:val="509"/>
        </w:trPr>
        <w:tc>
          <w:tcPr>
            <w:tcW w:w="2020" w:type="pct"/>
            <w:hideMark/>
          </w:tcPr>
          <w:p w14:paraId="5EAB5378" w14:textId="77777777" w:rsidR="00230ADC" w:rsidRPr="00664E64" w:rsidRDefault="00230ADC" w:rsidP="00A55CD9">
            <w:pPr>
              <w:pStyle w:val="TableText"/>
              <w:rPr>
                <w:lang w:val="en-AU"/>
              </w:rPr>
            </w:pPr>
            <w:r w:rsidRPr="00664E64">
              <w:rPr>
                <w:lang w:val="en-AU"/>
              </w:rPr>
              <w:t>Close my account</w:t>
            </w:r>
          </w:p>
        </w:tc>
        <w:tc>
          <w:tcPr>
            <w:tcW w:w="744" w:type="pct"/>
            <w:noWrap/>
            <w:hideMark/>
          </w:tcPr>
          <w:p w14:paraId="6DAE0067" w14:textId="77777777" w:rsidR="00230ADC" w:rsidRPr="00664E64" w:rsidRDefault="00230ADC" w:rsidP="00A55CD9">
            <w:pPr>
              <w:pStyle w:val="TableTextCentre"/>
              <w:rPr>
                <w:lang w:val="en-AU"/>
              </w:rPr>
            </w:pPr>
            <w:r w:rsidRPr="00664E64">
              <w:rPr>
                <w:lang w:val="en-AU"/>
              </w:rPr>
              <w:t xml:space="preserve">21.4 </w:t>
            </w:r>
          </w:p>
        </w:tc>
        <w:tc>
          <w:tcPr>
            <w:tcW w:w="744" w:type="pct"/>
          </w:tcPr>
          <w:p w14:paraId="47525924" w14:textId="77777777" w:rsidR="00230ADC" w:rsidRPr="00664E64" w:rsidRDefault="00230ADC" w:rsidP="00A55CD9">
            <w:pPr>
              <w:pStyle w:val="TableTextCentre"/>
              <w:rPr>
                <w:lang w:val="en-AU"/>
              </w:rPr>
            </w:pPr>
            <w:r w:rsidRPr="00664E64">
              <w:rPr>
                <w:lang w:val="en-AU"/>
              </w:rPr>
              <w:t xml:space="preserve">4.3 </w:t>
            </w:r>
          </w:p>
        </w:tc>
        <w:tc>
          <w:tcPr>
            <w:tcW w:w="744" w:type="pct"/>
          </w:tcPr>
          <w:p w14:paraId="3D329F4F" w14:textId="77777777" w:rsidR="00230ADC" w:rsidRPr="00664E64" w:rsidRDefault="00230ADC" w:rsidP="00A55CD9">
            <w:pPr>
              <w:pStyle w:val="TableTextCentre"/>
              <w:rPr>
                <w:lang w:val="en-AU"/>
              </w:rPr>
            </w:pPr>
            <w:r w:rsidRPr="00664E64">
              <w:rPr>
                <w:lang w:val="en-AU"/>
              </w:rPr>
              <w:t>20.3</w:t>
            </w:r>
          </w:p>
        </w:tc>
        <w:tc>
          <w:tcPr>
            <w:tcW w:w="748" w:type="pct"/>
          </w:tcPr>
          <w:p w14:paraId="5A165C62" w14:textId="77777777" w:rsidR="00230ADC" w:rsidRPr="00664E64" w:rsidRDefault="00230ADC" w:rsidP="00A55CD9">
            <w:pPr>
              <w:pStyle w:val="TableTextCentre"/>
              <w:rPr>
                <w:lang w:val="en-AU"/>
              </w:rPr>
            </w:pPr>
            <w:r w:rsidRPr="00664E64">
              <w:rPr>
                <w:lang w:val="en-AU"/>
              </w:rPr>
              <w:t>12.2</w:t>
            </w:r>
          </w:p>
        </w:tc>
      </w:tr>
      <w:tr w:rsidR="00230ADC" w:rsidRPr="00664E64" w14:paraId="73CFD4C3" w14:textId="77777777" w:rsidTr="00821340">
        <w:trPr>
          <w:trHeight w:val="776"/>
        </w:trPr>
        <w:tc>
          <w:tcPr>
            <w:tcW w:w="2020" w:type="pct"/>
            <w:hideMark/>
          </w:tcPr>
          <w:p w14:paraId="6FBA5602" w14:textId="77777777" w:rsidR="00230ADC" w:rsidRPr="00664E64" w:rsidRDefault="00230ADC" w:rsidP="00A55CD9">
            <w:pPr>
              <w:pStyle w:val="TableText"/>
              <w:rPr>
                <w:lang w:val="en-AU"/>
              </w:rPr>
            </w:pPr>
            <w:r w:rsidRPr="00664E64">
              <w:rPr>
                <w:lang w:val="en-AU"/>
              </w:rPr>
              <w:t>Information about the responsible service of gambling training that wagering companies provide to their staff</w:t>
            </w:r>
          </w:p>
        </w:tc>
        <w:tc>
          <w:tcPr>
            <w:tcW w:w="744" w:type="pct"/>
            <w:noWrap/>
            <w:hideMark/>
          </w:tcPr>
          <w:p w14:paraId="5A827EA4" w14:textId="77777777" w:rsidR="00230ADC" w:rsidRPr="00664E64" w:rsidRDefault="00230ADC" w:rsidP="00A55CD9">
            <w:pPr>
              <w:pStyle w:val="TableTextCentre"/>
              <w:rPr>
                <w:lang w:val="en-AU"/>
              </w:rPr>
            </w:pPr>
            <w:r w:rsidRPr="00664E64">
              <w:rPr>
                <w:lang w:val="en-AU"/>
              </w:rPr>
              <w:t xml:space="preserve">20.1 </w:t>
            </w:r>
          </w:p>
        </w:tc>
        <w:tc>
          <w:tcPr>
            <w:tcW w:w="744" w:type="pct"/>
          </w:tcPr>
          <w:p w14:paraId="5B41336A" w14:textId="77777777" w:rsidR="00230ADC" w:rsidRPr="00664E64" w:rsidRDefault="00230ADC" w:rsidP="00A55CD9">
            <w:pPr>
              <w:pStyle w:val="TableTextCentre"/>
              <w:rPr>
                <w:lang w:val="en-AU"/>
              </w:rPr>
            </w:pPr>
            <w:r w:rsidRPr="00664E64">
              <w:rPr>
                <w:lang w:val="en-AU"/>
              </w:rPr>
              <w:t xml:space="preserve">3.6 </w:t>
            </w:r>
          </w:p>
        </w:tc>
        <w:tc>
          <w:tcPr>
            <w:tcW w:w="744" w:type="pct"/>
          </w:tcPr>
          <w:p w14:paraId="6F5E618A" w14:textId="77777777" w:rsidR="00230ADC" w:rsidRPr="00664E64" w:rsidRDefault="00230ADC" w:rsidP="00A55CD9">
            <w:pPr>
              <w:pStyle w:val="TableTextCentre"/>
              <w:rPr>
                <w:lang w:val="en-AU"/>
              </w:rPr>
            </w:pPr>
            <w:r w:rsidRPr="00664E64">
              <w:rPr>
                <w:lang w:val="en-AU"/>
              </w:rPr>
              <w:t>18.0</w:t>
            </w:r>
          </w:p>
        </w:tc>
        <w:tc>
          <w:tcPr>
            <w:tcW w:w="748" w:type="pct"/>
          </w:tcPr>
          <w:p w14:paraId="12D0EAE3" w14:textId="77777777" w:rsidR="00230ADC" w:rsidRPr="00664E64" w:rsidRDefault="00230ADC" w:rsidP="00A55CD9">
            <w:pPr>
              <w:pStyle w:val="TableTextCentre"/>
              <w:rPr>
                <w:lang w:val="en-AU"/>
              </w:rPr>
            </w:pPr>
            <w:r w:rsidRPr="00664E64">
              <w:rPr>
                <w:lang w:val="en-AU"/>
              </w:rPr>
              <w:t>10.9</w:t>
            </w:r>
          </w:p>
        </w:tc>
      </w:tr>
      <w:tr w:rsidR="00230ADC" w:rsidRPr="00664E64" w14:paraId="0769B815" w14:textId="77777777" w:rsidTr="00821340">
        <w:trPr>
          <w:trHeight w:val="776"/>
        </w:trPr>
        <w:tc>
          <w:tcPr>
            <w:tcW w:w="2020" w:type="pct"/>
            <w:hideMark/>
          </w:tcPr>
          <w:p w14:paraId="072235EE" w14:textId="77777777" w:rsidR="00230ADC" w:rsidRPr="00664E64" w:rsidRDefault="00230ADC" w:rsidP="00A55CD9">
            <w:pPr>
              <w:pStyle w:val="TableText"/>
              <w:rPr>
                <w:lang w:val="en-AU"/>
              </w:rPr>
            </w:pPr>
            <w:r w:rsidRPr="00664E64">
              <w:rPr>
                <w:lang w:val="en-AU"/>
              </w:rPr>
              <w:t>Permanently exclude myself from the app/website</w:t>
            </w:r>
          </w:p>
        </w:tc>
        <w:tc>
          <w:tcPr>
            <w:tcW w:w="744" w:type="pct"/>
            <w:noWrap/>
            <w:hideMark/>
          </w:tcPr>
          <w:p w14:paraId="467B8CF4" w14:textId="77777777" w:rsidR="00230ADC" w:rsidRPr="00664E64" w:rsidRDefault="00230ADC" w:rsidP="00A55CD9">
            <w:pPr>
              <w:pStyle w:val="TableTextCentre"/>
              <w:rPr>
                <w:lang w:val="en-AU"/>
              </w:rPr>
            </w:pPr>
            <w:r w:rsidRPr="00664E64">
              <w:rPr>
                <w:lang w:val="en-AU"/>
              </w:rPr>
              <w:t xml:space="preserve">15.5 </w:t>
            </w:r>
          </w:p>
        </w:tc>
        <w:tc>
          <w:tcPr>
            <w:tcW w:w="744" w:type="pct"/>
          </w:tcPr>
          <w:p w14:paraId="0CDB4DE7" w14:textId="77777777" w:rsidR="00230ADC" w:rsidRPr="00664E64" w:rsidRDefault="00230ADC" w:rsidP="00A55CD9">
            <w:pPr>
              <w:pStyle w:val="TableTextCentre"/>
              <w:rPr>
                <w:lang w:val="en-AU"/>
              </w:rPr>
            </w:pPr>
            <w:r w:rsidRPr="00664E64">
              <w:rPr>
                <w:lang w:val="en-AU"/>
              </w:rPr>
              <w:t xml:space="preserve">2.2 </w:t>
            </w:r>
          </w:p>
        </w:tc>
        <w:tc>
          <w:tcPr>
            <w:tcW w:w="744" w:type="pct"/>
          </w:tcPr>
          <w:p w14:paraId="5448418D" w14:textId="77777777" w:rsidR="00230ADC" w:rsidRPr="00664E64" w:rsidRDefault="00230ADC" w:rsidP="00A55CD9">
            <w:pPr>
              <w:pStyle w:val="TableTextCentre"/>
              <w:rPr>
                <w:lang w:val="en-AU"/>
              </w:rPr>
            </w:pPr>
            <w:r w:rsidRPr="00664E64">
              <w:rPr>
                <w:lang w:val="en-AU"/>
              </w:rPr>
              <w:t>14.0</w:t>
            </w:r>
          </w:p>
        </w:tc>
        <w:tc>
          <w:tcPr>
            <w:tcW w:w="748" w:type="pct"/>
          </w:tcPr>
          <w:p w14:paraId="7307A59F" w14:textId="77777777" w:rsidR="00230ADC" w:rsidRPr="00664E64" w:rsidRDefault="00230ADC" w:rsidP="00A55CD9">
            <w:pPr>
              <w:pStyle w:val="TableTextCentre"/>
              <w:rPr>
                <w:lang w:val="en-AU"/>
              </w:rPr>
            </w:pPr>
            <w:r w:rsidRPr="00664E64">
              <w:rPr>
                <w:lang w:val="en-AU"/>
              </w:rPr>
              <w:t>4.7</w:t>
            </w:r>
          </w:p>
        </w:tc>
      </w:tr>
      <w:tr w:rsidR="00230ADC" w:rsidRPr="00664E64" w14:paraId="08D72702" w14:textId="77777777" w:rsidTr="00821340">
        <w:trPr>
          <w:trHeight w:val="255"/>
        </w:trPr>
        <w:tc>
          <w:tcPr>
            <w:tcW w:w="2020" w:type="pct"/>
            <w:hideMark/>
          </w:tcPr>
          <w:p w14:paraId="7DC79FB8" w14:textId="71B0F635" w:rsidR="00230ADC" w:rsidRPr="00664E64" w:rsidRDefault="00F57245" w:rsidP="00A55CD9">
            <w:pPr>
              <w:pStyle w:val="TableText"/>
              <w:rPr>
                <w:b/>
                <w:lang w:val="en-AU"/>
              </w:rPr>
            </w:pPr>
            <w:r w:rsidRPr="00664E64">
              <w:rPr>
                <w:b/>
                <w:lang w:val="en-AU"/>
              </w:rPr>
              <w:t xml:space="preserve">Any </w:t>
            </w:r>
            <w:r w:rsidR="00230ADC" w:rsidRPr="00664E64">
              <w:rPr>
                <w:b/>
                <w:lang w:val="en-AU"/>
              </w:rPr>
              <w:t>of the above</w:t>
            </w:r>
          </w:p>
        </w:tc>
        <w:tc>
          <w:tcPr>
            <w:tcW w:w="744" w:type="pct"/>
            <w:noWrap/>
            <w:hideMark/>
          </w:tcPr>
          <w:p w14:paraId="6E47487B" w14:textId="2CE2468B" w:rsidR="00230ADC" w:rsidRPr="00664E64" w:rsidRDefault="00F57245" w:rsidP="00A55CD9">
            <w:pPr>
              <w:pStyle w:val="TableTextCentre"/>
              <w:rPr>
                <w:b/>
                <w:lang w:val="en-AU"/>
              </w:rPr>
            </w:pPr>
            <w:r w:rsidRPr="00664E64">
              <w:rPr>
                <w:b/>
                <w:lang w:val="en-AU"/>
              </w:rPr>
              <w:t>77.4</w:t>
            </w:r>
            <w:r w:rsidR="00230ADC" w:rsidRPr="00664E64">
              <w:rPr>
                <w:b/>
                <w:lang w:val="en-AU"/>
              </w:rPr>
              <w:t xml:space="preserve"> </w:t>
            </w:r>
          </w:p>
        </w:tc>
        <w:tc>
          <w:tcPr>
            <w:tcW w:w="744" w:type="pct"/>
          </w:tcPr>
          <w:p w14:paraId="3FB49397" w14:textId="7FB8FC90" w:rsidR="00230ADC" w:rsidRPr="00664E64" w:rsidRDefault="00F57245" w:rsidP="00A55CD9">
            <w:pPr>
              <w:pStyle w:val="TableTextCentre"/>
              <w:rPr>
                <w:b/>
                <w:lang w:val="en-AU"/>
              </w:rPr>
            </w:pPr>
            <w:r w:rsidRPr="00664E64">
              <w:rPr>
                <w:b/>
                <w:lang w:val="en-AU"/>
              </w:rPr>
              <w:t>58.8</w:t>
            </w:r>
            <w:r w:rsidR="00230ADC" w:rsidRPr="00664E64">
              <w:rPr>
                <w:b/>
                <w:lang w:val="en-AU"/>
              </w:rPr>
              <w:t xml:space="preserve"> </w:t>
            </w:r>
          </w:p>
        </w:tc>
        <w:tc>
          <w:tcPr>
            <w:tcW w:w="744" w:type="pct"/>
          </w:tcPr>
          <w:p w14:paraId="0D8ED9E8" w14:textId="77777777" w:rsidR="00230ADC" w:rsidRPr="00664E64" w:rsidRDefault="00230ADC" w:rsidP="00A55CD9">
            <w:pPr>
              <w:pStyle w:val="TableTextCentre"/>
              <w:rPr>
                <w:b/>
                <w:lang w:val="en-AU"/>
              </w:rPr>
            </w:pPr>
            <w:r w:rsidRPr="00664E64">
              <w:rPr>
                <w:b/>
                <w:lang w:val="en-AU"/>
              </w:rPr>
              <w:t>-</w:t>
            </w:r>
          </w:p>
        </w:tc>
        <w:tc>
          <w:tcPr>
            <w:tcW w:w="748" w:type="pct"/>
          </w:tcPr>
          <w:p w14:paraId="3C4A48C9" w14:textId="76BE17BF" w:rsidR="00230ADC" w:rsidRPr="00664E64" w:rsidRDefault="00F57245" w:rsidP="00A55CD9">
            <w:pPr>
              <w:pStyle w:val="TableTextCentre"/>
              <w:rPr>
                <w:b/>
                <w:lang w:val="en-AU"/>
              </w:rPr>
            </w:pPr>
            <w:r w:rsidRPr="00664E64">
              <w:rPr>
                <w:b/>
                <w:lang w:val="en-AU"/>
              </w:rPr>
              <w:t>46.8</w:t>
            </w:r>
          </w:p>
        </w:tc>
      </w:tr>
    </w:tbl>
    <w:p w14:paraId="02E070B3" w14:textId="1F4734B1" w:rsidR="00821340" w:rsidRPr="00511782" w:rsidRDefault="00821340" w:rsidP="00511782">
      <w:pPr>
        <w:pBdr>
          <w:bottom w:val="single" w:sz="4" w:space="1" w:color="auto"/>
        </w:pBdr>
        <w:rPr>
          <w:rFonts w:ascii="Arial" w:hAnsi="Arial" w:cs="Arial"/>
          <w:sz w:val="18"/>
          <w:szCs w:val="18"/>
        </w:rPr>
      </w:pPr>
      <w:r w:rsidRPr="00511782">
        <w:rPr>
          <w:rFonts w:ascii="Arial" w:hAnsi="Arial" w:cs="Arial"/>
          <w:sz w:val="18"/>
          <w:szCs w:val="18"/>
        </w:rPr>
        <w:t>Notes: All percentages are based on the total sample. Percentages across a column do not total 100% due to multiple features seen or used.</w:t>
      </w:r>
    </w:p>
    <w:p w14:paraId="2F33A291" w14:textId="676E05C6" w:rsidR="00230ADC" w:rsidRPr="00267E2C" w:rsidRDefault="00230ADC" w:rsidP="00A55CD9">
      <w:pPr>
        <w:pStyle w:val="Heading3"/>
        <w:rPr>
          <w:color w:val="auto"/>
        </w:rPr>
      </w:pPr>
      <w:r w:rsidRPr="00267E2C">
        <w:rPr>
          <w:color w:val="auto"/>
        </w:rPr>
        <w:t>Usefulness of consumer protection measures</w:t>
      </w:r>
    </w:p>
    <w:p w14:paraId="6AF05F01" w14:textId="67E0E69F" w:rsidR="00230ADC" w:rsidRPr="00664E64" w:rsidRDefault="00230ADC" w:rsidP="00523E94">
      <w:r w:rsidRPr="00664E64">
        <w:t>Those who reported having seen each of the features were asked to rate its usefulness on a five-point scale (Table 5.</w:t>
      </w:r>
      <w:r w:rsidR="0057013A">
        <w:t>30</w:t>
      </w:r>
      <w:r w:rsidR="00F57245" w:rsidRPr="00664E64">
        <w:t>)</w:t>
      </w:r>
      <w:r w:rsidRPr="00664E64">
        <w:t xml:space="preserve">. At least half of all respondents who reported having used a feature found it either somewhat or very useful. The average usefulness score for features ranged between 3.5 and 4.03. </w:t>
      </w:r>
    </w:p>
    <w:p w14:paraId="22798A66" w14:textId="632686B8" w:rsidR="00230ADC" w:rsidRPr="00664E64" w:rsidRDefault="00230ADC" w:rsidP="00A55CD9">
      <w:pPr>
        <w:pStyle w:val="BodyText"/>
      </w:pPr>
      <w:r w:rsidRPr="00664E64">
        <w:lastRenderedPageBreak/>
        <w:t xml:space="preserve">The measures that were perceived to be most useful (among those who had used them) were access to regular financial statements, clear information about </w:t>
      </w:r>
      <w:r w:rsidR="005403FA" w:rsidRPr="00664E64">
        <w:t>terms and conditions</w:t>
      </w:r>
      <w:r w:rsidRPr="00664E64">
        <w:t>, deposit limits, and spend limits.</w:t>
      </w:r>
    </w:p>
    <w:p w14:paraId="2BBF2739" w14:textId="39FC512E" w:rsidR="00230ADC" w:rsidRPr="00267E2C" w:rsidRDefault="00230ADC" w:rsidP="00415C73">
      <w:pPr>
        <w:pStyle w:val="FigureCaption"/>
        <w:rPr>
          <w:color w:val="auto"/>
          <w:lang w:val="en-AU"/>
        </w:rPr>
      </w:pPr>
      <w:bookmarkStart w:id="94" w:name="_Toc8330419"/>
      <w:bookmarkStart w:id="95" w:name="_Toc12549590"/>
      <w:r w:rsidRPr="00267E2C">
        <w:rPr>
          <w:color w:val="auto"/>
          <w:lang w:val="en-AU"/>
        </w:rPr>
        <w:t>Table 5.</w:t>
      </w:r>
      <w:r w:rsidR="0057013A" w:rsidRPr="00267E2C">
        <w:rPr>
          <w:color w:val="auto"/>
          <w:lang w:val="en-AU"/>
        </w:rPr>
        <w:t>30</w:t>
      </w:r>
      <w:r w:rsidR="005403FA" w:rsidRPr="00267E2C">
        <w:rPr>
          <w:color w:val="auto"/>
          <w:lang w:val="en-AU"/>
        </w:rPr>
        <w:t>:</w:t>
      </w:r>
      <w:r w:rsidR="00F57245" w:rsidRPr="00267E2C">
        <w:rPr>
          <w:color w:val="auto"/>
          <w:lang w:val="en-AU"/>
        </w:rPr>
        <w:t xml:space="preserve"> </w:t>
      </w:r>
      <w:r w:rsidRPr="00267E2C">
        <w:rPr>
          <w:color w:val="auto"/>
          <w:lang w:val="en-AU"/>
        </w:rPr>
        <w:t>Proportion of participants who used a feature</w:t>
      </w:r>
      <w:r w:rsidR="005403FA" w:rsidRPr="00267E2C">
        <w:rPr>
          <w:color w:val="auto"/>
          <w:lang w:val="en-AU"/>
        </w:rPr>
        <w:t>,</w:t>
      </w:r>
      <w:r w:rsidRPr="00267E2C">
        <w:rPr>
          <w:color w:val="auto"/>
          <w:lang w:val="en-AU"/>
        </w:rPr>
        <w:t xml:space="preserve"> </w:t>
      </w:r>
      <w:r w:rsidR="005403FA" w:rsidRPr="00267E2C">
        <w:rPr>
          <w:color w:val="auto"/>
          <w:lang w:val="en-AU"/>
        </w:rPr>
        <w:t xml:space="preserve">and whether </w:t>
      </w:r>
      <w:r w:rsidRPr="00267E2C">
        <w:rPr>
          <w:color w:val="auto"/>
          <w:lang w:val="en-AU"/>
        </w:rPr>
        <w:t>found that feature useful or not in the last 12 months</w:t>
      </w:r>
      <w:bookmarkEnd w:id="94"/>
      <w:bookmarkEnd w:id="95"/>
    </w:p>
    <w:tbl>
      <w:tblPr>
        <w:tblStyle w:val="TableGrid"/>
        <w:tblW w:w="5000" w:type="pct"/>
        <w:tblLook w:val="00A0" w:firstRow="1" w:lastRow="0" w:firstColumn="1" w:lastColumn="0" w:noHBand="0" w:noVBand="0"/>
        <w:tblCaption w:val="Proportion of participants who used a feature, and whether found that feature useful or not in the last 12 months"/>
        <w:tblDescription w:val="For the particpants who had used a protective feature, this table rates how useful they found that feature from Not at all to Very useful."/>
      </w:tblPr>
      <w:tblGrid>
        <w:gridCol w:w="2652"/>
        <w:gridCol w:w="756"/>
        <w:gridCol w:w="760"/>
        <w:gridCol w:w="762"/>
        <w:gridCol w:w="862"/>
        <w:gridCol w:w="116"/>
        <w:gridCol w:w="1045"/>
        <w:gridCol w:w="762"/>
        <w:gridCol w:w="784"/>
      </w:tblGrid>
      <w:tr w:rsidR="00230ADC" w:rsidRPr="00664E64" w14:paraId="4201A44E" w14:textId="77777777" w:rsidTr="00431CA5">
        <w:trPr>
          <w:cnfStyle w:val="100000000000" w:firstRow="1" w:lastRow="0" w:firstColumn="0" w:lastColumn="0" w:oddVBand="0" w:evenVBand="0" w:oddHBand="0" w:evenHBand="0" w:firstRowFirstColumn="0" w:firstRowLastColumn="0" w:lastRowFirstColumn="0" w:lastRowLastColumn="0"/>
          <w:trHeight w:val="256"/>
          <w:tblHeader/>
        </w:trPr>
        <w:tc>
          <w:tcPr>
            <w:tcW w:w="1560" w:type="pct"/>
            <w:hideMark/>
          </w:tcPr>
          <w:p w14:paraId="5F508A13" w14:textId="77777777" w:rsidR="00230ADC" w:rsidRPr="00FF0153" w:rsidRDefault="00230ADC" w:rsidP="00FF0153">
            <w:pPr>
              <w:pStyle w:val="TableColHeadLeft"/>
              <w:rPr>
                <w:lang w:val="en-AU"/>
              </w:rPr>
            </w:pPr>
            <w:r w:rsidRPr="00FF0153">
              <w:rPr>
                <w:lang w:val="en-AU"/>
              </w:rPr>
              <w:t>Features</w:t>
            </w:r>
          </w:p>
        </w:tc>
        <w:tc>
          <w:tcPr>
            <w:tcW w:w="445" w:type="pct"/>
          </w:tcPr>
          <w:p w14:paraId="2FCDE8F9" w14:textId="77777777" w:rsidR="00230ADC" w:rsidRPr="00FF0153" w:rsidRDefault="00230ADC" w:rsidP="00FF0153">
            <w:pPr>
              <w:pStyle w:val="TableColHeadLeft"/>
              <w:rPr>
                <w:lang w:val="en-AU"/>
              </w:rPr>
            </w:pPr>
            <w:r w:rsidRPr="00FF0153">
              <w:rPr>
                <w:lang w:val="en-AU"/>
              </w:rPr>
              <w:t>No. of users</w:t>
            </w:r>
          </w:p>
        </w:tc>
        <w:tc>
          <w:tcPr>
            <w:tcW w:w="447" w:type="pct"/>
          </w:tcPr>
          <w:p w14:paraId="096F6BC8" w14:textId="77777777" w:rsidR="00230ADC" w:rsidRPr="00FF0153" w:rsidRDefault="00230ADC" w:rsidP="00FF0153">
            <w:pPr>
              <w:pStyle w:val="TableColHeadLeft"/>
              <w:rPr>
                <w:lang w:val="en-AU"/>
              </w:rPr>
            </w:pPr>
            <w:r w:rsidRPr="00FF0153">
              <w:rPr>
                <w:lang w:val="en-AU"/>
              </w:rPr>
              <w:t>Not at all (%)</w:t>
            </w:r>
          </w:p>
        </w:tc>
        <w:tc>
          <w:tcPr>
            <w:tcW w:w="448" w:type="pct"/>
          </w:tcPr>
          <w:p w14:paraId="12868A89" w14:textId="77777777" w:rsidR="00230ADC" w:rsidRPr="00FF0153" w:rsidRDefault="00230ADC" w:rsidP="00FF0153">
            <w:pPr>
              <w:pStyle w:val="TableColHeadLeft"/>
              <w:rPr>
                <w:lang w:val="en-AU"/>
              </w:rPr>
            </w:pPr>
            <w:r w:rsidRPr="00FF0153">
              <w:rPr>
                <w:lang w:val="en-AU"/>
              </w:rPr>
              <w:t>Not very (%)</w:t>
            </w:r>
          </w:p>
        </w:tc>
        <w:tc>
          <w:tcPr>
            <w:tcW w:w="507" w:type="pct"/>
          </w:tcPr>
          <w:p w14:paraId="4E7D6A0F" w14:textId="77777777" w:rsidR="00230ADC" w:rsidRPr="00FF0153" w:rsidRDefault="00230ADC" w:rsidP="00FF0153">
            <w:pPr>
              <w:pStyle w:val="TableColHeadLeft"/>
              <w:rPr>
                <w:lang w:val="en-AU"/>
              </w:rPr>
            </w:pPr>
            <w:r w:rsidRPr="00FF0153">
              <w:rPr>
                <w:lang w:val="en-AU"/>
              </w:rPr>
              <w:t>Neither (%)</w:t>
            </w:r>
          </w:p>
        </w:tc>
        <w:tc>
          <w:tcPr>
            <w:tcW w:w="683" w:type="pct"/>
            <w:gridSpan w:val="2"/>
          </w:tcPr>
          <w:p w14:paraId="3C5A9572" w14:textId="77777777" w:rsidR="00230ADC" w:rsidRPr="00FF0153" w:rsidRDefault="00230ADC" w:rsidP="00FF0153">
            <w:pPr>
              <w:pStyle w:val="TableColHeadLeft"/>
              <w:rPr>
                <w:lang w:val="en-AU"/>
              </w:rPr>
            </w:pPr>
            <w:r w:rsidRPr="00FF0153">
              <w:rPr>
                <w:lang w:val="en-AU"/>
              </w:rPr>
              <w:t>Somewhat (%)</w:t>
            </w:r>
          </w:p>
        </w:tc>
        <w:tc>
          <w:tcPr>
            <w:tcW w:w="448" w:type="pct"/>
          </w:tcPr>
          <w:p w14:paraId="7A2401A4" w14:textId="77777777" w:rsidR="00230ADC" w:rsidRPr="00FF0153" w:rsidRDefault="00230ADC" w:rsidP="00FF0153">
            <w:pPr>
              <w:pStyle w:val="TableColHeadLeft"/>
              <w:rPr>
                <w:lang w:val="en-AU"/>
              </w:rPr>
            </w:pPr>
            <w:r w:rsidRPr="00FF0153">
              <w:rPr>
                <w:lang w:val="en-AU"/>
              </w:rPr>
              <w:t>Very useful (%)</w:t>
            </w:r>
          </w:p>
        </w:tc>
        <w:tc>
          <w:tcPr>
            <w:tcW w:w="461" w:type="pct"/>
          </w:tcPr>
          <w:p w14:paraId="525FD881" w14:textId="54C87193" w:rsidR="00230ADC" w:rsidRPr="00FF0153" w:rsidRDefault="00230ADC" w:rsidP="00FF0153">
            <w:pPr>
              <w:pStyle w:val="TableColHeadLeft"/>
              <w:rPr>
                <w:lang w:val="en-AU"/>
              </w:rPr>
            </w:pPr>
            <w:r w:rsidRPr="00FF0153">
              <w:rPr>
                <w:lang w:val="en-AU"/>
              </w:rPr>
              <w:t>Avg score*</w:t>
            </w:r>
          </w:p>
        </w:tc>
      </w:tr>
      <w:tr w:rsidR="00230ADC" w:rsidRPr="00664E64" w14:paraId="2D2A0B5B" w14:textId="77777777" w:rsidTr="00431CA5">
        <w:trPr>
          <w:trHeight w:val="738"/>
        </w:trPr>
        <w:tc>
          <w:tcPr>
            <w:tcW w:w="1560" w:type="pct"/>
            <w:shd w:val="clear" w:color="auto" w:fill="FFFFFF" w:themeFill="background1"/>
            <w:hideMark/>
          </w:tcPr>
          <w:p w14:paraId="54091D33" w14:textId="77777777" w:rsidR="00230ADC" w:rsidRPr="00664E64" w:rsidRDefault="00230ADC" w:rsidP="00A55CD9">
            <w:pPr>
              <w:pStyle w:val="TableText"/>
              <w:rPr>
                <w:lang w:val="en-AU"/>
              </w:rPr>
            </w:pPr>
            <w:r w:rsidRPr="00664E64">
              <w:rPr>
                <w:lang w:val="en-AU"/>
              </w:rPr>
              <w:t>Set limits on how much I want to deposit in my account</w:t>
            </w:r>
          </w:p>
        </w:tc>
        <w:tc>
          <w:tcPr>
            <w:tcW w:w="445" w:type="pct"/>
            <w:shd w:val="clear" w:color="auto" w:fill="FFFFFF" w:themeFill="background1"/>
          </w:tcPr>
          <w:p w14:paraId="7CB217B3" w14:textId="77777777" w:rsidR="00230ADC" w:rsidRPr="00664E64" w:rsidRDefault="00230ADC" w:rsidP="00A55CD9">
            <w:pPr>
              <w:pStyle w:val="TableTextCentre"/>
              <w:rPr>
                <w:lang w:val="en-AU"/>
              </w:rPr>
            </w:pPr>
            <w:r w:rsidRPr="00664E64">
              <w:rPr>
                <w:lang w:val="en-AU"/>
              </w:rPr>
              <w:t>670</w:t>
            </w:r>
          </w:p>
        </w:tc>
        <w:tc>
          <w:tcPr>
            <w:tcW w:w="447" w:type="pct"/>
            <w:shd w:val="clear" w:color="auto" w:fill="FFFFFF" w:themeFill="background1"/>
          </w:tcPr>
          <w:p w14:paraId="574416A0" w14:textId="77777777" w:rsidR="00230ADC" w:rsidRPr="00664E64" w:rsidRDefault="00230ADC" w:rsidP="00A55CD9">
            <w:pPr>
              <w:pStyle w:val="TableTextCentre"/>
              <w:rPr>
                <w:lang w:val="en-AU"/>
              </w:rPr>
            </w:pPr>
            <w:r w:rsidRPr="00664E64">
              <w:rPr>
                <w:lang w:val="en-AU"/>
              </w:rPr>
              <w:t>4.0</w:t>
            </w:r>
          </w:p>
        </w:tc>
        <w:tc>
          <w:tcPr>
            <w:tcW w:w="448" w:type="pct"/>
            <w:shd w:val="clear" w:color="auto" w:fill="FFFFFF" w:themeFill="background1"/>
          </w:tcPr>
          <w:p w14:paraId="6A24E7D7" w14:textId="77777777" w:rsidR="00230ADC" w:rsidRPr="00664E64" w:rsidRDefault="00230ADC" w:rsidP="00A55CD9">
            <w:pPr>
              <w:pStyle w:val="TableTextCentre"/>
              <w:rPr>
                <w:lang w:val="en-AU"/>
              </w:rPr>
            </w:pPr>
            <w:r w:rsidRPr="00664E64">
              <w:rPr>
                <w:lang w:val="en-AU"/>
              </w:rPr>
              <w:t>4.5</w:t>
            </w:r>
          </w:p>
        </w:tc>
        <w:tc>
          <w:tcPr>
            <w:tcW w:w="575" w:type="pct"/>
            <w:gridSpan w:val="2"/>
            <w:shd w:val="clear" w:color="auto" w:fill="FFFFFF" w:themeFill="background1"/>
          </w:tcPr>
          <w:p w14:paraId="24DF1CA4" w14:textId="77777777" w:rsidR="00230ADC" w:rsidRPr="00664E64" w:rsidRDefault="00230ADC" w:rsidP="00A55CD9">
            <w:pPr>
              <w:pStyle w:val="TableTextCentre"/>
              <w:rPr>
                <w:lang w:val="en-AU"/>
              </w:rPr>
            </w:pPr>
            <w:r w:rsidRPr="00664E64">
              <w:rPr>
                <w:lang w:val="en-AU"/>
              </w:rPr>
              <w:t>20.7</w:t>
            </w:r>
          </w:p>
        </w:tc>
        <w:tc>
          <w:tcPr>
            <w:tcW w:w="615" w:type="pct"/>
            <w:shd w:val="clear" w:color="auto" w:fill="FFFFFF" w:themeFill="background1"/>
          </w:tcPr>
          <w:p w14:paraId="1E5A8AE2" w14:textId="77777777" w:rsidR="00230ADC" w:rsidRPr="00664E64" w:rsidRDefault="00230ADC" w:rsidP="00A55CD9">
            <w:pPr>
              <w:pStyle w:val="TableTextCentre"/>
              <w:rPr>
                <w:lang w:val="en-AU"/>
              </w:rPr>
            </w:pPr>
            <w:r w:rsidRPr="00664E64">
              <w:rPr>
                <w:lang w:val="en-AU"/>
              </w:rPr>
              <w:t>28.5</w:t>
            </w:r>
          </w:p>
        </w:tc>
        <w:tc>
          <w:tcPr>
            <w:tcW w:w="448" w:type="pct"/>
            <w:shd w:val="clear" w:color="auto" w:fill="FFFFFF" w:themeFill="background1"/>
          </w:tcPr>
          <w:p w14:paraId="128EC8A3" w14:textId="77777777" w:rsidR="00230ADC" w:rsidRPr="00664E64" w:rsidRDefault="00230ADC" w:rsidP="00A55CD9">
            <w:pPr>
              <w:pStyle w:val="TableTextCentre"/>
              <w:rPr>
                <w:lang w:val="en-AU"/>
              </w:rPr>
            </w:pPr>
            <w:r w:rsidRPr="00664E64">
              <w:rPr>
                <w:lang w:val="en-AU"/>
              </w:rPr>
              <w:t>42.2</w:t>
            </w:r>
          </w:p>
        </w:tc>
        <w:tc>
          <w:tcPr>
            <w:tcW w:w="461" w:type="pct"/>
            <w:shd w:val="clear" w:color="auto" w:fill="FFFFFF" w:themeFill="background1"/>
          </w:tcPr>
          <w:p w14:paraId="0AB3C21A" w14:textId="77777777" w:rsidR="00230ADC" w:rsidRPr="00664E64" w:rsidRDefault="00230ADC" w:rsidP="00A55CD9">
            <w:pPr>
              <w:pStyle w:val="TableTextCentre"/>
              <w:rPr>
                <w:b/>
                <w:lang w:val="en-AU"/>
              </w:rPr>
            </w:pPr>
            <w:r w:rsidRPr="00664E64">
              <w:rPr>
                <w:b/>
                <w:lang w:val="en-AU"/>
              </w:rPr>
              <w:t>4</w:t>
            </w:r>
          </w:p>
        </w:tc>
      </w:tr>
      <w:tr w:rsidR="00230ADC" w:rsidRPr="00664E64" w14:paraId="2B93B4A2" w14:textId="77777777" w:rsidTr="00431CA5">
        <w:trPr>
          <w:trHeight w:val="738"/>
        </w:trPr>
        <w:tc>
          <w:tcPr>
            <w:tcW w:w="1560" w:type="pct"/>
            <w:hideMark/>
          </w:tcPr>
          <w:p w14:paraId="41026678" w14:textId="77777777" w:rsidR="00230ADC" w:rsidRPr="00664E64" w:rsidRDefault="00230ADC" w:rsidP="00A55CD9">
            <w:pPr>
              <w:pStyle w:val="TableText"/>
              <w:rPr>
                <w:lang w:val="en-AU"/>
              </w:rPr>
            </w:pPr>
            <w:r w:rsidRPr="00664E64">
              <w:rPr>
                <w:lang w:val="en-AU"/>
              </w:rPr>
              <w:t>Unsubscribe from direct marketing</w:t>
            </w:r>
          </w:p>
        </w:tc>
        <w:tc>
          <w:tcPr>
            <w:tcW w:w="445" w:type="pct"/>
          </w:tcPr>
          <w:p w14:paraId="1421DD37" w14:textId="77777777" w:rsidR="00230ADC" w:rsidRPr="00664E64" w:rsidRDefault="00230ADC" w:rsidP="00A55CD9">
            <w:pPr>
              <w:pStyle w:val="TableTextCentre"/>
              <w:rPr>
                <w:lang w:val="en-AU"/>
              </w:rPr>
            </w:pPr>
            <w:r w:rsidRPr="00664E64">
              <w:rPr>
                <w:lang w:val="en-AU"/>
              </w:rPr>
              <w:t>556</w:t>
            </w:r>
          </w:p>
        </w:tc>
        <w:tc>
          <w:tcPr>
            <w:tcW w:w="447" w:type="pct"/>
          </w:tcPr>
          <w:p w14:paraId="723055BA" w14:textId="77777777" w:rsidR="00230ADC" w:rsidRPr="00664E64" w:rsidRDefault="00230ADC" w:rsidP="00A55CD9">
            <w:pPr>
              <w:pStyle w:val="TableTextCentre"/>
              <w:rPr>
                <w:lang w:val="en-AU"/>
              </w:rPr>
            </w:pPr>
            <w:r w:rsidRPr="00664E64">
              <w:rPr>
                <w:lang w:val="en-AU"/>
              </w:rPr>
              <w:t>5.8</w:t>
            </w:r>
          </w:p>
        </w:tc>
        <w:tc>
          <w:tcPr>
            <w:tcW w:w="448" w:type="pct"/>
          </w:tcPr>
          <w:p w14:paraId="4355BD1A" w14:textId="77777777" w:rsidR="00230ADC" w:rsidRPr="00664E64" w:rsidRDefault="00230ADC" w:rsidP="00A55CD9">
            <w:pPr>
              <w:pStyle w:val="TableTextCentre"/>
              <w:rPr>
                <w:lang w:val="en-AU"/>
              </w:rPr>
            </w:pPr>
            <w:r w:rsidRPr="00664E64">
              <w:rPr>
                <w:lang w:val="en-AU"/>
              </w:rPr>
              <w:t>5.8</w:t>
            </w:r>
          </w:p>
        </w:tc>
        <w:tc>
          <w:tcPr>
            <w:tcW w:w="575" w:type="pct"/>
            <w:gridSpan w:val="2"/>
          </w:tcPr>
          <w:p w14:paraId="4B446417" w14:textId="77777777" w:rsidR="00230ADC" w:rsidRPr="00664E64" w:rsidRDefault="00230ADC" w:rsidP="00A55CD9">
            <w:pPr>
              <w:pStyle w:val="TableTextCentre"/>
              <w:rPr>
                <w:lang w:val="en-AU"/>
              </w:rPr>
            </w:pPr>
            <w:r w:rsidRPr="00664E64">
              <w:rPr>
                <w:lang w:val="en-AU"/>
              </w:rPr>
              <w:t>27.2</w:t>
            </w:r>
          </w:p>
        </w:tc>
        <w:tc>
          <w:tcPr>
            <w:tcW w:w="615" w:type="pct"/>
          </w:tcPr>
          <w:p w14:paraId="19C09170" w14:textId="77777777" w:rsidR="00230ADC" w:rsidRPr="00664E64" w:rsidRDefault="00230ADC" w:rsidP="00A55CD9">
            <w:pPr>
              <w:pStyle w:val="TableTextCentre"/>
              <w:rPr>
                <w:lang w:val="en-AU"/>
              </w:rPr>
            </w:pPr>
            <w:r w:rsidRPr="00664E64">
              <w:rPr>
                <w:lang w:val="en-AU"/>
              </w:rPr>
              <w:t>29.0</w:t>
            </w:r>
          </w:p>
        </w:tc>
        <w:tc>
          <w:tcPr>
            <w:tcW w:w="448" w:type="pct"/>
          </w:tcPr>
          <w:p w14:paraId="0B982951" w14:textId="77777777" w:rsidR="00230ADC" w:rsidRPr="00664E64" w:rsidRDefault="00230ADC" w:rsidP="00A55CD9">
            <w:pPr>
              <w:pStyle w:val="TableTextCentre"/>
              <w:rPr>
                <w:lang w:val="en-AU"/>
              </w:rPr>
            </w:pPr>
            <w:r w:rsidRPr="00664E64">
              <w:rPr>
                <w:lang w:val="en-AU"/>
              </w:rPr>
              <w:t>32.4</w:t>
            </w:r>
          </w:p>
        </w:tc>
        <w:tc>
          <w:tcPr>
            <w:tcW w:w="461" w:type="pct"/>
          </w:tcPr>
          <w:p w14:paraId="6775C1AB" w14:textId="77777777" w:rsidR="00230ADC" w:rsidRPr="00664E64" w:rsidRDefault="00230ADC" w:rsidP="00A55CD9">
            <w:pPr>
              <w:pStyle w:val="TableTextCentre"/>
              <w:rPr>
                <w:b/>
                <w:lang w:val="en-AU"/>
              </w:rPr>
            </w:pPr>
            <w:r w:rsidRPr="00664E64">
              <w:rPr>
                <w:b/>
                <w:lang w:val="en-AU"/>
              </w:rPr>
              <w:t>3.76</w:t>
            </w:r>
          </w:p>
        </w:tc>
      </w:tr>
      <w:tr w:rsidR="00230ADC" w:rsidRPr="00664E64" w14:paraId="09E36722" w14:textId="77777777" w:rsidTr="00431CA5">
        <w:trPr>
          <w:trHeight w:val="738"/>
        </w:trPr>
        <w:tc>
          <w:tcPr>
            <w:tcW w:w="1560" w:type="pct"/>
            <w:hideMark/>
          </w:tcPr>
          <w:p w14:paraId="5C8579D3" w14:textId="77777777" w:rsidR="00230ADC" w:rsidRPr="00664E64" w:rsidRDefault="00230ADC" w:rsidP="00A55CD9">
            <w:pPr>
              <w:pStyle w:val="TableText"/>
              <w:rPr>
                <w:lang w:val="en-AU"/>
              </w:rPr>
            </w:pPr>
            <w:r w:rsidRPr="00664E64">
              <w:rPr>
                <w:lang w:val="en-AU"/>
              </w:rPr>
              <w:t>Set limits on how much I want to bet/spend</w:t>
            </w:r>
          </w:p>
        </w:tc>
        <w:tc>
          <w:tcPr>
            <w:tcW w:w="445" w:type="pct"/>
          </w:tcPr>
          <w:p w14:paraId="079F7EBB" w14:textId="77777777" w:rsidR="00230ADC" w:rsidRPr="00664E64" w:rsidRDefault="00230ADC" w:rsidP="00A55CD9">
            <w:pPr>
              <w:pStyle w:val="TableTextCentre"/>
              <w:rPr>
                <w:lang w:val="en-AU"/>
              </w:rPr>
            </w:pPr>
            <w:r w:rsidRPr="00664E64">
              <w:rPr>
                <w:lang w:val="en-AU"/>
              </w:rPr>
              <w:t>514</w:t>
            </w:r>
          </w:p>
        </w:tc>
        <w:tc>
          <w:tcPr>
            <w:tcW w:w="447" w:type="pct"/>
          </w:tcPr>
          <w:p w14:paraId="0CCD6EB4" w14:textId="77777777" w:rsidR="00230ADC" w:rsidRPr="00664E64" w:rsidRDefault="00230ADC" w:rsidP="00A55CD9">
            <w:pPr>
              <w:pStyle w:val="TableTextCentre"/>
              <w:rPr>
                <w:lang w:val="en-AU"/>
              </w:rPr>
            </w:pPr>
            <w:r w:rsidRPr="00664E64">
              <w:rPr>
                <w:lang w:val="en-AU"/>
              </w:rPr>
              <w:t>4.9</w:t>
            </w:r>
          </w:p>
        </w:tc>
        <w:tc>
          <w:tcPr>
            <w:tcW w:w="448" w:type="pct"/>
          </w:tcPr>
          <w:p w14:paraId="401CADA8" w14:textId="77777777" w:rsidR="00230ADC" w:rsidRPr="00664E64" w:rsidRDefault="00230ADC" w:rsidP="00A55CD9">
            <w:pPr>
              <w:pStyle w:val="TableTextCentre"/>
              <w:rPr>
                <w:lang w:val="en-AU"/>
              </w:rPr>
            </w:pPr>
            <w:r w:rsidRPr="00664E64">
              <w:rPr>
                <w:lang w:val="en-AU"/>
              </w:rPr>
              <w:t>5.8</w:t>
            </w:r>
          </w:p>
        </w:tc>
        <w:tc>
          <w:tcPr>
            <w:tcW w:w="575" w:type="pct"/>
            <w:gridSpan w:val="2"/>
          </w:tcPr>
          <w:p w14:paraId="273EDDB3" w14:textId="77777777" w:rsidR="00230ADC" w:rsidRPr="00664E64" w:rsidRDefault="00230ADC" w:rsidP="00A55CD9">
            <w:pPr>
              <w:pStyle w:val="TableTextCentre"/>
              <w:rPr>
                <w:lang w:val="en-AU"/>
              </w:rPr>
            </w:pPr>
            <w:r w:rsidRPr="00664E64">
              <w:rPr>
                <w:lang w:val="en-AU"/>
              </w:rPr>
              <w:t>23.9</w:t>
            </w:r>
          </w:p>
        </w:tc>
        <w:tc>
          <w:tcPr>
            <w:tcW w:w="615" w:type="pct"/>
          </w:tcPr>
          <w:p w14:paraId="31CBE36F" w14:textId="77777777" w:rsidR="00230ADC" w:rsidRPr="00664E64" w:rsidRDefault="00230ADC" w:rsidP="00A55CD9">
            <w:pPr>
              <w:pStyle w:val="TableTextCentre"/>
              <w:rPr>
                <w:lang w:val="en-AU"/>
              </w:rPr>
            </w:pPr>
            <w:r w:rsidRPr="00664E64">
              <w:rPr>
                <w:lang w:val="en-AU"/>
              </w:rPr>
              <w:t>26.7</w:t>
            </w:r>
          </w:p>
        </w:tc>
        <w:tc>
          <w:tcPr>
            <w:tcW w:w="448" w:type="pct"/>
          </w:tcPr>
          <w:p w14:paraId="75E0F722" w14:textId="77777777" w:rsidR="00230ADC" w:rsidRPr="00664E64" w:rsidRDefault="00230ADC" w:rsidP="00A55CD9">
            <w:pPr>
              <w:pStyle w:val="TableTextCentre"/>
              <w:rPr>
                <w:lang w:val="en-AU"/>
              </w:rPr>
            </w:pPr>
            <w:r w:rsidRPr="00664E64">
              <w:rPr>
                <w:lang w:val="en-AU"/>
              </w:rPr>
              <w:t>38.7</w:t>
            </w:r>
          </w:p>
        </w:tc>
        <w:tc>
          <w:tcPr>
            <w:tcW w:w="461" w:type="pct"/>
          </w:tcPr>
          <w:p w14:paraId="5275BD13" w14:textId="77777777" w:rsidR="00230ADC" w:rsidRPr="00664E64" w:rsidRDefault="00230ADC" w:rsidP="00A55CD9">
            <w:pPr>
              <w:pStyle w:val="TableTextCentre"/>
              <w:rPr>
                <w:b/>
                <w:lang w:val="en-AU"/>
              </w:rPr>
            </w:pPr>
            <w:r w:rsidRPr="00664E64">
              <w:rPr>
                <w:b/>
                <w:lang w:val="en-AU"/>
              </w:rPr>
              <w:t>3.88</w:t>
            </w:r>
          </w:p>
        </w:tc>
      </w:tr>
      <w:tr w:rsidR="00230ADC" w:rsidRPr="00664E64" w14:paraId="5602A406" w14:textId="77777777" w:rsidTr="00431CA5">
        <w:trPr>
          <w:trHeight w:val="738"/>
        </w:trPr>
        <w:tc>
          <w:tcPr>
            <w:tcW w:w="1560" w:type="pct"/>
            <w:hideMark/>
          </w:tcPr>
          <w:p w14:paraId="73F84609" w14:textId="77777777" w:rsidR="00230ADC" w:rsidRPr="00664E64" w:rsidRDefault="00230ADC" w:rsidP="00A55CD9">
            <w:pPr>
              <w:pStyle w:val="TableText"/>
              <w:rPr>
                <w:lang w:val="en-AU"/>
              </w:rPr>
            </w:pPr>
            <w:r w:rsidRPr="00664E64">
              <w:rPr>
                <w:lang w:val="en-AU"/>
              </w:rPr>
              <w:t>Access to regular financial statements</w:t>
            </w:r>
          </w:p>
        </w:tc>
        <w:tc>
          <w:tcPr>
            <w:tcW w:w="445" w:type="pct"/>
          </w:tcPr>
          <w:p w14:paraId="16A3BA70" w14:textId="77777777" w:rsidR="00230ADC" w:rsidRPr="00664E64" w:rsidRDefault="00230ADC" w:rsidP="00A55CD9">
            <w:pPr>
              <w:pStyle w:val="TableTextCentre"/>
              <w:rPr>
                <w:lang w:val="en-AU"/>
              </w:rPr>
            </w:pPr>
            <w:r w:rsidRPr="00664E64">
              <w:rPr>
                <w:lang w:val="en-AU"/>
              </w:rPr>
              <w:t>479</w:t>
            </w:r>
          </w:p>
        </w:tc>
        <w:tc>
          <w:tcPr>
            <w:tcW w:w="447" w:type="pct"/>
          </w:tcPr>
          <w:p w14:paraId="22341535" w14:textId="77777777" w:rsidR="00230ADC" w:rsidRPr="00664E64" w:rsidRDefault="00230ADC" w:rsidP="00A55CD9">
            <w:pPr>
              <w:pStyle w:val="TableTextCentre"/>
              <w:rPr>
                <w:lang w:val="en-AU"/>
              </w:rPr>
            </w:pPr>
            <w:r w:rsidRPr="00664E64">
              <w:rPr>
                <w:lang w:val="en-AU"/>
              </w:rPr>
              <w:t>3.5</w:t>
            </w:r>
          </w:p>
        </w:tc>
        <w:tc>
          <w:tcPr>
            <w:tcW w:w="448" w:type="pct"/>
          </w:tcPr>
          <w:p w14:paraId="431E66C6" w14:textId="77777777" w:rsidR="00230ADC" w:rsidRPr="00664E64" w:rsidRDefault="00230ADC" w:rsidP="00A55CD9">
            <w:pPr>
              <w:pStyle w:val="TableTextCentre"/>
              <w:rPr>
                <w:lang w:val="en-AU"/>
              </w:rPr>
            </w:pPr>
            <w:r w:rsidRPr="00664E64">
              <w:rPr>
                <w:lang w:val="en-AU"/>
              </w:rPr>
              <w:t>2.7</w:t>
            </w:r>
          </w:p>
        </w:tc>
        <w:tc>
          <w:tcPr>
            <w:tcW w:w="575" w:type="pct"/>
            <w:gridSpan w:val="2"/>
          </w:tcPr>
          <w:p w14:paraId="00598F94" w14:textId="77777777" w:rsidR="00230ADC" w:rsidRPr="00664E64" w:rsidRDefault="00230ADC" w:rsidP="00A55CD9">
            <w:pPr>
              <w:pStyle w:val="TableTextCentre"/>
              <w:rPr>
                <w:lang w:val="en-AU"/>
              </w:rPr>
            </w:pPr>
            <w:r w:rsidRPr="00664E64">
              <w:rPr>
                <w:lang w:val="en-AU"/>
              </w:rPr>
              <w:t>21.3</w:t>
            </w:r>
          </w:p>
        </w:tc>
        <w:tc>
          <w:tcPr>
            <w:tcW w:w="615" w:type="pct"/>
          </w:tcPr>
          <w:p w14:paraId="06E5C57C" w14:textId="77777777" w:rsidR="00230ADC" w:rsidRPr="00664E64" w:rsidRDefault="00230ADC" w:rsidP="00A55CD9">
            <w:pPr>
              <w:pStyle w:val="TableTextCentre"/>
              <w:rPr>
                <w:lang w:val="en-AU"/>
              </w:rPr>
            </w:pPr>
            <w:r w:rsidRPr="00664E64">
              <w:rPr>
                <w:lang w:val="en-AU"/>
              </w:rPr>
              <w:t>31.9</w:t>
            </w:r>
          </w:p>
        </w:tc>
        <w:tc>
          <w:tcPr>
            <w:tcW w:w="448" w:type="pct"/>
          </w:tcPr>
          <w:p w14:paraId="37D5D9AD" w14:textId="77777777" w:rsidR="00230ADC" w:rsidRPr="00664E64" w:rsidRDefault="00230ADC" w:rsidP="00A55CD9">
            <w:pPr>
              <w:pStyle w:val="TableTextCentre"/>
              <w:rPr>
                <w:lang w:val="en-AU"/>
              </w:rPr>
            </w:pPr>
            <w:r w:rsidRPr="00664E64">
              <w:rPr>
                <w:lang w:val="en-AU"/>
              </w:rPr>
              <w:t>40.5</w:t>
            </w:r>
          </w:p>
        </w:tc>
        <w:tc>
          <w:tcPr>
            <w:tcW w:w="461" w:type="pct"/>
          </w:tcPr>
          <w:p w14:paraId="220C8979" w14:textId="77777777" w:rsidR="00230ADC" w:rsidRPr="00664E64" w:rsidRDefault="00230ADC" w:rsidP="00A55CD9">
            <w:pPr>
              <w:pStyle w:val="TableTextCentre"/>
              <w:rPr>
                <w:b/>
                <w:lang w:val="en-AU"/>
              </w:rPr>
            </w:pPr>
            <w:r w:rsidRPr="00664E64">
              <w:rPr>
                <w:b/>
                <w:lang w:val="en-AU"/>
              </w:rPr>
              <w:t>4.03</w:t>
            </w:r>
          </w:p>
        </w:tc>
      </w:tr>
      <w:tr w:rsidR="00230ADC" w:rsidRPr="00664E64" w14:paraId="5400E1BA" w14:textId="77777777" w:rsidTr="00431CA5">
        <w:trPr>
          <w:trHeight w:val="738"/>
        </w:trPr>
        <w:tc>
          <w:tcPr>
            <w:tcW w:w="1560" w:type="pct"/>
            <w:hideMark/>
          </w:tcPr>
          <w:p w14:paraId="3E5B5571" w14:textId="77777777" w:rsidR="00230ADC" w:rsidRPr="00664E64" w:rsidRDefault="00230ADC" w:rsidP="00A55CD9">
            <w:pPr>
              <w:pStyle w:val="TableText"/>
              <w:rPr>
                <w:lang w:val="en-AU"/>
              </w:rPr>
            </w:pPr>
            <w:r w:rsidRPr="00664E64">
              <w:rPr>
                <w:lang w:val="en-AU"/>
              </w:rPr>
              <w:t>Clear information about the terms and conditions for offers of any credit, voucher, reward or other benefit</w:t>
            </w:r>
          </w:p>
        </w:tc>
        <w:tc>
          <w:tcPr>
            <w:tcW w:w="445" w:type="pct"/>
          </w:tcPr>
          <w:p w14:paraId="50E9B308" w14:textId="77777777" w:rsidR="00230ADC" w:rsidRPr="00664E64" w:rsidRDefault="00230ADC" w:rsidP="00A55CD9">
            <w:pPr>
              <w:pStyle w:val="TableTextCentre"/>
              <w:rPr>
                <w:lang w:val="en-AU"/>
              </w:rPr>
            </w:pPr>
            <w:r w:rsidRPr="00664E64">
              <w:rPr>
                <w:lang w:val="en-AU"/>
              </w:rPr>
              <w:t>465</w:t>
            </w:r>
          </w:p>
        </w:tc>
        <w:tc>
          <w:tcPr>
            <w:tcW w:w="447" w:type="pct"/>
          </w:tcPr>
          <w:p w14:paraId="308611B9" w14:textId="77777777" w:rsidR="00230ADC" w:rsidRPr="00664E64" w:rsidRDefault="00230ADC" w:rsidP="00A55CD9">
            <w:pPr>
              <w:pStyle w:val="TableTextCentre"/>
              <w:rPr>
                <w:lang w:val="en-AU"/>
              </w:rPr>
            </w:pPr>
            <w:r w:rsidRPr="00664E64">
              <w:rPr>
                <w:lang w:val="en-AU"/>
              </w:rPr>
              <w:t>2.2</w:t>
            </w:r>
          </w:p>
        </w:tc>
        <w:tc>
          <w:tcPr>
            <w:tcW w:w="448" w:type="pct"/>
          </w:tcPr>
          <w:p w14:paraId="2262BB8D" w14:textId="77777777" w:rsidR="00230ADC" w:rsidRPr="00664E64" w:rsidRDefault="00230ADC" w:rsidP="00A55CD9">
            <w:pPr>
              <w:pStyle w:val="TableTextCentre"/>
              <w:rPr>
                <w:lang w:val="en-AU"/>
              </w:rPr>
            </w:pPr>
            <w:r w:rsidRPr="00664E64">
              <w:rPr>
                <w:lang w:val="en-AU"/>
              </w:rPr>
              <w:t>3.9</w:t>
            </w:r>
          </w:p>
        </w:tc>
        <w:tc>
          <w:tcPr>
            <w:tcW w:w="575" w:type="pct"/>
            <w:gridSpan w:val="2"/>
          </w:tcPr>
          <w:p w14:paraId="40C1E5CB" w14:textId="77777777" w:rsidR="00230ADC" w:rsidRPr="00664E64" w:rsidRDefault="00230ADC" w:rsidP="00A55CD9">
            <w:pPr>
              <w:pStyle w:val="TableTextCentre"/>
              <w:rPr>
                <w:lang w:val="en-AU"/>
              </w:rPr>
            </w:pPr>
            <w:r w:rsidRPr="00664E64">
              <w:rPr>
                <w:lang w:val="en-AU"/>
              </w:rPr>
              <w:t>20.9</w:t>
            </w:r>
          </w:p>
        </w:tc>
        <w:tc>
          <w:tcPr>
            <w:tcW w:w="615" w:type="pct"/>
          </w:tcPr>
          <w:p w14:paraId="699960DB" w14:textId="77777777" w:rsidR="00230ADC" w:rsidRPr="00664E64" w:rsidRDefault="00230ADC" w:rsidP="00A55CD9">
            <w:pPr>
              <w:pStyle w:val="TableTextCentre"/>
              <w:rPr>
                <w:lang w:val="en-AU"/>
              </w:rPr>
            </w:pPr>
            <w:r w:rsidRPr="00664E64">
              <w:rPr>
                <w:lang w:val="en-AU"/>
              </w:rPr>
              <w:t>36.1</w:t>
            </w:r>
          </w:p>
        </w:tc>
        <w:tc>
          <w:tcPr>
            <w:tcW w:w="448" w:type="pct"/>
          </w:tcPr>
          <w:p w14:paraId="3C258FAB" w14:textId="77777777" w:rsidR="00230ADC" w:rsidRPr="00664E64" w:rsidRDefault="00230ADC" w:rsidP="00A55CD9">
            <w:pPr>
              <w:pStyle w:val="TableTextCentre"/>
              <w:rPr>
                <w:lang w:val="en-AU"/>
              </w:rPr>
            </w:pPr>
            <w:r w:rsidRPr="00664E64">
              <w:rPr>
                <w:lang w:val="en-AU"/>
              </w:rPr>
              <w:t>37.0</w:t>
            </w:r>
          </w:p>
        </w:tc>
        <w:tc>
          <w:tcPr>
            <w:tcW w:w="461" w:type="pct"/>
          </w:tcPr>
          <w:p w14:paraId="0805725C" w14:textId="77777777" w:rsidR="00230ADC" w:rsidRPr="00664E64" w:rsidRDefault="00230ADC" w:rsidP="00A55CD9">
            <w:pPr>
              <w:pStyle w:val="TableTextCentre"/>
              <w:rPr>
                <w:b/>
                <w:lang w:val="en-AU"/>
              </w:rPr>
            </w:pPr>
            <w:r w:rsidRPr="00664E64">
              <w:rPr>
                <w:b/>
                <w:lang w:val="en-AU"/>
              </w:rPr>
              <w:t>4.02</w:t>
            </w:r>
          </w:p>
        </w:tc>
      </w:tr>
      <w:tr w:rsidR="00230ADC" w:rsidRPr="00664E64" w14:paraId="2831C916" w14:textId="77777777" w:rsidTr="00431CA5">
        <w:trPr>
          <w:trHeight w:val="738"/>
        </w:trPr>
        <w:tc>
          <w:tcPr>
            <w:tcW w:w="1560" w:type="pct"/>
            <w:hideMark/>
          </w:tcPr>
          <w:p w14:paraId="40E08026" w14:textId="77777777" w:rsidR="00230ADC" w:rsidRPr="00664E64" w:rsidRDefault="00230ADC" w:rsidP="00A55CD9">
            <w:pPr>
              <w:pStyle w:val="TableText"/>
              <w:rPr>
                <w:lang w:val="en-AU"/>
              </w:rPr>
            </w:pPr>
            <w:r w:rsidRPr="00664E64">
              <w:rPr>
                <w:lang w:val="en-AU"/>
              </w:rPr>
              <w:t>Clear and consistent responsible gambling messages</w:t>
            </w:r>
          </w:p>
        </w:tc>
        <w:tc>
          <w:tcPr>
            <w:tcW w:w="445" w:type="pct"/>
          </w:tcPr>
          <w:p w14:paraId="7FA11B00" w14:textId="77777777" w:rsidR="00230ADC" w:rsidRPr="00664E64" w:rsidRDefault="00230ADC" w:rsidP="00A55CD9">
            <w:pPr>
              <w:pStyle w:val="TableTextCentre"/>
              <w:rPr>
                <w:lang w:val="en-AU"/>
              </w:rPr>
            </w:pPr>
            <w:r w:rsidRPr="00664E64">
              <w:rPr>
                <w:lang w:val="en-AU"/>
              </w:rPr>
              <w:t>427</w:t>
            </w:r>
          </w:p>
        </w:tc>
        <w:tc>
          <w:tcPr>
            <w:tcW w:w="447" w:type="pct"/>
          </w:tcPr>
          <w:p w14:paraId="6295D01A" w14:textId="77777777" w:rsidR="00230ADC" w:rsidRPr="00664E64" w:rsidRDefault="00230ADC" w:rsidP="00A55CD9">
            <w:pPr>
              <w:pStyle w:val="TableTextCentre"/>
              <w:rPr>
                <w:lang w:val="en-AU"/>
              </w:rPr>
            </w:pPr>
            <w:r w:rsidRPr="00664E64">
              <w:rPr>
                <w:lang w:val="en-AU"/>
              </w:rPr>
              <w:t>7.5</w:t>
            </w:r>
          </w:p>
        </w:tc>
        <w:tc>
          <w:tcPr>
            <w:tcW w:w="448" w:type="pct"/>
          </w:tcPr>
          <w:p w14:paraId="285D4E16" w14:textId="77777777" w:rsidR="00230ADC" w:rsidRPr="00664E64" w:rsidRDefault="00230ADC" w:rsidP="00A55CD9">
            <w:pPr>
              <w:pStyle w:val="TableTextCentre"/>
              <w:rPr>
                <w:lang w:val="en-AU"/>
              </w:rPr>
            </w:pPr>
            <w:r w:rsidRPr="00664E64">
              <w:rPr>
                <w:lang w:val="en-AU"/>
              </w:rPr>
              <w:t>7.7</w:t>
            </w:r>
          </w:p>
        </w:tc>
        <w:tc>
          <w:tcPr>
            <w:tcW w:w="575" w:type="pct"/>
            <w:gridSpan w:val="2"/>
          </w:tcPr>
          <w:p w14:paraId="1E897743" w14:textId="77777777" w:rsidR="00230ADC" w:rsidRPr="00664E64" w:rsidRDefault="00230ADC" w:rsidP="00A55CD9">
            <w:pPr>
              <w:pStyle w:val="TableTextCentre"/>
              <w:rPr>
                <w:lang w:val="en-AU"/>
              </w:rPr>
            </w:pPr>
            <w:r w:rsidRPr="00664E64">
              <w:rPr>
                <w:lang w:val="en-AU"/>
              </w:rPr>
              <w:t>36.3</w:t>
            </w:r>
          </w:p>
        </w:tc>
        <w:tc>
          <w:tcPr>
            <w:tcW w:w="615" w:type="pct"/>
          </w:tcPr>
          <w:p w14:paraId="1AB113F1" w14:textId="77777777" w:rsidR="00230ADC" w:rsidRPr="00664E64" w:rsidRDefault="00230ADC" w:rsidP="00A55CD9">
            <w:pPr>
              <w:pStyle w:val="TableTextCentre"/>
              <w:rPr>
                <w:lang w:val="en-AU"/>
              </w:rPr>
            </w:pPr>
            <w:r w:rsidRPr="00664E64">
              <w:rPr>
                <w:lang w:val="en-AU"/>
              </w:rPr>
              <w:t>23.0</w:t>
            </w:r>
          </w:p>
        </w:tc>
        <w:tc>
          <w:tcPr>
            <w:tcW w:w="448" w:type="pct"/>
          </w:tcPr>
          <w:p w14:paraId="1656CCC9" w14:textId="77777777" w:rsidR="00230ADC" w:rsidRPr="00664E64" w:rsidRDefault="00230ADC" w:rsidP="00A55CD9">
            <w:pPr>
              <w:pStyle w:val="TableTextCentre"/>
              <w:rPr>
                <w:lang w:val="en-AU"/>
              </w:rPr>
            </w:pPr>
            <w:r w:rsidRPr="00664E64">
              <w:rPr>
                <w:lang w:val="en-AU"/>
              </w:rPr>
              <w:t>25.5</w:t>
            </w:r>
          </w:p>
        </w:tc>
        <w:tc>
          <w:tcPr>
            <w:tcW w:w="461" w:type="pct"/>
          </w:tcPr>
          <w:p w14:paraId="1AFAF265" w14:textId="77777777" w:rsidR="00230ADC" w:rsidRPr="00664E64" w:rsidRDefault="00230ADC" w:rsidP="00A55CD9">
            <w:pPr>
              <w:pStyle w:val="TableTextCentre"/>
              <w:rPr>
                <w:b/>
                <w:lang w:val="en-AU"/>
              </w:rPr>
            </w:pPr>
            <w:r w:rsidRPr="00664E64">
              <w:rPr>
                <w:b/>
                <w:lang w:val="en-AU"/>
              </w:rPr>
              <w:t>3.51</w:t>
            </w:r>
          </w:p>
        </w:tc>
      </w:tr>
      <w:tr w:rsidR="00230ADC" w:rsidRPr="00664E64" w14:paraId="06096CFD" w14:textId="77777777" w:rsidTr="00431CA5">
        <w:trPr>
          <w:trHeight w:val="738"/>
        </w:trPr>
        <w:tc>
          <w:tcPr>
            <w:tcW w:w="1560" w:type="pct"/>
            <w:hideMark/>
          </w:tcPr>
          <w:p w14:paraId="18FC13E8" w14:textId="77777777" w:rsidR="00230ADC" w:rsidRPr="00664E64" w:rsidRDefault="00230ADC" w:rsidP="00A55CD9">
            <w:pPr>
              <w:pStyle w:val="TableText"/>
              <w:rPr>
                <w:lang w:val="en-AU"/>
              </w:rPr>
            </w:pPr>
            <w:r w:rsidRPr="00664E64">
              <w:rPr>
                <w:lang w:val="en-AU"/>
              </w:rPr>
              <w:t>Information about customer verification periods and waiting times</w:t>
            </w:r>
          </w:p>
        </w:tc>
        <w:tc>
          <w:tcPr>
            <w:tcW w:w="445" w:type="pct"/>
          </w:tcPr>
          <w:p w14:paraId="199466A1" w14:textId="77777777" w:rsidR="00230ADC" w:rsidRPr="00664E64" w:rsidRDefault="00230ADC" w:rsidP="00A55CD9">
            <w:pPr>
              <w:pStyle w:val="TableTextCentre"/>
              <w:rPr>
                <w:lang w:val="en-AU"/>
              </w:rPr>
            </w:pPr>
            <w:r w:rsidRPr="00664E64">
              <w:rPr>
                <w:lang w:val="en-AU"/>
              </w:rPr>
              <w:t>256</w:t>
            </w:r>
          </w:p>
        </w:tc>
        <w:tc>
          <w:tcPr>
            <w:tcW w:w="447" w:type="pct"/>
          </w:tcPr>
          <w:p w14:paraId="6D31DC91" w14:textId="77777777" w:rsidR="00230ADC" w:rsidRPr="00664E64" w:rsidRDefault="00230ADC" w:rsidP="00A55CD9">
            <w:pPr>
              <w:pStyle w:val="TableTextCentre"/>
              <w:rPr>
                <w:lang w:val="en-AU"/>
              </w:rPr>
            </w:pPr>
            <w:r w:rsidRPr="00664E64">
              <w:rPr>
                <w:lang w:val="en-AU"/>
              </w:rPr>
              <w:t>9.4</w:t>
            </w:r>
          </w:p>
        </w:tc>
        <w:tc>
          <w:tcPr>
            <w:tcW w:w="448" w:type="pct"/>
          </w:tcPr>
          <w:p w14:paraId="2CE79BB7" w14:textId="77777777" w:rsidR="00230ADC" w:rsidRPr="00664E64" w:rsidRDefault="00230ADC" w:rsidP="00A55CD9">
            <w:pPr>
              <w:pStyle w:val="TableTextCentre"/>
              <w:rPr>
                <w:lang w:val="en-AU"/>
              </w:rPr>
            </w:pPr>
            <w:r w:rsidRPr="00664E64">
              <w:rPr>
                <w:lang w:val="en-AU"/>
              </w:rPr>
              <w:t>6.3</w:t>
            </w:r>
          </w:p>
        </w:tc>
        <w:tc>
          <w:tcPr>
            <w:tcW w:w="575" w:type="pct"/>
            <w:gridSpan w:val="2"/>
          </w:tcPr>
          <w:p w14:paraId="4C4D8AD4" w14:textId="77777777" w:rsidR="00230ADC" w:rsidRPr="00664E64" w:rsidRDefault="00230ADC" w:rsidP="00A55CD9">
            <w:pPr>
              <w:pStyle w:val="TableTextCentre"/>
              <w:rPr>
                <w:lang w:val="en-AU"/>
              </w:rPr>
            </w:pPr>
            <w:r w:rsidRPr="00664E64">
              <w:rPr>
                <w:lang w:val="en-AU"/>
              </w:rPr>
              <w:t>29.3</w:t>
            </w:r>
          </w:p>
        </w:tc>
        <w:tc>
          <w:tcPr>
            <w:tcW w:w="615" w:type="pct"/>
          </w:tcPr>
          <w:p w14:paraId="55D3CE91" w14:textId="77777777" w:rsidR="00230ADC" w:rsidRPr="00664E64" w:rsidRDefault="00230ADC" w:rsidP="00A55CD9">
            <w:pPr>
              <w:pStyle w:val="TableTextCentre"/>
              <w:rPr>
                <w:lang w:val="en-AU"/>
              </w:rPr>
            </w:pPr>
            <w:r w:rsidRPr="00664E64">
              <w:rPr>
                <w:lang w:val="en-AU"/>
              </w:rPr>
              <w:t>25.8</w:t>
            </w:r>
          </w:p>
        </w:tc>
        <w:tc>
          <w:tcPr>
            <w:tcW w:w="448" w:type="pct"/>
          </w:tcPr>
          <w:p w14:paraId="39A86B91" w14:textId="77777777" w:rsidR="00230ADC" w:rsidRPr="00664E64" w:rsidRDefault="00230ADC" w:rsidP="00A55CD9">
            <w:pPr>
              <w:pStyle w:val="TableTextCentre"/>
              <w:rPr>
                <w:lang w:val="en-AU"/>
              </w:rPr>
            </w:pPr>
            <w:r w:rsidRPr="00664E64">
              <w:rPr>
                <w:lang w:val="en-AU"/>
              </w:rPr>
              <w:t>29.3</w:t>
            </w:r>
          </w:p>
        </w:tc>
        <w:tc>
          <w:tcPr>
            <w:tcW w:w="461" w:type="pct"/>
          </w:tcPr>
          <w:p w14:paraId="0D3359D1" w14:textId="77777777" w:rsidR="00230ADC" w:rsidRPr="00664E64" w:rsidRDefault="00230ADC" w:rsidP="00A55CD9">
            <w:pPr>
              <w:pStyle w:val="TableTextCentre"/>
              <w:rPr>
                <w:b/>
                <w:lang w:val="en-AU"/>
              </w:rPr>
            </w:pPr>
            <w:r w:rsidRPr="00664E64">
              <w:rPr>
                <w:b/>
                <w:lang w:val="en-AU"/>
              </w:rPr>
              <w:t>3.59</w:t>
            </w:r>
          </w:p>
        </w:tc>
      </w:tr>
      <w:tr w:rsidR="00230ADC" w:rsidRPr="00664E64" w14:paraId="09F7B6E0" w14:textId="77777777" w:rsidTr="00431CA5">
        <w:trPr>
          <w:trHeight w:val="516"/>
        </w:trPr>
        <w:tc>
          <w:tcPr>
            <w:tcW w:w="1560" w:type="pct"/>
            <w:hideMark/>
          </w:tcPr>
          <w:p w14:paraId="32A6D305" w14:textId="77777777" w:rsidR="00230ADC" w:rsidRPr="00664E64" w:rsidRDefault="00230ADC" w:rsidP="00A55CD9">
            <w:pPr>
              <w:pStyle w:val="TableText"/>
              <w:rPr>
                <w:lang w:val="en-AU"/>
              </w:rPr>
            </w:pPr>
            <w:r w:rsidRPr="00664E64">
              <w:rPr>
                <w:lang w:val="en-AU"/>
              </w:rPr>
              <w:t>Close my account</w:t>
            </w:r>
          </w:p>
        </w:tc>
        <w:tc>
          <w:tcPr>
            <w:tcW w:w="445" w:type="pct"/>
          </w:tcPr>
          <w:p w14:paraId="44FA27A1" w14:textId="77777777" w:rsidR="00230ADC" w:rsidRPr="00664E64" w:rsidRDefault="00230ADC" w:rsidP="00A55CD9">
            <w:pPr>
              <w:pStyle w:val="TableTextCentre"/>
              <w:rPr>
                <w:lang w:val="en-AU"/>
              </w:rPr>
            </w:pPr>
            <w:r w:rsidRPr="00664E64">
              <w:rPr>
                <w:lang w:val="en-AU"/>
              </w:rPr>
              <w:t>220</w:t>
            </w:r>
          </w:p>
        </w:tc>
        <w:tc>
          <w:tcPr>
            <w:tcW w:w="447" w:type="pct"/>
          </w:tcPr>
          <w:p w14:paraId="4BCF29E6" w14:textId="77777777" w:rsidR="00230ADC" w:rsidRPr="00664E64" w:rsidRDefault="00230ADC" w:rsidP="00A55CD9">
            <w:pPr>
              <w:pStyle w:val="TableTextCentre"/>
              <w:rPr>
                <w:lang w:val="en-AU"/>
              </w:rPr>
            </w:pPr>
            <w:r w:rsidRPr="00664E64">
              <w:rPr>
                <w:lang w:val="en-AU"/>
              </w:rPr>
              <w:t>8.6</w:t>
            </w:r>
          </w:p>
        </w:tc>
        <w:tc>
          <w:tcPr>
            <w:tcW w:w="448" w:type="pct"/>
          </w:tcPr>
          <w:p w14:paraId="6587314C" w14:textId="77777777" w:rsidR="00230ADC" w:rsidRPr="00664E64" w:rsidRDefault="00230ADC" w:rsidP="00A55CD9">
            <w:pPr>
              <w:pStyle w:val="TableTextCentre"/>
              <w:rPr>
                <w:lang w:val="en-AU"/>
              </w:rPr>
            </w:pPr>
            <w:r w:rsidRPr="00664E64">
              <w:rPr>
                <w:lang w:val="en-AU"/>
              </w:rPr>
              <w:t>1.8</w:t>
            </w:r>
          </w:p>
        </w:tc>
        <w:tc>
          <w:tcPr>
            <w:tcW w:w="575" w:type="pct"/>
            <w:gridSpan w:val="2"/>
          </w:tcPr>
          <w:p w14:paraId="0E7B1B29" w14:textId="77777777" w:rsidR="00230ADC" w:rsidRPr="00664E64" w:rsidRDefault="00230ADC" w:rsidP="00A55CD9">
            <w:pPr>
              <w:pStyle w:val="TableTextCentre"/>
              <w:rPr>
                <w:lang w:val="en-AU"/>
              </w:rPr>
            </w:pPr>
            <w:r w:rsidRPr="00664E64">
              <w:rPr>
                <w:lang w:val="en-AU"/>
              </w:rPr>
              <w:t>25.5</w:t>
            </w:r>
          </w:p>
        </w:tc>
        <w:tc>
          <w:tcPr>
            <w:tcW w:w="615" w:type="pct"/>
          </w:tcPr>
          <w:p w14:paraId="23CDB29D" w14:textId="77777777" w:rsidR="00230ADC" w:rsidRPr="00664E64" w:rsidRDefault="00230ADC" w:rsidP="00A55CD9">
            <w:pPr>
              <w:pStyle w:val="TableTextCentre"/>
              <w:rPr>
                <w:lang w:val="en-AU"/>
              </w:rPr>
            </w:pPr>
            <w:r w:rsidRPr="00664E64">
              <w:rPr>
                <w:lang w:val="en-AU"/>
              </w:rPr>
              <w:t>27.3</w:t>
            </w:r>
          </w:p>
        </w:tc>
        <w:tc>
          <w:tcPr>
            <w:tcW w:w="448" w:type="pct"/>
          </w:tcPr>
          <w:p w14:paraId="2549E5C9" w14:textId="77777777" w:rsidR="00230ADC" w:rsidRPr="00664E64" w:rsidRDefault="00230ADC" w:rsidP="00A55CD9">
            <w:pPr>
              <w:pStyle w:val="TableTextCentre"/>
              <w:rPr>
                <w:lang w:val="en-AU"/>
              </w:rPr>
            </w:pPr>
            <w:r w:rsidRPr="00664E64">
              <w:rPr>
                <w:lang w:val="en-AU"/>
              </w:rPr>
              <w:t>36.8</w:t>
            </w:r>
          </w:p>
        </w:tc>
        <w:tc>
          <w:tcPr>
            <w:tcW w:w="461" w:type="pct"/>
          </w:tcPr>
          <w:p w14:paraId="1F012511" w14:textId="77777777" w:rsidR="00230ADC" w:rsidRPr="00664E64" w:rsidRDefault="00230ADC" w:rsidP="00A55CD9">
            <w:pPr>
              <w:pStyle w:val="TableTextCentre"/>
              <w:rPr>
                <w:b/>
                <w:lang w:val="en-AU"/>
              </w:rPr>
            </w:pPr>
            <w:r w:rsidRPr="00664E64">
              <w:rPr>
                <w:b/>
                <w:lang w:val="en-AU"/>
              </w:rPr>
              <w:t>3.82</w:t>
            </w:r>
          </w:p>
        </w:tc>
      </w:tr>
      <w:tr w:rsidR="00230ADC" w:rsidRPr="00664E64" w14:paraId="00A309AF" w14:textId="77777777" w:rsidTr="00431CA5">
        <w:trPr>
          <w:trHeight w:val="738"/>
        </w:trPr>
        <w:tc>
          <w:tcPr>
            <w:tcW w:w="1560" w:type="pct"/>
            <w:hideMark/>
          </w:tcPr>
          <w:p w14:paraId="7F2F5D9A" w14:textId="77777777" w:rsidR="00230ADC" w:rsidRPr="00664E64" w:rsidRDefault="00230ADC" w:rsidP="00A55CD9">
            <w:pPr>
              <w:pStyle w:val="TableText"/>
              <w:rPr>
                <w:lang w:val="en-AU"/>
              </w:rPr>
            </w:pPr>
            <w:r w:rsidRPr="00664E64">
              <w:rPr>
                <w:lang w:val="en-AU"/>
              </w:rPr>
              <w:t>Information about the responsible service of gambling training that wagering companies provide to their staff</w:t>
            </w:r>
          </w:p>
        </w:tc>
        <w:tc>
          <w:tcPr>
            <w:tcW w:w="445" w:type="pct"/>
          </w:tcPr>
          <w:p w14:paraId="5726DFEB" w14:textId="77777777" w:rsidR="00230ADC" w:rsidRPr="00664E64" w:rsidRDefault="00230ADC" w:rsidP="00A55CD9">
            <w:pPr>
              <w:pStyle w:val="TableTextCentre"/>
              <w:rPr>
                <w:lang w:val="en-AU"/>
              </w:rPr>
            </w:pPr>
            <w:r w:rsidRPr="00664E64">
              <w:rPr>
                <w:lang w:val="en-AU"/>
              </w:rPr>
              <w:t>184</w:t>
            </w:r>
          </w:p>
        </w:tc>
        <w:tc>
          <w:tcPr>
            <w:tcW w:w="447" w:type="pct"/>
          </w:tcPr>
          <w:p w14:paraId="096927B2" w14:textId="77777777" w:rsidR="00230ADC" w:rsidRPr="00664E64" w:rsidRDefault="00230ADC" w:rsidP="00A55CD9">
            <w:pPr>
              <w:pStyle w:val="TableTextCentre"/>
              <w:rPr>
                <w:lang w:val="en-AU"/>
              </w:rPr>
            </w:pPr>
            <w:r w:rsidRPr="00664E64">
              <w:rPr>
                <w:lang w:val="en-AU"/>
              </w:rPr>
              <w:t>9.8</w:t>
            </w:r>
          </w:p>
        </w:tc>
        <w:tc>
          <w:tcPr>
            <w:tcW w:w="448" w:type="pct"/>
          </w:tcPr>
          <w:p w14:paraId="22248BAB" w14:textId="77777777" w:rsidR="00230ADC" w:rsidRPr="00664E64" w:rsidRDefault="00230ADC" w:rsidP="00A55CD9">
            <w:pPr>
              <w:pStyle w:val="TableTextCentre"/>
              <w:rPr>
                <w:lang w:val="en-AU"/>
              </w:rPr>
            </w:pPr>
            <w:r w:rsidRPr="00664E64">
              <w:rPr>
                <w:lang w:val="en-AU"/>
              </w:rPr>
              <w:t>3.3</w:t>
            </w:r>
          </w:p>
        </w:tc>
        <w:tc>
          <w:tcPr>
            <w:tcW w:w="575" w:type="pct"/>
            <w:gridSpan w:val="2"/>
          </w:tcPr>
          <w:p w14:paraId="6F0ED4D8" w14:textId="77777777" w:rsidR="00230ADC" w:rsidRPr="00664E64" w:rsidRDefault="00230ADC" w:rsidP="00A55CD9">
            <w:pPr>
              <w:pStyle w:val="TableTextCentre"/>
              <w:rPr>
                <w:lang w:val="en-AU"/>
              </w:rPr>
            </w:pPr>
            <w:r w:rsidRPr="00664E64">
              <w:rPr>
                <w:lang w:val="en-AU"/>
              </w:rPr>
              <w:t>38.0</w:t>
            </w:r>
          </w:p>
        </w:tc>
        <w:tc>
          <w:tcPr>
            <w:tcW w:w="615" w:type="pct"/>
          </w:tcPr>
          <w:p w14:paraId="27084560" w14:textId="77777777" w:rsidR="00230ADC" w:rsidRPr="00664E64" w:rsidRDefault="00230ADC" w:rsidP="00A55CD9">
            <w:pPr>
              <w:pStyle w:val="TableTextCentre"/>
              <w:rPr>
                <w:lang w:val="en-AU"/>
              </w:rPr>
            </w:pPr>
            <w:r w:rsidRPr="00664E64">
              <w:rPr>
                <w:lang w:val="en-AU"/>
              </w:rPr>
              <w:t>25.0</w:t>
            </w:r>
          </w:p>
        </w:tc>
        <w:tc>
          <w:tcPr>
            <w:tcW w:w="448" w:type="pct"/>
          </w:tcPr>
          <w:p w14:paraId="035A44BA" w14:textId="77777777" w:rsidR="00230ADC" w:rsidRPr="00664E64" w:rsidRDefault="00230ADC" w:rsidP="00A55CD9">
            <w:pPr>
              <w:pStyle w:val="TableTextCentre"/>
              <w:rPr>
                <w:lang w:val="en-AU"/>
              </w:rPr>
            </w:pPr>
            <w:r w:rsidRPr="00664E64">
              <w:rPr>
                <w:lang w:val="en-AU"/>
              </w:rPr>
              <w:t>23.9</w:t>
            </w:r>
          </w:p>
        </w:tc>
        <w:tc>
          <w:tcPr>
            <w:tcW w:w="461" w:type="pct"/>
          </w:tcPr>
          <w:p w14:paraId="390B46AC" w14:textId="77777777" w:rsidR="00230ADC" w:rsidRPr="00664E64" w:rsidRDefault="00230ADC" w:rsidP="00A55CD9">
            <w:pPr>
              <w:pStyle w:val="TableTextCentre"/>
              <w:rPr>
                <w:b/>
                <w:lang w:val="en-AU"/>
              </w:rPr>
            </w:pPr>
            <w:r w:rsidRPr="00664E64">
              <w:rPr>
                <w:b/>
                <w:lang w:val="en-AU"/>
              </w:rPr>
              <w:t>3.5</w:t>
            </w:r>
          </w:p>
        </w:tc>
      </w:tr>
      <w:tr w:rsidR="00230ADC" w:rsidRPr="00664E64" w14:paraId="1E913773" w14:textId="77777777" w:rsidTr="00431CA5">
        <w:trPr>
          <w:trHeight w:val="738"/>
        </w:trPr>
        <w:tc>
          <w:tcPr>
            <w:tcW w:w="1560" w:type="pct"/>
            <w:hideMark/>
          </w:tcPr>
          <w:p w14:paraId="09B71FD9" w14:textId="5B1E53B1" w:rsidR="00230ADC" w:rsidRPr="00664E64" w:rsidRDefault="00230ADC" w:rsidP="00A55CD9">
            <w:pPr>
              <w:pStyle w:val="TableText"/>
              <w:rPr>
                <w:lang w:val="en-AU"/>
              </w:rPr>
            </w:pPr>
            <w:r w:rsidRPr="00664E64">
              <w:rPr>
                <w:lang w:val="en-AU"/>
              </w:rPr>
              <w:t>Exclude myself from the app/website for a period of time</w:t>
            </w:r>
          </w:p>
        </w:tc>
        <w:tc>
          <w:tcPr>
            <w:tcW w:w="445" w:type="pct"/>
          </w:tcPr>
          <w:p w14:paraId="514D6DD2" w14:textId="77777777" w:rsidR="00230ADC" w:rsidRPr="00664E64" w:rsidRDefault="00230ADC" w:rsidP="00A55CD9">
            <w:pPr>
              <w:pStyle w:val="TableTextCentre"/>
              <w:rPr>
                <w:lang w:val="en-AU"/>
              </w:rPr>
            </w:pPr>
            <w:r w:rsidRPr="00664E64">
              <w:rPr>
                <w:lang w:val="en-AU"/>
              </w:rPr>
              <w:t>167</w:t>
            </w:r>
          </w:p>
        </w:tc>
        <w:tc>
          <w:tcPr>
            <w:tcW w:w="447" w:type="pct"/>
          </w:tcPr>
          <w:p w14:paraId="227AFA27" w14:textId="77777777" w:rsidR="00230ADC" w:rsidRPr="00664E64" w:rsidRDefault="00230ADC" w:rsidP="00A55CD9">
            <w:pPr>
              <w:pStyle w:val="TableTextCentre"/>
              <w:rPr>
                <w:lang w:val="en-AU"/>
              </w:rPr>
            </w:pPr>
            <w:r w:rsidRPr="00664E64">
              <w:rPr>
                <w:lang w:val="en-AU"/>
              </w:rPr>
              <w:t>10.2</w:t>
            </w:r>
          </w:p>
        </w:tc>
        <w:tc>
          <w:tcPr>
            <w:tcW w:w="448" w:type="pct"/>
          </w:tcPr>
          <w:p w14:paraId="62DB78B1" w14:textId="77777777" w:rsidR="00230ADC" w:rsidRPr="00664E64" w:rsidRDefault="00230ADC" w:rsidP="00A55CD9">
            <w:pPr>
              <w:pStyle w:val="TableTextCentre"/>
              <w:rPr>
                <w:lang w:val="en-AU"/>
              </w:rPr>
            </w:pPr>
            <w:r w:rsidRPr="00664E64">
              <w:rPr>
                <w:lang w:val="en-AU"/>
              </w:rPr>
              <w:t>6.0</w:t>
            </w:r>
          </w:p>
        </w:tc>
        <w:tc>
          <w:tcPr>
            <w:tcW w:w="575" w:type="pct"/>
            <w:gridSpan w:val="2"/>
          </w:tcPr>
          <w:p w14:paraId="18B205EE" w14:textId="77777777" w:rsidR="00230ADC" w:rsidRPr="00664E64" w:rsidRDefault="00230ADC" w:rsidP="00A55CD9">
            <w:pPr>
              <w:pStyle w:val="TableTextCentre"/>
              <w:rPr>
                <w:lang w:val="en-AU"/>
              </w:rPr>
            </w:pPr>
            <w:r w:rsidRPr="00664E64">
              <w:rPr>
                <w:lang w:val="en-AU"/>
              </w:rPr>
              <w:t>25.1</w:t>
            </w:r>
          </w:p>
        </w:tc>
        <w:tc>
          <w:tcPr>
            <w:tcW w:w="615" w:type="pct"/>
          </w:tcPr>
          <w:p w14:paraId="009A36F5" w14:textId="77777777" w:rsidR="00230ADC" w:rsidRPr="00664E64" w:rsidRDefault="00230ADC" w:rsidP="00A55CD9">
            <w:pPr>
              <w:pStyle w:val="TableTextCentre"/>
              <w:rPr>
                <w:lang w:val="en-AU"/>
              </w:rPr>
            </w:pPr>
            <w:r w:rsidRPr="00664E64">
              <w:rPr>
                <w:lang w:val="en-AU"/>
              </w:rPr>
              <w:t>24.0</w:t>
            </w:r>
          </w:p>
        </w:tc>
        <w:tc>
          <w:tcPr>
            <w:tcW w:w="448" w:type="pct"/>
          </w:tcPr>
          <w:p w14:paraId="373B1106" w14:textId="77777777" w:rsidR="00230ADC" w:rsidRPr="00664E64" w:rsidRDefault="00230ADC" w:rsidP="00A55CD9">
            <w:pPr>
              <w:pStyle w:val="TableTextCentre"/>
              <w:rPr>
                <w:lang w:val="en-AU"/>
              </w:rPr>
            </w:pPr>
            <w:r w:rsidRPr="00664E64">
              <w:rPr>
                <w:lang w:val="en-AU"/>
              </w:rPr>
              <w:t>34.7</w:t>
            </w:r>
          </w:p>
        </w:tc>
        <w:tc>
          <w:tcPr>
            <w:tcW w:w="461" w:type="pct"/>
          </w:tcPr>
          <w:p w14:paraId="7008D99C" w14:textId="77777777" w:rsidR="00230ADC" w:rsidRPr="00664E64" w:rsidRDefault="00230ADC" w:rsidP="00A55CD9">
            <w:pPr>
              <w:pStyle w:val="TableTextCentre"/>
              <w:rPr>
                <w:b/>
                <w:lang w:val="en-AU"/>
              </w:rPr>
            </w:pPr>
            <w:r w:rsidRPr="00664E64">
              <w:rPr>
                <w:b/>
                <w:lang w:val="en-AU"/>
              </w:rPr>
              <w:t>3.67</w:t>
            </w:r>
          </w:p>
        </w:tc>
      </w:tr>
      <w:tr w:rsidR="00230ADC" w:rsidRPr="00664E64" w14:paraId="5CAA6908" w14:textId="77777777" w:rsidTr="00431CA5">
        <w:trPr>
          <w:trHeight w:val="738"/>
        </w:trPr>
        <w:tc>
          <w:tcPr>
            <w:tcW w:w="1560" w:type="pct"/>
            <w:hideMark/>
          </w:tcPr>
          <w:p w14:paraId="44090155" w14:textId="77777777" w:rsidR="00230ADC" w:rsidRPr="00664E64" w:rsidRDefault="00230ADC" w:rsidP="00A55CD9">
            <w:pPr>
              <w:pStyle w:val="TableText"/>
              <w:rPr>
                <w:lang w:val="en-AU"/>
              </w:rPr>
            </w:pPr>
            <w:r w:rsidRPr="00664E64">
              <w:rPr>
                <w:lang w:val="en-AU"/>
              </w:rPr>
              <w:t>Permanently exclude myself from the app/website</w:t>
            </w:r>
          </w:p>
        </w:tc>
        <w:tc>
          <w:tcPr>
            <w:tcW w:w="445" w:type="pct"/>
          </w:tcPr>
          <w:p w14:paraId="2884E974" w14:textId="77777777" w:rsidR="00230ADC" w:rsidRPr="00664E64" w:rsidRDefault="00230ADC" w:rsidP="00A55CD9">
            <w:pPr>
              <w:pStyle w:val="TableTextCentre"/>
              <w:rPr>
                <w:lang w:val="en-AU"/>
              </w:rPr>
            </w:pPr>
            <w:r w:rsidRPr="00664E64">
              <w:rPr>
                <w:lang w:val="en-AU"/>
              </w:rPr>
              <w:t>110</w:t>
            </w:r>
          </w:p>
        </w:tc>
        <w:tc>
          <w:tcPr>
            <w:tcW w:w="447" w:type="pct"/>
          </w:tcPr>
          <w:p w14:paraId="0DFCDD3D" w14:textId="77777777" w:rsidR="00230ADC" w:rsidRPr="00664E64" w:rsidRDefault="00230ADC" w:rsidP="00A55CD9">
            <w:pPr>
              <w:pStyle w:val="TableTextCentre"/>
              <w:rPr>
                <w:lang w:val="en-AU"/>
              </w:rPr>
            </w:pPr>
            <w:r w:rsidRPr="00664E64">
              <w:rPr>
                <w:lang w:val="en-AU"/>
              </w:rPr>
              <w:t>8.2</w:t>
            </w:r>
          </w:p>
        </w:tc>
        <w:tc>
          <w:tcPr>
            <w:tcW w:w="448" w:type="pct"/>
          </w:tcPr>
          <w:p w14:paraId="38C01553" w14:textId="77777777" w:rsidR="00230ADC" w:rsidRPr="00664E64" w:rsidRDefault="00230ADC" w:rsidP="00A55CD9">
            <w:pPr>
              <w:pStyle w:val="TableTextCentre"/>
              <w:rPr>
                <w:lang w:val="en-AU"/>
              </w:rPr>
            </w:pPr>
            <w:r w:rsidRPr="00664E64">
              <w:rPr>
                <w:lang w:val="en-AU"/>
              </w:rPr>
              <w:t>5.5</w:t>
            </w:r>
          </w:p>
        </w:tc>
        <w:tc>
          <w:tcPr>
            <w:tcW w:w="575" w:type="pct"/>
            <w:gridSpan w:val="2"/>
          </w:tcPr>
          <w:p w14:paraId="3BFED26A" w14:textId="77777777" w:rsidR="00230ADC" w:rsidRPr="00664E64" w:rsidRDefault="00230ADC" w:rsidP="00A55CD9">
            <w:pPr>
              <w:pStyle w:val="TableTextCentre"/>
              <w:rPr>
                <w:lang w:val="en-AU"/>
              </w:rPr>
            </w:pPr>
            <w:r w:rsidRPr="00664E64">
              <w:rPr>
                <w:lang w:val="en-AU"/>
              </w:rPr>
              <w:t>33.6</w:t>
            </w:r>
          </w:p>
        </w:tc>
        <w:tc>
          <w:tcPr>
            <w:tcW w:w="615" w:type="pct"/>
          </w:tcPr>
          <w:p w14:paraId="39DB0E5D" w14:textId="77777777" w:rsidR="00230ADC" w:rsidRPr="00664E64" w:rsidRDefault="00230ADC" w:rsidP="00A55CD9">
            <w:pPr>
              <w:pStyle w:val="TableTextCentre"/>
              <w:rPr>
                <w:lang w:val="en-AU"/>
              </w:rPr>
            </w:pPr>
            <w:r w:rsidRPr="00664E64">
              <w:rPr>
                <w:lang w:val="en-AU"/>
              </w:rPr>
              <w:t>18.2</w:t>
            </w:r>
          </w:p>
        </w:tc>
        <w:tc>
          <w:tcPr>
            <w:tcW w:w="448" w:type="pct"/>
          </w:tcPr>
          <w:p w14:paraId="23C2E82B" w14:textId="77777777" w:rsidR="00230ADC" w:rsidRPr="00664E64" w:rsidRDefault="00230ADC" w:rsidP="00A55CD9">
            <w:pPr>
              <w:pStyle w:val="TableTextCentre"/>
              <w:rPr>
                <w:lang w:val="en-AU"/>
              </w:rPr>
            </w:pPr>
            <w:r w:rsidRPr="00664E64">
              <w:rPr>
                <w:lang w:val="en-AU"/>
              </w:rPr>
              <w:t>34.5</w:t>
            </w:r>
          </w:p>
        </w:tc>
        <w:tc>
          <w:tcPr>
            <w:tcW w:w="461" w:type="pct"/>
          </w:tcPr>
          <w:p w14:paraId="0751800F" w14:textId="77777777" w:rsidR="00230ADC" w:rsidRPr="00664E64" w:rsidRDefault="00230ADC" w:rsidP="00A55CD9">
            <w:pPr>
              <w:pStyle w:val="TableTextCentre"/>
              <w:rPr>
                <w:b/>
                <w:lang w:val="en-AU"/>
              </w:rPr>
            </w:pPr>
            <w:r w:rsidRPr="00664E64">
              <w:rPr>
                <w:b/>
                <w:lang w:val="en-AU"/>
              </w:rPr>
              <w:t>3.65</w:t>
            </w:r>
          </w:p>
        </w:tc>
      </w:tr>
    </w:tbl>
    <w:p w14:paraId="7F0C9120" w14:textId="77777777" w:rsidR="00D67277" w:rsidRPr="009B2E8B" w:rsidRDefault="00D67277" w:rsidP="00D67277">
      <w:pPr>
        <w:pStyle w:val="BodyText"/>
        <w:spacing w:before="0" w:line="240" w:lineRule="auto"/>
        <w:rPr>
          <w:sz w:val="18"/>
          <w:szCs w:val="18"/>
        </w:rPr>
      </w:pPr>
      <w:r w:rsidRPr="009B2E8B">
        <w:rPr>
          <w:sz w:val="18"/>
          <w:szCs w:val="18"/>
        </w:rPr>
        <w:t>Notes: Rows ordered highest to lowest based on number of users. For each feature, cell values represent proportions of users of that particular feature. Values for a row may not total 100% due to rounding. *Average of responses ranging from 1 (not at all useful) to 5 (very useful).</w:t>
      </w:r>
    </w:p>
    <w:p w14:paraId="12476E30" w14:textId="77777777" w:rsidR="00D67277" w:rsidRDefault="00D67277" w:rsidP="00A55CD9">
      <w:pPr>
        <w:pStyle w:val="BodyText"/>
      </w:pPr>
    </w:p>
    <w:p w14:paraId="7CEA707A" w14:textId="659378DC" w:rsidR="00230ADC" w:rsidRPr="00664E64" w:rsidRDefault="00230ADC" w:rsidP="00A55CD9">
      <w:pPr>
        <w:pStyle w:val="BodyText"/>
      </w:pPr>
      <w:r w:rsidRPr="00664E64">
        <w:lastRenderedPageBreak/>
        <w:t>Eleven open text response questions were also included to capture participants’ opinions regarding the use of these customer protection measures. The average response rate for the open text questions was 5.2%, or about 264 from the 5</w:t>
      </w:r>
      <w:r w:rsidR="00F57245" w:rsidRPr="00664E64">
        <w:t>,</w:t>
      </w:r>
      <w:r w:rsidRPr="00664E64">
        <w:t xml:space="preserve">076 participants. </w:t>
      </w:r>
    </w:p>
    <w:p w14:paraId="48E9E6D7" w14:textId="77777777" w:rsidR="00230ADC" w:rsidRPr="00664E64" w:rsidRDefault="00230ADC" w:rsidP="00A55CD9">
      <w:pPr>
        <w:pStyle w:val="BodyText"/>
      </w:pPr>
      <w:r w:rsidRPr="00664E64">
        <w:t xml:space="preserve">The responses were categorised into broad themes within the usefulness scale provided in the questions – very useful, somewhat useful, neither useful nor not useful, not very useful, and not at all useful. Indiscernible and out of context responses were not included in the analysis. </w:t>
      </w:r>
    </w:p>
    <w:p w14:paraId="50499CF2" w14:textId="77777777" w:rsidR="00230ADC" w:rsidRPr="00664E64" w:rsidRDefault="00230ADC" w:rsidP="00A55CD9">
      <w:pPr>
        <w:pStyle w:val="BodyText"/>
      </w:pPr>
      <w:r w:rsidRPr="00664E64">
        <w:t>Key findings from the open text questions are included below.</w:t>
      </w:r>
    </w:p>
    <w:p w14:paraId="3316DDC3" w14:textId="77777777" w:rsidR="00230ADC" w:rsidRPr="00664E64" w:rsidRDefault="00230ADC" w:rsidP="006C0471">
      <w:pPr>
        <w:pStyle w:val="ListParagraph"/>
        <w:numPr>
          <w:ilvl w:val="0"/>
          <w:numId w:val="11"/>
        </w:numPr>
        <w:snapToGrid w:val="0"/>
        <w:spacing w:before="240" w:line="276" w:lineRule="auto"/>
        <w:ind w:left="426" w:hanging="426"/>
        <w:rPr>
          <w:rFonts w:cs="Arial"/>
          <w:b/>
        </w:rPr>
      </w:pPr>
      <w:r w:rsidRPr="00664E64">
        <w:rPr>
          <w:rFonts w:cs="Arial"/>
          <w:b/>
        </w:rPr>
        <w:t xml:space="preserve">What are the main reasons you found </w:t>
      </w:r>
      <w:r w:rsidRPr="00664E64">
        <w:rPr>
          <w:rFonts w:cs="Arial"/>
          <w:b/>
          <w:u w:val="single"/>
        </w:rPr>
        <w:t>setting deposit limits</w:t>
      </w:r>
      <w:r w:rsidRPr="00664E64">
        <w:rPr>
          <w:rFonts w:cs="Arial"/>
          <w:b/>
        </w:rPr>
        <w:t xml:space="preserve"> useful/not useful?</w:t>
      </w:r>
    </w:p>
    <w:p w14:paraId="0F464042" w14:textId="77777777" w:rsidR="00230ADC" w:rsidRPr="00664E64" w:rsidRDefault="00230ADC" w:rsidP="00230ADC">
      <w:pPr>
        <w:spacing w:line="276" w:lineRule="auto"/>
        <w:rPr>
          <w:rFonts w:cs="Arial"/>
          <w:b/>
          <w:sz w:val="8"/>
          <w:szCs w:val="8"/>
        </w:rPr>
      </w:pPr>
    </w:p>
    <w:tbl>
      <w:tblPr>
        <w:tblStyle w:val="TableGrid"/>
        <w:tblpPr w:leftFromText="180" w:rightFromText="180" w:vertAnchor="text" w:horzAnchor="margin" w:tblpY="-87"/>
        <w:tblW w:w="0" w:type="auto"/>
        <w:tblLook w:val="04A0" w:firstRow="1" w:lastRow="0" w:firstColumn="1" w:lastColumn="0" w:noHBand="0" w:noVBand="1"/>
        <w:tblCaption w:val="1. What are the main reasons you found setting deposit limits useful/not useful?    72% found the measure useful to some extent 19% did not find the measure useful or not useful  or did not find the measure useful  "/>
        <w:tblDescription w:val="Gives percentages who found setting deposit limits useful or not useful."/>
      </w:tblPr>
      <w:tblGrid>
        <w:gridCol w:w="2833"/>
        <w:gridCol w:w="2833"/>
        <w:gridCol w:w="2833"/>
      </w:tblGrid>
      <w:tr w:rsidR="00230ADC" w:rsidRPr="00664E64" w14:paraId="0A7440B4" w14:textId="77777777" w:rsidTr="00E44E8E">
        <w:trPr>
          <w:cnfStyle w:val="100000000000" w:firstRow="1" w:lastRow="0" w:firstColumn="0" w:lastColumn="0" w:oddVBand="0" w:evenVBand="0" w:oddHBand="0" w:evenHBand="0" w:firstRowFirstColumn="0" w:firstRowLastColumn="0" w:lastRowFirstColumn="0" w:lastRowLastColumn="0"/>
          <w:tblHeader/>
        </w:trPr>
        <w:tc>
          <w:tcPr>
            <w:tcW w:w="3116" w:type="dxa"/>
          </w:tcPr>
          <w:p w14:paraId="151BE338"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72% found the measure useful to some extent</w:t>
            </w:r>
          </w:p>
        </w:tc>
        <w:tc>
          <w:tcPr>
            <w:tcW w:w="3117" w:type="dxa"/>
          </w:tcPr>
          <w:p w14:paraId="69E89A82"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19% did not find the measure useful or not useful</w:t>
            </w:r>
          </w:p>
        </w:tc>
        <w:tc>
          <w:tcPr>
            <w:tcW w:w="3117" w:type="dxa"/>
          </w:tcPr>
          <w:p w14:paraId="1B7C4BCA"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8% did not find the measure useful</w:t>
            </w:r>
          </w:p>
        </w:tc>
      </w:tr>
    </w:tbl>
    <w:p w14:paraId="28E2F556" w14:textId="77777777" w:rsidR="00230ADC" w:rsidRPr="00664E64" w:rsidRDefault="00230ADC" w:rsidP="00DF2954">
      <w:pPr>
        <w:spacing w:before="120" w:line="280" w:lineRule="atLeast"/>
        <w:jc w:val="both"/>
        <w:rPr>
          <w:rFonts w:ascii="Arial" w:hAnsi="Arial" w:cs="Arial"/>
          <w:sz w:val="20"/>
          <w:szCs w:val="20"/>
        </w:rPr>
      </w:pPr>
      <w:r w:rsidRPr="00664E64">
        <w:rPr>
          <w:rFonts w:ascii="Arial" w:hAnsi="Arial" w:cs="Arial"/>
          <w:sz w:val="20"/>
          <w:szCs w:val="20"/>
        </w:rPr>
        <w:t xml:space="preserve">There were 537 responses – the highest response rate for any question – with around three-quarters reporting that they found setting deposit limits useful. The most common reason given was the ability to control their spending on wagers. </w:t>
      </w:r>
    </w:p>
    <w:p w14:paraId="25EAA3B5" w14:textId="2DC16A37" w:rsidR="00230ADC" w:rsidRPr="00267E2C" w:rsidRDefault="007C61E2" w:rsidP="00A55CD9">
      <w:pPr>
        <w:pStyle w:val="Quote"/>
        <w:rPr>
          <w:color w:val="auto"/>
        </w:rPr>
      </w:pPr>
      <w:r w:rsidRPr="00664E64">
        <w:t>‘</w:t>
      </w:r>
      <w:r w:rsidR="00230ADC" w:rsidRPr="00267E2C">
        <w:rPr>
          <w:color w:val="auto"/>
        </w:rPr>
        <w:t>Stops me putting bets on when I’ve had a bad day on the punt.</w:t>
      </w:r>
      <w:r w:rsidRPr="00267E2C">
        <w:rPr>
          <w:color w:val="auto"/>
        </w:rPr>
        <w:t>’</w:t>
      </w:r>
    </w:p>
    <w:p w14:paraId="35972AD3" w14:textId="5E220435" w:rsidR="00230ADC" w:rsidRPr="00267E2C" w:rsidRDefault="007C61E2" w:rsidP="00A55CD9">
      <w:pPr>
        <w:pStyle w:val="Quote"/>
        <w:rPr>
          <w:color w:val="auto"/>
        </w:rPr>
      </w:pPr>
      <w:r w:rsidRPr="00267E2C">
        <w:rPr>
          <w:color w:val="auto"/>
        </w:rPr>
        <w:t>‘</w:t>
      </w:r>
      <w:r w:rsidR="00230ADC" w:rsidRPr="00267E2C">
        <w:rPr>
          <w:color w:val="auto"/>
        </w:rPr>
        <w:t>Just restricts the temptation to spend and gamble more.</w:t>
      </w:r>
      <w:r w:rsidRPr="00267E2C">
        <w:rPr>
          <w:color w:val="auto"/>
        </w:rPr>
        <w:t>’</w:t>
      </w:r>
    </w:p>
    <w:p w14:paraId="0352B2DA" w14:textId="5A083C65" w:rsidR="00230ADC" w:rsidRPr="00267E2C" w:rsidRDefault="00230ADC" w:rsidP="00A55CD9">
      <w:pPr>
        <w:pStyle w:val="BodyText"/>
        <w:rPr>
          <w:color w:val="auto"/>
        </w:rPr>
      </w:pPr>
      <w:r w:rsidRPr="00267E2C">
        <w:rPr>
          <w:color w:val="auto"/>
        </w:rPr>
        <w:t xml:space="preserve">There were a small number of respondents, however, who reported that they did not perceive the feature to be useful. The two main reasons given were that setting deposit limits only applied to people with gambling problems, and that it was easy to bypass the feature entirely by creating a new account. </w:t>
      </w:r>
    </w:p>
    <w:p w14:paraId="16A412A4" w14:textId="25E3EAA8" w:rsidR="00230ADC" w:rsidRPr="00267E2C" w:rsidRDefault="007C61E2" w:rsidP="00A55CD9">
      <w:pPr>
        <w:pStyle w:val="Quote"/>
        <w:rPr>
          <w:color w:val="auto"/>
        </w:rPr>
      </w:pPr>
      <w:r w:rsidRPr="00267E2C">
        <w:rPr>
          <w:color w:val="auto"/>
        </w:rPr>
        <w:t>‘</w:t>
      </w:r>
      <w:r w:rsidR="00230ADC" w:rsidRPr="00267E2C">
        <w:rPr>
          <w:color w:val="auto"/>
        </w:rPr>
        <w:t>It does not limit you from having multiple betting accounts and being able to use these simultaneously.</w:t>
      </w:r>
      <w:r w:rsidRPr="00267E2C">
        <w:rPr>
          <w:color w:val="auto"/>
        </w:rPr>
        <w:t>’</w:t>
      </w:r>
    </w:p>
    <w:p w14:paraId="2F6BCEF6" w14:textId="32D43002" w:rsidR="00230ADC" w:rsidRPr="00267E2C" w:rsidRDefault="007C61E2" w:rsidP="00A55CD9">
      <w:pPr>
        <w:pStyle w:val="Quote"/>
        <w:rPr>
          <w:color w:val="auto"/>
        </w:rPr>
      </w:pPr>
      <w:r w:rsidRPr="00267E2C">
        <w:rPr>
          <w:color w:val="auto"/>
        </w:rPr>
        <w:t>‘</w:t>
      </w:r>
      <w:r w:rsidR="00230ADC" w:rsidRPr="00267E2C">
        <w:rPr>
          <w:color w:val="auto"/>
        </w:rPr>
        <w:t>You can get around them or open another account, triggered by constant regular advertising for gambling.</w:t>
      </w:r>
      <w:r w:rsidRPr="00267E2C">
        <w:rPr>
          <w:color w:val="auto"/>
        </w:rPr>
        <w:t>’</w:t>
      </w:r>
    </w:p>
    <w:p w14:paraId="55EF7262" w14:textId="77777777" w:rsidR="00230ADC" w:rsidRPr="00664E64" w:rsidRDefault="00230ADC" w:rsidP="006C0471">
      <w:pPr>
        <w:pStyle w:val="ListParagraph"/>
        <w:numPr>
          <w:ilvl w:val="0"/>
          <w:numId w:val="11"/>
        </w:numPr>
        <w:snapToGrid w:val="0"/>
        <w:spacing w:before="480" w:after="240" w:line="276" w:lineRule="auto"/>
        <w:ind w:left="426" w:hanging="426"/>
        <w:contextualSpacing w:val="0"/>
        <w:rPr>
          <w:rFonts w:cs="Arial"/>
          <w:b/>
        </w:rPr>
      </w:pPr>
      <w:r w:rsidRPr="00664E64">
        <w:rPr>
          <w:rFonts w:cs="Arial"/>
          <w:b/>
        </w:rPr>
        <w:t xml:space="preserve">What are the main reasons you found </w:t>
      </w:r>
      <w:r w:rsidRPr="00664E64">
        <w:rPr>
          <w:rFonts w:cs="Arial"/>
          <w:b/>
          <w:u w:val="single"/>
        </w:rPr>
        <w:t>setting bet/spend limits</w:t>
      </w:r>
      <w:r w:rsidRPr="00664E64">
        <w:rPr>
          <w:rFonts w:cs="Arial"/>
          <w:b/>
        </w:rPr>
        <w:t xml:space="preserve"> useful/not useful?</w:t>
      </w:r>
    </w:p>
    <w:p w14:paraId="5E03EA39" w14:textId="77777777" w:rsidR="00230ADC" w:rsidRPr="00664E64" w:rsidRDefault="00230ADC" w:rsidP="00230ADC">
      <w:pPr>
        <w:spacing w:line="276" w:lineRule="auto"/>
        <w:rPr>
          <w:rFonts w:cs="Arial"/>
          <w:b/>
          <w:sz w:val="8"/>
          <w:szCs w:val="8"/>
        </w:rPr>
      </w:pPr>
    </w:p>
    <w:tbl>
      <w:tblPr>
        <w:tblStyle w:val="TableGrid"/>
        <w:tblpPr w:leftFromText="180" w:rightFromText="180" w:vertAnchor="text" w:horzAnchor="margin" w:tblpY="-87"/>
        <w:tblW w:w="0" w:type="auto"/>
        <w:tblLook w:val="04A0" w:firstRow="1" w:lastRow="0" w:firstColumn="1" w:lastColumn="0" w:noHBand="0" w:noVBand="1"/>
        <w:tblCaption w:val="2. What are the main reasons you found setting bet/spend limits useful/not useful"/>
        <w:tblDescription w:val="Percentages found setting bet/spend limits useful or not useful."/>
      </w:tblPr>
      <w:tblGrid>
        <w:gridCol w:w="2833"/>
        <w:gridCol w:w="2833"/>
        <w:gridCol w:w="2833"/>
      </w:tblGrid>
      <w:tr w:rsidR="00230ADC" w:rsidRPr="00664E64" w14:paraId="07D90AA5"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573D77A1"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67% found the measure useful to some extent</w:t>
            </w:r>
          </w:p>
        </w:tc>
        <w:tc>
          <w:tcPr>
            <w:tcW w:w="3117" w:type="dxa"/>
          </w:tcPr>
          <w:p w14:paraId="6C233D0B"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22% did not find the measure useful or not useful</w:t>
            </w:r>
          </w:p>
        </w:tc>
        <w:tc>
          <w:tcPr>
            <w:tcW w:w="3117" w:type="dxa"/>
          </w:tcPr>
          <w:p w14:paraId="1EE9BBDF" w14:textId="77777777" w:rsidR="00230ADC" w:rsidRPr="00664E64" w:rsidRDefault="00230ADC" w:rsidP="006F5F49">
            <w:pPr>
              <w:spacing w:line="276" w:lineRule="auto"/>
              <w:jc w:val="center"/>
              <w:rPr>
                <w:rFonts w:cs="Arial"/>
                <w:color w:val="FFFFFF" w:themeColor="background1"/>
                <w:szCs w:val="20"/>
              </w:rPr>
            </w:pPr>
            <w:r w:rsidRPr="00664E64">
              <w:rPr>
                <w:rFonts w:cs="Arial"/>
                <w:color w:val="FFFFFF" w:themeColor="background1"/>
                <w:szCs w:val="20"/>
              </w:rPr>
              <w:t>11% did not find the measure useful</w:t>
            </w:r>
          </w:p>
        </w:tc>
      </w:tr>
    </w:tbl>
    <w:p w14:paraId="2C7A0AFF" w14:textId="77777777" w:rsidR="00230ADC" w:rsidRPr="00664E64" w:rsidRDefault="00230ADC" w:rsidP="00A55CD9">
      <w:pPr>
        <w:pStyle w:val="BodyText"/>
      </w:pPr>
      <w:r w:rsidRPr="00664E64">
        <w:t xml:space="preserve">From the 399 responses, over half of the respondents to this open text question reported having found the measure to be useful to some extent. As with the previous question, the most common theme was controlled spending. </w:t>
      </w:r>
    </w:p>
    <w:p w14:paraId="6104B52C" w14:textId="4271AC07" w:rsidR="00230ADC" w:rsidRPr="00267E2C" w:rsidRDefault="007C61E2" w:rsidP="00A55CD9">
      <w:pPr>
        <w:pStyle w:val="Quote"/>
        <w:rPr>
          <w:color w:val="auto"/>
        </w:rPr>
      </w:pPr>
      <w:r w:rsidRPr="00267E2C">
        <w:rPr>
          <w:color w:val="auto"/>
        </w:rPr>
        <w:t>‘</w:t>
      </w:r>
      <w:r w:rsidR="00230ADC" w:rsidRPr="00267E2C">
        <w:rPr>
          <w:color w:val="auto"/>
        </w:rPr>
        <w:t>Keeps losses to acceptable amounts, prevents accidentally spending too much on individual wagers.</w:t>
      </w:r>
      <w:r w:rsidRPr="00267E2C">
        <w:rPr>
          <w:color w:val="auto"/>
        </w:rPr>
        <w:t>’</w:t>
      </w:r>
    </w:p>
    <w:p w14:paraId="0CA73F57" w14:textId="6CBE61CB" w:rsidR="00230ADC" w:rsidRPr="00267E2C" w:rsidRDefault="007C61E2" w:rsidP="00A55CD9">
      <w:pPr>
        <w:pStyle w:val="Quote"/>
        <w:rPr>
          <w:color w:val="auto"/>
        </w:rPr>
      </w:pPr>
      <w:r w:rsidRPr="00267E2C">
        <w:rPr>
          <w:color w:val="auto"/>
        </w:rPr>
        <w:t>‘</w:t>
      </w:r>
      <w:r w:rsidR="00230ADC" w:rsidRPr="00267E2C">
        <w:rPr>
          <w:color w:val="auto"/>
        </w:rPr>
        <w:t>To limit my spending and make the available money last longer</w:t>
      </w:r>
      <w:r w:rsidRPr="00267E2C">
        <w:rPr>
          <w:color w:val="auto"/>
        </w:rPr>
        <w:t>,</w:t>
      </w:r>
      <w:r w:rsidR="00230ADC" w:rsidRPr="00267E2C">
        <w:rPr>
          <w:color w:val="auto"/>
        </w:rPr>
        <w:t xml:space="preserve"> e.g. small bets.</w:t>
      </w:r>
      <w:r w:rsidR="0011139C" w:rsidRPr="00267E2C">
        <w:rPr>
          <w:color w:val="auto"/>
        </w:rPr>
        <w:t>’</w:t>
      </w:r>
    </w:p>
    <w:p w14:paraId="0735A4BB" w14:textId="6F446970" w:rsidR="00230ADC" w:rsidRPr="00664E64" w:rsidRDefault="00230ADC" w:rsidP="00A55CD9">
      <w:pPr>
        <w:pStyle w:val="BodyText"/>
      </w:pPr>
      <w:r w:rsidRPr="00664E64">
        <w:t>Around one in 10 respondents reported that they did not find this measure useful; similar to the previous question, bet/spend limits were seen to apply more to people with gambling problems</w:t>
      </w:r>
      <w:r w:rsidR="0011139C" w:rsidRPr="00664E64">
        <w:t>,</w:t>
      </w:r>
      <w:r w:rsidRPr="00664E64">
        <w:t xml:space="preserve"> and these respondents did not perceive their gambling to be problematic. Furthermore, the ease of circumnavigating the measure was highlighted several times.</w:t>
      </w:r>
    </w:p>
    <w:p w14:paraId="2FFD4F49" w14:textId="38F06F9C" w:rsidR="00230ADC" w:rsidRPr="00915C40" w:rsidRDefault="0011139C" w:rsidP="00A55CD9">
      <w:pPr>
        <w:pStyle w:val="Quote"/>
        <w:rPr>
          <w:color w:val="auto"/>
        </w:rPr>
      </w:pPr>
      <w:r w:rsidRPr="00915C40">
        <w:rPr>
          <w:color w:val="auto"/>
        </w:rPr>
        <w:lastRenderedPageBreak/>
        <w:t>‘</w:t>
      </w:r>
      <w:r w:rsidR="00230ADC" w:rsidRPr="00915C40">
        <w:rPr>
          <w:color w:val="auto"/>
        </w:rPr>
        <w:t>Too many betting options, so many sites, so many identities, so many credit cards, so many ways around.</w:t>
      </w:r>
      <w:r w:rsidRPr="00915C40">
        <w:rPr>
          <w:color w:val="auto"/>
        </w:rPr>
        <w:t>’</w:t>
      </w:r>
    </w:p>
    <w:p w14:paraId="23D76396" w14:textId="5F1E5214" w:rsidR="00230ADC" w:rsidRPr="00915C40" w:rsidRDefault="0011139C" w:rsidP="00A55CD9">
      <w:pPr>
        <w:pStyle w:val="Quote"/>
        <w:rPr>
          <w:color w:val="auto"/>
        </w:rPr>
      </w:pPr>
      <w:r w:rsidRPr="00915C40">
        <w:rPr>
          <w:color w:val="auto"/>
        </w:rPr>
        <w:t>‘</w:t>
      </w:r>
      <w:r w:rsidR="00230ADC" w:rsidRPr="00915C40">
        <w:rPr>
          <w:color w:val="auto"/>
        </w:rPr>
        <w:t>I have 5 accounts to choose from and I am able to transfer money very quickly from my bank accounts.</w:t>
      </w:r>
      <w:r w:rsidRPr="00915C40">
        <w:rPr>
          <w:color w:val="auto"/>
        </w:rPr>
        <w:t>’</w:t>
      </w:r>
    </w:p>
    <w:p w14:paraId="19143096" w14:textId="0E1E1DE9" w:rsidR="00230ADC" w:rsidRPr="00915C40" w:rsidRDefault="0011139C" w:rsidP="00A55CD9">
      <w:pPr>
        <w:pStyle w:val="Quote"/>
        <w:rPr>
          <w:color w:val="auto"/>
        </w:rPr>
      </w:pPr>
      <w:r w:rsidRPr="00915C40">
        <w:rPr>
          <w:color w:val="auto"/>
        </w:rPr>
        <w:t>‘</w:t>
      </w:r>
      <w:r w:rsidR="00230ADC" w:rsidRPr="00915C40">
        <w:rPr>
          <w:color w:val="auto"/>
        </w:rPr>
        <w:t>Who cares, once you step in, no time to look back.</w:t>
      </w:r>
      <w:r w:rsidRPr="00915C40">
        <w:rPr>
          <w:color w:val="auto"/>
        </w:rPr>
        <w:t>’</w:t>
      </w:r>
    </w:p>
    <w:p w14:paraId="36989BB9"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w:t>
      </w:r>
      <w:r w:rsidRPr="00664E64">
        <w:rPr>
          <w:rFonts w:cs="Arial"/>
          <w:b/>
          <w:szCs w:val="20"/>
          <w:u w:val="single"/>
        </w:rPr>
        <w:t>features to unsubscribe from direct marketing</w:t>
      </w:r>
      <w:r w:rsidRPr="00664E64">
        <w:rPr>
          <w:rFonts w:cs="Arial"/>
          <w:b/>
          <w:szCs w:val="20"/>
        </w:rPr>
        <w:t xml:space="preserve"> useful/not useful?</w:t>
      </w:r>
    </w:p>
    <w:tbl>
      <w:tblPr>
        <w:tblStyle w:val="TableGrid"/>
        <w:tblpPr w:leftFromText="180" w:rightFromText="180" w:vertAnchor="text" w:horzAnchor="margin" w:tblpY="-87"/>
        <w:tblW w:w="0" w:type="auto"/>
        <w:tblLook w:val="04A0" w:firstRow="1" w:lastRow="0" w:firstColumn="1" w:lastColumn="0" w:noHBand="0" w:noVBand="1"/>
        <w:tblCaption w:val="3. What are the main reasons you found features to unsubscribe from direct marketing useful/not useful?"/>
        <w:tblDescription w:val="Percentages who found features to unsubscrobe useful or not useful."/>
      </w:tblPr>
      <w:tblGrid>
        <w:gridCol w:w="2833"/>
        <w:gridCol w:w="2833"/>
        <w:gridCol w:w="2833"/>
      </w:tblGrid>
      <w:tr w:rsidR="00230ADC" w:rsidRPr="00664E64" w14:paraId="4EA2D119"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179AC8A6"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64% found the measure useful to some extent</w:t>
            </w:r>
          </w:p>
        </w:tc>
        <w:tc>
          <w:tcPr>
            <w:tcW w:w="3117" w:type="dxa"/>
          </w:tcPr>
          <w:p w14:paraId="281043E0"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23% did not find the measure useful or not useful</w:t>
            </w:r>
          </w:p>
        </w:tc>
        <w:tc>
          <w:tcPr>
            <w:tcW w:w="3117" w:type="dxa"/>
          </w:tcPr>
          <w:p w14:paraId="1308AB5D"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14% did not find the measure useful</w:t>
            </w:r>
          </w:p>
        </w:tc>
      </w:tr>
    </w:tbl>
    <w:p w14:paraId="573C7C67" w14:textId="77777777" w:rsidR="00230ADC" w:rsidRPr="00664E64" w:rsidRDefault="00230ADC" w:rsidP="00A55CD9">
      <w:pPr>
        <w:pStyle w:val="BodyText"/>
      </w:pPr>
      <w:r w:rsidRPr="00664E64">
        <w:t xml:space="preserve">Two-thirds of the 396 responses to this open-ended question found the ability to unsubscribe from direct marketing useful; a substantial portion of them reported that they unsubscribed due to finding the emails and text messages annoying. Only 10% stated that unsubscribing from marketing helped to reduce their gambling activity. </w:t>
      </w:r>
    </w:p>
    <w:p w14:paraId="467D70D5" w14:textId="7EE5B8B1" w:rsidR="00230ADC" w:rsidRPr="00915C40" w:rsidRDefault="0011139C" w:rsidP="00A55CD9">
      <w:pPr>
        <w:pStyle w:val="Quote"/>
        <w:rPr>
          <w:color w:val="auto"/>
        </w:rPr>
      </w:pPr>
      <w:r w:rsidRPr="00915C40">
        <w:rPr>
          <w:color w:val="auto"/>
        </w:rPr>
        <w:t>‘</w:t>
      </w:r>
      <w:r w:rsidR="00230ADC" w:rsidRPr="00915C40">
        <w:rPr>
          <w:color w:val="auto"/>
        </w:rPr>
        <w:t>Unsubscribed because they were annoying, not because I wanted to stop betting.</w:t>
      </w:r>
      <w:r w:rsidRPr="00915C40">
        <w:rPr>
          <w:color w:val="auto"/>
        </w:rPr>
        <w:t>’</w:t>
      </w:r>
    </w:p>
    <w:p w14:paraId="555E670E" w14:textId="58FA1398" w:rsidR="00230ADC" w:rsidRPr="00915C40" w:rsidRDefault="0011139C" w:rsidP="00A55CD9">
      <w:pPr>
        <w:pStyle w:val="Quote"/>
        <w:rPr>
          <w:color w:val="auto"/>
        </w:rPr>
      </w:pPr>
      <w:r w:rsidRPr="00915C40">
        <w:rPr>
          <w:color w:val="auto"/>
        </w:rPr>
        <w:t>‘</w:t>
      </w:r>
      <w:r w:rsidR="00230ADC" w:rsidRPr="00915C40">
        <w:rPr>
          <w:color w:val="auto"/>
        </w:rPr>
        <w:t>Most of the time, the unsubscribe worked instantly and reduced my impulse betting.</w:t>
      </w:r>
      <w:r w:rsidRPr="00915C40">
        <w:rPr>
          <w:color w:val="auto"/>
        </w:rPr>
        <w:t>’</w:t>
      </w:r>
    </w:p>
    <w:p w14:paraId="21A46F76" w14:textId="6A1B5B0F" w:rsidR="00230ADC" w:rsidRPr="00915C40" w:rsidRDefault="0011139C" w:rsidP="00A55CD9">
      <w:pPr>
        <w:pStyle w:val="Quote"/>
        <w:rPr>
          <w:color w:val="auto"/>
        </w:rPr>
      </w:pPr>
      <w:r w:rsidRPr="00915C40">
        <w:rPr>
          <w:color w:val="auto"/>
        </w:rPr>
        <w:t>‘</w:t>
      </w:r>
      <w:r w:rsidR="00230ADC" w:rsidRPr="00915C40">
        <w:rPr>
          <w:color w:val="auto"/>
        </w:rPr>
        <w:t>It helped me step away from gambling while I had less money, as I heard less about the promotions. Removing the email contact means less temptation to gamble unnecessarily.</w:t>
      </w:r>
      <w:r w:rsidRPr="00915C40">
        <w:rPr>
          <w:color w:val="auto"/>
        </w:rPr>
        <w:t>’</w:t>
      </w:r>
    </w:p>
    <w:p w14:paraId="3C54C082" w14:textId="77777777" w:rsidR="00230ADC" w:rsidRPr="00664E64" w:rsidRDefault="00230ADC" w:rsidP="00A55CD9">
      <w:pPr>
        <w:pStyle w:val="BodyText"/>
      </w:pPr>
      <w:r w:rsidRPr="00664E64">
        <w:t>From the group who reported that they did not find the feature useful, approximately half reported that it was too easy to subscribe again, the feature did not take into consideration multiple account holders, and some of the larger operators would just redirect them to other operators if they unsubscribed from direct promotions.</w:t>
      </w:r>
    </w:p>
    <w:p w14:paraId="1A6A0F60" w14:textId="77777777" w:rsidR="00230ADC" w:rsidRPr="00664E64" w:rsidRDefault="00230ADC" w:rsidP="00A55CD9">
      <w:pPr>
        <w:pStyle w:val="BodyText"/>
      </w:pPr>
      <w:r w:rsidRPr="00664E64">
        <w:t xml:space="preserve">There was also a small portion who reported that unsubscribing from direct marketing reduced their gambling and, potentially, winning opportunities – something they were unwilling to do. </w:t>
      </w:r>
    </w:p>
    <w:p w14:paraId="71DC88AC" w14:textId="1765E8DB" w:rsidR="00230ADC" w:rsidRPr="00915C40" w:rsidRDefault="0011139C" w:rsidP="00A55CD9">
      <w:pPr>
        <w:pStyle w:val="Quote"/>
        <w:rPr>
          <w:color w:val="auto"/>
        </w:rPr>
      </w:pPr>
      <w:r w:rsidRPr="00915C40">
        <w:rPr>
          <w:color w:val="auto"/>
        </w:rPr>
        <w:t>‘</w:t>
      </w:r>
      <w:r w:rsidR="00230ADC" w:rsidRPr="00915C40">
        <w:rPr>
          <w:color w:val="auto"/>
        </w:rPr>
        <w:t>When you unsubscribe from one company, another company contacts you with a “deal</w:t>
      </w:r>
      <w:r w:rsidRPr="00915C40">
        <w:rPr>
          <w:color w:val="auto"/>
        </w:rPr>
        <w:t>”.’</w:t>
      </w:r>
    </w:p>
    <w:p w14:paraId="30070D9A" w14:textId="6FAF034B" w:rsidR="00E2394D" w:rsidRPr="00915C40" w:rsidRDefault="0011139C" w:rsidP="00A55CD9">
      <w:pPr>
        <w:pStyle w:val="Quote"/>
        <w:rPr>
          <w:color w:val="auto"/>
        </w:rPr>
      </w:pPr>
      <w:r w:rsidRPr="00915C40">
        <w:rPr>
          <w:color w:val="auto"/>
        </w:rPr>
        <w:t>‘</w:t>
      </w:r>
      <w:r w:rsidR="00230ADC" w:rsidRPr="00915C40">
        <w:rPr>
          <w:color w:val="auto"/>
        </w:rPr>
        <w:t>It is easier for me to be aware of opportunities if I receive correspondence.</w:t>
      </w:r>
      <w:r w:rsidRPr="00915C40">
        <w:rPr>
          <w:color w:val="auto"/>
        </w:rPr>
        <w:t>’</w:t>
      </w:r>
    </w:p>
    <w:p w14:paraId="69101D98" w14:textId="17A8CB26"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w:t>
      </w:r>
      <w:r w:rsidRPr="00664E64">
        <w:rPr>
          <w:rFonts w:cs="Arial"/>
          <w:b/>
          <w:szCs w:val="20"/>
          <w:u w:val="single"/>
        </w:rPr>
        <w:t>information about the terms and conditions</w:t>
      </w:r>
      <w:r w:rsidRPr="00664E64">
        <w:rPr>
          <w:rFonts w:cs="Arial"/>
          <w:b/>
          <w:szCs w:val="20"/>
        </w:rPr>
        <w:t xml:space="preserve"> (T&amp;C) of bonus bets, vouchers, credit, and promotion useful/not useful?</w:t>
      </w:r>
    </w:p>
    <w:tbl>
      <w:tblPr>
        <w:tblStyle w:val="TableGrid"/>
        <w:tblpPr w:leftFromText="180" w:rightFromText="180" w:vertAnchor="text" w:horzAnchor="margin" w:tblpY="-87"/>
        <w:tblW w:w="0" w:type="auto"/>
        <w:tblLook w:val="04A0" w:firstRow="1" w:lastRow="0" w:firstColumn="1" w:lastColumn="0" w:noHBand="0" w:noVBand="1"/>
        <w:tblCaption w:val="4. What are the main reasons you found information about the terms and conditions (T&amp;C) of bonus bets, vouchers, credit, and promotion useful/not useful?"/>
        <w:tblDescription w:val="Percentages found terms and conditions info useful or not."/>
      </w:tblPr>
      <w:tblGrid>
        <w:gridCol w:w="2833"/>
        <w:gridCol w:w="2833"/>
        <w:gridCol w:w="2833"/>
      </w:tblGrid>
      <w:tr w:rsidR="00230ADC" w:rsidRPr="00664E64" w14:paraId="409DA804"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2A4C4868"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77% found the measure useful to some extent</w:t>
            </w:r>
          </w:p>
        </w:tc>
        <w:tc>
          <w:tcPr>
            <w:tcW w:w="3117" w:type="dxa"/>
          </w:tcPr>
          <w:p w14:paraId="4B827EBE"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18% did not find the measure useful or not useful</w:t>
            </w:r>
          </w:p>
        </w:tc>
        <w:tc>
          <w:tcPr>
            <w:tcW w:w="3117" w:type="dxa"/>
          </w:tcPr>
          <w:p w14:paraId="68452B5E"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5% did not find the measure useful</w:t>
            </w:r>
          </w:p>
        </w:tc>
      </w:tr>
    </w:tbl>
    <w:p w14:paraId="7B436662" w14:textId="77777777" w:rsidR="00230ADC" w:rsidRPr="00664E64" w:rsidRDefault="00230ADC" w:rsidP="00A55CD9">
      <w:pPr>
        <w:pStyle w:val="BodyText"/>
      </w:pPr>
      <w:r w:rsidRPr="00664E64">
        <w:t xml:space="preserve">The majority of the 303 participants who provided free text comments reported that they found information about T&amp;C useful, mostly because the information contained within the T&amp;C that pertained to bonus bets rules and requirements directly helped them with placing better informed bets and making the most of their bonus bets. </w:t>
      </w:r>
    </w:p>
    <w:p w14:paraId="63BBC1FF" w14:textId="2B72D5F1" w:rsidR="00230ADC" w:rsidRPr="00915C40" w:rsidRDefault="0011139C" w:rsidP="00A55CD9">
      <w:pPr>
        <w:pStyle w:val="Quote"/>
        <w:rPr>
          <w:color w:val="auto"/>
        </w:rPr>
      </w:pPr>
      <w:r w:rsidRPr="00915C40">
        <w:rPr>
          <w:color w:val="auto"/>
        </w:rPr>
        <w:lastRenderedPageBreak/>
        <w:t>‘</w:t>
      </w:r>
      <w:r w:rsidR="00230ADC" w:rsidRPr="00915C40">
        <w:rPr>
          <w:color w:val="auto"/>
        </w:rPr>
        <w:t>So I knew what I was getting myself into and knowing all there is to know to cover myself.</w:t>
      </w:r>
      <w:r w:rsidRPr="00915C40">
        <w:rPr>
          <w:color w:val="auto"/>
        </w:rPr>
        <w:t>’</w:t>
      </w:r>
    </w:p>
    <w:p w14:paraId="350E5257" w14:textId="0D5084A7" w:rsidR="00230ADC" w:rsidRPr="00915C40" w:rsidRDefault="0011139C" w:rsidP="00A55CD9">
      <w:pPr>
        <w:pStyle w:val="Quote"/>
        <w:rPr>
          <w:color w:val="auto"/>
        </w:rPr>
      </w:pPr>
      <w:r w:rsidRPr="00915C40">
        <w:rPr>
          <w:color w:val="auto"/>
        </w:rPr>
        <w:t>‘</w:t>
      </w:r>
      <w:r w:rsidR="00230ADC" w:rsidRPr="00915C40">
        <w:rPr>
          <w:color w:val="auto"/>
        </w:rPr>
        <w:t>Ability to use these terms to manage better gambling outcomes.</w:t>
      </w:r>
      <w:r w:rsidRPr="00915C40">
        <w:rPr>
          <w:color w:val="auto"/>
        </w:rPr>
        <w:t>’</w:t>
      </w:r>
    </w:p>
    <w:p w14:paraId="0179B35E" w14:textId="75A3B55E" w:rsidR="00230ADC" w:rsidRPr="00915C40" w:rsidRDefault="0011139C" w:rsidP="00A55CD9">
      <w:pPr>
        <w:pStyle w:val="Quote"/>
        <w:rPr>
          <w:color w:val="auto"/>
        </w:rPr>
      </w:pPr>
      <w:r w:rsidRPr="00915C40">
        <w:rPr>
          <w:color w:val="auto"/>
        </w:rPr>
        <w:t>‘</w:t>
      </w:r>
      <w:r w:rsidR="00230ADC" w:rsidRPr="00915C40">
        <w:rPr>
          <w:color w:val="auto"/>
        </w:rPr>
        <w:t>Allowed me to know what the payout structure would be when betting on specific overseas lotteries.</w:t>
      </w:r>
      <w:r w:rsidRPr="00915C40">
        <w:rPr>
          <w:color w:val="auto"/>
        </w:rPr>
        <w:t>’</w:t>
      </w:r>
    </w:p>
    <w:p w14:paraId="34E2D5DF" w14:textId="3A3D9909" w:rsidR="00230ADC" w:rsidRPr="00915C40" w:rsidRDefault="0011139C" w:rsidP="00A55CD9">
      <w:pPr>
        <w:pStyle w:val="Quote"/>
        <w:rPr>
          <w:color w:val="auto"/>
        </w:rPr>
      </w:pPr>
      <w:r w:rsidRPr="00915C40">
        <w:rPr>
          <w:color w:val="auto"/>
        </w:rPr>
        <w:t>‘</w:t>
      </w:r>
      <w:r w:rsidR="00230ADC" w:rsidRPr="00915C40">
        <w:rPr>
          <w:color w:val="auto"/>
        </w:rPr>
        <w:t>Gives you an idea how much money would be ok to spend to get the potential benefits.</w:t>
      </w:r>
      <w:r w:rsidRPr="00915C40">
        <w:rPr>
          <w:color w:val="auto"/>
        </w:rPr>
        <w:t>’</w:t>
      </w:r>
    </w:p>
    <w:p w14:paraId="7D3392BE"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the feature for </w:t>
      </w:r>
      <w:r w:rsidRPr="00664E64">
        <w:rPr>
          <w:rFonts w:cs="Arial"/>
          <w:b/>
          <w:szCs w:val="20"/>
          <w:u w:val="single"/>
        </w:rPr>
        <w:t>customer verification</w:t>
      </w:r>
      <w:r w:rsidRPr="00664E64">
        <w:rPr>
          <w:rFonts w:cs="Arial"/>
          <w:b/>
          <w:szCs w:val="20"/>
        </w:rPr>
        <w:t xml:space="preserve"> useful/not useful?</w:t>
      </w:r>
    </w:p>
    <w:tbl>
      <w:tblPr>
        <w:tblStyle w:val="TableGrid"/>
        <w:tblpPr w:leftFromText="180" w:rightFromText="180" w:vertAnchor="text" w:horzAnchor="margin" w:tblpY="-87"/>
        <w:tblW w:w="0" w:type="auto"/>
        <w:tblLook w:val="04A0" w:firstRow="1" w:lastRow="0" w:firstColumn="1" w:lastColumn="0" w:noHBand="0" w:noVBand="1"/>
        <w:tblCaption w:val="5. What are the main reasons you found the feature for customer verification useful/not useful?"/>
        <w:tblDescription w:val="Percentages who found customer verification tool useful or not."/>
      </w:tblPr>
      <w:tblGrid>
        <w:gridCol w:w="2833"/>
        <w:gridCol w:w="2833"/>
        <w:gridCol w:w="2833"/>
      </w:tblGrid>
      <w:tr w:rsidR="00230ADC" w:rsidRPr="00664E64" w14:paraId="7CEE9AB0"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3E917A59"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57% found the measure useful to some extent</w:t>
            </w:r>
          </w:p>
        </w:tc>
        <w:tc>
          <w:tcPr>
            <w:tcW w:w="3117" w:type="dxa"/>
          </w:tcPr>
          <w:p w14:paraId="6E0F792D"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23% did not find the measure useful or not useful</w:t>
            </w:r>
          </w:p>
        </w:tc>
        <w:tc>
          <w:tcPr>
            <w:tcW w:w="3117" w:type="dxa"/>
          </w:tcPr>
          <w:p w14:paraId="62A8B32C"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20% did not find the measure useful</w:t>
            </w:r>
          </w:p>
        </w:tc>
      </w:tr>
    </w:tbl>
    <w:p w14:paraId="68B14DDE" w14:textId="6465DFA1" w:rsidR="00230ADC" w:rsidRPr="00664E64" w:rsidRDefault="0011139C" w:rsidP="00A55CD9">
      <w:pPr>
        <w:pStyle w:val="BodyText"/>
      </w:pPr>
      <w:r w:rsidRPr="00664E64">
        <w:t xml:space="preserve">One hundred and sixty-one </w:t>
      </w:r>
      <w:r w:rsidR="00230ADC" w:rsidRPr="00664E64">
        <w:t xml:space="preserve">participants provided a written response regarding how useful they perceived customer verification to be. Although most reported finding the feature useful </w:t>
      </w:r>
      <w:r w:rsidRPr="00664E64">
        <w:t xml:space="preserve">– </w:t>
      </w:r>
      <w:r w:rsidR="00230ADC" w:rsidRPr="00664E64">
        <w:t xml:space="preserve">mainly due to the security it provided – around half reported being indifferent or not finding it useful due to it being a necessary procedure for opening an account rather than a protective measure. </w:t>
      </w:r>
    </w:p>
    <w:p w14:paraId="75052845" w14:textId="61B3151F" w:rsidR="00230ADC" w:rsidRPr="00915C40" w:rsidRDefault="0011139C" w:rsidP="00A55CD9">
      <w:pPr>
        <w:pStyle w:val="Quote"/>
        <w:rPr>
          <w:color w:val="auto"/>
        </w:rPr>
      </w:pPr>
      <w:r w:rsidRPr="00915C40">
        <w:rPr>
          <w:color w:val="auto"/>
        </w:rPr>
        <w:t>‘</w:t>
      </w:r>
      <w:r w:rsidR="00230ADC" w:rsidRPr="00915C40">
        <w:rPr>
          <w:color w:val="auto"/>
        </w:rPr>
        <w:t>I like the security of verification so I think the process is worthwhile.</w:t>
      </w:r>
      <w:r w:rsidRPr="00915C40">
        <w:rPr>
          <w:color w:val="auto"/>
        </w:rPr>
        <w:t>’</w:t>
      </w:r>
    </w:p>
    <w:p w14:paraId="61E6CB1C" w14:textId="2447CA3E" w:rsidR="00230ADC" w:rsidRPr="00915C40" w:rsidRDefault="0011139C" w:rsidP="00A55CD9">
      <w:pPr>
        <w:pStyle w:val="Quote"/>
        <w:rPr>
          <w:color w:val="auto"/>
        </w:rPr>
      </w:pPr>
      <w:r w:rsidRPr="00915C40">
        <w:rPr>
          <w:color w:val="auto"/>
        </w:rPr>
        <w:t>‘</w:t>
      </w:r>
      <w:r w:rsidR="00230ADC" w:rsidRPr="00915C40">
        <w:rPr>
          <w:color w:val="auto"/>
        </w:rPr>
        <w:t>Simply a necessary part of opening an account.</w:t>
      </w:r>
      <w:r w:rsidRPr="00915C40">
        <w:rPr>
          <w:color w:val="auto"/>
        </w:rPr>
        <w:t>’</w:t>
      </w:r>
    </w:p>
    <w:p w14:paraId="6E0AEEAD" w14:textId="6C56E277" w:rsidR="00230ADC" w:rsidRPr="00915C40" w:rsidRDefault="0011139C" w:rsidP="00A55CD9">
      <w:pPr>
        <w:pStyle w:val="Quote"/>
        <w:rPr>
          <w:color w:val="auto"/>
        </w:rPr>
      </w:pPr>
      <w:r w:rsidRPr="00915C40">
        <w:rPr>
          <w:color w:val="auto"/>
        </w:rPr>
        <w:t>‘</w:t>
      </w:r>
      <w:r w:rsidR="00230ADC" w:rsidRPr="00915C40">
        <w:rPr>
          <w:color w:val="auto"/>
        </w:rPr>
        <w:t>Just something you have to do when you open a new betting account, more of an annoyance than anything.</w:t>
      </w:r>
      <w:r w:rsidRPr="00915C40">
        <w:rPr>
          <w:color w:val="auto"/>
        </w:rPr>
        <w:t>’</w:t>
      </w:r>
    </w:p>
    <w:p w14:paraId="34734634"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the </w:t>
      </w:r>
      <w:r w:rsidRPr="00664E64">
        <w:rPr>
          <w:rFonts w:cs="Arial"/>
          <w:b/>
          <w:szCs w:val="20"/>
          <w:u w:val="single"/>
        </w:rPr>
        <w:t>account closure</w:t>
      </w:r>
      <w:r w:rsidRPr="00664E64">
        <w:rPr>
          <w:rFonts w:cs="Arial"/>
          <w:b/>
          <w:szCs w:val="20"/>
        </w:rPr>
        <w:t xml:space="preserve"> feature useful/not useful?</w:t>
      </w:r>
    </w:p>
    <w:tbl>
      <w:tblPr>
        <w:tblStyle w:val="TableGrid"/>
        <w:tblpPr w:leftFromText="180" w:rightFromText="180" w:vertAnchor="text" w:horzAnchor="margin" w:tblpY="-87"/>
        <w:tblW w:w="0" w:type="auto"/>
        <w:tblLook w:val="04A0" w:firstRow="1" w:lastRow="0" w:firstColumn="1" w:lastColumn="0" w:noHBand="0" w:noVBand="1"/>
        <w:tblCaption w:val="6. What are the main reasons you found the account closure feature useful/not useful?"/>
        <w:tblDescription w:val="Percentages who found the account closure feature useful or not."/>
      </w:tblPr>
      <w:tblGrid>
        <w:gridCol w:w="2833"/>
        <w:gridCol w:w="2833"/>
        <w:gridCol w:w="2833"/>
      </w:tblGrid>
      <w:tr w:rsidR="00230ADC" w:rsidRPr="00664E64" w14:paraId="0E3722A8"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45590D56"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65% found the measure useful to some extent</w:t>
            </w:r>
          </w:p>
        </w:tc>
        <w:tc>
          <w:tcPr>
            <w:tcW w:w="3117" w:type="dxa"/>
          </w:tcPr>
          <w:p w14:paraId="04616AEC"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24% did not find the measure useful or not useful</w:t>
            </w:r>
          </w:p>
        </w:tc>
        <w:tc>
          <w:tcPr>
            <w:tcW w:w="3117" w:type="dxa"/>
          </w:tcPr>
          <w:p w14:paraId="284F8892"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12% did not find the measure useful</w:t>
            </w:r>
          </w:p>
        </w:tc>
      </w:tr>
    </w:tbl>
    <w:p w14:paraId="743943CC" w14:textId="77777777" w:rsidR="00230ADC" w:rsidRPr="00664E64" w:rsidRDefault="00230ADC" w:rsidP="00A55CD9">
      <w:pPr>
        <w:pStyle w:val="BodyText"/>
      </w:pPr>
      <w:r w:rsidRPr="00664E64">
        <w:t xml:space="preserve">There were 155 responses to this question, with most reporting that they found the account closure feature useful; a quarter of that group reported that their gambling behaviour had changed due to the ability to close their account. However, around one in eight respondents reported that the feature was not effective for them as closing an account only applied to a specific operator and it was easy to move operators or open multiple accounts. </w:t>
      </w:r>
    </w:p>
    <w:p w14:paraId="53EACEDC" w14:textId="5ABE558E" w:rsidR="00230ADC" w:rsidRPr="00915C40" w:rsidRDefault="0011139C" w:rsidP="00A55CD9">
      <w:pPr>
        <w:pStyle w:val="Quote"/>
        <w:rPr>
          <w:color w:val="auto"/>
        </w:rPr>
      </w:pPr>
      <w:r w:rsidRPr="00915C40">
        <w:rPr>
          <w:color w:val="auto"/>
        </w:rPr>
        <w:t>‘</w:t>
      </w:r>
      <w:r w:rsidR="00230ADC" w:rsidRPr="00915C40">
        <w:rPr>
          <w:color w:val="auto"/>
        </w:rPr>
        <w:t>After not winning for a long time, I suspended my account to control my desire to recover my lost money.</w:t>
      </w:r>
      <w:r w:rsidRPr="00915C40">
        <w:rPr>
          <w:color w:val="auto"/>
        </w:rPr>
        <w:t>’</w:t>
      </w:r>
    </w:p>
    <w:p w14:paraId="720EC189" w14:textId="37C2F3F3" w:rsidR="00230ADC" w:rsidRPr="00915C40" w:rsidRDefault="0011139C" w:rsidP="00A55CD9">
      <w:pPr>
        <w:pStyle w:val="Quote"/>
        <w:rPr>
          <w:color w:val="auto"/>
        </w:rPr>
      </w:pPr>
      <w:r w:rsidRPr="00915C40">
        <w:rPr>
          <w:color w:val="auto"/>
        </w:rPr>
        <w:t>‘</w:t>
      </w:r>
      <w:r w:rsidR="00230ADC" w:rsidRPr="00915C40">
        <w:rPr>
          <w:color w:val="auto"/>
        </w:rPr>
        <w:t>Helped in short term but easy to circumvent to start again.</w:t>
      </w:r>
      <w:r w:rsidRPr="00915C40">
        <w:rPr>
          <w:color w:val="auto"/>
        </w:rPr>
        <w:t>’</w:t>
      </w:r>
    </w:p>
    <w:p w14:paraId="3B238906" w14:textId="216012B7" w:rsidR="00230ADC" w:rsidRDefault="0011139C" w:rsidP="00A55CD9">
      <w:pPr>
        <w:pStyle w:val="Quote"/>
        <w:rPr>
          <w:color w:val="auto"/>
        </w:rPr>
      </w:pPr>
      <w:r w:rsidRPr="00915C40">
        <w:rPr>
          <w:color w:val="auto"/>
        </w:rPr>
        <w:t>‘</w:t>
      </w:r>
      <w:r w:rsidR="00230ADC" w:rsidRPr="00915C40">
        <w:rPr>
          <w:color w:val="auto"/>
        </w:rPr>
        <w:t>Open another account, different site, different venue, anonymous betting machines at the pub</w:t>
      </w:r>
      <w:r w:rsidRPr="00915C40">
        <w:rPr>
          <w:color w:val="auto"/>
        </w:rPr>
        <w:t>,</w:t>
      </w:r>
      <w:r w:rsidR="00230ADC" w:rsidRPr="00915C40">
        <w:rPr>
          <w:color w:val="auto"/>
        </w:rPr>
        <w:t xml:space="preserve"> etc.</w:t>
      </w:r>
      <w:r w:rsidRPr="00915C40">
        <w:rPr>
          <w:color w:val="auto"/>
        </w:rPr>
        <w:t>’</w:t>
      </w:r>
    </w:p>
    <w:p w14:paraId="7DBABC76" w14:textId="77777777" w:rsidR="00915C40" w:rsidRPr="00915C40" w:rsidRDefault="00915C40" w:rsidP="00915C40"/>
    <w:p w14:paraId="5D4C8684"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lastRenderedPageBreak/>
        <w:t xml:space="preserve">What are the main reasons you found the feature for </w:t>
      </w:r>
      <w:r w:rsidRPr="00664E64">
        <w:rPr>
          <w:rFonts w:cs="Arial"/>
          <w:b/>
          <w:szCs w:val="20"/>
          <w:u w:val="single"/>
        </w:rPr>
        <w:t>temporary exclusion</w:t>
      </w:r>
      <w:r w:rsidRPr="00664E64">
        <w:rPr>
          <w:rFonts w:cs="Arial"/>
          <w:b/>
          <w:szCs w:val="20"/>
        </w:rPr>
        <w:t xml:space="preserve"> useful/not useful?</w:t>
      </w:r>
    </w:p>
    <w:tbl>
      <w:tblPr>
        <w:tblStyle w:val="TableGrid"/>
        <w:tblpPr w:leftFromText="180" w:rightFromText="180" w:vertAnchor="text" w:horzAnchor="margin" w:tblpY="-87"/>
        <w:tblW w:w="0" w:type="auto"/>
        <w:tblLook w:val="04A0" w:firstRow="1" w:lastRow="0" w:firstColumn="1" w:lastColumn="0" w:noHBand="0" w:noVBand="1"/>
        <w:tblCaption w:val="What are the main reasons you found the feature for temporary exclusion useful/not useful?"/>
        <w:tblDescription w:val="Percentages who found the temporary exclusion feature useful or not."/>
      </w:tblPr>
      <w:tblGrid>
        <w:gridCol w:w="2833"/>
        <w:gridCol w:w="2833"/>
        <w:gridCol w:w="2833"/>
      </w:tblGrid>
      <w:tr w:rsidR="00230ADC" w:rsidRPr="00664E64" w14:paraId="3502BE29"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5BD15FE6"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61% found the measure useful to some extent</w:t>
            </w:r>
          </w:p>
        </w:tc>
        <w:tc>
          <w:tcPr>
            <w:tcW w:w="3117" w:type="dxa"/>
          </w:tcPr>
          <w:p w14:paraId="0A58F49E"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17% did not find the measure useful or not useful</w:t>
            </w:r>
          </w:p>
        </w:tc>
        <w:tc>
          <w:tcPr>
            <w:tcW w:w="3117" w:type="dxa"/>
          </w:tcPr>
          <w:p w14:paraId="11AD00C2"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22% did not find the measure useful</w:t>
            </w:r>
          </w:p>
        </w:tc>
      </w:tr>
    </w:tbl>
    <w:p w14:paraId="454600C3" w14:textId="581BCBB1" w:rsidR="00230ADC" w:rsidRPr="00664E64" w:rsidRDefault="00230ADC" w:rsidP="00A55CD9">
      <w:pPr>
        <w:pStyle w:val="BodyText"/>
      </w:pPr>
      <w:r w:rsidRPr="00664E64">
        <w:t>Fewer respondents commented on the usefulness of temporary exclusion features (</w:t>
      </w:r>
      <w:r w:rsidRPr="00664E64">
        <w:rPr>
          <w:i/>
        </w:rPr>
        <w:t>n</w:t>
      </w:r>
      <w:r w:rsidR="0011139C" w:rsidRPr="00664E64">
        <w:t xml:space="preserve"> </w:t>
      </w:r>
      <w:r w:rsidRPr="00664E64">
        <w:t>=</w:t>
      </w:r>
      <w:r w:rsidR="0011139C" w:rsidRPr="00664E64">
        <w:t xml:space="preserve"> </w:t>
      </w:r>
      <w:r w:rsidRPr="00664E64">
        <w:t xml:space="preserve">118). The general themes were very similar to the previous question regarding account closure. Although more than half of participants </w:t>
      </w:r>
      <w:r w:rsidR="0011139C" w:rsidRPr="00664E64">
        <w:t xml:space="preserve">reported </w:t>
      </w:r>
      <w:r w:rsidRPr="00664E64">
        <w:t xml:space="preserve">that the feature was useful for controlling wagering involvement, almost a quarter described it as being either ineffective, an overly-complicated process, or not applicable to them as they did not consider themselves at risk of gambling problems. Others noted that the self-exclusion feature was ineffective as it only applied to a specific operator and it was too easy to move operators. </w:t>
      </w:r>
    </w:p>
    <w:p w14:paraId="299818D3" w14:textId="7A2324CC" w:rsidR="00230ADC" w:rsidRPr="00915C40" w:rsidRDefault="0011139C" w:rsidP="00A55CD9">
      <w:pPr>
        <w:pStyle w:val="Quote"/>
        <w:rPr>
          <w:color w:val="auto"/>
        </w:rPr>
      </w:pPr>
      <w:r w:rsidRPr="00915C40">
        <w:rPr>
          <w:color w:val="auto"/>
        </w:rPr>
        <w:t>‘</w:t>
      </w:r>
      <w:r w:rsidR="00230ADC" w:rsidRPr="00915C40">
        <w:rPr>
          <w:color w:val="auto"/>
        </w:rPr>
        <w:t>Because there are many sites to choose from, not to mention going somewhere like the casino.</w:t>
      </w:r>
      <w:r w:rsidRPr="00915C40">
        <w:rPr>
          <w:color w:val="auto"/>
        </w:rPr>
        <w:t>’</w:t>
      </w:r>
    </w:p>
    <w:p w14:paraId="4AFD2447" w14:textId="2262B83A" w:rsidR="00230ADC" w:rsidRPr="00915C40" w:rsidRDefault="0011139C" w:rsidP="00A55CD9">
      <w:pPr>
        <w:pStyle w:val="Quote"/>
        <w:rPr>
          <w:color w:val="auto"/>
        </w:rPr>
      </w:pPr>
      <w:r w:rsidRPr="00915C40">
        <w:rPr>
          <w:color w:val="auto"/>
        </w:rPr>
        <w:t>‘</w:t>
      </w:r>
      <w:r w:rsidR="00230ADC" w:rsidRPr="00915C40">
        <w:rPr>
          <w:color w:val="auto"/>
        </w:rPr>
        <w:t>Waited until exclusion time expired and increased betting.</w:t>
      </w:r>
      <w:r w:rsidRPr="00915C40">
        <w:rPr>
          <w:color w:val="auto"/>
        </w:rPr>
        <w:t>’</w:t>
      </w:r>
    </w:p>
    <w:p w14:paraId="6C659886" w14:textId="4D85FA11" w:rsidR="00230ADC" w:rsidRPr="00915C40" w:rsidRDefault="0011139C" w:rsidP="00A55CD9">
      <w:pPr>
        <w:pStyle w:val="Quote"/>
        <w:rPr>
          <w:color w:val="auto"/>
        </w:rPr>
      </w:pPr>
      <w:r w:rsidRPr="00915C40">
        <w:rPr>
          <w:color w:val="auto"/>
        </w:rPr>
        <w:t>‘</w:t>
      </w:r>
      <w:r w:rsidR="00230ADC" w:rsidRPr="00915C40">
        <w:rPr>
          <w:color w:val="auto"/>
        </w:rPr>
        <w:t>I could just open another account with ease from another agency.</w:t>
      </w:r>
      <w:r w:rsidRPr="00915C40">
        <w:rPr>
          <w:color w:val="auto"/>
        </w:rPr>
        <w:t>’</w:t>
      </w:r>
    </w:p>
    <w:p w14:paraId="109939A1" w14:textId="07251C46" w:rsidR="00230ADC" w:rsidRPr="00915C40" w:rsidRDefault="0011139C" w:rsidP="00A55CD9">
      <w:pPr>
        <w:pStyle w:val="Quote"/>
        <w:rPr>
          <w:color w:val="auto"/>
        </w:rPr>
      </w:pPr>
      <w:r w:rsidRPr="00915C40">
        <w:rPr>
          <w:color w:val="auto"/>
        </w:rPr>
        <w:t>‘</w:t>
      </w:r>
      <w:r w:rsidR="00230ADC" w:rsidRPr="00915C40">
        <w:rPr>
          <w:color w:val="auto"/>
        </w:rPr>
        <w:t>Said if I did [temporarily exclude] I’d be blocked forever. Basically felt pressured to keep it open.</w:t>
      </w:r>
      <w:r w:rsidRPr="00915C40">
        <w:rPr>
          <w:color w:val="auto"/>
        </w:rPr>
        <w:t>’</w:t>
      </w:r>
    </w:p>
    <w:p w14:paraId="61448D29"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the feature for </w:t>
      </w:r>
      <w:r w:rsidRPr="00664E64">
        <w:rPr>
          <w:rFonts w:cs="Arial"/>
          <w:b/>
          <w:szCs w:val="20"/>
          <w:u w:val="single"/>
        </w:rPr>
        <w:t>permanent exclusion</w:t>
      </w:r>
      <w:r w:rsidRPr="00664E64">
        <w:rPr>
          <w:rFonts w:cs="Arial"/>
          <w:b/>
          <w:szCs w:val="20"/>
        </w:rPr>
        <w:t xml:space="preserve"> useful/not useful?</w:t>
      </w:r>
    </w:p>
    <w:tbl>
      <w:tblPr>
        <w:tblStyle w:val="TableGrid"/>
        <w:tblpPr w:leftFromText="180" w:rightFromText="180" w:vertAnchor="text" w:horzAnchor="margin" w:tblpY="-87"/>
        <w:tblW w:w="0" w:type="auto"/>
        <w:tblLook w:val="04A0" w:firstRow="1" w:lastRow="0" w:firstColumn="1" w:lastColumn="0" w:noHBand="0" w:noVBand="1"/>
        <w:tblCaption w:val="8. What are the main reasons you found the feature for permanent exclusion useful/not useful?"/>
        <w:tblDescription w:val="Percentages who found the permanent exclusion feature useful or not."/>
      </w:tblPr>
      <w:tblGrid>
        <w:gridCol w:w="2833"/>
        <w:gridCol w:w="2833"/>
        <w:gridCol w:w="2833"/>
      </w:tblGrid>
      <w:tr w:rsidR="00230ADC" w:rsidRPr="00664E64" w14:paraId="51F29E03"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1DE8362A"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56% found the measure useful to some extent</w:t>
            </w:r>
          </w:p>
        </w:tc>
        <w:tc>
          <w:tcPr>
            <w:tcW w:w="3117" w:type="dxa"/>
          </w:tcPr>
          <w:p w14:paraId="70729BAF"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25% did not find the measure useful or not useful</w:t>
            </w:r>
          </w:p>
        </w:tc>
        <w:tc>
          <w:tcPr>
            <w:tcW w:w="3117" w:type="dxa"/>
          </w:tcPr>
          <w:p w14:paraId="77CB6BC7"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19% did not find the measure useful</w:t>
            </w:r>
          </w:p>
        </w:tc>
      </w:tr>
    </w:tbl>
    <w:p w14:paraId="63A4C882" w14:textId="77777777" w:rsidR="00230ADC" w:rsidRPr="00664E64" w:rsidRDefault="00230ADC" w:rsidP="00A55CD9">
      <w:pPr>
        <w:pStyle w:val="BodyText"/>
      </w:pPr>
      <w:r w:rsidRPr="00664E64">
        <w:t xml:space="preserve">Only 63 participants responded to this question about the usefulness of the permanent exclusion feature. Just over half of the respondents reported having found the feature useful, while one in five perceived it as not very useful. A number of respondents to this question described the potential benefits of permanent exclusion for (other) people who might be at risk of experiencing gambling problems. </w:t>
      </w:r>
    </w:p>
    <w:p w14:paraId="43AD00E3" w14:textId="4B3D0E6D" w:rsidR="00230ADC" w:rsidRPr="00915C40" w:rsidRDefault="0011139C" w:rsidP="00A55CD9">
      <w:pPr>
        <w:pStyle w:val="Quote"/>
        <w:rPr>
          <w:color w:val="auto"/>
        </w:rPr>
      </w:pPr>
      <w:r w:rsidRPr="00915C40">
        <w:rPr>
          <w:color w:val="auto"/>
        </w:rPr>
        <w:t>‘</w:t>
      </w:r>
      <w:r w:rsidR="00230ADC" w:rsidRPr="00915C40">
        <w:rPr>
          <w:color w:val="auto"/>
        </w:rPr>
        <w:t>Permanent exclusion is the answer for some people.</w:t>
      </w:r>
      <w:r w:rsidRPr="00915C40">
        <w:rPr>
          <w:color w:val="auto"/>
        </w:rPr>
        <w:t>’</w:t>
      </w:r>
    </w:p>
    <w:p w14:paraId="5F07E040" w14:textId="60A19ABF" w:rsidR="00230ADC" w:rsidRPr="00915C40" w:rsidRDefault="0011139C" w:rsidP="00A55CD9">
      <w:pPr>
        <w:pStyle w:val="Quote"/>
        <w:rPr>
          <w:color w:val="auto"/>
        </w:rPr>
      </w:pPr>
      <w:r w:rsidRPr="00915C40">
        <w:rPr>
          <w:color w:val="auto"/>
        </w:rPr>
        <w:t>‘</w:t>
      </w:r>
      <w:r w:rsidR="00230ADC" w:rsidRPr="00915C40">
        <w:rPr>
          <w:color w:val="auto"/>
        </w:rPr>
        <w:t>It gives people with gambling problems a break and time to get help for their problem</w:t>
      </w:r>
      <w:r w:rsidRPr="00915C40">
        <w:rPr>
          <w:color w:val="auto"/>
        </w:rPr>
        <w:t>.’</w:t>
      </w:r>
    </w:p>
    <w:p w14:paraId="4C32E4A5" w14:textId="391FDD0C" w:rsidR="00230ADC" w:rsidRPr="00915C40" w:rsidRDefault="0011139C" w:rsidP="00A55CD9">
      <w:pPr>
        <w:pStyle w:val="Quote"/>
        <w:rPr>
          <w:color w:val="auto"/>
        </w:rPr>
      </w:pPr>
      <w:r w:rsidRPr="00915C40">
        <w:rPr>
          <w:color w:val="auto"/>
        </w:rPr>
        <w:t>‘</w:t>
      </w:r>
      <w:r w:rsidR="00230ADC" w:rsidRPr="00915C40">
        <w:rPr>
          <w:color w:val="auto"/>
        </w:rPr>
        <w:t>Good for people that know they have a problem</w:t>
      </w:r>
      <w:r w:rsidRPr="00915C40">
        <w:rPr>
          <w:color w:val="auto"/>
        </w:rPr>
        <w:t>.’</w:t>
      </w:r>
    </w:p>
    <w:p w14:paraId="685D4C24" w14:textId="08E4B204" w:rsidR="00E2394D" w:rsidRDefault="0011139C" w:rsidP="00A55CD9">
      <w:pPr>
        <w:pStyle w:val="Quote"/>
        <w:rPr>
          <w:color w:val="auto"/>
        </w:rPr>
      </w:pPr>
      <w:r w:rsidRPr="00915C40">
        <w:rPr>
          <w:color w:val="auto"/>
        </w:rPr>
        <w:t>‘</w:t>
      </w:r>
      <w:r w:rsidR="00230ADC" w:rsidRPr="00915C40">
        <w:rPr>
          <w:color w:val="auto"/>
        </w:rPr>
        <w:t>I do not need to be told not to bet</w:t>
      </w:r>
      <w:r w:rsidRPr="00915C40">
        <w:rPr>
          <w:color w:val="auto"/>
        </w:rPr>
        <w:t>.’</w:t>
      </w:r>
    </w:p>
    <w:p w14:paraId="61835DE0" w14:textId="77777777" w:rsidR="00827A8C" w:rsidRDefault="00827A8C">
      <w:pPr>
        <w:rPr>
          <w:rFonts w:ascii="Arial" w:hAnsi="Arial" w:cs="Arial"/>
          <w:b/>
          <w:color w:val="2C2624"/>
          <w:sz w:val="20"/>
          <w:szCs w:val="20"/>
          <w:lang w:bidi="en-US"/>
        </w:rPr>
      </w:pPr>
      <w:r>
        <w:rPr>
          <w:rFonts w:cs="Arial"/>
          <w:b/>
          <w:szCs w:val="20"/>
        </w:rPr>
        <w:br w:type="page"/>
      </w:r>
    </w:p>
    <w:p w14:paraId="0F0BA866" w14:textId="619D1033" w:rsidR="00230ADC" w:rsidRPr="00664E64" w:rsidRDefault="00230ADC" w:rsidP="006C0471">
      <w:pPr>
        <w:pStyle w:val="ListParagraph"/>
        <w:numPr>
          <w:ilvl w:val="0"/>
          <w:numId w:val="11"/>
        </w:numPr>
        <w:snapToGrid w:val="0"/>
        <w:spacing w:before="480" w:after="240" w:line="240" w:lineRule="auto"/>
        <w:ind w:left="426" w:hanging="426"/>
        <w:rPr>
          <w:rFonts w:cs="Arial"/>
          <w:b/>
          <w:szCs w:val="20"/>
        </w:rPr>
      </w:pPr>
      <w:r w:rsidRPr="00664E64">
        <w:rPr>
          <w:rFonts w:cs="Arial"/>
          <w:b/>
          <w:szCs w:val="20"/>
        </w:rPr>
        <w:lastRenderedPageBreak/>
        <w:t>What are the main reasons you found clear and consistent gambling messages useful/not useful?</w:t>
      </w:r>
    </w:p>
    <w:tbl>
      <w:tblPr>
        <w:tblStyle w:val="TableGrid"/>
        <w:tblpPr w:leftFromText="180" w:rightFromText="180" w:vertAnchor="text" w:horzAnchor="margin" w:tblpY="-87"/>
        <w:tblW w:w="0" w:type="auto"/>
        <w:tblLook w:val="04A0" w:firstRow="1" w:lastRow="0" w:firstColumn="1" w:lastColumn="0" w:noHBand="0" w:noVBand="1"/>
        <w:tblCaption w:val="9. What are the main reasons you found clear and consistent gambling messages useful/not useful?"/>
        <w:tblDescription w:val="Percentages who found clear and consistent gambling messages useful or not."/>
      </w:tblPr>
      <w:tblGrid>
        <w:gridCol w:w="2833"/>
        <w:gridCol w:w="2833"/>
        <w:gridCol w:w="2833"/>
      </w:tblGrid>
      <w:tr w:rsidR="00230ADC" w:rsidRPr="00664E64" w14:paraId="57C70BCE"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4D480DF9"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46% found the measure useful to some extent</w:t>
            </w:r>
          </w:p>
        </w:tc>
        <w:tc>
          <w:tcPr>
            <w:tcW w:w="3117" w:type="dxa"/>
          </w:tcPr>
          <w:p w14:paraId="604CD6C8"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36% did not find the measure useful or not useful</w:t>
            </w:r>
          </w:p>
        </w:tc>
        <w:tc>
          <w:tcPr>
            <w:tcW w:w="3117" w:type="dxa"/>
          </w:tcPr>
          <w:p w14:paraId="7ED8A1E0"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18% did not find the measure useful</w:t>
            </w:r>
          </w:p>
        </w:tc>
      </w:tr>
    </w:tbl>
    <w:p w14:paraId="0A1CBA60" w14:textId="3352A4BC" w:rsidR="00230ADC" w:rsidRPr="00664E64" w:rsidRDefault="0011139C" w:rsidP="00A55CD9">
      <w:pPr>
        <w:pStyle w:val="BodyText"/>
      </w:pPr>
      <w:r w:rsidRPr="00664E64">
        <w:t>Two hundred and ninety-four</w:t>
      </w:r>
      <w:r w:rsidR="00230ADC" w:rsidRPr="00664E64">
        <w:t xml:space="preserve"> participants commented on the perceived usefulness of consistent gambling messages, with over half of these participants reporting that they were indifferent or did not find the measure useful. This was often because they didn’t perceive the feature to be relevant to them as they weren’t experiencing gambling-related problems. </w:t>
      </w:r>
    </w:p>
    <w:p w14:paraId="0B26B4DE" w14:textId="39FF4BF5" w:rsidR="00230ADC" w:rsidRPr="00915C40" w:rsidRDefault="0011139C" w:rsidP="00A55CD9">
      <w:pPr>
        <w:pStyle w:val="Quote"/>
        <w:rPr>
          <w:color w:val="auto"/>
        </w:rPr>
      </w:pPr>
      <w:r w:rsidRPr="00915C40">
        <w:rPr>
          <w:color w:val="auto"/>
        </w:rPr>
        <w:t>‘</w:t>
      </w:r>
      <w:r w:rsidR="00230ADC" w:rsidRPr="00915C40">
        <w:rPr>
          <w:color w:val="auto"/>
        </w:rPr>
        <w:t>I do not have a gambling problem, so ignore messages.</w:t>
      </w:r>
      <w:r w:rsidRPr="00915C40">
        <w:rPr>
          <w:color w:val="auto"/>
        </w:rPr>
        <w:t>’</w:t>
      </w:r>
    </w:p>
    <w:p w14:paraId="66F560C5" w14:textId="50036747" w:rsidR="00230ADC" w:rsidRPr="00915C40" w:rsidRDefault="0011139C" w:rsidP="00A55CD9">
      <w:pPr>
        <w:pStyle w:val="Quote"/>
        <w:rPr>
          <w:color w:val="auto"/>
        </w:rPr>
      </w:pPr>
      <w:r w:rsidRPr="00915C40">
        <w:rPr>
          <w:color w:val="auto"/>
        </w:rPr>
        <w:t>‘</w:t>
      </w:r>
      <w:r w:rsidR="00230ADC" w:rsidRPr="00915C40">
        <w:rPr>
          <w:color w:val="auto"/>
        </w:rPr>
        <w:t>Only for people with a problem. Don’t believe I have a problem.</w:t>
      </w:r>
      <w:r w:rsidRPr="00915C40">
        <w:rPr>
          <w:color w:val="auto"/>
        </w:rPr>
        <w:t>’</w:t>
      </w:r>
    </w:p>
    <w:p w14:paraId="6E8E4147" w14:textId="20650455" w:rsidR="00230ADC" w:rsidRPr="00915C40" w:rsidRDefault="0011139C" w:rsidP="00A55CD9">
      <w:pPr>
        <w:pStyle w:val="Quote"/>
        <w:rPr>
          <w:color w:val="auto"/>
        </w:rPr>
      </w:pPr>
      <w:r w:rsidRPr="00915C40">
        <w:rPr>
          <w:color w:val="auto"/>
        </w:rPr>
        <w:t>‘</w:t>
      </w:r>
      <w:r w:rsidR="00230ADC" w:rsidRPr="00915C40">
        <w:rPr>
          <w:color w:val="auto"/>
        </w:rPr>
        <w:t>At this stage, the slogan ‘Please remember to gamble responsibly’ goes in one ear and out the other.</w:t>
      </w:r>
      <w:r w:rsidRPr="00915C40">
        <w:rPr>
          <w:color w:val="auto"/>
        </w:rPr>
        <w:t>’</w:t>
      </w:r>
    </w:p>
    <w:p w14:paraId="626B2738" w14:textId="3C83A2F8" w:rsidR="00230ADC" w:rsidRPr="00915C40" w:rsidRDefault="0011139C" w:rsidP="00A55CD9">
      <w:pPr>
        <w:pStyle w:val="Quote"/>
        <w:rPr>
          <w:color w:val="auto"/>
        </w:rPr>
      </w:pPr>
      <w:r w:rsidRPr="00915C40">
        <w:rPr>
          <w:color w:val="auto"/>
        </w:rPr>
        <w:t>‘</w:t>
      </w:r>
      <w:r w:rsidR="00230ADC" w:rsidRPr="00915C40">
        <w:rPr>
          <w:color w:val="auto"/>
        </w:rPr>
        <w:t>Help as a reminder but doesn’t help with extra promotions being offered.</w:t>
      </w:r>
      <w:r w:rsidRPr="00915C40">
        <w:rPr>
          <w:color w:val="auto"/>
        </w:rPr>
        <w:t>’</w:t>
      </w:r>
    </w:p>
    <w:p w14:paraId="43CC74DF"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access to regular </w:t>
      </w:r>
      <w:r w:rsidRPr="00664E64">
        <w:rPr>
          <w:rFonts w:cs="Arial"/>
          <w:b/>
          <w:szCs w:val="20"/>
          <w:u w:val="single"/>
        </w:rPr>
        <w:t>financial statements</w:t>
      </w:r>
      <w:r w:rsidRPr="00664E64">
        <w:rPr>
          <w:rFonts w:cs="Arial"/>
          <w:b/>
          <w:szCs w:val="20"/>
        </w:rPr>
        <w:t xml:space="preserve"> useful/not useful?</w:t>
      </w:r>
    </w:p>
    <w:tbl>
      <w:tblPr>
        <w:tblStyle w:val="TableGrid"/>
        <w:tblpPr w:leftFromText="180" w:rightFromText="180" w:vertAnchor="text" w:horzAnchor="margin" w:tblpY="-87"/>
        <w:tblW w:w="0" w:type="auto"/>
        <w:tblLook w:val="04A0" w:firstRow="1" w:lastRow="0" w:firstColumn="1" w:lastColumn="0" w:noHBand="0" w:noVBand="1"/>
        <w:tblCaption w:val="10. What are the main reasons you found access to regular financial statements useful/not useful?"/>
        <w:tblDescription w:val="Percentages who found access to regular financial statements useful or not."/>
      </w:tblPr>
      <w:tblGrid>
        <w:gridCol w:w="2833"/>
        <w:gridCol w:w="2833"/>
        <w:gridCol w:w="2833"/>
      </w:tblGrid>
      <w:tr w:rsidR="00230ADC" w:rsidRPr="00664E64" w14:paraId="67EB54A1"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15AC6D93"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77% found the measure useful to some extent</w:t>
            </w:r>
          </w:p>
        </w:tc>
        <w:tc>
          <w:tcPr>
            <w:tcW w:w="3117" w:type="dxa"/>
          </w:tcPr>
          <w:p w14:paraId="12F45CB9"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17% did not find the measure useful or not useful</w:t>
            </w:r>
          </w:p>
        </w:tc>
        <w:tc>
          <w:tcPr>
            <w:tcW w:w="3117" w:type="dxa"/>
          </w:tcPr>
          <w:p w14:paraId="4395E126"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6% did not find the measure useful</w:t>
            </w:r>
          </w:p>
        </w:tc>
      </w:tr>
    </w:tbl>
    <w:p w14:paraId="4A1A9EEC" w14:textId="77777777" w:rsidR="00230ADC" w:rsidRPr="00664E64" w:rsidRDefault="00230ADC" w:rsidP="00DF2954">
      <w:pPr>
        <w:spacing w:before="120" w:line="280" w:lineRule="atLeast"/>
        <w:jc w:val="both"/>
        <w:rPr>
          <w:rFonts w:ascii="Arial" w:hAnsi="Arial" w:cs="Arial"/>
          <w:sz w:val="20"/>
          <w:szCs w:val="20"/>
        </w:rPr>
      </w:pPr>
      <w:r w:rsidRPr="00664E64">
        <w:rPr>
          <w:rFonts w:ascii="Arial" w:hAnsi="Arial" w:cs="Arial"/>
          <w:sz w:val="20"/>
          <w:szCs w:val="20"/>
        </w:rPr>
        <w:t xml:space="preserve">The majority of the 378 responses to this open-ended question reported that they found regular financial and activity statements useful for keeping track of their spending and general betting activity. Only a small portion indicated any direct gambling protection, for most the perceived benefit was in tracking wagering activity.  </w:t>
      </w:r>
    </w:p>
    <w:p w14:paraId="7A4F95ED" w14:textId="76944495" w:rsidR="00230ADC" w:rsidRPr="00915C40" w:rsidRDefault="00BB6043" w:rsidP="00A55CD9">
      <w:pPr>
        <w:pStyle w:val="Quote"/>
        <w:rPr>
          <w:color w:val="auto"/>
        </w:rPr>
      </w:pPr>
      <w:r w:rsidRPr="00915C40">
        <w:rPr>
          <w:color w:val="auto"/>
        </w:rPr>
        <w:t>‘</w:t>
      </w:r>
      <w:r w:rsidR="00230ADC" w:rsidRPr="00915C40">
        <w:rPr>
          <w:color w:val="auto"/>
        </w:rPr>
        <w:t>Because it motivates me not to gamble by seeing my account has nothing</w:t>
      </w:r>
      <w:r w:rsidRPr="00915C40">
        <w:rPr>
          <w:color w:val="auto"/>
        </w:rPr>
        <w:t>.’</w:t>
      </w:r>
    </w:p>
    <w:p w14:paraId="5A37AF44" w14:textId="01078203" w:rsidR="00230ADC" w:rsidRPr="00915C40" w:rsidRDefault="00BB6043" w:rsidP="00A55CD9">
      <w:pPr>
        <w:pStyle w:val="Quote"/>
        <w:rPr>
          <w:color w:val="auto"/>
        </w:rPr>
      </w:pPr>
      <w:r w:rsidRPr="00915C40">
        <w:rPr>
          <w:color w:val="auto"/>
        </w:rPr>
        <w:t>‘</w:t>
      </w:r>
      <w:r w:rsidR="00230ADC" w:rsidRPr="00915C40">
        <w:rPr>
          <w:color w:val="auto"/>
        </w:rPr>
        <w:t>Helps me see how I am travelling as a punter a</w:t>
      </w:r>
      <w:r w:rsidRPr="00915C40">
        <w:rPr>
          <w:color w:val="auto"/>
        </w:rPr>
        <w:t>nd</w:t>
      </w:r>
      <w:r w:rsidR="00230ADC" w:rsidRPr="00915C40">
        <w:rPr>
          <w:color w:val="auto"/>
        </w:rPr>
        <w:t xml:space="preserve"> how I need to reassess the way I gamble</w:t>
      </w:r>
      <w:r w:rsidRPr="00915C40">
        <w:rPr>
          <w:color w:val="auto"/>
        </w:rPr>
        <w:t>.’</w:t>
      </w:r>
    </w:p>
    <w:p w14:paraId="254B9B72" w14:textId="3841A54F" w:rsidR="00230ADC" w:rsidRPr="00915C40" w:rsidRDefault="00BB6043" w:rsidP="00A55CD9">
      <w:pPr>
        <w:pStyle w:val="Quote"/>
        <w:rPr>
          <w:color w:val="auto"/>
        </w:rPr>
      </w:pPr>
      <w:r w:rsidRPr="00915C40">
        <w:rPr>
          <w:color w:val="auto"/>
        </w:rPr>
        <w:t>‘</w:t>
      </w:r>
      <w:r w:rsidR="00230ADC" w:rsidRPr="00915C40">
        <w:rPr>
          <w:color w:val="auto"/>
        </w:rPr>
        <w:t>Was a way to track what bets I put on but had no bearing on the way I was betting or what I would bet on</w:t>
      </w:r>
      <w:r w:rsidRPr="00915C40">
        <w:rPr>
          <w:color w:val="auto"/>
        </w:rPr>
        <w:t>.’</w:t>
      </w:r>
    </w:p>
    <w:p w14:paraId="609732CA" w14:textId="5AB32B68" w:rsidR="00230ADC" w:rsidRPr="00915C40" w:rsidRDefault="00BB6043" w:rsidP="00A55CD9">
      <w:pPr>
        <w:pStyle w:val="Quote"/>
        <w:rPr>
          <w:color w:val="auto"/>
        </w:rPr>
      </w:pPr>
      <w:r w:rsidRPr="00915C40">
        <w:rPr>
          <w:color w:val="auto"/>
        </w:rPr>
        <w:t>‘</w:t>
      </w:r>
      <w:r w:rsidR="00230ADC" w:rsidRPr="00915C40">
        <w:rPr>
          <w:color w:val="auto"/>
        </w:rPr>
        <w:t>Used it for curiosity rather than to make a change to habits</w:t>
      </w:r>
      <w:r w:rsidRPr="00915C40">
        <w:rPr>
          <w:color w:val="auto"/>
        </w:rPr>
        <w:t>.’</w:t>
      </w:r>
    </w:p>
    <w:p w14:paraId="23844913" w14:textId="77777777" w:rsidR="00230ADC" w:rsidRPr="00664E64" w:rsidRDefault="00230ADC" w:rsidP="006C0471">
      <w:pPr>
        <w:pStyle w:val="ListParagraph"/>
        <w:numPr>
          <w:ilvl w:val="0"/>
          <w:numId w:val="11"/>
        </w:numPr>
        <w:snapToGrid w:val="0"/>
        <w:spacing w:before="480" w:after="240" w:line="240" w:lineRule="auto"/>
        <w:ind w:left="426" w:hanging="426"/>
        <w:contextualSpacing w:val="0"/>
        <w:rPr>
          <w:rFonts w:cs="Arial"/>
          <w:b/>
          <w:szCs w:val="20"/>
        </w:rPr>
      </w:pPr>
      <w:r w:rsidRPr="00664E64">
        <w:rPr>
          <w:rFonts w:cs="Arial"/>
          <w:b/>
          <w:szCs w:val="20"/>
        </w:rPr>
        <w:t xml:space="preserve">What are the main reasons you found information about </w:t>
      </w:r>
      <w:r w:rsidRPr="00664E64">
        <w:rPr>
          <w:rFonts w:cs="Arial"/>
          <w:b/>
          <w:szCs w:val="20"/>
          <w:u w:val="single"/>
        </w:rPr>
        <w:t>staff training</w:t>
      </w:r>
      <w:r w:rsidRPr="00664E64">
        <w:rPr>
          <w:rFonts w:cs="Arial"/>
          <w:b/>
          <w:szCs w:val="20"/>
        </w:rPr>
        <w:t xml:space="preserve"> regarding responsible gambling useful/not useful?</w:t>
      </w:r>
    </w:p>
    <w:tbl>
      <w:tblPr>
        <w:tblStyle w:val="TableGrid"/>
        <w:tblpPr w:leftFromText="180" w:rightFromText="180" w:vertAnchor="text" w:horzAnchor="margin" w:tblpY="-87"/>
        <w:tblW w:w="0" w:type="auto"/>
        <w:tblLook w:val="04A0" w:firstRow="1" w:lastRow="0" w:firstColumn="1" w:lastColumn="0" w:noHBand="0" w:noVBand="1"/>
        <w:tblCaption w:val="11. What are the main reasons you found information about staff training regarding responsible gambling useful/not useful?"/>
        <w:tblDescription w:val="Percentages who found information about staff training useful or not."/>
      </w:tblPr>
      <w:tblGrid>
        <w:gridCol w:w="2833"/>
        <w:gridCol w:w="2833"/>
        <w:gridCol w:w="2833"/>
      </w:tblGrid>
      <w:tr w:rsidR="00230ADC" w:rsidRPr="00664E64" w14:paraId="6728567E" w14:textId="77777777" w:rsidTr="00745019">
        <w:trPr>
          <w:cnfStyle w:val="100000000000" w:firstRow="1" w:lastRow="0" w:firstColumn="0" w:lastColumn="0" w:oddVBand="0" w:evenVBand="0" w:oddHBand="0" w:evenHBand="0" w:firstRowFirstColumn="0" w:firstRowLastColumn="0" w:lastRowFirstColumn="0" w:lastRowLastColumn="0"/>
          <w:tblHeader/>
        </w:trPr>
        <w:tc>
          <w:tcPr>
            <w:tcW w:w="3116" w:type="dxa"/>
          </w:tcPr>
          <w:p w14:paraId="24F421A4"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47% found the measure useful to some extent</w:t>
            </w:r>
          </w:p>
        </w:tc>
        <w:tc>
          <w:tcPr>
            <w:tcW w:w="3117" w:type="dxa"/>
          </w:tcPr>
          <w:p w14:paraId="44BB4BD9"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33% did not find the measure useful or not useful</w:t>
            </w:r>
          </w:p>
        </w:tc>
        <w:tc>
          <w:tcPr>
            <w:tcW w:w="3117" w:type="dxa"/>
          </w:tcPr>
          <w:p w14:paraId="6059914E" w14:textId="77777777" w:rsidR="00230ADC" w:rsidRPr="00664E64" w:rsidRDefault="00230ADC" w:rsidP="006F5F49">
            <w:pPr>
              <w:snapToGrid w:val="0"/>
              <w:spacing w:before="240" w:after="120"/>
              <w:jc w:val="center"/>
              <w:rPr>
                <w:rFonts w:cs="Arial"/>
                <w:color w:val="FFFFFF" w:themeColor="background1"/>
                <w:szCs w:val="20"/>
              </w:rPr>
            </w:pPr>
            <w:r w:rsidRPr="00664E64">
              <w:rPr>
                <w:rFonts w:cs="Arial"/>
                <w:color w:val="FFFFFF" w:themeColor="background1"/>
                <w:szCs w:val="20"/>
              </w:rPr>
              <w:t>21% did not find the measure useful</w:t>
            </w:r>
          </w:p>
        </w:tc>
      </w:tr>
    </w:tbl>
    <w:p w14:paraId="118B14F7" w14:textId="43CB487B" w:rsidR="00230ADC" w:rsidRPr="00664E64" w:rsidRDefault="00230ADC" w:rsidP="00A55CD9">
      <w:pPr>
        <w:pStyle w:val="BodyText"/>
      </w:pPr>
      <w:r w:rsidRPr="00664E64">
        <w:t xml:space="preserve">Only 92 participants responded to this question; of those, one third reported indifference regarding the usefulness of this feature. Participants may have been unclear about what the question was asking, or </w:t>
      </w:r>
      <w:r w:rsidR="0063712E" w:rsidRPr="00664E64">
        <w:t>may have been</w:t>
      </w:r>
      <w:r w:rsidRPr="00664E64">
        <w:t xml:space="preserve"> unsure or unable to provide a response about whether wagering operators provide training for their staff. This confusion was expected as a significant number of </w:t>
      </w:r>
      <w:r w:rsidRPr="00664E64">
        <w:lastRenderedPageBreak/>
        <w:t>operators, both large and small, did not provide clear information regarding staff training on their websites</w:t>
      </w:r>
      <w:r w:rsidR="0063712E" w:rsidRPr="00664E64">
        <w:t>,</w:t>
      </w:r>
      <w:r w:rsidRPr="00664E64">
        <w:t xml:space="preserve"> and this was highlighted from the desktop review. </w:t>
      </w:r>
    </w:p>
    <w:p w14:paraId="1FAFFE81" w14:textId="1F032C99" w:rsidR="00230ADC" w:rsidRPr="00915C40" w:rsidRDefault="0063712E" w:rsidP="00A55CD9">
      <w:pPr>
        <w:pStyle w:val="Quote"/>
        <w:rPr>
          <w:color w:val="auto"/>
        </w:rPr>
      </w:pPr>
      <w:r w:rsidRPr="00915C40">
        <w:rPr>
          <w:color w:val="auto"/>
        </w:rPr>
        <w:t>‘</w:t>
      </w:r>
      <w:r w:rsidR="00230ADC" w:rsidRPr="00915C40">
        <w:rPr>
          <w:color w:val="auto"/>
        </w:rPr>
        <w:t>How do I know what training they are getting</w:t>
      </w:r>
      <w:r w:rsidRPr="00915C40">
        <w:rPr>
          <w:color w:val="auto"/>
        </w:rPr>
        <w:t>?’</w:t>
      </w:r>
    </w:p>
    <w:p w14:paraId="3DC36C3C" w14:textId="488C3B57" w:rsidR="00230ADC" w:rsidRPr="00915C40" w:rsidRDefault="0063712E" w:rsidP="00A55CD9">
      <w:pPr>
        <w:pStyle w:val="Quote"/>
        <w:rPr>
          <w:color w:val="auto"/>
        </w:rPr>
      </w:pPr>
      <w:r w:rsidRPr="00915C40">
        <w:rPr>
          <w:color w:val="auto"/>
        </w:rPr>
        <w:t>‘</w:t>
      </w:r>
      <w:r w:rsidR="00230ADC" w:rsidRPr="00915C40">
        <w:rPr>
          <w:color w:val="auto"/>
        </w:rPr>
        <w:t>Their training has nothing to do with me</w:t>
      </w:r>
      <w:r w:rsidRPr="00915C40">
        <w:rPr>
          <w:color w:val="auto"/>
        </w:rPr>
        <w:t>.’</w:t>
      </w:r>
    </w:p>
    <w:p w14:paraId="0D1C1DAE" w14:textId="77777777" w:rsidR="00230ADC" w:rsidRPr="00915C40" w:rsidRDefault="00230ADC" w:rsidP="00A55CD9">
      <w:pPr>
        <w:pStyle w:val="BodyText"/>
        <w:rPr>
          <w:color w:val="auto"/>
        </w:rPr>
      </w:pPr>
      <w:r w:rsidRPr="00915C40">
        <w:rPr>
          <w:color w:val="auto"/>
        </w:rPr>
        <w:t xml:space="preserve">There were, however, a number of responses that reported finding the information useful and encouraging. </w:t>
      </w:r>
    </w:p>
    <w:p w14:paraId="0AAB5490" w14:textId="504D9527" w:rsidR="00230ADC" w:rsidRPr="00915C40" w:rsidRDefault="0063712E" w:rsidP="00A55CD9">
      <w:pPr>
        <w:pStyle w:val="Quote"/>
        <w:rPr>
          <w:color w:val="auto"/>
        </w:rPr>
      </w:pPr>
      <w:r w:rsidRPr="00915C40">
        <w:rPr>
          <w:color w:val="auto"/>
        </w:rPr>
        <w:t>‘</w:t>
      </w:r>
      <w:r w:rsidR="00230ADC" w:rsidRPr="00915C40">
        <w:rPr>
          <w:color w:val="auto"/>
        </w:rPr>
        <w:t>They keep you aware of danger of gambling addiction</w:t>
      </w:r>
      <w:r w:rsidRPr="00915C40">
        <w:rPr>
          <w:color w:val="auto"/>
        </w:rPr>
        <w:t>.’</w:t>
      </w:r>
    </w:p>
    <w:p w14:paraId="145BF0F5" w14:textId="34F293A0" w:rsidR="00230ADC" w:rsidRPr="00915C40" w:rsidRDefault="0063712E" w:rsidP="00A55CD9">
      <w:pPr>
        <w:pStyle w:val="Quote"/>
        <w:rPr>
          <w:color w:val="auto"/>
        </w:rPr>
      </w:pPr>
      <w:r w:rsidRPr="00915C40">
        <w:rPr>
          <w:color w:val="auto"/>
        </w:rPr>
        <w:t>‘</w:t>
      </w:r>
      <w:r w:rsidR="00230ADC" w:rsidRPr="00915C40">
        <w:rPr>
          <w:color w:val="auto"/>
        </w:rPr>
        <w:t>It guides the customer to a start point should they wish to act on their gambling</w:t>
      </w:r>
      <w:r w:rsidRPr="00915C40">
        <w:rPr>
          <w:color w:val="auto"/>
        </w:rPr>
        <w:t>.’</w:t>
      </w:r>
    </w:p>
    <w:p w14:paraId="1A1215AC" w14:textId="656168D7" w:rsidR="00C808A3" w:rsidRPr="00915C40" w:rsidRDefault="00C808A3" w:rsidP="00A55CD9">
      <w:pPr>
        <w:pStyle w:val="Heading3"/>
        <w:rPr>
          <w:color w:val="auto"/>
        </w:rPr>
      </w:pPr>
      <w:r w:rsidRPr="00915C40">
        <w:rPr>
          <w:color w:val="auto"/>
        </w:rPr>
        <w:t>Consumer suggestions for</w:t>
      </w:r>
      <w:r w:rsidR="00C74B30" w:rsidRPr="00915C40">
        <w:rPr>
          <w:color w:val="auto"/>
        </w:rPr>
        <w:t xml:space="preserve"> further features to prevent or reduce harm</w:t>
      </w:r>
    </w:p>
    <w:p w14:paraId="351149EA" w14:textId="5FC035F1" w:rsidR="00C74B30" w:rsidRPr="00915C40" w:rsidRDefault="00C808A3" w:rsidP="00A55CD9">
      <w:pPr>
        <w:pStyle w:val="BodyText"/>
        <w:rPr>
          <w:color w:val="auto"/>
        </w:rPr>
      </w:pPr>
      <w:r w:rsidRPr="00915C40">
        <w:rPr>
          <w:color w:val="auto"/>
        </w:rPr>
        <w:t xml:space="preserve">Participants were also asked to describe any other measures or features that they believed </w:t>
      </w:r>
      <w:r w:rsidR="00C74B30" w:rsidRPr="00915C40">
        <w:rPr>
          <w:color w:val="auto"/>
        </w:rPr>
        <w:t xml:space="preserve">online </w:t>
      </w:r>
      <w:r w:rsidRPr="00915C40">
        <w:rPr>
          <w:color w:val="auto"/>
        </w:rPr>
        <w:t>wagering providers could implement</w:t>
      </w:r>
      <w:r w:rsidR="00C74B30" w:rsidRPr="00915C40">
        <w:rPr>
          <w:color w:val="auto"/>
        </w:rPr>
        <w:t xml:space="preserve"> to help prevent or reduce gambling-related harm among their customers. </w:t>
      </w:r>
      <w:r w:rsidR="00B33DF6" w:rsidRPr="00915C40">
        <w:rPr>
          <w:color w:val="auto"/>
        </w:rPr>
        <w:t>In total, 2,822 participants provided responses to this question.</w:t>
      </w:r>
    </w:p>
    <w:p w14:paraId="50B2B68A" w14:textId="5257008F" w:rsidR="00357014" w:rsidRPr="00915C40" w:rsidRDefault="00B33DF6" w:rsidP="00A55CD9">
      <w:pPr>
        <w:pStyle w:val="BodyText"/>
        <w:rPr>
          <w:color w:val="auto"/>
        </w:rPr>
      </w:pPr>
      <w:r w:rsidRPr="00915C40">
        <w:rPr>
          <w:color w:val="auto"/>
        </w:rPr>
        <w:t>Around one-third</w:t>
      </w:r>
      <w:r w:rsidR="00357014" w:rsidRPr="00915C40">
        <w:rPr>
          <w:color w:val="auto"/>
        </w:rPr>
        <w:t xml:space="preserve"> of responses </w:t>
      </w:r>
      <w:r w:rsidRPr="00915C40">
        <w:rPr>
          <w:color w:val="auto"/>
        </w:rPr>
        <w:t>related to providing better and consistent messaging, tools and campaigns to reduce gambling-related harm.</w:t>
      </w:r>
    </w:p>
    <w:p w14:paraId="7311B51B" w14:textId="43C17456" w:rsidR="00357014" w:rsidRPr="00915C40" w:rsidRDefault="005B5FAF" w:rsidP="00A55CD9">
      <w:pPr>
        <w:pStyle w:val="Quote"/>
        <w:rPr>
          <w:color w:val="auto"/>
        </w:rPr>
      </w:pPr>
      <w:r w:rsidRPr="00915C40">
        <w:rPr>
          <w:color w:val="auto"/>
        </w:rPr>
        <w:t>‘</w:t>
      </w:r>
      <w:r w:rsidR="00357014" w:rsidRPr="00915C40">
        <w:rPr>
          <w:color w:val="auto"/>
        </w:rPr>
        <w:t>The online betting companies need a disclaimer informing the consumer (gambler) that online betting can affect credit</w:t>
      </w:r>
      <w:r w:rsidRPr="00915C40">
        <w:rPr>
          <w:color w:val="auto"/>
        </w:rPr>
        <w:t>,</w:t>
      </w:r>
      <w:r w:rsidR="00357014" w:rsidRPr="00915C40">
        <w:rPr>
          <w:color w:val="auto"/>
        </w:rPr>
        <w:t xml:space="preserve"> e.g. applying for loans</w:t>
      </w:r>
      <w:r w:rsidRPr="00915C40">
        <w:rPr>
          <w:color w:val="auto"/>
        </w:rPr>
        <w:t>,</w:t>
      </w:r>
      <w:r w:rsidR="00357014" w:rsidRPr="00915C40">
        <w:rPr>
          <w:color w:val="auto"/>
        </w:rPr>
        <w:t xml:space="preserve"> etc</w:t>
      </w:r>
      <w:r w:rsidRPr="00915C40">
        <w:rPr>
          <w:color w:val="auto"/>
        </w:rPr>
        <w:t>.’</w:t>
      </w:r>
    </w:p>
    <w:p w14:paraId="095DB902" w14:textId="55730626" w:rsidR="00357014" w:rsidRPr="00915C40" w:rsidRDefault="005B5FAF" w:rsidP="00A55CD9">
      <w:pPr>
        <w:pStyle w:val="Quote"/>
        <w:rPr>
          <w:color w:val="auto"/>
        </w:rPr>
      </w:pPr>
      <w:r w:rsidRPr="00915C40">
        <w:rPr>
          <w:color w:val="auto"/>
        </w:rPr>
        <w:t>‘</w:t>
      </w:r>
      <w:r w:rsidR="00357014" w:rsidRPr="00915C40">
        <w:rPr>
          <w:color w:val="auto"/>
        </w:rPr>
        <w:t>I am not the heavy punter but when you do the transactions doing money transfer to the betting companies, they should clearly warn punter about Responsible Gambling. Online betting when transferring money to their account a warning should pop up</w:t>
      </w:r>
      <w:r w:rsidRPr="00915C40">
        <w:rPr>
          <w:color w:val="auto"/>
        </w:rPr>
        <w:t>.’</w:t>
      </w:r>
    </w:p>
    <w:p w14:paraId="71A24A6B" w14:textId="511F6AEC" w:rsidR="00357014" w:rsidRPr="00915C40" w:rsidRDefault="005B5FAF" w:rsidP="00A55CD9">
      <w:pPr>
        <w:pStyle w:val="Quote"/>
        <w:rPr>
          <w:color w:val="auto"/>
        </w:rPr>
      </w:pPr>
      <w:r w:rsidRPr="00915C40">
        <w:rPr>
          <w:color w:val="auto"/>
        </w:rPr>
        <w:t>‘</w:t>
      </w:r>
      <w:r w:rsidR="00357014" w:rsidRPr="00915C40">
        <w:rPr>
          <w:color w:val="auto"/>
        </w:rPr>
        <w:t>Continuously and consistently put out the message that gambling can be addictive and for people to gamble within their means</w:t>
      </w:r>
      <w:r w:rsidRPr="00915C40">
        <w:rPr>
          <w:color w:val="auto"/>
        </w:rPr>
        <w:t>.’</w:t>
      </w:r>
    </w:p>
    <w:p w14:paraId="4EFDA9F7" w14:textId="1B5B7DFC" w:rsidR="00B33DF6" w:rsidRPr="00915C40" w:rsidRDefault="005B5FAF" w:rsidP="00A55CD9">
      <w:pPr>
        <w:pStyle w:val="Quote"/>
        <w:rPr>
          <w:color w:val="auto"/>
        </w:rPr>
      </w:pPr>
      <w:r w:rsidRPr="00915C40">
        <w:rPr>
          <w:color w:val="auto"/>
        </w:rPr>
        <w:t>‘</w:t>
      </w:r>
      <w:r w:rsidR="00B33DF6" w:rsidRPr="00915C40">
        <w:rPr>
          <w:color w:val="auto"/>
        </w:rPr>
        <w:t>Less direct advertising</w:t>
      </w:r>
      <w:r w:rsidRPr="00915C40">
        <w:rPr>
          <w:color w:val="auto"/>
        </w:rPr>
        <w:t>,</w:t>
      </w:r>
      <w:r w:rsidR="00B33DF6" w:rsidRPr="00915C40">
        <w:rPr>
          <w:color w:val="auto"/>
        </w:rPr>
        <w:t xml:space="preserve"> i.e. texts and emails encouraging gambling</w:t>
      </w:r>
      <w:r w:rsidRPr="00915C40">
        <w:rPr>
          <w:color w:val="auto"/>
        </w:rPr>
        <w:t>,</w:t>
      </w:r>
      <w:r w:rsidR="00B33DF6" w:rsidRPr="00915C40">
        <w:rPr>
          <w:color w:val="auto"/>
        </w:rPr>
        <w:t xml:space="preserve"> and more meaningful campaigns. Just telling people to gamble within their means is not going to make a problem gambler suddenly reform their behaviour</w:t>
      </w:r>
      <w:r w:rsidRPr="00915C40">
        <w:rPr>
          <w:color w:val="auto"/>
        </w:rPr>
        <w:t>.’</w:t>
      </w:r>
    </w:p>
    <w:p w14:paraId="0DF88ECB" w14:textId="02767A41" w:rsidR="00357014" w:rsidRPr="00915C40" w:rsidRDefault="00B33DF6" w:rsidP="00A55CD9">
      <w:pPr>
        <w:pStyle w:val="BodyText"/>
        <w:rPr>
          <w:color w:val="auto"/>
        </w:rPr>
      </w:pPr>
      <w:r w:rsidRPr="00915C40">
        <w:rPr>
          <w:color w:val="auto"/>
        </w:rPr>
        <w:t xml:space="preserve">Additional </w:t>
      </w:r>
      <w:r w:rsidR="00357014" w:rsidRPr="00915C40">
        <w:rPr>
          <w:color w:val="auto"/>
        </w:rPr>
        <w:t xml:space="preserve">advertising </w:t>
      </w:r>
      <w:r w:rsidRPr="00915C40">
        <w:rPr>
          <w:color w:val="auto"/>
        </w:rPr>
        <w:t>restrictions for wagering providers were also commonly mentioned:</w:t>
      </w:r>
    </w:p>
    <w:p w14:paraId="609D2132" w14:textId="44532A88" w:rsidR="00357014" w:rsidRPr="00915C40" w:rsidRDefault="005B5FAF" w:rsidP="00A55CD9">
      <w:pPr>
        <w:pStyle w:val="Quote"/>
        <w:rPr>
          <w:color w:val="auto"/>
        </w:rPr>
      </w:pPr>
      <w:r w:rsidRPr="00915C40">
        <w:rPr>
          <w:color w:val="auto"/>
        </w:rPr>
        <w:t>‘</w:t>
      </w:r>
      <w:r w:rsidR="00357014" w:rsidRPr="00915C40">
        <w:rPr>
          <w:color w:val="auto"/>
        </w:rPr>
        <w:t>Ban all betting advertisements. They paint an unrealistic image of what gambling is like and actively prey on people most susceptible</w:t>
      </w:r>
      <w:r w:rsidRPr="00915C40">
        <w:rPr>
          <w:color w:val="auto"/>
        </w:rPr>
        <w:t xml:space="preserve">.’ </w:t>
      </w:r>
    </w:p>
    <w:p w14:paraId="66A012F2" w14:textId="45C8909A" w:rsidR="00B33DF6" w:rsidRPr="00915C40" w:rsidRDefault="005B5FAF" w:rsidP="00A55CD9">
      <w:pPr>
        <w:pStyle w:val="Quote"/>
        <w:rPr>
          <w:color w:val="auto"/>
        </w:rPr>
      </w:pPr>
      <w:r w:rsidRPr="00915C40">
        <w:rPr>
          <w:color w:val="auto"/>
        </w:rPr>
        <w:t>‘</w:t>
      </w:r>
      <w:r w:rsidR="00B33DF6" w:rsidRPr="00915C40">
        <w:rPr>
          <w:color w:val="auto"/>
        </w:rPr>
        <w:t>Stop the incessant advertising on TV. Don’t tell us to gamble responsibly when they don’t really want us to. Wipe the 2</w:t>
      </w:r>
      <w:r w:rsidR="00B33DF6" w:rsidRPr="00915C40">
        <w:rPr>
          <w:color w:val="auto"/>
          <w:vertAlign w:val="superscript"/>
        </w:rPr>
        <w:t>nd</w:t>
      </w:r>
      <w:r w:rsidR="00B33DF6" w:rsidRPr="00915C40">
        <w:rPr>
          <w:color w:val="auto"/>
        </w:rPr>
        <w:t xml:space="preserve"> and 3</w:t>
      </w:r>
      <w:r w:rsidR="00B33DF6" w:rsidRPr="00915C40">
        <w:rPr>
          <w:color w:val="auto"/>
          <w:vertAlign w:val="superscript"/>
        </w:rPr>
        <w:t>rd</w:t>
      </w:r>
      <w:r w:rsidR="00B33DF6" w:rsidRPr="00915C40">
        <w:rPr>
          <w:color w:val="auto"/>
        </w:rPr>
        <w:t xml:space="preserve"> bonus bet offers which suck mugs in</w:t>
      </w:r>
      <w:r w:rsidRPr="00915C40">
        <w:rPr>
          <w:color w:val="auto"/>
        </w:rPr>
        <w:t>.’</w:t>
      </w:r>
    </w:p>
    <w:p w14:paraId="2603C3A1" w14:textId="1A34ADED" w:rsidR="00B33DF6" w:rsidRPr="00915C40" w:rsidRDefault="005B5FAF" w:rsidP="00A55CD9">
      <w:pPr>
        <w:pStyle w:val="Quote"/>
        <w:rPr>
          <w:color w:val="auto"/>
        </w:rPr>
      </w:pPr>
      <w:r w:rsidRPr="00915C40">
        <w:rPr>
          <w:color w:val="auto"/>
        </w:rPr>
        <w:t>‘</w:t>
      </w:r>
      <w:r w:rsidR="00B33DF6" w:rsidRPr="00915C40">
        <w:rPr>
          <w:color w:val="auto"/>
        </w:rPr>
        <w:t>Stop advertising their ads on TV. If someone wants to gamble that bad, they can look for it themselves rather than be handed to them on a silver platter</w:t>
      </w:r>
      <w:r w:rsidRPr="00915C40">
        <w:rPr>
          <w:color w:val="auto"/>
        </w:rPr>
        <w:t>.’</w:t>
      </w:r>
    </w:p>
    <w:p w14:paraId="66FDA1C4" w14:textId="2F1EFAFB" w:rsidR="00B33DF6" w:rsidRPr="00915C40" w:rsidRDefault="005B5FAF" w:rsidP="00A55CD9">
      <w:pPr>
        <w:pStyle w:val="Quote"/>
        <w:rPr>
          <w:color w:val="auto"/>
        </w:rPr>
      </w:pPr>
      <w:r w:rsidRPr="00915C40">
        <w:rPr>
          <w:color w:val="auto"/>
        </w:rPr>
        <w:t>‘</w:t>
      </w:r>
      <w:r w:rsidR="00B33DF6" w:rsidRPr="00915C40">
        <w:rPr>
          <w:color w:val="auto"/>
        </w:rPr>
        <w:t>Stop advertising with huge promises to induce people to gamble and it’s always the poor who think they will win big and lose the little that they have</w:t>
      </w:r>
      <w:r w:rsidRPr="00915C40">
        <w:rPr>
          <w:color w:val="auto"/>
        </w:rPr>
        <w:t>.’</w:t>
      </w:r>
    </w:p>
    <w:p w14:paraId="6B4ADE13" w14:textId="5B4E627A" w:rsidR="00E1337D" w:rsidRPr="00664E64" w:rsidRDefault="004D6142" w:rsidP="00A55CD9">
      <w:pPr>
        <w:pStyle w:val="BodyText"/>
        <w:rPr>
          <w:noProof/>
          <w:color w:val="000000" w:themeColor="text1"/>
        </w:rPr>
      </w:pPr>
      <w:r>
        <w:rPr>
          <w:noProof/>
        </w:rPr>
        <w:lastRenderedPageBreak/>
        <w:t>Others described features rel</w:t>
      </w:r>
      <w:r w:rsidR="00E1337D" w:rsidRPr="00664E64">
        <w:rPr>
          <w:noProof/>
        </w:rPr>
        <w:t xml:space="preserve">ated to the accounts themselves. Suggestions included easier processes to close accounts, instant verification for new cards or deposit methods, and the </w:t>
      </w:r>
      <w:r w:rsidR="00E1337D" w:rsidRPr="00664E64">
        <w:rPr>
          <w:noProof/>
          <w:color w:val="000000" w:themeColor="text1"/>
        </w:rPr>
        <w:t xml:space="preserve">introduction of non-raisable limits. </w:t>
      </w:r>
    </w:p>
    <w:p w14:paraId="323663AF" w14:textId="59CF6C71" w:rsidR="00E1337D" w:rsidRPr="00915C40" w:rsidRDefault="005B5FAF" w:rsidP="00A55CD9">
      <w:pPr>
        <w:pStyle w:val="Quote"/>
        <w:rPr>
          <w:noProof/>
          <w:color w:val="auto"/>
        </w:rPr>
      </w:pPr>
      <w:r w:rsidRPr="00915C40">
        <w:rPr>
          <w:noProof/>
          <w:color w:val="auto"/>
        </w:rPr>
        <w:t>‘</w:t>
      </w:r>
      <w:r w:rsidR="00E1337D" w:rsidRPr="00915C40">
        <w:rPr>
          <w:noProof/>
          <w:color w:val="auto"/>
        </w:rPr>
        <w:t>Make the delete account button clear on the top of the account. Limit how much money can be transferred in on a daily basis</w:t>
      </w:r>
      <w:r w:rsidRPr="00915C40">
        <w:rPr>
          <w:noProof/>
          <w:color w:val="auto"/>
        </w:rPr>
        <w:t>.’</w:t>
      </w:r>
    </w:p>
    <w:p w14:paraId="3B9CB867" w14:textId="1E450E1A" w:rsidR="00E1337D" w:rsidRPr="00915C40" w:rsidRDefault="005B5FAF" w:rsidP="00A55CD9">
      <w:pPr>
        <w:pStyle w:val="Quote"/>
        <w:rPr>
          <w:noProof/>
          <w:color w:val="auto"/>
        </w:rPr>
      </w:pPr>
      <w:r w:rsidRPr="00915C40">
        <w:rPr>
          <w:noProof/>
          <w:color w:val="auto"/>
        </w:rPr>
        <w:t>‘</w:t>
      </w:r>
      <w:r w:rsidR="00E1337D" w:rsidRPr="00915C40">
        <w:rPr>
          <w:noProof/>
          <w:color w:val="auto"/>
        </w:rPr>
        <w:t>Put an extra step in online betting – maybe a toggle function to log in as opposed to just a password</w:t>
      </w:r>
      <w:r w:rsidRPr="00915C40">
        <w:rPr>
          <w:noProof/>
          <w:color w:val="auto"/>
        </w:rPr>
        <w:t>.’</w:t>
      </w:r>
    </w:p>
    <w:p w14:paraId="06AD3A1F" w14:textId="716FD0FD" w:rsidR="00E1337D" w:rsidRPr="00915C40" w:rsidRDefault="005B5FAF" w:rsidP="00A55CD9">
      <w:pPr>
        <w:pStyle w:val="Quote"/>
        <w:rPr>
          <w:noProof/>
          <w:color w:val="auto"/>
        </w:rPr>
      </w:pPr>
      <w:r w:rsidRPr="00915C40">
        <w:rPr>
          <w:noProof/>
          <w:color w:val="auto"/>
        </w:rPr>
        <w:t>‘</w:t>
      </w:r>
      <w:r w:rsidR="00E1337D" w:rsidRPr="00915C40">
        <w:rPr>
          <w:noProof/>
          <w:color w:val="auto"/>
        </w:rPr>
        <w:t>It is too easy to create online betting accounts and having access to funds. I don’t have a problem but can see how people can get trapped overspending</w:t>
      </w:r>
      <w:r w:rsidRPr="00915C40">
        <w:rPr>
          <w:noProof/>
          <w:color w:val="auto"/>
        </w:rPr>
        <w:t>.’</w:t>
      </w:r>
    </w:p>
    <w:p w14:paraId="7B029AB0" w14:textId="21DA9518" w:rsidR="00E1337D" w:rsidRPr="00915C40" w:rsidRDefault="006E7D47" w:rsidP="00A55CD9">
      <w:pPr>
        <w:pStyle w:val="BodyText"/>
        <w:rPr>
          <w:noProof/>
          <w:color w:val="auto"/>
        </w:rPr>
      </w:pPr>
      <w:r w:rsidRPr="00915C40">
        <w:rPr>
          <w:noProof/>
          <w:color w:val="auto"/>
        </w:rPr>
        <w:t>Finally, a</w:t>
      </w:r>
      <w:r w:rsidR="00E1337D" w:rsidRPr="00915C40">
        <w:rPr>
          <w:noProof/>
          <w:color w:val="auto"/>
        </w:rPr>
        <w:t xml:space="preserve"> number of participants de</w:t>
      </w:r>
      <w:r w:rsidR="005B5FAF" w:rsidRPr="00915C40">
        <w:rPr>
          <w:noProof/>
          <w:color w:val="auto"/>
        </w:rPr>
        <w:t>s</w:t>
      </w:r>
      <w:r w:rsidR="00E1337D" w:rsidRPr="00915C40">
        <w:rPr>
          <w:noProof/>
          <w:color w:val="auto"/>
        </w:rPr>
        <w:t>cribed the import</w:t>
      </w:r>
      <w:r w:rsidRPr="00915C40">
        <w:rPr>
          <w:noProof/>
          <w:color w:val="auto"/>
        </w:rPr>
        <w:t>an</w:t>
      </w:r>
      <w:r w:rsidR="00E1337D" w:rsidRPr="00915C40">
        <w:rPr>
          <w:noProof/>
          <w:color w:val="auto"/>
        </w:rPr>
        <w:t xml:space="preserve">ce of betting limits to </w:t>
      </w:r>
      <w:r w:rsidRPr="00915C40">
        <w:rPr>
          <w:noProof/>
          <w:color w:val="auto"/>
        </w:rPr>
        <w:t xml:space="preserve">curb spending and </w:t>
      </w:r>
      <w:r w:rsidR="00E1337D" w:rsidRPr="00915C40">
        <w:rPr>
          <w:noProof/>
          <w:color w:val="auto"/>
        </w:rPr>
        <w:t xml:space="preserve">prevent and reduce harm, especially for those who might be </w:t>
      </w:r>
      <w:r w:rsidRPr="00915C40">
        <w:rPr>
          <w:noProof/>
          <w:color w:val="auto"/>
        </w:rPr>
        <w:t>at risk or already experie</w:t>
      </w:r>
      <w:r w:rsidR="004D6142" w:rsidRPr="00915C40">
        <w:rPr>
          <w:noProof/>
          <w:color w:val="auto"/>
        </w:rPr>
        <w:t>n</w:t>
      </w:r>
      <w:r w:rsidRPr="00915C40">
        <w:rPr>
          <w:noProof/>
          <w:color w:val="auto"/>
        </w:rPr>
        <w:t>cing harm.</w:t>
      </w:r>
      <w:r w:rsidR="00E1337D" w:rsidRPr="00915C40">
        <w:rPr>
          <w:noProof/>
          <w:color w:val="auto"/>
        </w:rPr>
        <w:t xml:space="preserve"> </w:t>
      </w:r>
    </w:p>
    <w:p w14:paraId="041AAC24" w14:textId="433C9DA8" w:rsidR="006E7D47" w:rsidRPr="00915C40" w:rsidRDefault="00D6099F" w:rsidP="00A55CD9">
      <w:pPr>
        <w:pStyle w:val="Quote"/>
        <w:rPr>
          <w:color w:val="auto"/>
        </w:rPr>
      </w:pPr>
      <w:r w:rsidRPr="00915C40">
        <w:rPr>
          <w:color w:val="auto"/>
        </w:rPr>
        <w:t>‘</w:t>
      </w:r>
      <w:r w:rsidR="006E7D47" w:rsidRPr="00915C40">
        <w:rPr>
          <w:color w:val="auto"/>
        </w:rPr>
        <w:t>Set hard limits on bets. Like a $100 maximum bet maybe</w:t>
      </w:r>
      <w:r w:rsidRPr="00915C40">
        <w:rPr>
          <w:color w:val="auto"/>
        </w:rPr>
        <w:t>.’</w:t>
      </w:r>
    </w:p>
    <w:p w14:paraId="199224CC" w14:textId="47B68E77" w:rsidR="006E7D47" w:rsidRPr="00915C40" w:rsidRDefault="00D6099F" w:rsidP="00A55CD9">
      <w:pPr>
        <w:pStyle w:val="Quote"/>
        <w:rPr>
          <w:noProof/>
          <w:color w:val="auto"/>
        </w:rPr>
      </w:pPr>
      <w:r w:rsidRPr="00915C40">
        <w:rPr>
          <w:noProof/>
          <w:color w:val="auto"/>
        </w:rPr>
        <w:t>‘</w:t>
      </w:r>
      <w:r w:rsidR="006E7D47" w:rsidRPr="00915C40">
        <w:rPr>
          <w:noProof/>
          <w:color w:val="auto"/>
        </w:rPr>
        <w:t>The account holder being able to set a limit of how much they can bet and when that limit is reached, the account is blocked for a period of time</w:t>
      </w:r>
      <w:r w:rsidRPr="00915C40">
        <w:rPr>
          <w:noProof/>
          <w:color w:val="auto"/>
        </w:rPr>
        <w:t>.’</w:t>
      </w:r>
    </w:p>
    <w:p w14:paraId="72755030" w14:textId="491B2043" w:rsidR="006E7D47" w:rsidRPr="00915C40" w:rsidRDefault="00D6099F" w:rsidP="00A55CD9">
      <w:pPr>
        <w:pStyle w:val="Quote"/>
        <w:rPr>
          <w:noProof/>
          <w:color w:val="auto"/>
        </w:rPr>
      </w:pPr>
      <w:r w:rsidRPr="00915C40">
        <w:rPr>
          <w:noProof/>
          <w:color w:val="auto"/>
        </w:rPr>
        <w:t>‘</w:t>
      </w:r>
      <w:r w:rsidR="006E7D47" w:rsidRPr="00915C40">
        <w:rPr>
          <w:noProof/>
          <w:color w:val="auto"/>
        </w:rPr>
        <w:t>Sometimes, people tend to overspend on gambling activities and it isn’t hard to keep depositing into your online betting account from your bank account through PayPal, POLi, credit cards</w:t>
      </w:r>
      <w:r w:rsidRPr="00915C40">
        <w:rPr>
          <w:noProof/>
          <w:color w:val="auto"/>
        </w:rPr>
        <w:t>,</w:t>
      </w:r>
      <w:r w:rsidR="006E7D47" w:rsidRPr="00915C40">
        <w:rPr>
          <w:noProof/>
          <w:color w:val="auto"/>
        </w:rPr>
        <w:t xml:space="preserve"> </w:t>
      </w:r>
      <w:r w:rsidRPr="00915C40">
        <w:rPr>
          <w:noProof/>
          <w:color w:val="auto"/>
        </w:rPr>
        <w:t>etc</w:t>
      </w:r>
      <w:r w:rsidR="006E7D47" w:rsidRPr="00915C40">
        <w:rPr>
          <w:noProof/>
          <w:color w:val="auto"/>
        </w:rPr>
        <w:t>. Before you know it, you’re down a few thousand dollars</w:t>
      </w:r>
      <w:r w:rsidRPr="00915C40">
        <w:rPr>
          <w:noProof/>
          <w:color w:val="auto"/>
        </w:rPr>
        <w:t xml:space="preserve">.’  </w:t>
      </w:r>
    </w:p>
    <w:p w14:paraId="52BB9689" w14:textId="1C24636B" w:rsidR="00EC24BB" w:rsidRPr="00915C40" w:rsidRDefault="00D6099F" w:rsidP="00A55CD9">
      <w:pPr>
        <w:pStyle w:val="Quote"/>
        <w:rPr>
          <w:color w:val="auto"/>
        </w:rPr>
      </w:pPr>
      <w:r w:rsidRPr="00915C40">
        <w:rPr>
          <w:color w:val="auto"/>
        </w:rPr>
        <w:t>‘</w:t>
      </w:r>
      <w:r w:rsidR="00EC24BB" w:rsidRPr="00915C40">
        <w:rPr>
          <w:color w:val="auto"/>
        </w:rPr>
        <w:t>More about daily set limits for problem gamblers</w:t>
      </w:r>
      <w:r w:rsidRPr="00915C40">
        <w:rPr>
          <w:color w:val="auto"/>
        </w:rPr>
        <w:t>.’</w:t>
      </w:r>
    </w:p>
    <w:p w14:paraId="34536D47" w14:textId="0196989F" w:rsidR="00A35876" w:rsidRPr="00915C40" w:rsidRDefault="00D6099F" w:rsidP="00A55CD9">
      <w:pPr>
        <w:pStyle w:val="Quote"/>
        <w:rPr>
          <w:noProof/>
          <w:color w:val="auto"/>
        </w:rPr>
      </w:pPr>
      <w:r w:rsidRPr="00915C40">
        <w:rPr>
          <w:color w:val="auto"/>
        </w:rPr>
        <w:t>‘</w:t>
      </w:r>
      <w:r w:rsidR="006E7D47" w:rsidRPr="00915C40">
        <w:rPr>
          <w:color w:val="auto"/>
        </w:rPr>
        <w:t>Set limits for gamblers who excessively lose</w:t>
      </w:r>
      <w:r w:rsidRPr="00915C40">
        <w:rPr>
          <w:color w:val="auto"/>
        </w:rPr>
        <w:t>.’</w:t>
      </w:r>
      <w:r w:rsidRPr="00915C40">
        <w:rPr>
          <w:noProof/>
          <w:color w:val="auto"/>
        </w:rPr>
        <w:t xml:space="preserve"> </w:t>
      </w:r>
    </w:p>
    <w:p w14:paraId="27D1E64E" w14:textId="77777777" w:rsidR="00A35876" w:rsidRPr="00664E64" w:rsidRDefault="00A35876">
      <w:pPr>
        <w:rPr>
          <w:iCs/>
          <w:noProof/>
          <w:color w:val="ED0C64"/>
        </w:rPr>
      </w:pPr>
      <w:r w:rsidRPr="00664E64">
        <w:rPr>
          <w:noProof/>
        </w:rPr>
        <w:br w:type="page"/>
      </w:r>
    </w:p>
    <w:p w14:paraId="796C6AB8" w14:textId="77777777" w:rsidR="00A35876" w:rsidRPr="00915C40" w:rsidRDefault="00A35876" w:rsidP="00A35876">
      <w:pPr>
        <w:pStyle w:val="BoxHeading1"/>
        <w:ind w:left="138"/>
        <w:rPr>
          <w:color w:val="auto"/>
        </w:rPr>
      </w:pPr>
      <w:r w:rsidRPr="00915C40">
        <w:rPr>
          <w:color w:val="auto"/>
        </w:rPr>
        <w:lastRenderedPageBreak/>
        <w:t>Box 5.1: Summary of findings from consumer survey</w:t>
      </w:r>
    </w:p>
    <w:p w14:paraId="4F4709F5" w14:textId="34A63F9A" w:rsidR="00A35876" w:rsidRPr="00664E64" w:rsidRDefault="00A35876" w:rsidP="00A35876">
      <w:pPr>
        <w:pStyle w:val="BoxBulletList"/>
        <w:ind w:left="498"/>
      </w:pPr>
      <w:r w:rsidRPr="00664E64">
        <w:t xml:space="preserve">A total of 5,076 people aged 18 and over participated in the online consumer survey. </w:t>
      </w:r>
    </w:p>
    <w:p w14:paraId="3A5C7430" w14:textId="0E4BC716" w:rsidR="006A535F" w:rsidRDefault="00A35876" w:rsidP="00A35876">
      <w:pPr>
        <w:pStyle w:val="BoxBulletList"/>
        <w:ind w:left="498"/>
      </w:pPr>
      <w:r w:rsidRPr="00664E64">
        <w:t>Participants were mostly male (77%) with an average age of 48 years. Most reported being Australian-born (81%), non-Indigenous (95%), and speaking only English at home (88%). Around</w:t>
      </w:r>
      <w:r w:rsidRPr="00664E64">
        <w:rPr>
          <w:rFonts w:cs="Arial"/>
          <w:szCs w:val="20"/>
        </w:rPr>
        <w:t xml:space="preserve"> two-thirds (62%) reported living in one of the state capitals and over half (59%) </w:t>
      </w:r>
      <w:r w:rsidRPr="00664E64">
        <w:t>reported being in full-time employment.</w:t>
      </w:r>
    </w:p>
    <w:p w14:paraId="3E6F9759" w14:textId="77777777" w:rsidR="00A35876" w:rsidRPr="00664E64" w:rsidRDefault="00A35876" w:rsidP="00A35876">
      <w:pPr>
        <w:pStyle w:val="BoxBulletList"/>
        <w:ind w:left="498"/>
      </w:pPr>
      <w:r w:rsidRPr="00664E64">
        <w:t>Horse racing (75%), sports betting (53%) and greyhound racing (32%) were the most commonly reported activities to have placed bets on in the past 12 months.</w:t>
      </w:r>
    </w:p>
    <w:p w14:paraId="5A0E10DD" w14:textId="77777777" w:rsidR="00A35876" w:rsidRPr="00664E64" w:rsidRDefault="00A35876" w:rsidP="00A35876">
      <w:pPr>
        <w:pStyle w:val="BoxBulletList"/>
        <w:ind w:left="498"/>
      </w:pPr>
      <w:r w:rsidRPr="00664E64">
        <w:t xml:space="preserve">Over half (55%) reported having spent money on two or more activities during the past 12 months (average 2.1 activities). </w:t>
      </w:r>
    </w:p>
    <w:p w14:paraId="68A9DED3" w14:textId="77777777" w:rsidR="00A35876" w:rsidRPr="00664E64" w:rsidRDefault="00A35876" w:rsidP="00A35876">
      <w:pPr>
        <w:pStyle w:val="BoxBulletList"/>
        <w:ind w:left="498"/>
      </w:pPr>
      <w:r w:rsidRPr="00664E64">
        <w:t>Median frequency of betting on sports and fantasy sports was once a week, and 2–3 times a month for horse, harness and greyhound racing.</w:t>
      </w:r>
    </w:p>
    <w:p w14:paraId="57D63E1C" w14:textId="77777777" w:rsidR="00A35876" w:rsidRPr="00664E64" w:rsidRDefault="00A35876" w:rsidP="00A35876">
      <w:pPr>
        <w:pStyle w:val="BoxBulletList"/>
        <w:ind w:left="498"/>
      </w:pPr>
      <w:r w:rsidRPr="00664E64">
        <w:t>80–90% of the participants within each activity reported placing bets online using portable devices (e.g. sports 90%; horse racing 83%); less than 10% (across all activities) reported placing bets via telephone call.</w:t>
      </w:r>
    </w:p>
    <w:p w14:paraId="5119A2DE" w14:textId="77777777" w:rsidR="00A35876" w:rsidRPr="00664E64" w:rsidRDefault="00A35876" w:rsidP="00A35876">
      <w:pPr>
        <w:pStyle w:val="BoxBulletList"/>
        <w:ind w:left="498"/>
      </w:pPr>
      <w:r w:rsidRPr="00664E64">
        <w:rPr>
          <w:rFonts w:cs="Arial"/>
          <w:szCs w:val="20"/>
        </w:rPr>
        <w:t>The average spend on each activity on a typical day of betting (across all types of wagering) ranged from around $50–$100. For horse racing, the most common typical spend was $50 and for sports it was $20.</w:t>
      </w:r>
    </w:p>
    <w:p w14:paraId="5F8A11A9" w14:textId="77777777" w:rsidR="00A35876" w:rsidRPr="00664E64" w:rsidRDefault="00A35876" w:rsidP="00A35876">
      <w:pPr>
        <w:pStyle w:val="BoxBulletList"/>
        <w:ind w:left="498"/>
      </w:pPr>
      <w:r w:rsidRPr="00664E64">
        <w:t>Participants reported having an average of 2.3 online wagering accounts; 13% reported having specifically chosen to open an account with an offshore provider at some point.</w:t>
      </w:r>
    </w:p>
    <w:p w14:paraId="4ED479A1" w14:textId="77777777" w:rsidR="00A35876" w:rsidRPr="00664E64" w:rsidRDefault="00A35876" w:rsidP="00A35876">
      <w:pPr>
        <w:pStyle w:val="BoxBulletList"/>
        <w:ind w:left="498"/>
      </w:pPr>
      <w:r w:rsidRPr="00664E64">
        <w:t>13% reported having been offered lines of credit, and 3.6% were offered credit contracts or referrals to a payday/short-term lender in the past 12 months.</w:t>
      </w:r>
    </w:p>
    <w:p w14:paraId="484AEB48" w14:textId="77777777" w:rsidR="00A35876" w:rsidRPr="00664E64" w:rsidRDefault="00A35876" w:rsidP="00A35876">
      <w:pPr>
        <w:pStyle w:val="BoxBulletList"/>
        <w:ind w:left="498"/>
      </w:pPr>
      <w:r w:rsidRPr="00664E64">
        <w:t xml:space="preserve">Just under half (44%) reported having gambled on other products in the past 12 months; most commonly on pokies (38%) and casino table games (18%). </w:t>
      </w:r>
    </w:p>
    <w:p w14:paraId="7D31022B" w14:textId="77777777" w:rsidR="00A35876" w:rsidRPr="00664E64" w:rsidRDefault="00A35876" w:rsidP="00A35876">
      <w:pPr>
        <w:pStyle w:val="BoxBulletList"/>
        <w:ind w:left="498"/>
      </w:pPr>
      <w:r w:rsidRPr="00664E64">
        <w:t xml:space="preserve">While a third (35%) reported that they had not employed any strategies to limit their involvement in betting, another 39% had ‘monitored how much money they spent betting’ (39%) and 34% had ‘set limits for how much they can spend each week’. </w:t>
      </w:r>
    </w:p>
    <w:p w14:paraId="5C2D23BB" w14:textId="5797016F" w:rsidR="00A35876" w:rsidRPr="00664E64" w:rsidRDefault="00A35876" w:rsidP="00A35876">
      <w:pPr>
        <w:pStyle w:val="BoxBulletList"/>
        <w:ind w:left="498"/>
      </w:pPr>
      <w:r w:rsidRPr="00664E64">
        <w:t xml:space="preserve">According to the PGSI scores, around half of all participants (52%) would be classified as being at risk of or already experiencing gambling related harm; </w:t>
      </w:r>
      <w:r w:rsidR="002777A6">
        <w:t>risk was higher among male participants and those aged 18-34 years (compared to older age groups)</w:t>
      </w:r>
      <w:r w:rsidRPr="00664E64">
        <w:t xml:space="preserve">. </w:t>
      </w:r>
    </w:p>
    <w:p w14:paraId="4AC09D5E" w14:textId="77777777" w:rsidR="00A35876" w:rsidRPr="00664E64" w:rsidRDefault="00A35876" w:rsidP="00A35876">
      <w:pPr>
        <w:pStyle w:val="BoxBulletList"/>
        <w:ind w:left="498"/>
      </w:pPr>
      <w:r w:rsidRPr="00664E64">
        <w:t>Other harms reported by participants included a reduction of available spending money (24%), reduction of savings (22%), regrets that made them feel sorry about their gambling (18%), and having less spending for recreational purposes (15%).</w:t>
      </w:r>
    </w:p>
    <w:p w14:paraId="5A61F038" w14:textId="71192DB3" w:rsidR="00A35876" w:rsidRDefault="00A35876" w:rsidP="00A35876">
      <w:pPr>
        <w:pStyle w:val="BoxBulletList"/>
        <w:ind w:left="498"/>
      </w:pPr>
      <w:r w:rsidRPr="00664E64">
        <w:t>77% reported that they had seen one or more consumer protection feature on betting apps/websites, and 59% reported having used a feature/s. The features that were perceived most useful (among those who had used them) were regular financial statements, clear information about T&amp;Cs, deposit limits, and spend limits.</w:t>
      </w:r>
    </w:p>
    <w:p w14:paraId="6AF3874E" w14:textId="0FAA6546" w:rsidR="006C6F6B" w:rsidRPr="00310121" w:rsidRDefault="00310121" w:rsidP="00310121">
      <w:pPr>
        <w:pStyle w:val="BoxBulletList"/>
        <w:ind w:left="498"/>
      </w:pPr>
      <w:r w:rsidRPr="00310121">
        <w:t>Findings from open text questions indicated that the currently available consumer protection features were largely viewed as useful; however, some features were seen as easy to circumvent by opening accounts with different providers, and other features were perceived to only apply to (other) people who may be experiencing gambling problems.</w:t>
      </w:r>
      <w:r w:rsidR="006C6F6B" w:rsidRPr="00310121">
        <w:rPr>
          <w:highlight w:val="lightGray"/>
        </w:rPr>
        <w:br w:type="page"/>
      </w:r>
    </w:p>
    <w:p w14:paraId="7639CCCC" w14:textId="3A91AF90" w:rsidR="006B486B" w:rsidRPr="00664E64" w:rsidRDefault="00A60A19" w:rsidP="00BE3CD8">
      <w:pPr>
        <w:pStyle w:val="Heading1Outline"/>
      </w:pPr>
      <w:bookmarkStart w:id="96" w:name="_Toc12022558"/>
      <w:r w:rsidRPr="00664E64">
        <w:lastRenderedPageBreak/>
        <w:t>Summary and future directions</w:t>
      </w:r>
      <w:bookmarkEnd w:id="96"/>
    </w:p>
    <w:p w14:paraId="2FA227F3" w14:textId="25CFD3F8" w:rsidR="00760B30" w:rsidRPr="00915C40" w:rsidRDefault="00BB7986" w:rsidP="00F5045F">
      <w:pPr>
        <w:pStyle w:val="Heading2"/>
        <w:rPr>
          <w:color w:val="auto"/>
        </w:rPr>
      </w:pPr>
      <w:bookmarkStart w:id="97" w:name="_Toc12022559"/>
      <w:r w:rsidRPr="00915C40">
        <w:rPr>
          <w:color w:val="auto"/>
        </w:rPr>
        <w:t>Overview</w:t>
      </w:r>
      <w:bookmarkEnd w:id="97"/>
    </w:p>
    <w:p w14:paraId="16D1CA99" w14:textId="707282E9" w:rsidR="00F77D55" w:rsidRPr="008651C4" w:rsidRDefault="00E95A98" w:rsidP="00F77D55">
      <w:pPr>
        <w:pStyle w:val="BodyText"/>
        <w:rPr>
          <w:color w:val="auto"/>
        </w:rPr>
      </w:pPr>
      <w:r w:rsidRPr="00E95A98">
        <w:rPr>
          <w:color w:val="000000" w:themeColor="text1"/>
        </w:rPr>
        <w:t xml:space="preserve">While </w:t>
      </w:r>
      <w:r w:rsidR="00ED04E3">
        <w:rPr>
          <w:color w:val="000000" w:themeColor="text1"/>
        </w:rPr>
        <w:t>less</w:t>
      </w:r>
      <w:r w:rsidRPr="00E95A98">
        <w:rPr>
          <w:color w:val="000000" w:themeColor="text1"/>
        </w:rPr>
        <w:t xml:space="preserve"> prevalent </w:t>
      </w:r>
      <w:r w:rsidR="00ED04E3">
        <w:rPr>
          <w:color w:val="000000" w:themeColor="text1"/>
        </w:rPr>
        <w:t xml:space="preserve">than </w:t>
      </w:r>
      <w:r w:rsidRPr="00E95A98">
        <w:rPr>
          <w:color w:val="000000" w:themeColor="text1"/>
        </w:rPr>
        <w:t>forms of gambling, o</w:t>
      </w:r>
      <w:r w:rsidR="00F77D55" w:rsidRPr="00E95A98">
        <w:rPr>
          <w:color w:val="000000" w:themeColor="text1"/>
        </w:rPr>
        <w:t>nline wagering is the fastest growing segment of the Australian gambling market (Global Betting and Gaming Consultants, 2018). Recent estimates suggest that around one third (34%) of people who placed a bet on sports, racing or other events in 2017</w:t>
      </w:r>
      <w:r w:rsidR="00502BDF" w:rsidRPr="00E95A98">
        <w:rPr>
          <w:rFonts w:cs="Arial"/>
          <w:color w:val="000000" w:themeColor="text1"/>
        </w:rPr>
        <w:t>–</w:t>
      </w:r>
      <w:r w:rsidR="00F77D55" w:rsidRPr="00E95A98">
        <w:rPr>
          <w:color w:val="000000" w:themeColor="text1"/>
        </w:rPr>
        <w:t>18 did so via the internet; double the 16% reported six years earlier (in 2011</w:t>
      </w:r>
      <w:r w:rsidR="00502BDF" w:rsidRPr="00E95A98">
        <w:rPr>
          <w:rFonts w:cs="Arial"/>
          <w:color w:val="000000" w:themeColor="text1"/>
        </w:rPr>
        <w:t>–</w:t>
      </w:r>
      <w:r w:rsidR="00F77D55" w:rsidRPr="00E95A98">
        <w:rPr>
          <w:color w:val="000000" w:themeColor="text1"/>
        </w:rPr>
        <w:t xml:space="preserve">12) (Roy Morgan, 2018). Compared to non-interactive gamblers, people who gamble online have been found to be more likely to be male, younger, have higher </w:t>
      </w:r>
      <w:r w:rsidR="00F77D55" w:rsidRPr="00664E64">
        <w:t>levels of education and income, participate in a larger range of gambling activities, and experience higher rates of gambling-related problems (Gainsbury, 2012; Hing et al., 2014).</w:t>
      </w:r>
    </w:p>
    <w:p w14:paraId="6CCF4DE0" w14:textId="39C93D87" w:rsidR="00401D4E" w:rsidRPr="00664E64" w:rsidRDefault="00401D4E" w:rsidP="00401D4E">
      <w:pPr>
        <w:pStyle w:val="BodyText"/>
      </w:pPr>
      <w:r w:rsidRPr="00664E64">
        <w:t>As part of the response to recommendations from the Review of Illegal Offshore Wagering (O’Farrell, 2015), a National Consumer Protection Framework for Online Wagering in Australia was developed with input and agreement from Commonwealth and state and territory governments. The intent is to bring Australian consumer protection measures up to date, to ensure they reflect best practice nationally, and to address the current regulatory fragmentation across jurisdictions (DSS</w:t>
      </w:r>
      <w:r w:rsidR="00782ED0" w:rsidRPr="00664E64">
        <w:t xml:space="preserve">, </w:t>
      </w:r>
      <w:r w:rsidRPr="00664E64">
        <w:t>2017). The National Framework consists of 10 consumer protection measures that provide tools for consumers and requirements for online wagering providers (licensed in Australia) to help mitigate harm related to online wagering activity.</w:t>
      </w:r>
    </w:p>
    <w:p w14:paraId="67EB6B1B" w14:textId="12F5B69A" w:rsidR="00401D4E" w:rsidRPr="00664E64" w:rsidRDefault="00401D4E" w:rsidP="00401D4E">
      <w:pPr>
        <w:pStyle w:val="BodyText"/>
      </w:pPr>
      <w:r w:rsidRPr="00664E64">
        <w:t xml:space="preserve">The effectiveness of the National Framework is to be evaluated in four phases over approximately five years. AIFS was commissioned by the Department to develop and conduct the baseline study for the evaluation, prior to the </w:t>
      </w:r>
      <w:r w:rsidR="00F77D55" w:rsidRPr="00664E64">
        <w:t xml:space="preserve">Framework’s </w:t>
      </w:r>
      <w:r w:rsidRPr="00664E64">
        <w:t xml:space="preserve">full roll-out and implementation. </w:t>
      </w:r>
    </w:p>
    <w:p w14:paraId="7C06B2D1" w14:textId="77777777" w:rsidR="00F32214" w:rsidRPr="00664E64" w:rsidRDefault="00401D4E" w:rsidP="00401D4E">
      <w:pPr>
        <w:pStyle w:val="BodyText"/>
      </w:pPr>
      <w:r w:rsidRPr="00664E64">
        <w:t xml:space="preserve">The baseline study aimed to address some of the gaps in the current evidence base and enhance understanding of: </w:t>
      </w:r>
    </w:p>
    <w:p w14:paraId="2F314DAB" w14:textId="35B57D0C" w:rsidR="00F32214" w:rsidRPr="00664E64" w:rsidRDefault="00401D4E" w:rsidP="00A55CD9">
      <w:pPr>
        <w:pStyle w:val="ListBullet"/>
      </w:pPr>
      <w:r w:rsidRPr="00664E64">
        <w:t xml:space="preserve">levels of online wagering involvement, prevalence of risky gambling behaviour, and levels of harm experienced </w:t>
      </w:r>
    </w:p>
    <w:p w14:paraId="11885D62" w14:textId="0E8AF6E3" w:rsidR="00F32214" w:rsidRPr="00664E64" w:rsidRDefault="00401D4E" w:rsidP="00A55CD9">
      <w:pPr>
        <w:pStyle w:val="ListBullet"/>
      </w:pPr>
      <w:r w:rsidRPr="00664E64">
        <w:t xml:space="preserve">consumer motivations to participate in online wagering and the means by which consumers seek to manage and control their wagering activity </w:t>
      </w:r>
    </w:p>
    <w:p w14:paraId="596EA16D" w14:textId="042E2335" w:rsidR="00F32214" w:rsidRPr="00664E64" w:rsidRDefault="00401D4E" w:rsidP="00A55CD9">
      <w:pPr>
        <w:pStyle w:val="ListBullet"/>
      </w:pPr>
      <w:r w:rsidRPr="00664E64">
        <w:t>awareness, uptake and perceived usefulness of existing consumer protection features</w:t>
      </w:r>
    </w:p>
    <w:p w14:paraId="4FE09A09" w14:textId="79095954" w:rsidR="00F32214" w:rsidRPr="00664E64" w:rsidRDefault="00401D4E" w:rsidP="00A55CD9">
      <w:pPr>
        <w:pStyle w:val="ListBullet"/>
      </w:pPr>
      <w:r w:rsidRPr="00664E64">
        <w:t xml:space="preserve">jurisdictional consistency in defining the responsible provision of online wagering </w:t>
      </w:r>
    </w:p>
    <w:p w14:paraId="4D78D7D4" w14:textId="0433BCDA" w:rsidR="00401D4E" w:rsidRPr="00664E64" w:rsidRDefault="00401D4E" w:rsidP="00A55CD9">
      <w:pPr>
        <w:pStyle w:val="ListBullet"/>
      </w:pPr>
      <w:r w:rsidRPr="00664E64">
        <w:t xml:space="preserve">readiness to implement and monitor compliance among service providers and regulators and any opportunities or challenges they foresee. </w:t>
      </w:r>
    </w:p>
    <w:p w14:paraId="263C4E5E" w14:textId="550F699D" w:rsidR="00896CC0" w:rsidRPr="00664E64" w:rsidRDefault="00401D4E" w:rsidP="00401D4E">
      <w:pPr>
        <w:pStyle w:val="BodyText"/>
      </w:pPr>
      <w:r w:rsidRPr="00664E64">
        <w:t xml:space="preserve">The study employed a mixed methods approach comprising: a desktop review of </w:t>
      </w:r>
      <w:r w:rsidR="00F6568A" w:rsidRPr="00664E64">
        <w:t xml:space="preserve">the websites of </w:t>
      </w:r>
      <w:r w:rsidRPr="00664E64">
        <w:t xml:space="preserve">online wagering service providers licensed in Australia and the </w:t>
      </w:r>
      <w:r w:rsidR="00F77D55" w:rsidRPr="00664E64">
        <w:t xml:space="preserve">Commonwealth and </w:t>
      </w:r>
      <w:r w:rsidRPr="00664E64">
        <w:t>state</w:t>
      </w:r>
      <w:r w:rsidR="00F77D55" w:rsidRPr="00664E64">
        <w:t xml:space="preserve"> and </w:t>
      </w:r>
      <w:r w:rsidRPr="00664E64">
        <w:t xml:space="preserve">territory regulators who monitor wagering activities; </w:t>
      </w:r>
      <w:r w:rsidR="00F77D55" w:rsidRPr="00664E64">
        <w:t xml:space="preserve">semi-structured </w:t>
      </w:r>
      <w:r w:rsidRPr="00664E64">
        <w:t>interviews with wagering service providers and regulators; and a</w:t>
      </w:r>
      <w:r w:rsidR="00F77D55" w:rsidRPr="00664E64">
        <w:t>n online</w:t>
      </w:r>
      <w:r w:rsidRPr="00664E64">
        <w:t xml:space="preserve"> survey of people who wager online</w:t>
      </w:r>
      <w:r w:rsidR="00F77D55" w:rsidRPr="00664E64">
        <w:t xml:space="preserve"> in Australia</w:t>
      </w:r>
      <w:r w:rsidRPr="00664E64">
        <w:t xml:space="preserve">. Data collection </w:t>
      </w:r>
      <w:r w:rsidR="00F77D55" w:rsidRPr="00664E64">
        <w:t xml:space="preserve">for the baseline study </w:t>
      </w:r>
      <w:r w:rsidRPr="00664E64">
        <w:t xml:space="preserve">was undertaken during March </w:t>
      </w:r>
      <w:r w:rsidR="00F32214" w:rsidRPr="00664E64">
        <w:t xml:space="preserve">and </w:t>
      </w:r>
      <w:r w:rsidRPr="00664E64">
        <w:t>April 2019.</w:t>
      </w:r>
    </w:p>
    <w:p w14:paraId="7C3723C4" w14:textId="3103877E" w:rsidR="00BB7986" w:rsidRPr="00915C40" w:rsidRDefault="00BB7986" w:rsidP="00BB7986">
      <w:pPr>
        <w:pStyle w:val="Heading2"/>
        <w:rPr>
          <w:color w:val="auto"/>
        </w:rPr>
      </w:pPr>
      <w:bookmarkStart w:id="98" w:name="_Toc12022560"/>
      <w:r w:rsidRPr="00915C40">
        <w:rPr>
          <w:color w:val="auto"/>
        </w:rPr>
        <w:t>Key findings</w:t>
      </w:r>
      <w:bookmarkEnd w:id="98"/>
    </w:p>
    <w:p w14:paraId="6E28C29B" w14:textId="57903CF4" w:rsidR="00D36108" w:rsidRPr="00915C40" w:rsidRDefault="00D36108" w:rsidP="00A55CD9">
      <w:pPr>
        <w:pStyle w:val="Heading3"/>
        <w:rPr>
          <w:color w:val="auto"/>
        </w:rPr>
      </w:pPr>
      <w:r w:rsidRPr="00915C40">
        <w:rPr>
          <w:color w:val="auto"/>
        </w:rPr>
        <w:t>Desktop review</w:t>
      </w:r>
    </w:p>
    <w:p w14:paraId="2D84EDB1" w14:textId="76027424" w:rsidR="00896CC0" w:rsidRPr="00664E64" w:rsidRDefault="00491590" w:rsidP="00D36108">
      <w:pPr>
        <w:pStyle w:val="BodyText"/>
        <w:rPr>
          <w:rFonts w:cs="Arial"/>
        </w:rPr>
      </w:pPr>
      <w:r w:rsidRPr="00664E64">
        <w:rPr>
          <w:rFonts w:cs="Arial"/>
        </w:rPr>
        <w:t xml:space="preserve">Most of the </w:t>
      </w:r>
      <w:r w:rsidR="00896CC0" w:rsidRPr="00664E64">
        <w:rPr>
          <w:rFonts w:cs="Arial"/>
        </w:rPr>
        <w:t>wagering provider</w:t>
      </w:r>
      <w:r w:rsidR="006A58B5" w:rsidRPr="00664E64">
        <w:rPr>
          <w:rFonts w:cs="Arial"/>
        </w:rPr>
        <w:t xml:space="preserve">s </w:t>
      </w:r>
      <w:r w:rsidR="00B94981" w:rsidRPr="00664E64">
        <w:rPr>
          <w:rFonts w:cs="Arial"/>
        </w:rPr>
        <w:t xml:space="preserve">who were reviewed were found to </w:t>
      </w:r>
      <w:r w:rsidR="006A58B5" w:rsidRPr="00664E64">
        <w:rPr>
          <w:rFonts w:cs="Arial"/>
        </w:rPr>
        <w:t>promot</w:t>
      </w:r>
      <w:r w:rsidR="00B94981" w:rsidRPr="00664E64">
        <w:rPr>
          <w:rFonts w:cs="Arial"/>
        </w:rPr>
        <w:t>e</w:t>
      </w:r>
      <w:r w:rsidR="006A58B5" w:rsidRPr="00664E64">
        <w:rPr>
          <w:rFonts w:cs="Arial"/>
        </w:rPr>
        <w:t xml:space="preserve"> or </w:t>
      </w:r>
      <w:r w:rsidR="00896CC0" w:rsidRPr="00664E64">
        <w:rPr>
          <w:rFonts w:cs="Arial"/>
        </w:rPr>
        <w:t xml:space="preserve">offer one or more types of consumer protection measures </w:t>
      </w:r>
      <w:r w:rsidR="006A58B5" w:rsidRPr="00664E64">
        <w:rPr>
          <w:rFonts w:cs="Arial"/>
        </w:rPr>
        <w:t xml:space="preserve">via their website </w:t>
      </w:r>
      <w:r w:rsidR="00896CC0" w:rsidRPr="00664E64">
        <w:rPr>
          <w:rFonts w:cs="Arial"/>
        </w:rPr>
        <w:t xml:space="preserve">(at the time of review); either those already in effect as part of the National Framework, or other tools or features similar to those to </w:t>
      </w:r>
      <w:r w:rsidR="00896CC0" w:rsidRPr="00664E64">
        <w:rPr>
          <w:rFonts w:cs="Arial"/>
        </w:rPr>
        <w:lastRenderedPageBreak/>
        <w:t xml:space="preserve">be rolled out over the coming months. For example, while we were restricted to reviewing publicly available websites without </w:t>
      </w:r>
      <w:r w:rsidRPr="00664E64">
        <w:rPr>
          <w:rFonts w:cs="Arial"/>
        </w:rPr>
        <w:t xml:space="preserve">access to </w:t>
      </w:r>
      <w:r w:rsidR="00896CC0" w:rsidRPr="00664E64">
        <w:rPr>
          <w:rFonts w:cs="Arial"/>
        </w:rPr>
        <w:t>member</w:t>
      </w:r>
      <w:r w:rsidR="00B94981" w:rsidRPr="00664E64">
        <w:rPr>
          <w:rFonts w:cs="Arial"/>
        </w:rPr>
        <w:t>-only features</w:t>
      </w:r>
      <w:r w:rsidR="00896CC0" w:rsidRPr="00664E64">
        <w:rPr>
          <w:rFonts w:cs="Arial"/>
        </w:rPr>
        <w:t xml:space="preserve">, it appeared that all providers had implemented the </w:t>
      </w:r>
      <w:r w:rsidR="00492367">
        <w:rPr>
          <w:rFonts w:cs="Arial"/>
        </w:rPr>
        <w:t>Framework</w:t>
      </w:r>
      <w:r w:rsidR="00896CC0" w:rsidRPr="00664E64">
        <w:rPr>
          <w:rFonts w:cs="Arial"/>
        </w:rPr>
        <w:t xml:space="preserve"> measures introduced in February 2018 (</w:t>
      </w:r>
      <w:r w:rsidR="00B94981" w:rsidRPr="00664E64">
        <w:rPr>
          <w:rFonts w:cs="Arial"/>
        </w:rPr>
        <w:t xml:space="preserve">i.e. </w:t>
      </w:r>
      <w:r w:rsidR="00896CC0" w:rsidRPr="00664E64">
        <w:rPr>
          <w:rFonts w:cs="Arial"/>
        </w:rPr>
        <w:t xml:space="preserve">no providers were offering lines of credit or small amount credit contracts), and most </w:t>
      </w:r>
      <w:r w:rsidR="00492367">
        <w:rPr>
          <w:rFonts w:cs="Arial"/>
        </w:rPr>
        <w:t>had implemented</w:t>
      </w:r>
      <w:r w:rsidR="00896CC0" w:rsidRPr="00664E64">
        <w:rPr>
          <w:rFonts w:cs="Arial"/>
        </w:rPr>
        <w:t xml:space="preserve"> the customer verification measure time</w:t>
      </w:r>
      <w:r w:rsidR="00F32214" w:rsidRPr="00664E64">
        <w:rPr>
          <w:rFonts w:cs="Arial"/>
        </w:rPr>
        <w:t xml:space="preserve"> </w:t>
      </w:r>
      <w:r w:rsidR="00896CC0" w:rsidRPr="00664E64">
        <w:rPr>
          <w:rFonts w:cs="Arial"/>
        </w:rPr>
        <w:t xml:space="preserve">frame </w:t>
      </w:r>
      <w:r w:rsidR="00B94981" w:rsidRPr="00664E64">
        <w:rPr>
          <w:rFonts w:cs="Arial"/>
        </w:rPr>
        <w:t xml:space="preserve">(14 days maximum) </w:t>
      </w:r>
      <w:r w:rsidR="00896CC0" w:rsidRPr="00664E64">
        <w:rPr>
          <w:rFonts w:cs="Arial"/>
        </w:rPr>
        <w:t xml:space="preserve">introduced in February 2019. </w:t>
      </w:r>
    </w:p>
    <w:p w14:paraId="5F9F65A8" w14:textId="488AA704" w:rsidR="00896CC0" w:rsidRPr="00664E64" w:rsidRDefault="00896CC0" w:rsidP="00D36108">
      <w:pPr>
        <w:pStyle w:val="BodyText"/>
        <w:rPr>
          <w:rFonts w:cs="Arial"/>
        </w:rPr>
      </w:pPr>
      <w:r w:rsidRPr="00664E64">
        <w:rPr>
          <w:rFonts w:cs="Arial"/>
        </w:rPr>
        <w:t>Without access to member-only features it was difficult to assess whether wagering providers had</w:t>
      </w:r>
      <w:r w:rsidR="00CC7EFF" w:rsidRPr="00664E64">
        <w:rPr>
          <w:rFonts w:cs="Arial"/>
        </w:rPr>
        <w:t xml:space="preserve"> </w:t>
      </w:r>
      <w:r w:rsidR="00B94981" w:rsidRPr="00664E64">
        <w:rPr>
          <w:rFonts w:cs="Arial"/>
        </w:rPr>
        <w:t xml:space="preserve">already </w:t>
      </w:r>
      <w:r w:rsidR="00CC7EFF" w:rsidRPr="00664E64">
        <w:rPr>
          <w:rFonts w:cs="Arial"/>
        </w:rPr>
        <w:t>implemented</w:t>
      </w:r>
      <w:r w:rsidR="00B94981" w:rsidRPr="00664E64">
        <w:rPr>
          <w:rFonts w:cs="Arial"/>
        </w:rPr>
        <w:t xml:space="preserve"> </w:t>
      </w:r>
      <w:r w:rsidRPr="00664E64">
        <w:rPr>
          <w:rFonts w:cs="Arial"/>
        </w:rPr>
        <w:t>the account closure and voluntary opt-out pre-commitment deposit limit measures (</w:t>
      </w:r>
      <w:r w:rsidR="00491590" w:rsidRPr="00664E64">
        <w:rPr>
          <w:rFonts w:cs="Arial"/>
        </w:rPr>
        <w:t>scheduled for</w:t>
      </w:r>
      <w:r w:rsidRPr="00664E64">
        <w:rPr>
          <w:rFonts w:cs="Arial"/>
        </w:rPr>
        <w:t xml:space="preserve"> May 2019), but across the providers, a range of similar protective measures were available for customers. Timed limits for deposits, spending and withdrawals </w:t>
      </w:r>
      <w:r w:rsidR="00491590" w:rsidRPr="00664E64">
        <w:rPr>
          <w:rFonts w:cs="Arial"/>
        </w:rPr>
        <w:t>appeared to be</w:t>
      </w:r>
      <w:r w:rsidRPr="00664E64">
        <w:rPr>
          <w:rFonts w:cs="Arial"/>
        </w:rPr>
        <w:t xml:space="preserve"> the most common </w:t>
      </w:r>
      <w:r w:rsidR="00491590" w:rsidRPr="00664E64">
        <w:rPr>
          <w:rFonts w:cs="Arial"/>
        </w:rPr>
        <w:t>features</w:t>
      </w:r>
      <w:r w:rsidRPr="00664E64">
        <w:rPr>
          <w:rFonts w:cs="Arial"/>
        </w:rPr>
        <w:t xml:space="preserve"> </w:t>
      </w:r>
      <w:r w:rsidR="00491590" w:rsidRPr="00664E64">
        <w:rPr>
          <w:rFonts w:cs="Arial"/>
        </w:rPr>
        <w:t>offered</w:t>
      </w:r>
      <w:r w:rsidRPr="00664E64">
        <w:rPr>
          <w:rFonts w:cs="Arial"/>
        </w:rPr>
        <w:t xml:space="preserve">, and the feedback from the open text </w:t>
      </w:r>
      <w:r w:rsidR="00491590" w:rsidRPr="00664E64">
        <w:rPr>
          <w:rFonts w:cs="Arial"/>
        </w:rPr>
        <w:t xml:space="preserve">consumer survey </w:t>
      </w:r>
      <w:r w:rsidRPr="00664E64">
        <w:rPr>
          <w:rFonts w:cs="Arial"/>
        </w:rPr>
        <w:t xml:space="preserve">responses suggested that customers found these limits helpful to counter impulsive </w:t>
      </w:r>
      <w:r w:rsidR="00491590" w:rsidRPr="00664E64">
        <w:rPr>
          <w:rFonts w:cs="Arial"/>
        </w:rPr>
        <w:t xml:space="preserve">or excessive </w:t>
      </w:r>
      <w:r w:rsidR="00B94981" w:rsidRPr="00664E64">
        <w:rPr>
          <w:rFonts w:cs="Arial"/>
        </w:rPr>
        <w:t>betting</w:t>
      </w:r>
      <w:r w:rsidRPr="00664E64">
        <w:rPr>
          <w:rFonts w:cs="Arial"/>
        </w:rPr>
        <w:t>. A number of the major providers also offered more specific features such as gambling calculators and diaries, allowing customers to maintain a detailed record of their wagering activity.</w:t>
      </w:r>
    </w:p>
    <w:p w14:paraId="010BCD61" w14:textId="253755C1" w:rsidR="00896CC0" w:rsidRPr="00664E64" w:rsidRDefault="00896CC0" w:rsidP="00D36108">
      <w:pPr>
        <w:pStyle w:val="BodyText"/>
        <w:rPr>
          <w:rFonts w:cs="Arial"/>
        </w:rPr>
      </w:pPr>
      <w:r w:rsidRPr="00664E64">
        <w:rPr>
          <w:rFonts w:cs="Arial"/>
        </w:rPr>
        <w:t xml:space="preserve">It was </w:t>
      </w:r>
      <w:r w:rsidR="00B94981" w:rsidRPr="00664E64">
        <w:rPr>
          <w:rFonts w:cs="Arial"/>
        </w:rPr>
        <w:t>evident</w:t>
      </w:r>
      <w:r w:rsidRPr="00664E64">
        <w:rPr>
          <w:rFonts w:cs="Arial"/>
        </w:rPr>
        <w:t xml:space="preserve"> from our desktop review that a </w:t>
      </w:r>
      <w:r w:rsidR="00B94981" w:rsidRPr="00664E64">
        <w:rPr>
          <w:rFonts w:cs="Arial"/>
        </w:rPr>
        <w:t>wide variety</w:t>
      </w:r>
      <w:r w:rsidRPr="00664E64">
        <w:rPr>
          <w:rFonts w:cs="Arial"/>
        </w:rPr>
        <w:t xml:space="preserve"> of inducements were still being offered at the time of the review, with almost all providers continuing to promote incentives for opening an account. Future stages of the evaluation will be able to assess whether providers have implemented the measure to restrict all specified inducements in applicable jurisdictions (</w:t>
      </w:r>
      <w:r w:rsidR="00491590" w:rsidRPr="00664E64">
        <w:rPr>
          <w:rFonts w:cs="Arial"/>
        </w:rPr>
        <w:t>scheduled for</w:t>
      </w:r>
      <w:r w:rsidRPr="00664E64">
        <w:rPr>
          <w:rFonts w:cs="Arial"/>
        </w:rPr>
        <w:t xml:space="preserve"> May 2019).</w:t>
      </w:r>
    </w:p>
    <w:p w14:paraId="3CD2B291" w14:textId="0A361D66" w:rsidR="00896CC0" w:rsidRPr="00664E64" w:rsidRDefault="00896CC0" w:rsidP="00D36108">
      <w:pPr>
        <w:pStyle w:val="BodyText"/>
        <w:rPr>
          <w:rFonts w:cs="Arial"/>
        </w:rPr>
      </w:pPr>
      <w:r w:rsidRPr="00664E64">
        <w:rPr>
          <w:rFonts w:cs="Arial"/>
        </w:rPr>
        <w:t xml:space="preserve">‘Responsible gambling’ messages and links to gambling support services were made available by most providers, but </w:t>
      </w:r>
      <w:r w:rsidR="00491590" w:rsidRPr="00664E64">
        <w:rPr>
          <w:rFonts w:cs="Arial"/>
        </w:rPr>
        <w:t xml:space="preserve">the types and amount of messaging varied between providers. </w:t>
      </w:r>
      <w:r w:rsidRPr="00664E64">
        <w:rPr>
          <w:rFonts w:cs="Arial"/>
        </w:rPr>
        <w:t xml:space="preserve">Open text responses from the consumer survey suggested that </w:t>
      </w:r>
      <w:r w:rsidR="00491590" w:rsidRPr="00664E64">
        <w:rPr>
          <w:rFonts w:cs="Arial"/>
        </w:rPr>
        <w:t xml:space="preserve">customers were often indifferent to these messages or perceived them </w:t>
      </w:r>
      <w:r w:rsidR="00CC7EFF" w:rsidRPr="00664E64">
        <w:rPr>
          <w:rFonts w:cs="Arial"/>
        </w:rPr>
        <w:t xml:space="preserve">as </w:t>
      </w:r>
      <w:r w:rsidR="00491590" w:rsidRPr="00664E64">
        <w:rPr>
          <w:rFonts w:cs="Arial"/>
        </w:rPr>
        <w:t>only be</w:t>
      </w:r>
      <w:r w:rsidR="00CC7EFF" w:rsidRPr="00664E64">
        <w:rPr>
          <w:rFonts w:cs="Arial"/>
        </w:rPr>
        <w:t>ing</w:t>
      </w:r>
      <w:r w:rsidR="00491590" w:rsidRPr="00664E64">
        <w:rPr>
          <w:rFonts w:cs="Arial"/>
        </w:rPr>
        <w:t xml:space="preserve"> useful </w:t>
      </w:r>
      <w:r w:rsidR="00502BDF">
        <w:rPr>
          <w:rFonts w:cs="Arial"/>
        </w:rPr>
        <w:t>to</w:t>
      </w:r>
      <w:r w:rsidR="00502BDF" w:rsidRPr="00664E64">
        <w:rPr>
          <w:rFonts w:cs="Arial"/>
        </w:rPr>
        <w:t xml:space="preserve"> </w:t>
      </w:r>
      <w:r w:rsidR="00491590" w:rsidRPr="00664E64">
        <w:rPr>
          <w:rFonts w:cs="Arial"/>
        </w:rPr>
        <w:t>people who may already be experiencing gambling</w:t>
      </w:r>
      <w:r w:rsidR="00B94981" w:rsidRPr="00664E64">
        <w:rPr>
          <w:rFonts w:cs="Arial"/>
        </w:rPr>
        <w:t>-related</w:t>
      </w:r>
      <w:r w:rsidR="00491590" w:rsidRPr="00664E64">
        <w:rPr>
          <w:rFonts w:cs="Arial"/>
        </w:rPr>
        <w:t xml:space="preserve"> problems. A number of consumers reported that </w:t>
      </w:r>
      <w:r w:rsidR="00B94981" w:rsidRPr="00664E64">
        <w:rPr>
          <w:rFonts w:cs="Arial"/>
        </w:rPr>
        <w:t xml:space="preserve">‘responsible gambling’ </w:t>
      </w:r>
      <w:r w:rsidR="00491590" w:rsidRPr="00664E64">
        <w:rPr>
          <w:rFonts w:cs="Arial"/>
        </w:rPr>
        <w:t>messaging could be improved to reduce gambling-related harms among people who wager online.</w:t>
      </w:r>
    </w:p>
    <w:p w14:paraId="6AF3E043" w14:textId="3D2DDE52" w:rsidR="00482E94" w:rsidRPr="00664E64" w:rsidRDefault="009D37F2" w:rsidP="00D36108">
      <w:pPr>
        <w:pStyle w:val="BodyText"/>
        <w:rPr>
          <w:rFonts w:cs="Arial"/>
        </w:rPr>
      </w:pPr>
      <w:r w:rsidRPr="00664E64">
        <w:rPr>
          <w:rFonts w:cs="Arial"/>
        </w:rPr>
        <w:t>At the time of the review o</w:t>
      </w:r>
      <w:r w:rsidR="00491590" w:rsidRPr="00664E64">
        <w:rPr>
          <w:rFonts w:cs="Arial"/>
        </w:rPr>
        <w:t>nly a minority of state and territory regulato</w:t>
      </w:r>
      <w:r w:rsidRPr="00664E64">
        <w:rPr>
          <w:rFonts w:cs="Arial"/>
        </w:rPr>
        <w:t>r</w:t>
      </w:r>
      <w:r w:rsidR="00491590" w:rsidRPr="00664E64">
        <w:rPr>
          <w:rFonts w:cs="Arial"/>
        </w:rPr>
        <w:t xml:space="preserve"> websites contained any information about the </w:t>
      </w:r>
      <w:r w:rsidR="00492367">
        <w:rPr>
          <w:rFonts w:cs="Arial"/>
        </w:rPr>
        <w:t>National Framework</w:t>
      </w:r>
      <w:r w:rsidR="00491590" w:rsidRPr="00664E64">
        <w:rPr>
          <w:rFonts w:cs="Arial"/>
        </w:rPr>
        <w:t xml:space="preserve"> or links to further information</w:t>
      </w:r>
      <w:r w:rsidRPr="00664E64">
        <w:rPr>
          <w:rFonts w:cs="Arial"/>
        </w:rPr>
        <w:t xml:space="preserve">, but </w:t>
      </w:r>
      <w:r w:rsidR="00896CC0" w:rsidRPr="00664E64">
        <w:rPr>
          <w:rFonts w:cs="Arial"/>
        </w:rPr>
        <w:t xml:space="preserve">all </w:t>
      </w:r>
      <w:r w:rsidRPr="00664E64">
        <w:rPr>
          <w:rFonts w:cs="Arial"/>
        </w:rPr>
        <w:t xml:space="preserve">of the </w:t>
      </w:r>
      <w:r w:rsidR="00B94981" w:rsidRPr="00664E64">
        <w:rPr>
          <w:rFonts w:cs="Arial"/>
        </w:rPr>
        <w:t xml:space="preserve">reviewed </w:t>
      </w:r>
      <w:r w:rsidR="00896CC0" w:rsidRPr="00664E64">
        <w:rPr>
          <w:rFonts w:cs="Arial"/>
        </w:rPr>
        <w:t>Commonwealth</w:t>
      </w:r>
      <w:r w:rsidRPr="00664E64">
        <w:rPr>
          <w:rFonts w:cs="Arial"/>
        </w:rPr>
        <w:t xml:space="preserve"> websites </w:t>
      </w:r>
      <w:r w:rsidR="00B94981" w:rsidRPr="00664E64">
        <w:rPr>
          <w:rFonts w:cs="Arial"/>
        </w:rPr>
        <w:t>provided</w:t>
      </w:r>
      <w:r w:rsidRPr="00664E64">
        <w:rPr>
          <w:rFonts w:cs="Arial"/>
        </w:rPr>
        <w:t xml:space="preserve"> some detail, including the National Policy Statement or a link to it.</w:t>
      </w:r>
    </w:p>
    <w:p w14:paraId="7A1F8F3D" w14:textId="01222495" w:rsidR="00BB7986" w:rsidRPr="00915C40" w:rsidRDefault="00BB7986" w:rsidP="00A55CD9">
      <w:pPr>
        <w:pStyle w:val="Heading3"/>
        <w:rPr>
          <w:color w:val="auto"/>
        </w:rPr>
      </w:pPr>
      <w:r w:rsidRPr="00915C40">
        <w:rPr>
          <w:color w:val="auto"/>
        </w:rPr>
        <w:t>Key stakeholder interviews</w:t>
      </w:r>
    </w:p>
    <w:p w14:paraId="754963DE" w14:textId="11A4D676" w:rsidR="00896CC0" w:rsidRPr="00915C40" w:rsidRDefault="0060563C" w:rsidP="00A55CD9">
      <w:pPr>
        <w:pStyle w:val="Heading4"/>
        <w:rPr>
          <w:color w:val="auto"/>
        </w:rPr>
      </w:pPr>
      <w:r w:rsidRPr="00915C40">
        <w:rPr>
          <w:color w:val="auto"/>
        </w:rPr>
        <w:t>Regulators</w:t>
      </w:r>
    </w:p>
    <w:p w14:paraId="1B893DE0" w14:textId="6204AB18" w:rsidR="00896CC0" w:rsidRPr="00664E64" w:rsidRDefault="00896CC0" w:rsidP="00D36108">
      <w:pPr>
        <w:pStyle w:val="BodyText"/>
      </w:pPr>
      <w:r w:rsidRPr="00664E64">
        <w:t>Overall</w:t>
      </w:r>
      <w:r w:rsidR="00874A80" w:rsidRPr="00664E64">
        <w:t>,</w:t>
      </w:r>
      <w:r w:rsidRPr="00664E64">
        <w:t xml:space="preserve"> regulators </w:t>
      </w:r>
      <w:r w:rsidR="00C547B3" w:rsidRPr="00664E64">
        <w:t xml:space="preserve">were broadly supportive of the </w:t>
      </w:r>
      <w:r w:rsidR="00492367">
        <w:t>National Framework</w:t>
      </w:r>
      <w:r w:rsidR="00C547B3" w:rsidRPr="00664E64">
        <w:t xml:space="preserve"> and felt it was a positive development in encouraging stronger consumer protection measures and promoting the regulation of online wagering in Australia. </w:t>
      </w:r>
      <w:r w:rsidR="002A177C" w:rsidRPr="00664E64">
        <w:t>At the time of interview, m</w:t>
      </w:r>
      <w:r w:rsidR="00C547B3" w:rsidRPr="00664E64">
        <w:t xml:space="preserve">ost regulators </w:t>
      </w:r>
      <w:r w:rsidR="00874A80" w:rsidRPr="00664E64">
        <w:t>reported having</w:t>
      </w:r>
      <w:r w:rsidRPr="00664E64">
        <w:t xml:space="preserve"> a good understanding of the </w:t>
      </w:r>
      <w:r w:rsidR="00492367">
        <w:t>Framework</w:t>
      </w:r>
      <w:r w:rsidRPr="00664E64">
        <w:t xml:space="preserve"> measures and the time</w:t>
      </w:r>
      <w:r w:rsidR="00A473FE" w:rsidRPr="00664E64">
        <w:t xml:space="preserve"> </w:t>
      </w:r>
      <w:r w:rsidRPr="00664E64">
        <w:t>frames associated with implementation. However</w:t>
      </w:r>
      <w:r w:rsidR="00874A80" w:rsidRPr="00664E64">
        <w:t>,</w:t>
      </w:r>
      <w:r w:rsidRPr="00664E64">
        <w:t xml:space="preserve"> the varying regulatory frameworks in each state and territory </w:t>
      </w:r>
      <w:r w:rsidR="00874A80" w:rsidRPr="00664E64">
        <w:t>were reportedly</w:t>
      </w:r>
      <w:r w:rsidRPr="00664E64">
        <w:t xml:space="preserve"> causing </w:t>
      </w:r>
      <w:r w:rsidR="00874A80" w:rsidRPr="00664E64">
        <w:t xml:space="preserve">some </w:t>
      </w:r>
      <w:r w:rsidRPr="00664E64">
        <w:t xml:space="preserve">difficulty in efforts to harmonise regulation, in addition to tight deadlines for implementation of </w:t>
      </w:r>
      <w:r w:rsidR="00C547B3" w:rsidRPr="00664E64">
        <w:t>the</w:t>
      </w:r>
      <w:r w:rsidRPr="00664E64">
        <w:t xml:space="preserve"> measures </w:t>
      </w:r>
      <w:r w:rsidR="00C547B3" w:rsidRPr="00664E64">
        <w:t xml:space="preserve">due to come into effect </w:t>
      </w:r>
      <w:r w:rsidRPr="00664E64">
        <w:t>by May 2019. Differing standards across jurisdictions for measures such as inducements</w:t>
      </w:r>
      <w:r w:rsidR="00A473FE" w:rsidRPr="00664E64">
        <w:t>,</w:t>
      </w:r>
      <w:r w:rsidRPr="00664E64">
        <w:t xml:space="preserve"> and </w:t>
      </w:r>
      <w:r w:rsidR="00A473FE" w:rsidRPr="00664E64">
        <w:t xml:space="preserve">their </w:t>
      </w:r>
      <w:r w:rsidRPr="00664E64">
        <w:t xml:space="preserve">regulatory approaches </w:t>
      </w:r>
      <w:r w:rsidR="00A473FE" w:rsidRPr="00664E64">
        <w:t xml:space="preserve">varying between </w:t>
      </w:r>
      <w:r w:rsidRPr="00664E64">
        <w:t xml:space="preserve">point of supply </w:t>
      </w:r>
      <w:r w:rsidR="00A473FE" w:rsidRPr="00664E64">
        <w:t xml:space="preserve">and </w:t>
      </w:r>
      <w:r w:rsidRPr="00664E64">
        <w:t xml:space="preserve">point of consumption, also proved an issue for some states and territories. </w:t>
      </w:r>
    </w:p>
    <w:p w14:paraId="7B178886" w14:textId="0491DFA1" w:rsidR="00896CC0" w:rsidRPr="00664E64" w:rsidRDefault="00C547B3" w:rsidP="00D36108">
      <w:pPr>
        <w:pStyle w:val="BodyText"/>
      </w:pPr>
      <w:r w:rsidRPr="00664E64">
        <w:t xml:space="preserve">For these regulators, </w:t>
      </w:r>
      <w:r w:rsidR="00896CC0" w:rsidRPr="00664E64">
        <w:t>the issue was in the details of implementation of the measures, rather than the measures themselves. For example, all jurisdictions agreed on the need for effective, evidence</w:t>
      </w:r>
      <w:r w:rsidR="002A177C" w:rsidRPr="00664E64">
        <w:t>-</w:t>
      </w:r>
      <w:r w:rsidR="00896CC0" w:rsidRPr="00664E64">
        <w:t xml:space="preserve">based consistent gambling messages. Several jurisdictions planned to implement </w:t>
      </w:r>
      <w:r w:rsidR="00492367">
        <w:t xml:space="preserve">the </w:t>
      </w:r>
      <w:r w:rsidR="00492367">
        <w:lastRenderedPageBreak/>
        <w:t>Framework</w:t>
      </w:r>
      <w:r w:rsidR="00896CC0" w:rsidRPr="00664E64">
        <w:t xml:space="preserve"> measures either through licensing conditions, legislative or regulatory change, or changes to Codes of Practice. Once measures come into effect, and there are minimum standards across jurisdiction</w:t>
      </w:r>
      <w:r w:rsidR="002A177C" w:rsidRPr="00664E64">
        <w:t>s</w:t>
      </w:r>
      <w:r w:rsidR="00896CC0" w:rsidRPr="00664E64">
        <w:t xml:space="preserve">, implementation challenges are likely to be addressed. In addition, the continuation of the </w:t>
      </w:r>
      <w:r w:rsidR="00B94981" w:rsidRPr="00664E64">
        <w:t>Governance</w:t>
      </w:r>
      <w:r w:rsidR="00896CC0" w:rsidRPr="00664E64">
        <w:t xml:space="preserve"> </w:t>
      </w:r>
      <w:r w:rsidR="00B94981" w:rsidRPr="00664E64">
        <w:t>C</w:t>
      </w:r>
      <w:r w:rsidR="00896CC0" w:rsidRPr="00664E64">
        <w:t xml:space="preserve">ommittee would provide a forum for cross-jurisdictional issues to be addressed by the Commonwealth and states/territories as they arise. </w:t>
      </w:r>
    </w:p>
    <w:p w14:paraId="58E50043" w14:textId="77777777" w:rsidR="00896CC0" w:rsidRPr="00664E64" w:rsidRDefault="00896CC0" w:rsidP="00A55CD9">
      <w:pPr>
        <w:pStyle w:val="Heading4"/>
      </w:pPr>
      <w:r w:rsidRPr="00664E64">
        <w:t xml:space="preserve">Providers </w:t>
      </w:r>
    </w:p>
    <w:p w14:paraId="6447F8C8" w14:textId="24A73624" w:rsidR="00896CC0" w:rsidRPr="00664E64" w:rsidRDefault="002A177C" w:rsidP="00D36108">
      <w:pPr>
        <w:pStyle w:val="BodyText"/>
      </w:pPr>
      <w:r w:rsidRPr="00664E64">
        <w:t>W</w:t>
      </w:r>
      <w:r w:rsidR="00896CC0" w:rsidRPr="00664E64">
        <w:t xml:space="preserve">agering providers </w:t>
      </w:r>
      <w:r w:rsidRPr="00664E64">
        <w:t>were also generally</w:t>
      </w:r>
      <w:r w:rsidR="00896CC0" w:rsidRPr="00664E64">
        <w:t xml:space="preserve"> supportive of </w:t>
      </w:r>
      <w:r w:rsidR="00B94981" w:rsidRPr="00664E64">
        <w:t xml:space="preserve">the </w:t>
      </w:r>
      <w:r w:rsidR="00492367">
        <w:t>National Framework</w:t>
      </w:r>
      <w:r w:rsidR="00896CC0" w:rsidRPr="00664E64">
        <w:t xml:space="preserve"> </w:t>
      </w:r>
      <w:r w:rsidR="008178EB" w:rsidRPr="00664E64">
        <w:t xml:space="preserve">and saw it as a way to achieve greater consistency </w:t>
      </w:r>
      <w:r w:rsidR="00B94981" w:rsidRPr="00664E64">
        <w:t xml:space="preserve">in service provision </w:t>
      </w:r>
      <w:r w:rsidR="008178EB" w:rsidRPr="00664E64">
        <w:t>across the wagering industry in Australia; however,</w:t>
      </w:r>
      <w:r w:rsidR="00896CC0" w:rsidRPr="00664E64">
        <w:t xml:space="preserve"> </w:t>
      </w:r>
      <w:r w:rsidR="0024290F" w:rsidRPr="00664E64">
        <w:t xml:space="preserve">at the time of interview </w:t>
      </w:r>
      <w:r w:rsidR="00896CC0" w:rsidRPr="00664E64">
        <w:t xml:space="preserve">there was a degree of frustration </w:t>
      </w:r>
      <w:r w:rsidR="0024290F" w:rsidRPr="00664E64">
        <w:t xml:space="preserve">expressed </w:t>
      </w:r>
      <w:r w:rsidR="00896CC0" w:rsidRPr="00664E64">
        <w:t>that specifics had not been communicated by some jurisdictions, particularly given the short time</w:t>
      </w:r>
      <w:r w:rsidR="00FD3172" w:rsidRPr="00664E64">
        <w:t xml:space="preserve"> </w:t>
      </w:r>
      <w:r w:rsidR="0024290F" w:rsidRPr="00664E64">
        <w:t>frame</w:t>
      </w:r>
      <w:r w:rsidR="00896CC0" w:rsidRPr="00664E64">
        <w:t xml:space="preserve"> to implement </w:t>
      </w:r>
      <w:r w:rsidR="0024290F" w:rsidRPr="00664E64">
        <w:t>the three</w:t>
      </w:r>
      <w:r w:rsidR="00896CC0" w:rsidRPr="00664E64">
        <w:t xml:space="preserve"> measures </w:t>
      </w:r>
      <w:r w:rsidR="0024290F" w:rsidRPr="00664E64">
        <w:t xml:space="preserve">scheduled to come into effect </w:t>
      </w:r>
      <w:r w:rsidR="00896CC0" w:rsidRPr="00664E64">
        <w:t xml:space="preserve">in May 2019. Concerns linked to this related to the possibility of different consumer protection requirements in </w:t>
      </w:r>
      <w:r w:rsidR="00502BDF" w:rsidRPr="00664E64">
        <w:t>diffe</w:t>
      </w:r>
      <w:r w:rsidR="00502BDF">
        <w:t>rent</w:t>
      </w:r>
      <w:r w:rsidR="00502BDF" w:rsidRPr="00664E64">
        <w:t xml:space="preserve"> </w:t>
      </w:r>
      <w:r w:rsidR="00896CC0" w:rsidRPr="00664E64">
        <w:t xml:space="preserve">jurisdictions, and the business uncertainty and costs to wagering providers. However, the larger providers noted that differences currently exist between jurisdictions, and overall harmonisation of measures nationally was a positive outcome. They had also been aware of the </w:t>
      </w:r>
      <w:r w:rsidR="00492367">
        <w:t>Framework</w:t>
      </w:r>
      <w:r w:rsidR="00896CC0" w:rsidRPr="00664E64">
        <w:t xml:space="preserve"> measures from their inception. </w:t>
      </w:r>
    </w:p>
    <w:p w14:paraId="1F191341" w14:textId="2AD7626D" w:rsidR="00D36108" w:rsidRPr="00664E64" w:rsidRDefault="00896CC0" w:rsidP="00D36108">
      <w:pPr>
        <w:pStyle w:val="BodyText"/>
      </w:pPr>
      <w:r w:rsidRPr="00664E64">
        <w:t xml:space="preserve">Many providers were already partially or fully implementing </w:t>
      </w:r>
      <w:r w:rsidR="0024290F" w:rsidRPr="00664E64">
        <w:t xml:space="preserve">some </w:t>
      </w:r>
      <w:r w:rsidR="00492367">
        <w:t>Framework</w:t>
      </w:r>
      <w:r w:rsidRPr="00664E64">
        <w:t xml:space="preserve"> measures, and none expressed a view that the measures themselves were unreasonable. Criticism arose around the lack of detail</w:t>
      </w:r>
      <w:r w:rsidR="00D36108" w:rsidRPr="00664E64">
        <w:t>;</w:t>
      </w:r>
      <w:r w:rsidRPr="00664E64">
        <w:t xml:space="preserve"> however</w:t>
      </w:r>
      <w:r w:rsidR="00D36108" w:rsidRPr="00664E64">
        <w:t>,</w:t>
      </w:r>
      <w:r w:rsidRPr="00664E64">
        <w:t xml:space="preserve"> many larger providers and industry bodies had been in dialogue with certain regulators for some time prior to implementation. Some wagering providers expressed concerns about unintended consequences of </w:t>
      </w:r>
      <w:r w:rsidR="00492367">
        <w:t>some Framework</w:t>
      </w:r>
      <w:r w:rsidRPr="00664E64">
        <w:t xml:space="preserve"> measure</w:t>
      </w:r>
      <w:r w:rsidR="0024290F" w:rsidRPr="00664E64">
        <w:t>s,</w:t>
      </w:r>
      <w:r w:rsidRPr="00664E64">
        <w:t xml:space="preserve"> includ</w:t>
      </w:r>
      <w:r w:rsidR="0024290F" w:rsidRPr="00664E64">
        <w:t>ing</w:t>
      </w:r>
      <w:r w:rsidRPr="00664E64">
        <w:t xml:space="preserve"> consumers possibly moving to offshore providers with fewer protections, although it remains to be seen if this will occur</w:t>
      </w:r>
      <w:r w:rsidR="0024290F" w:rsidRPr="00664E64">
        <w:t>.</w:t>
      </w:r>
      <w:r w:rsidRPr="00664E64">
        <w:t xml:space="preserve"> </w:t>
      </w:r>
    </w:p>
    <w:p w14:paraId="7B995F8F" w14:textId="66437469" w:rsidR="005D45EF" w:rsidRPr="00915C40" w:rsidRDefault="005D45EF" w:rsidP="005D45EF">
      <w:pPr>
        <w:pStyle w:val="Heading3"/>
        <w:rPr>
          <w:color w:val="auto"/>
        </w:rPr>
      </w:pPr>
      <w:r w:rsidRPr="00915C40">
        <w:rPr>
          <w:color w:val="auto"/>
        </w:rPr>
        <w:t>Consumer survey</w:t>
      </w:r>
    </w:p>
    <w:p w14:paraId="5B431661" w14:textId="18CF8147" w:rsidR="00B94981" w:rsidRPr="00664E64" w:rsidRDefault="00B94981" w:rsidP="00B94981">
      <w:pPr>
        <w:pStyle w:val="BodyText"/>
        <w:rPr>
          <w:rFonts w:eastAsiaTheme="minorEastAsia"/>
          <w:color w:val="000000" w:themeColor="text1"/>
        </w:rPr>
      </w:pPr>
      <w:r w:rsidRPr="00664E64">
        <w:rPr>
          <w:rFonts w:eastAsiaTheme="minorEastAsia"/>
          <w:color w:val="000000" w:themeColor="text1"/>
        </w:rPr>
        <w:t xml:space="preserve">The online survey of </w:t>
      </w:r>
      <w:r w:rsidR="00492367">
        <w:rPr>
          <w:rFonts w:eastAsiaTheme="minorEastAsia"/>
          <w:color w:val="000000" w:themeColor="text1"/>
        </w:rPr>
        <w:t>5,076</w:t>
      </w:r>
      <w:r w:rsidRPr="00664E64">
        <w:rPr>
          <w:rFonts w:eastAsiaTheme="minorEastAsia"/>
          <w:color w:val="000000" w:themeColor="text1"/>
        </w:rPr>
        <w:t xml:space="preserve"> people who wagered online in Australia in the past 12 months was conducted to assess consumer characteristics, levels of wagering involvement and related harm, self-management strategies, and awareness, uptake and perceived usefulness of existing consumer protection features. </w:t>
      </w:r>
    </w:p>
    <w:p w14:paraId="37BE7828" w14:textId="77777777" w:rsidR="00B94981" w:rsidRPr="00664E64" w:rsidRDefault="00B94981" w:rsidP="00B94981">
      <w:pPr>
        <w:pStyle w:val="BodyText"/>
        <w:rPr>
          <w:color w:val="000000" w:themeColor="text1"/>
        </w:rPr>
      </w:pPr>
      <w:r w:rsidRPr="00664E64">
        <w:rPr>
          <w:rFonts w:eastAsiaTheme="minorEastAsia"/>
          <w:color w:val="000000" w:themeColor="text1"/>
        </w:rPr>
        <w:t>Participants in the online survey were mostly male, aged in their 40s, Australian-born, married or in another type of relationship, educated, employed, and securely accommodated. Just under two-thirds reported residing in one of the state capitals, with the remainder in the territories or regional areas of Australia. The demographic profile of participants in this sample is largely consistent with previous research conducted with people who wager online in Australia (</w:t>
      </w:r>
      <w:r w:rsidRPr="00664E64">
        <w:rPr>
          <w:color w:val="000000" w:themeColor="text1"/>
        </w:rPr>
        <w:t>Gainsbury, Russell, Hing</w:t>
      </w:r>
      <w:r w:rsidRPr="00664E64">
        <w:rPr>
          <w:rFonts w:eastAsiaTheme="minorEastAsia"/>
          <w:color w:val="000000" w:themeColor="text1"/>
        </w:rPr>
        <w:t xml:space="preserve"> </w:t>
      </w:r>
      <w:r w:rsidRPr="00664E64">
        <w:rPr>
          <w:color w:val="000000" w:themeColor="text1"/>
        </w:rPr>
        <w:t xml:space="preserve">&amp; Blaszczynski, </w:t>
      </w:r>
      <w:r w:rsidRPr="00664E64">
        <w:rPr>
          <w:rFonts w:eastAsiaTheme="minorEastAsia"/>
          <w:color w:val="000000" w:themeColor="text1"/>
        </w:rPr>
        <w:t xml:space="preserve">2018; </w:t>
      </w:r>
      <w:r w:rsidRPr="00664E64">
        <w:rPr>
          <w:color w:val="000000" w:themeColor="text1"/>
        </w:rPr>
        <w:t xml:space="preserve">Gainsbury, Arbarbanel &amp; Blaszczynski, </w:t>
      </w:r>
      <w:r w:rsidRPr="00664E64">
        <w:rPr>
          <w:rFonts w:eastAsiaTheme="minorEastAsia"/>
          <w:color w:val="000000" w:themeColor="text1"/>
        </w:rPr>
        <w:t>2018; Hing et al., 2014).</w:t>
      </w:r>
    </w:p>
    <w:p w14:paraId="21147192" w14:textId="4CE3F18F" w:rsidR="00B94981" w:rsidRPr="00664E64" w:rsidRDefault="00B94981" w:rsidP="00B94981">
      <w:pPr>
        <w:pStyle w:val="BodyText"/>
        <w:rPr>
          <w:rFonts w:eastAsiaTheme="minorEastAsia"/>
          <w:color w:val="000000" w:themeColor="text1"/>
        </w:rPr>
      </w:pPr>
      <w:r w:rsidRPr="00664E64">
        <w:rPr>
          <w:rFonts w:eastAsiaTheme="minorEastAsia"/>
          <w:color w:val="000000" w:themeColor="text1"/>
        </w:rPr>
        <w:t>Horse racing (75%), sports (53%) and greyhound racing (32%) were the activities most commonly wagered on during the previous 12 months, with frequency of betting on sports around once a week (which aligns with how sporting competitions are often scheduled), and for racing around 2</w:t>
      </w:r>
      <w:r w:rsidR="00502BDF">
        <w:rPr>
          <w:rFonts w:cs="Arial"/>
        </w:rPr>
        <w:t>–</w:t>
      </w:r>
      <w:r w:rsidRPr="00664E64">
        <w:rPr>
          <w:rFonts w:eastAsiaTheme="minorEastAsia"/>
          <w:color w:val="000000" w:themeColor="text1"/>
        </w:rPr>
        <w:t>3 times a month. The majority (80</w:t>
      </w:r>
      <w:r w:rsidR="00502BDF">
        <w:rPr>
          <w:rFonts w:cs="Arial"/>
        </w:rPr>
        <w:t>–</w:t>
      </w:r>
      <w:r w:rsidRPr="00664E64">
        <w:rPr>
          <w:rFonts w:eastAsiaTheme="minorEastAsia"/>
          <w:color w:val="000000" w:themeColor="text1"/>
        </w:rPr>
        <w:t>90% for each activity) reported having placed bets online using mobiles/smartphone</w:t>
      </w:r>
      <w:r w:rsidR="00502BDF">
        <w:rPr>
          <w:rFonts w:eastAsiaTheme="minorEastAsia"/>
          <w:color w:val="000000" w:themeColor="text1"/>
        </w:rPr>
        <w:t>s</w:t>
      </w:r>
      <w:r w:rsidRPr="00664E64">
        <w:rPr>
          <w:rFonts w:eastAsiaTheme="minorEastAsia"/>
          <w:color w:val="000000" w:themeColor="text1"/>
        </w:rPr>
        <w:t>, followed by computers (40</w:t>
      </w:r>
      <w:r w:rsidR="00502BDF">
        <w:rPr>
          <w:rFonts w:cs="Arial"/>
        </w:rPr>
        <w:t>–</w:t>
      </w:r>
      <w:r w:rsidRPr="00664E64">
        <w:rPr>
          <w:rFonts w:eastAsiaTheme="minorEastAsia"/>
          <w:color w:val="000000" w:themeColor="text1"/>
        </w:rPr>
        <w:t>50%), with around one-quarter each also betting via self-service terminals or in-person. The accessibility of online (and especially smartphone) wagering facilitated the placing of bets via multiple locations, including home (80</w:t>
      </w:r>
      <w:r w:rsidR="00502BDF">
        <w:rPr>
          <w:rFonts w:cs="Arial"/>
        </w:rPr>
        <w:t>–</w:t>
      </w:r>
      <w:r w:rsidRPr="00664E64">
        <w:rPr>
          <w:rFonts w:eastAsiaTheme="minorEastAsia"/>
          <w:color w:val="000000" w:themeColor="text1"/>
        </w:rPr>
        <w:t>90%), licenced venues (30%), work (25%), friend/family home (23%), and sporting event/racetrack (23%).</w:t>
      </w:r>
    </w:p>
    <w:p w14:paraId="2855BC1E" w14:textId="5FB6EBB7" w:rsidR="00B94981" w:rsidRPr="00664E64" w:rsidRDefault="00B94981" w:rsidP="00B94981">
      <w:pPr>
        <w:pStyle w:val="BodyText"/>
        <w:rPr>
          <w:rFonts w:eastAsiaTheme="minorEastAsia"/>
          <w:color w:val="000000" w:themeColor="text1"/>
        </w:rPr>
      </w:pPr>
      <w:r w:rsidRPr="00664E64">
        <w:rPr>
          <w:rFonts w:eastAsiaTheme="minorEastAsia"/>
          <w:color w:val="000000" w:themeColor="text1"/>
        </w:rPr>
        <w:lastRenderedPageBreak/>
        <w:t>The participants’ main motivations to wager online were often linked to enjoyment, with the largest proportions reporting, ‘I enjoy a punt’, ‘betting on an event makes watching sports/races more interesting’ and ‘betting is a social activity’. The average spend on each activity on a typical day of betting ranged from around $50</w:t>
      </w:r>
      <w:r w:rsidR="00502BDF">
        <w:rPr>
          <w:rFonts w:cs="Arial"/>
        </w:rPr>
        <w:t>–$</w:t>
      </w:r>
      <w:r w:rsidRPr="00664E64">
        <w:rPr>
          <w:rFonts w:eastAsiaTheme="minorEastAsia"/>
          <w:color w:val="000000" w:themeColor="text1"/>
        </w:rPr>
        <w:t>100, with the most common typical daily spend for horse racing being $50, and sports $20. Participants currently had an average of 2.3 online wagering accounts, with 13% having elected to open an account with an offshore provider at some point. Around two-thirds reported having employed strategies to manage the amount of money or time spent betting online during the past 12 months, with most reporting that they ‘monitored how much money they spent betting’ or they ‘set limits for how much they spend each week’.</w:t>
      </w:r>
    </w:p>
    <w:p w14:paraId="7C1E88B6" w14:textId="13A55DE5" w:rsidR="00B94981" w:rsidRPr="00664E64" w:rsidRDefault="00B94981" w:rsidP="00B94981">
      <w:pPr>
        <w:pStyle w:val="BodyText"/>
        <w:rPr>
          <w:rFonts w:eastAsiaTheme="minorEastAsia"/>
          <w:color w:val="000000" w:themeColor="text1"/>
        </w:rPr>
      </w:pPr>
      <w:r w:rsidRPr="00664E64">
        <w:rPr>
          <w:rFonts w:eastAsiaTheme="minorEastAsia"/>
          <w:color w:val="000000" w:themeColor="text1"/>
        </w:rPr>
        <w:t xml:space="preserve">Experience of gambling-related </w:t>
      </w:r>
      <w:r w:rsidR="00D572A4">
        <w:rPr>
          <w:rFonts w:eastAsiaTheme="minorEastAsia"/>
          <w:color w:val="000000" w:themeColor="text1"/>
        </w:rPr>
        <w:t>harm</w:t>
      </w:r>
      <w:r w:rsidRPr="00664E64">
        <w:rPr>
          <w:rFonts w:eastAsiaTheme="minorEastAsia"/>
          <w:color w:val="000000" w:themeColor="text1"/>
        </w:rPr>
        <w:t xml:space="preserve"> was assessed via the PGSI (Ferris &amp; Wynne, 2001) and Gambling Harms Scale (</w:t>
      </w:r>
      <w:r w:rsidR="002C4FC0" w:rsidRPr="00664E64">
        <w:rPr>
          <w:rFonts w:eastAsiaTheme="minorEastAsia"/>
          <w:color w:val="000000" w:themeColor="text1"/>
        </w:rPr>
        <w:t>Browne</w:t>
      </w:r>
      <w:r w:rsidR="008E4D76">
        <w:rPr>
          <w:rFonts w:eastAsiaTheme="minorEastAsia"/>
          <w:color w:val="000000" w:themeColor="text1"/>
        </w:rPr>
        <w:t xml:space="preserve"> et al.</w:t>
      </w:r>
      <w:r w:rsidRPr="00664E64">
        <w:rPr>
          <w:rFonts w:eastAsiaTheme="minorEastAsia"/>
          <w:color w:val="000000" w:themeColor="text1"/>
        </w:rPr>
        <w:t xml:space="preserve">, 2017). Based on the PGSI, around half of all participants (52%) were classified as being at risk of or already experiencing gambling-related harm; with 25% classified as low risk, 19% moderate risk, and 8% problem gambling. The levels of harm observed among this sample </w:t>
      </w:r>
      <w:r w:rsidR="00D572A4">
        <w:rPr>
          <w:rFonts w:eastAsiaTheme="minorEastAsia"/>
          <w:color w:val="000000" w:themeColor="text1"/>
        </w:rPr>
        <w:t>a</w:t>
      </w:r>
      <w:r w:rsidRPr="00664E64">
        <w:rPr>
          <w:rFonts w:eastAsiaTheme="minorEastAsia"/>
          <w:color w:val="000000" w:themeColor="text1"/>
        </w:rPr>
        <w:t xml:space="preserve">re higher than that reported in the </w:t>
      </w:r>
      <w:r w:rsidRPr="00664E64">
        <w:rPr>
          <w:rFonts w:eastAsiaTheme="minorEastAsia"/>
          <w:i/>
          <w:color w:val="000000" w:themeColor="text1"/>
        </w:rPr>
        <w:t xml:space="preserve">Interactive Gambling </w:t>
      </w:r>
      <w:r w:rsidRPr="00664E64">
        <w:rPr>
          <w:rFonts w:eastAsiaTheme="minorEastAsia"/>
          <w:color w:val="000000" w:themeColor="text1"/>
        </w:rPr>
        <w:t>study (Hing et al., 2014), which found that among interactive gamblers who participated in the online survey, one-third (33%) were classified at risk of or already experiencing harm (22% low risk, 10% moderate, and 1% problem gambling). Additional harms captured as part of Browne and colleagues (2017) gambling harms scale included a reduction of available spending money (24%), reduction of savings (22%), regrets that made them feel sorry about their gambling (18%), and having less spending for recreational purposes (15%). Future stages of the evaluation will be able to examine trends in gambling-related harm among people who wager online.</w:t>
      </w:r>
    </w:p>
    <w:p w14:paraId="3A6FA8B3" w14:textId="164F880F" w:rsidR="00B94981" w:rsidRPr="00664E64" w:rsidRDefault="00B94981" w:rsidP="00B94981">
      <w:pPr>
        <w:pStyle w:val="BodyText"/>
        <w:rPr>
          <w:rFonts w:eastAsiaTheme="minorEastAsia"/>
          <w:color w:val="000000" w:themeColor="text1"/>
        </w:rPr>
      </w:pPr>
      <w:r w:rsidRPr="00664E64">
        <w:rPr>
          <w:rFonts w:eastAsiaTheme="minorEastAsia"/>
          <w:color w:val="000000" w:themeColor="text1"/>
        </w:rPr>
        <w:t xml:space="preserve">Participants were also asked about their awareness, uptake and perceived usefulness of different consumer protection measures and features. While most of the 10 </w:t>
      </w:r>
      <w:r w:rsidR="00492367">
        <w:rPr>
          <w:rFonts w:eastAsiaTheme="minorEastAsia"/>
          <w:color w:val="000000" w:themeColor="text1"/>
        </w:rPr>
        <w:t>National Framework</w:t>
      </w:r>
      <w:r w:rsidRPr="00664E64">
        <w:rPr>
          <w:rFonts w:eastAsiaTheme="minorEastAsia"/>
          <w:color w:val="000000" w:themeColor="text1"/>
        </w:rPr>
        <w:t xml:space="preserve"> measures had yet to be implemented at the time of </w:t>
      </w:r>
      <w:r w:rsidR="00502BDF">
        <w:rPr>
          <w:rFonts w:eastAsiaTheme="minorEastAsia"/>
          <w:color w:val="000000" w:themeColor="text1"/>
        </w:rPr>
        <w:t xml:space="preserve">the </w:t>
      </w:r>
      <w:r w:rsidRPr="00664E64">
        <w:rPr>
          <w:rFonts w:eastAsiaTheme="minorEastAsia"/>
          <w:color w:val="000000" w:themeColor="text1"/>
        </w:rPr>
        <w:t>survey, a number of wagering providers, in particular some of the larger providers, were already offering some tools or features similar to those to be rolled out over the coming months (as identified as part of the desktop review). Around three-quarters of participants reported having seen one or more consumer protection-type features, and over half reported having used at least one feature; most commonly features to set deposit or spending limits.</w:t>
      </w:r>
    </w:p>
    <w:p w14:paraId="00C68759" w14:textId="4E3CAEFB" w:rsidR="00B94981" w:rsidRPr="00664E64" w:rsidRDefault="00B94981" w:rsidP="00B94981">
      <w:pPr>
        <w:pStyle w:val="BodyText"/>
        <w:rPr>
          <w:color w:val="000000" w:themeColor="text1"/>
        </w:rPr>
      </w:pPr>
      <w:r w:rsidRPr="00664E64">
        <w:rPr>
          <w:rFonts w:eastAsiaTheme="minorEastAsia"/>
          <w:color w:val="000000" w:themeColor="text1"/>
        </w:rPr>
        <w:t>While available consumer protection measures were generally perceived as being useful – particularly regular financial statements, clear information about terms and conditions, deposit limits and spend limits – open text responses revealed that many participants did not view themselves as experiencing gambling-related harm and felt that some of the features applied more to people ‘at risk’ or already experiencing gambling problems. It is possible that a lack of perceived risk of gambling-related harm among people who wager online could affect uptake of consumer protection features; this is something that could be examined in future stages of the evaluation.</w:t>
      </w:r>
    </w:p>
    <w:p w14:paraId="2F78CC34" w14:textId="518CDFFF" w:rsidR="00C203FA" w:rsidRPr="00915C40" w:rsidRDefault="00C203FA" w:rsidP="00C203FA">
      <w:pPr>
        <w:pStyle w:val="Heading2"/>
        <w:rPr>
          <w:color w:val="auto"/>
        </w:rPr>
      </w:pPr>
      <w:bookmarkStart w:id="99" w:name="_Toc12022561"/>
      <w:r w:rsidRPr="00915C40">
        <w:rPr>
          <w:color w:val="auto"/>
        </w:rPr>
        <w:t>Study limitations</w:t>
      </w:r>
      <w:bookmarkEnd w:id="99"/>
    </w:p>
    <w:p w14:paraId="4F10083B" w14:textId="6364C47F" w:rsidR="00B94981" w:rsidRPr="00664E64" w:rsidRDefault="00B94981" w:rsidP="00B94981">
      <w:pPr>
        <w:pStyle w:val="BodyText"/>
      </w:pPr>
      <w:r w:rsidRPr="00664E64">
        <w:t xml:space="preserve">This study has provided valuable baseline data </w:t>
      </w:r>
      <w:r w:rsidR="00502BDF">
        <w:t>that</w:t>
      </w:r>
      <w:r w:rsidR="00502BDF" w:rsidRPr="00664E64">
        <w:t xml:space="preserve"> </w:t>
      </w:r>
      <w:r w:rsidRPr="00664E64">
        <w:t xml:space="preserve">will enhance understanding of gambling behaviours and related harm among people who wager online in Australia, and of how wagering providers and Australian regulators perceive and plan to implement and monitor the National Framework. This baseline data will help to inform the ongoing development and roll-out of the </w:t>
      </w:r>
      <w:r w:rsidR="00492367">
        <w:t>Framework</w:t>
      </w:r>
      <w:r w:rsidRPr="00664E64">
        <w:t xml:space="preserve"> over time, and will provide a comparison for future waves of the evaluation. </w:t>
      </w:r>
    </w:p>
    <w:p w14:paraId="3518912E" w14:textId="2EB6BCAD" w:rsidR="00B94981" w:rsidRPr="00664E64" w:rsidRDefault="00B94981" w:rsidP="00B94981">
      <w:pPr>
        <w:pStyle w:val="BodyText"/>
      </w:pPr>
      <w:r w:rsidRPr="00664E64">
        <w:t xml:space="preserve">There were, however, a number of limitations </w:t>
      </w:r>
      <w:r w:rsidR="00502BDF">
        <w:t xml:space="preserve">that </w:t>
      </w:r>
      <w:r w:rsidRPr="00664E64">
        <w:t xml:space="preserve">should be considered. First, while the desktop review provided important insights into the types of consumer protection measures that wagering providers currently offer, for ethical reasons we did not open an online wagering account/s and </w:t>
      </w:r>
      <w:r w:rsidRPr="00664E64">
        <w:lastRenderedPageBreak/>
        <w:t xml:space="preserve">the information reviewed is therefore limited to publicly available websites (i.e. no access to member-only features such as activity statements or account closure features). For the same reason, we were unable to access wagering provider apps. Apps are commonly used and may provide quicker and more streamlined access to betting options for customers. Reviewing member-only features via both apps and websites would provide a more comprehensive overview of the protective measures that wagering providers offer. </w:t>
      </w:r>
    </w:p>
    <w:p w14:paraId="0A867213" w14:textId="772EFBD2" w:rsidR="00B94981" w:rsidRPr="00664E64" w:rsidRDefault="00B94981" w:rsidP="00B94981">
      <w:pPr>
        <w:pStyle w:val="BodyText"/>
      </w:pPr>
      <w:r w:rsidRPr="00664E64">
        <w:t xml:space="preserve">Second, while we were able to interview regulators in every state and territory and the Commonwealth, together with most of the large and some smaller online wagering providers, the views and opinions expressed are those of the individual participants. The findings from these interviews may not reflect the views of their workplace/organisation, nor be a true or accurate reflection of the </w:t>
      </w:r>
      <w:r w:rsidR="00492367">
        <w:t>National Framework’s</w:t>
      </w:r>
      <w:r w:rsidRPr="00664E64">
        <w:t xml:space="preserve"> development and implementation processes. </w:t>
      </w:r>
    </w:p>
    <w:p w14:paraId="62D2E6A4" w14:textId="1C4CD6CF" w:rsidR="00B94981" w:rsidRPr="00664E64" w:rsidRDefault="00B94981" w:rsidP="00B94981">
      <w:pPr>
        <w:pStyle w:val="BodyText"/>
      </w:pPr>
      <w:r w:rsidRPr="00664E64">
        <w:t>Third, the target sample for the consumer survey was people living in Australia, aged 18 or over, who had placed a monetary bet online in the last 12 months. While</w:t>
      </w:r>
      <w:r w:rsidR="00502BDF">
        <w:t xml:space="preserve"> we</w:t>
      </w:r>
      <w:r w:rsidRPr="00664E64">
        <w:t xml:space="preserve"> were able to recruit a very large sample of participants via 11 different mid-large wagering operators, this is a convenience sample of people who self-selected to complete the survey</w:t>
      </w:r>
      <w:r w:rsidR="00502BDF">
        <w:t xml:space="preserve"> </w:t>
      </w:r>
      <w:r w:rsidRPr="00664E64">
        <w:t>and</w:t>
      </w:r>
      <w:r w:rsidR="00502BDF">
        <w:t>,</w:t>
      </w:r>
      <w:r w:rsidRPr="00664E64">
        <w:t xml:space="preserve"> as such, the findings may not be representative or generalisable to the wider population of adults who wager online in Australia. Further, while confidentiality was assured and there were no negative consequences of disclosure, participant responses were based on self-report and </w:t>
      </w:r>
      <w:r w:rsidR="006D0E8E">
        <w:t>may</w:t>
      </w:r>
      <w:r w:rsidR="006D0E8E" w:rsidRPr="00664E64">
        <w:t xml:space="preserve"> </w:t>
      </w:r>
      <w:r w:rsidRPr="00664E64">
        <w:t xml:space="preserve">be subject to some social desirability or recall bias. </w:t>
      </w:r>
    </w:p>
    <w:p w14:paraId="43293237" w14:textId="605903DD" w:rsidR="00C203FA" w:rsidRPr="00664E64" w:rsidRDefault="00B94981" w:rsidP="00B94981">
      <w:pPr>
        <w:pStyle w:val="BodyText"/>
      </w:pPr>
      <w:r w:rsidRPr="00664E64">
        <w:t>Finally, all baseline data collection was undertaken within a short timeframe during March</w:t>
      </w:r>
      <w:r w:rsidR="00502BDF">
        <w:rPr>
          <w:rFonts w:cs="Arial"/>
        </w:rPr>
        <w:t>–</w:t>
      </w:r>
      <w:r w:rsidRPr="00664E64">
        <w:t xml:space="preserve">April 2019. While it was important to ensure that data </w:t>
      </w:r>
      <w:r w:rsidR="00502BDF" w:rsidRPr="00664E64">
        <w:t>w</w:t>
      </w:r>
      <w:r w:rsidR="00502BDF">
        <w:t xml:space="preserve">ere </w:t>
      </w:r>
      <w:r w:rsidRPr="00664E64">
        <w:t xml:space="preserve">collected prior to the roll-out of most </w:t>
      </w:r>
      <w:r w:rsidR="00492367">
        <w:t>Framework</w:t>
      </w:r>
      <w:r w:rsidRPr="00664E64">
        <w:t xml:space="preserve"> measures, issues or concerns raised in this report (e.g. as part of the desktop review or by regulators or providers) may have been addressed or resolved since that time. Future phases of the evaluation will improve understanding of how these findings change over time.</w:t>
      </w:r>
    </w:p>
    <w:p w14:paraId="7E7B7209" w14:textId="763DA041" w:rsidR="00D36108" w:rsidRPr="00915C40" w:rsidRDefault="00D36108" w:rsidP="00A55CD9">
      <w:pPr>
        <w:pStyle w:val="Heading2"/>
        <w:rPr>
          <w:color w:val="auto"/>
        </w:rPr>
      </w:pPr>
      <w:bookmarkStart w:id="100" w:name="_Toc12022562"/>
      <w:r w:rsidRPr="00915C40">
        <w:rPr>
          <w:color w:val="auto"/>
        </w:rPr>
        <w:t>Recommendations for government</w:t>
      </w:r>
      <w:bookmarkEnd w:id="100"/>
    </w:p>
    <w:p w14:paraId="6889FDC7" w14:textId="77777777" w:rsidR="00054FB4" w:rsidRPr="00054FB4" w:rsidRDefault="00054FB4" w:rsidP="00054FB4">
      <w:pPr>
        <w:pStyle w:val="BodyText"/>
      </w:pPr>
      <w:r w:rsidRPr="00054FB4">
        <w:t>The intention of the National Framework is to reduce the harm of online wagering to consumers by bringing Australian consumer protection measures for online wagering up to date, ensuring they reflect best practice nationally, and addressing the current regulatory fragmentation across jurisdictions.</w:t>
      </w:r>
    </w:p>
    <w:p w14:paraId="2DB0ACF9" w14:textId="78FE8EB3" w:rsidR="00896CC0" w:rsidRPr="00664E64" w:rsidRDefault="00E43015" w:rsidP="00D36108">
      <w:pPr>
        <w:pStyle w:val="BodyText"/>
      </w:pPr>
      <w:r w:rsidRPr="00664E64">
        <w:t>We recommend t</w:t>
      </w:r>
      <w:r w:rsidR="00896CC0" w:rsidRPr="00664E64">
        <w:t xml:space="preserve">he following points be considered </w:t>
      </w:r>
      <w:r w:rsidRPr="00664E64">
        <w:t xml:space="preserve">as part of the ongoing development and roll-out of the </w:t>
      </w:r>
      <w:r w:rsidR="00492367">
        <w:t>National Framework</w:t>
      </w:r>
      <w:r w:rsidRPr="00664E64">
        <w:t>:</w:t>
      </w:r>
    </w:p>
    <w:p w14:paraId="7701AC42" w14:textId="4AD97361" w:rsidR="00E43015" w:rsidRPr="00664E64" w:rsidRDefault="00E43015" w:rsidP="00A55CD9">
      <w:pPr>
        <w:pStyle w:val="ListBullet"/>
      </w:pPr>
      <w:r w:rsidRPr="00664E64">
        <w:t xml:space="preserve">Continue </w:t>
      </w:r>
      <w:r w:rsidR="00472679">
        <w:t>to work</w:t>
      </w:r>
      <w:r w:rsidR="00472679" w:rsidRPr="00664E64">
        <w:t xml:space="preserve"> </w:t>
      </w:r>
      <w:r w:rsidRPr="00664E64">
        <w:t xml:space="preserve">towards harmonisation of minimum online wagering regulations across jurisdictions, </w:t>
      </w:r>
      <w:r w:rsidR="00FD3172" w:rsidRPr="00664E64">
        <w:t xml:space="preserve">while </w:t>
      </w:r>
      <w:r w:rsidRPr="00664E64">
        <w:t>retaining the ability of jurisdictions to impose higher standards.</w:t>
      </w:r>
    </w:p>
    <w:p w14:paraId="46F0F29C" w14:textId="3CB0055C" w:rsidR="00E43015" w:rsidRPr="00664E64" w:rsidRDefault="00E43015" w:rsidP="00A55CD9">
      <w:pPr>
        <w:pStyle w:val="ListBullet"/>
      </w:pPr>
      <w:r w:rsidRPr="00664E64">
        <w:t xml:space="preserve">Ensure continuation of the </w:t>
      </w:r>
      <w:r w:rsidR="00ED04E3">
        <w:t>implementation</w:t>
      </w:r>
      <w:r w:rsidRPr="00664E64">
        <w:t xml:space="preserve"> Governance Committee to facilitate ongoing dialogue between jurisdictions, </w:t>
      </w:r>
      <w:r w:rsidR="00B6195A">
        <w:t xml:space="preserve">address and work to </w:t>
      </w:r>
      <w:r w:rsidRPr="00664E64">
        <w:t>reconcile cross-border issues, and provide regular reports</w:t>
      </w:r>
      <w:r w:rsidR="00B94981" w:rsidRPr="00664E64">
        <w:t xml:space="preserve"> and </w:t>
      </w:r>
      <w:r w:rsidRPr="00664E64">
        <w:t>updates on breaches of regulatory conditions</w:t>
      </w:r>
      <w:r w:rsidR="00FD3172" w:rsidRPr="00664E64">
        <w:t>.</w:t>
      </w:r>
    </w:p>
    <w:p w14:paraId="2CD33F8B" w14:textId="678933C9" w:rsidR="00D36108" w:rsidRPr="00FF4B80" w:rsidRDefault="00896CC0" w:rsidP="00A55CD9">
      <w:pPr>
        <w:pStyle w:val="ListBullet"/>
      </w:pPr>
      <w:r w:rsidRPr="00664E64">
        <w:t xml:space="preserve">Continue </w:t>
      </w:r>
      <w:r w:rsidR="00472679">
        <w:t>to work</w:t>
      </w:r>
      <w:r w:rsidR="00472679" w:rsidRPr="00664E64">
        <w:t xml:space="preserve"> </w:t>
      </w:r>
      <w:r w:rsidRPr="00664E64">
        <w:t xml:space="preserve">towards greater transparency and improved communication between regulators and </w:t>
      </w:r>
      <w:r w:rsidR="00054FB4">
        <w:t xml:space="preserve">wagering </w:t>
      </w:r>
      <w:r w:rsidRPr="00664E64">
        <w:t xml:space="preserve">providers, particularly with regard to the roll-out of </w:t>
      </w:r>
      <w:r w:rsidR="00B94981" w:rsidRPr="00664E64">
        <w:t>upcoming</w:t>
      </w:r>
      <w:r w:rsidRPr="00664E64">
        <w:t xml:space="preserve"> </w:t>
      </w:r>
      <w:r w:rsidRPr="00FF4B80">
        <w:t xml:space="preserve">measures and any future amendments to the Framework that may affect providers’ compliance requirements. </w:t>
      </w:r>
    </w:p>
    <w:p w14:paraId="38510861" w14:textId="4A0FDDC7" w:rsidR="00D36108" w:rsidRPr="00FF4B80" w:rsidRDefault="00896CC0" w:rsidP="00A55CD9">
      <w:pPr>
        <w:pStyle w:val="ListBullet"/>
      </w:pPr>
      <w:r w:rsidRPr="00FF4B80">
        <w:t>Develop consistent evidence-based gambling messages from a harm reduction perspective</w:t>
      </w:r>
      <w:r w:rsidR="00A13E36" w:rsidRPr="00FF4B80">
        <w:t>, with input from consumers</w:t>
      </w:r>
      <w:r w:rsidR="009B24C5" w:rsidRPr="00FF4B80">
        <w:t>, particularly in relation to consumers who view themselves as being at low-risk of gambling</w:t>
      </w:r>
      <w:r w:rsidR="00321EBD" w:rsidRPr="00FF4B80">
        <w:t>-</w:t>
      </w:r>
      <w:r w:rsidR="009B24C5" w:rsidRPr="00FF4B80">
        <w:t>related harm.</w:t>
      </w:r>
    </w:p>
    <w:p w14:paraId="07085245" w14:textId="530A2BE0" w:rsidR="00D36108" w:rsidRPr="00FF4B80" w:rsidRDefault="00896CC0" w:rsidP="00A55CD9">
      <w:pPr>
        <w:pStyle w:val="ListBullet"/>
      </w:pPr>
      <w:r w:rsidRPr="00FF4B80">
        <w:t>Prioritise the development and implementation of the national self-exclusion register.</w:t>
      </w:r>
    </w:p>
    <w:p w14:paraId="4842232B" w14:textId="738871E2" w:rsidR="002D1848" w:rsidRPr="00FF4B80" w:rsidRDefault="002D1848" w:rsidP="002D1848">
      <w:pPr>
        <w:pStyle w:val="ListBullet"/>
        <w:rPr>
          <w:lang w:val="en-US"/>
        </w:rPr>
      </w:pPr>
      <w:r w:rsidRPr="00FF4B80">
        <w:lastRenderedPageBreak/>
        <w:t>Ensure individual framework measures continue to be evidence-based to prevent and reduce harm for people who wager online, with appropriate modification</w:t>
      </w:r>
      <w:r w:rsidR="0024538A" w:rsidRPr="00FF4B80">
        <w:t>s</w:t>
      </w:r>
      <w:r w:rsidRPr="00FF4B80">
        <w:t xml:space="preserve"> as the evidence base develops</w:t>
      </w:r>
      <w:r w:rsidRPr="00FF4B80">
        <w:rPr>
          <w:lang w:val="en-US"/>
        </w:rPr>
        <w:t>.</w:t>
      </w:r>
    </w:p>
    <w:p w14:paraId="654A7234" w14:textId="58B56675" w:rsidR="00D36108" w:rsidRPr="00915C40" w:rsidRDefault="00D36108" w:rsidP="00A55CD9">
      <w:pPr>
        <w:pStyle w:val="Heading3"/>
        <w:rPr>
          <w:color w:val="auto"/>
        </w:rPr>
      </w:pPr>
      <w:r w:rsidRPr="00915C40">
        <w:rPr>
          <w:color w:val="auto"/>
        </w:rPr>
        <w:t>Recommendations for future stages of the evaluation</w:t>
      </w:r>
    </w:p>
    <w:p w14:paraId="302FAA62" w14:textId="547F0B6F" w:rsidR="00896CC0" w:rsidRPr="00915C40" w:rsidRDefault="00E43015" w:rsidP="00D36108">
      <w:pPr>
        <w:pStyle w:val="BodyText"/>
        <w:rPr>
          <w:color w:val="auto"/>
        </w:rPr>
      </w:pPr>
      <w:r w:rsidRPr="00915C40">
        <w:rPr>
          <w:color w:val="auto"/>
        </w:rPr>
        <w:t xml:space="preserve">In terms of the evaluation itself, we recommend the following approaches be considered to enhance data collection and improve understanding of the uptake, usefulness and effectiveness of the </w:t>
      </w:r>
      <w:r w:rsidR="00492367" w:rsidRPr="00915C40">
        <w:rPr>
          <w:color w:val="auto"/>
        </w:rPr>
        <w:t>National Framework</w:t>
      </w:r>
      <w:r w:rsidRPr="00915C40">
        <w:rPr>
          <w:color w:val="auto"/>
        </w:rPr>
        <w:t xml:space="preserve"> measures for consumers, and opportunities or challenges for </w:t>
      </w:r>
      <w:r w:rsidR="00492367" w:rsidRPr="00915C40">
        <w:rPr>
          <w:color w:val="auto"/>
        </w:rPr>
        <w:t xml:space="preserve">regulators and wagering </w:t>
      </w:r>
      <w:r w:rsidRPr="00915C40">
        <w:rPr>
          <w:color w:val="auto"/>
        </w:rPr>
        <w:t xml:space="preserve">providers: </w:t>
      </w:r>
    </w:p>
    <w:p w14:paraId="367DD64B" w14:textId="52164545" w:rsidR="00A724F7" w:rsidRPr="00664E64" w:rsidRDefault="00896CC0" w:rsidP="00A55CD9">
      <w:pPr>
        <w:pStyle w:val="ListBullet"/>
      </w:pPr>
      <w:r w:rsidRPr="00664E64">
        <w:t>Replicate the baseline study, with some modifications or additional areas of focus</w:t>
      </w:r>
      <w:r w:rsidR="00FD3172" w:rsidRPr="00664E64">
        <w:t>; for example:</w:t>
      </w:r>
    </w:p>
    <w:p w14:paraId="090AA8D1" w14:textId="3B6C5430" w:rsidR="00A724F7" w:rsidRPr="00664E64" w:rsidRDefault="00FD3172" w:rsidP="00A55CD9">
      <w:pPr>
        <w:pStyle w:val="ListBullet2"/>
      </w:pPr>
      <w:r w:rsidRPr="00664E64">
        <w:t xml:space="preserve">Desktop </w:t>
      </w:r>
      <w:r w:rsidR="00896CC0" w:rsidRPr="00664E64">
        <w:t xml:space="preserve">review: </w:t>
      </w:r>
      <w:r w:rsidR="008103E0" w:rsidRPr="00664E64">
        <w:t xml:space="preserve">consider </w:t>
      </w:r>
      <w:r w:rsidR="00896CC0" w:rsidRPr="00664E64">
        <w:t>extend</w:t>
      </w:r>
      <w:r w:rsidR="008103E0" w:rsidRPr="00664E64">
        <w:t>ing</w:t>
      </w:r>
      <w:r w:rsidR="00896CC0" w:rsidRPr="00664E64">
        <w:t xml:space="preserve"> the desktop </w:t>
      </w:r>
      <w:r w:rsidR="008103E0" w:rsidRPr="00664E64">
        <w:t>review</w:t>
      </w:r>
      <w:r w:rsidR="00896CC0" w:rsidRPr="00664E64">
        <w:t xml:space="preserve"> to include wagering provider apps </w:t>
      </w:r>
      <w:r w:rsidR="008103E0" w:rsidRPr="00664E64">
        <w:t xml:space="preserve">(in addition to websites) </w:t>
      </w:r>
      <w:r w:rsidR="00896CC0" w:rsidRPr="00664E64">
        <w:t xml:space="preserve">and investigate how features that are only accessible to </w:t>
      </w:r>
      <w:r w:rsidR="008103E0" w:rsidRPr="00664E64">
        <w:t xml:space="preserve">active </w:t>
      </w:r>
      <w:r w:rsidR="00896CC0" w:rsidRPr="00664E64">
        <w:t>account holders might be reviewe</w:t>
      </w:r>
      <w:r w:rsidR="008103E0" w:rsidRPr="00664E64">
        <w:t xml:space="preserve">d, </w:t>
      </w:r>
      <w:r w:rsidR="00896CC0" w:rsidRPr="00664E64">
        <w:t xml:space="preserve">while still ensuring ethical and other organisational compliance. </w:t>
      </w:r>
    </w:p>
    <w:p w14:paraId="4887F94C" w14:textId="45E69366" w:rsidR="00A724F7" w:rsidRPr="00664E64" w:rsidRDefault="00FD3172" w:rsidP="00A55CD9">
      <w:pPr>
        <w:pStyle w:val="ListBullet2"/>
      </w:pPr>
      <w:r w:rsidRPr="00664E64">
        <w:t xml:space="preserve">Stakeholder </w:t>
      </w:r>
      <w:r w:rsidR="00896CC0" w:rsidRPr="00664E64">
        <w:t xml:space="preserve">views: while the interviews provided valuable insights, it may be useful for the researchers to attend the Governance Committee </w:t>
      </w:r>
      <w:r w:rsidR="008103E0" w:rsidRPr="00664E64">
        <w:t xml:space="preserve">or industry briefing </w:t>
      </w:r>
      <w:r w:rsidR="00896CC0" w:rsidRPr="00664E64">
        <w:rPr>
          <w:rFonts w:cs="Arial"/>
          <w:color w:val="000000" w:themeColor="text1"/>
          <w:szCs w:val="20"/>
        </w:rPr>
        <w:t xml:space="preserve">meetings </w:t>
      </w:r>
      <w:r w:rsidR="00896CC0" w:rsidRPr="00664E64">
        <w:t>(in-confidence and where appropriate) to gain a more nuanced understanding of the issues.</w:t>
      </w:r>
    </w:p>
    <w:p w14:paraId="6B710F6E" w14:textId="051C8498" w:rsidR="00896CC0" w:rsidRPr="00664E64" w:rsidRDefault="00FD3172" w:rsidP="00A55CD9">
      <w:pPr>
        <w:pStyle w:val="ListBullet2"/>
      </w:pPr>
      <w:r w:rsidRPr="00664E64">
        <w:t xml:space="preserve">Consumer </w:t>
      </w:r>
      <w:r w:rsidR="00896CC0" w:rsidRPr="00664E64">
        <w:t xml:space="preserve">survey: </w:t>
      </w:r>
      <w:r w:rsidR="008103E0" w:rsidRPr="00664E64">
        <w:t xml:space="preserve">consider </w:t>
      </w:r>
      <w:r w:rsidR="00896CC0" w:rsidRPr="00664E64">
        <w:t>investigat</w:t>
      </w:r>
      <w:r w:rsidR="008103E0" w:rsidRPr="00664E64">
        <w:t>ing</w:t>
      </w:r>
      <w:r w:rsidR="00896CC0" w:rsidRPr="00664E64">
        <w:t xml:space="preserve"> issues related to the Framework in more detail (where time allows); for example, instances where consumer protection features may not be </w:t>
      </w:r>
      <w:r w:rsidR="00054FB4">
        <w:t xml:space="preserve">being </w:t>
      </w:r>
      <w:r w:rsidR="00896CC0" w:rsidRPr="00664E64">
        <w:t>implemented as planned (e.g. participants having been offered lines of credit), or where there may be unintended consequences (e.g. consumers opening accounts with offshore providers</w:t>
      </w:r>
      <w:r w:rsidR="008178EB" w:rsidRPr="00664E64">
        <w:t>, or with multiple providers in order to circumvent certain features</w:t>
      </w:r>
      <w:r w:rsidR="00896CC0" w:rsidRPr="00664E64">
        <w:t>), and consumers’ perceptions of their risk of experiencing gambling-related harm.</w:t>
      </w:r>
    </w:p>
    <w:p w14:paraId="4C34EE93" w14:textId="77777777" w:rsidR="00A724F7" w:rsidRPr="00664E64" w:rsidRDefault="00896CC0" w:rsidP="00A55CD9">
      <w:pPr>
        <w:pStyle w:val="ListBullet"/>
      </w:pPr>
      <w:r w:rsidRPr="00664E64">
        <w:t>Conduct qualitative interviews with people who wager online:</w:t>
      </w:r>
    </w:p>
    <w:p w14:paraId="57C72A13" w14:textId="16231DF6" w:rsidR="00896CC0" w:rsidRPr="00664E64" w:rsidRDefault="00FD3172" w:rsidP="00A55CD9">
      <w:pPr>
        <w:pStyle w:val="ListBullet2"/>
      </w:pPr>
      <w:r w:rsidRPr="00664E64">
        <w:t xml:space="preserve">Consider </w:t>
      </w:r>
      <w:r w:rsidR="008103E0" w:rsidRPr="00664E64">
        <w:t xml:space="preserve">including a </w:t>
      </w:r>
      <w:r w:rsidR="00896CC0" w:rsidRPr="00664E64">
        <w:t>qualitative interview</w:t>
      </w:r>
      <w:r w:rsidR="008103E0" w:rsidRPr="00664E64">
        <w:t xml:space="preserve"> component to</w:t>
      </w:r>
      <w:r w:rsidR="00896CC0" w:rsidRPr="00664E64">
        <w:t xml:space="preserve"> allow for further in-depth investigation of findings emerging from the consumer survey, including: consumer uptake and perceptions of the usefulness of individual measures and the Framework as a whole; any unintended consequences resulting from the implementation of any measures; other insights into consumers’ interactions with wagering providers; and consumers’ perceptions of gambling-related harm and whether they </w:t>
      </w:r>
      <w:r w:rsidR="008103E0" w:rsidRPr="00664E64">
        <w:t xml:space="preserve">believe </w:t>
      </w:r>
      <w:r w:rsidR="00896CC0" w:rsidRPr="00664E64">
        <w:t>they may be at risk of experiencing harm.</w:t>
      </w:r>
    </w:p>
    <w:p w14:paraId="0EA5F2A6" w14:textId="2390DC5B" w:rsidR="00896CC0" w:rsidRPr="00664E64" w:rsidRDefault="00896CC0" w:rsidP="00A55CD9">
      <w:pPr>
        <w:pStyle w:val="ListBullet"/>
      </w:pPr>
      <w:r w:rsidRPr="00664E64">
        <w:t>Investigate any relevant secondary data sources</w:t>
      </w:r>
      <w:r w:rsidR="00FD3172" w:rsidRPr="00664E64">
        <w:t>;</w:t>
      </w:r>
      <w:r w:rsidRPr="00664E64">
        <w:t xml:space="preserve"> </w:t>
      </w:r>
      <w:r w:rsidR="00FD3172" w:rsidRPr="00664E64">
        <w:t>for example</w:t>
      </w:r>
      <w:r w:rsidR="00ED04E3">
        <w:t xml:space="preserve"> (where available)</w:t>
      </w:r>
      <w:r w:rsidR="00FD3172" w:rsidRPr="00664E64">
        <w:t>,</w:t>
      </w:r>
      <w:r w:rsidRPr="00664E64">
        <w:t xml:space="preserve"> the number of regulatory or licen</w:t>
      </w:r>
      <w:r w:rsidR="00FD3172" w:rsidRPr="00664E64">
        <w:t>c</w:t>
      </w:r>
      <w:r w:rsidRPr="00664E64">
        <w:t>e breaches related to the Framework measures</w:t>
      </w:r>
      <w:r w:rsidR="00B94981" w:rsidRPr="00664E64">
        <w:t xml:space="preserve"> and</w:t>
      </w:r>
      <w:r w:rsidRPr="00664E64">
        <w:t xml:space="preserve"> trends in gambling-related harm data</w:t>
      </w:r>
      <w:r w:rsidR="00ED04E3">
        <w:t xml:space="preserve"> </w:t>
      </w:r>
      <w:r w:rsidRPr="00664E64">
        <w:t xml:space="preserve">(e.g. calls to </w:t>
      </w:r>
      <w:r w:rsidR="00B94981" w:rsidRPr="00664E64">
        <w:t xml:space="preserve">services such as </w:t>
      </w:r>
      <w:r w:rsidRPr="00664E64">
        <w:t>Gambling Help Online).</w:t>
      </w:r>
    </w:p>
    <w:p w14:paraId="103B1FE3" w14:textId="77777777" w:rsidR="004A715A" w:rsidRPr="00664E64" w:rsidRDefault="004A715A" w:rsidP="00D36108">
      <w:pPr>
        <w:pStyle w:val="BodyText"/>
      </w:pPr>
      <w:r w:rsidRPr="00664E64">
        <w:br w:type="page"/>
      </w:r>
    </w:p>
    <w:p w14:paraId="5B8CF744" w14:textId="6DD41934" w:rsidR="00724107" w:rsidRPr="00915C40" w:rsidRDefault="00724107" w:rsidP="00724107">
      <w:pPr>
        <w:pStyle w:val="Heading1"/>
        <w:rPr>
          <w:color w:val="auto"/>
        </w:rPr>
      </w:pPr>
      <w:bookmarkStart w:id="101" w:name="_Toc12022563"/>
      <w:r w:rsidRPr="00915C40">
        <w:rPr>
          <w:rFonts w:eastAsiaTheme="minorHAnsi"/>
          <w:color w:val="auto"/>
        </w:rPr>
        <w:lastRenderedPageBreak/>
        <w:t>References</w:t>
      </w:r>
      <w:bookmarkEnd w:id="101"/>
    </w:p>
    <w:p w14:paraId="6F5B9DC8" w14:textId="77777777" w:rsidR="0025682D" w:rsidRPr="00664E64" w:rsidRDefault="0025682D" w:rsidP="00C37309">
      <w:pPr>
        <w:pStyle w:val="References"/>
      </w:pPr>
      <w:r w:rsidRPr="00664E64">
        <w:t xml:space="preserve">Armstrong, A., &amp; Carroll, M. (2017a). </w:t>
      </w:r>
      <w:r w:rsidRPr="00664E64">
        <w:rPr>
          <w:i/>
        </w:rPr>
        <w:t xml:space="preserve">Gambling activity in Australia. </w:t>
      </w:r>
      <w:r w:rsidRPr="00664E64">
        <w:t>Melbourne: Australian Gambling Research Centre, Australian Institute of Family Studies.</w:t>
      </w:r>
    </w:p>
    <w:p w14:paraId="28C0EDB4" w14:textId="77777777" w:rsidR="0025682D" w:rsidRPr="00664E64" w:rsidRDefault="0025682D" w:rsidP="00C37309">
      <w:pPr>
        <w:pStyle w:val="References"/>
        <w:snapToGrid w:val="0"/>
        <w:rPr>
          <w:color w:val="000000" w:themeColor="text1"/>
        </w:rPr>
      </w:pPr>
      <w:r w:rsidRPr="00664E64">
        <w:rPr>
          <w:color w:val="000000" w:themeColor="text1"/>
        </w:rPr>
        <w:t xml:space="preserve">Armstrong, A. R., &amp; Carroll, M. (2017b). </w:t>
      </w:r>
      <w:r w:rsidRPr="00664E64">
        <w:rPr>
          <w:i/>
          <w:color w:val="000000" w:themeColor="text1"/>
        </w:rPr>
        <w:t xml:space="preserve">Sports betting in Australia. </w:t>
      </w:r>
      <w:r w:rsidRPr="00664E64">
        <w:rPr>
          <w:color w:val="000000" w:themeColor="text1"/>
        </w:rPr>
        <w:t>Melbourne: Australian Gambling Research Centre, Australian Institute of Family Studies.</w:t>
      </w:r>
    </w:p>
    <w:p w14:paraId="0C6BE989" w14:textId="77777777" w:rsidR="0025682D" w:rsidRPr="00664E64" w:rsidRDefault="0025682D" w:rsidP="00C37309">
      <w:pPr>
        <w:pStyle w:val="References"/>
        <w:snapToGrid w:val="0"/>
        <w:rPr>
          <w:color w:val="000000" w:themeColor="text1"/>
        </w:rPr>
      </w:pPr>
      <w:r w:rsidRPr="00664E64">
        <w:rPr>
          <w:color w:val="000000" w:themeColor="text1"/>
        </w:rPr>
        <w:t xml:space="preserve">Armstrong, A., &amp; Carroll, M. (2017c). </w:t>
      </w:r>
      <w:r w:rsidRPr="00664E64">
        <w:rPr>
          <w:i/>
          <w:color w:val="000000" w:themeColor="text1"/>
        </w:rPr>
        <w:t xml:space="preserve">Race betting in Australia. </w:t>
      </w:r>
      <w:r w:rsidRPr="00664E64">
        <w:rPr>
          <w:color w:val="000000" w:themeColor="text1"/>
        </w:rPr>
        <w:t>Melbourne: Australian Gambling Research Centre, Australian Institute of Family Studies.</w:t>
      </w:r>
    </w:p>
    <w:p w14:paraId="3F266AF8" w14:textId="6CD5A28F" w:rsidR="001400BA" w:rsidRDefault="001400BA" w:rsidP="00C37309">
      <w:pPr>
        <w:pStyle w:val="References"/>
        <w:rPr>
          <w:color w:val="000000" w:themeColor="text1"/>
        </w:rPr>
      </w:pPr>
      <w:r w:rsidRPr="00664E64">
        <w:rPr>
          <w:color w:val="000000" w:themeColor="text1"/>
        </w:rPr>
        <w:t xml:space="preserve">Australian Communication Media Authority. (2019). </w:t>
      </w:r>
      <w:r w:rsidRPr="00664E64">
        <w:rPr>
          <w:i/>
          <w:color w:val="000000" w:themeColor="text1"/>
        </w:rPr>
        <w:t>Credit betting ban</w:t>
      </w:r>
      <w:r w:rsidRPr="00664E64">
        <w:rPr>
          <w:color w:val="000000" w:themeColor="text1"/>
        </w:rPr>
        <w:t>. Canberra, Australia.</w:t>
      </w:r>
    </w:p>
    <w:p w14:paraId="5ACA3E2F" w14:textId="77E9A3DD" w:rsidR="00472679" w:rsidRPr="006D0E8E" w:rsidRDefault="00472679" w:rsidP="00472679">
      <w:pPr>
        <w:pStyle w:val="References"/>
      </w:pPr>
      <w:r>
        <w:t xml:space="preserve">Browne, M., Goodwin, B., &amp; Rockloff, M. (2017). </w:t>
      </w:r>
      <w:r w:rsidRPr="002C4DE5">
        <w:t>Validation</w:t>
      </w:r>
      <w:r>
        <w:t xml:space="preserve"> of the Short Gambling Harm Screen (SGHS): A tool for assessment of harms from gambling. </w:t>
      </w:r>
      <w:r w:rsidRPr="00EA0427">
        <w:t>D</w:t>
      </w:r>
      <w:r>
        <w:t>oi:</w:t>
      </w:r>
      <w:r w:rsidRPr="00EA0427">
        <w:t xml:space="preserve"> 10.1007/s10899-017-9698-y</w:t>
      </w:r>
    </w:p>
    <w:p w14:paraId="2916B223" w14:textId="328F5115" w:rsidR="0025682D" w:rsidRPr="00664E64" w:rsidRDefault="0025682D" w:rsidP="00C37309">
      <w:pPr>
        <w:pStyle w:val="References"/>
        <w:rPr>
          <w:color w:val="000000" w:themeColor="text1"/>
        </w:rPr>
      </w:pPr>
      <w:r w:rsidRPr="00664E64">
        <w:rPr>
          <w:color w:val="000000" w:themeColor="text1"/>
        </w:rPr>
        <w:t xml:space="preserve">Capic, T., Fuller- Tyszkiewicz, M., Cummins, R. A., Khor, S., Richardson, B., Greenwood, C., Olsson, C., &amp; Hutchinson, D. (2018).  Australian Unity Wellbeing Index: Report 35.0, Financial Control. Geelong: Australian Centre on Quality of Life, School of Psychology, Deakin University.  http://www.acqol.com.au/projects#reports.  </w:t>
      </w:r>
    </w:p>
    <w:p w14:paraId="66BCA973" w14:textId="77777777" w:rsidR="0025682D" w:rsidRPr="00664E64" w:rsidRDefault="0025682D" w:rsidP="00C37309">
      <w:pPr>
        <w:pStyle w:val="References"/>
        <w:snapToGrid w:val="0"/>
        <w:rPr>
          <w:color w:val="000000" w:themeColor="text1"/>
        </w:rPr>
      </w:pPr>
      <w:r w:rsidRPr="00664E64">
        <w:rPr>
          <w:color w:val="000000" w:themeColor="text1"/>
        </w:rPr>
        <w:t xml:space="preserve">Communio. (2018). </w:t>
      </w:r>
      <w:r w:rsidRPr="00664E64">
        <w:rPr>
          <w:i/>
          <w:color w:val="000000" w:themeColor="text1"/>
        </w:rPr>
        <w:t>Performance, Review and Evaluation Strategy (PRES) and cost options for the National Consumer Protection Framework (NCPF) for Online Wagering in Australia.</w:t>
      </w:r>
      <w:r w:rsidRPr="00664E64">
        <w:rPr>
          <w:color w:val="000000" w:themeColor="text1"/>
        </w:rPr>
        <w:t xml:space="preserve"> Report to the Department of Social Services, Gambling Policy Section, Welfare Quarantining and Gambling Branch. Confidential report.</w:t>
      </w:r>
    </w:p>
    <w:p w14:paraId="6EBD9E94" w14:textId="77777777" w:rsidR="0025682D" w:rsidRPr="00664E64" w:rsidRDefault="0025682D" w:rsidP="00C37309">
      <w:pPr>
        <w:pStyle w:val="References"/>
        <w:snapToGrid w:val="0"/>
        <w:rPr>
          <w:color w:val="000000" w:themeColor="text1"/>
        </w:rPr>
      </w:pPr>
      <w:r w:rsidRPr="00664E64">
        <w:rPr>
          <w:color w:val="000000" w:themeColor="text1"/>
        </w:rPr>
        <w:t xml:space="preserve">Department of Social Services (DSS). (2017). </w:t>
      </w:r>
      <w:r w:rsidRPr="00664E64">
        <w:rPr>
          <w:i/>
          <w:color w:val="000000" w:themeColor="text1"/>
        </w:rPr>
        <w:t>A national consumer protection framework for online wagering in Australia: Decision regulation impact statement</w:t>
      </w:r>
      <w:r w:rsidRPr="00664E64">
        <w:rPr>
          <w:color w:val="000000" w:themeColor="text1"/>
        </w:rPr>
        <w:t>. Canberra: DSS.</w:t>
      </w:r>
    </w:p>
    <w:p w14:paraId="7B7992FE" w14:textId="2D92F997" w:rsidR="0025682D" w:rsidRPr="00664E64" w:rsidRDefault="0025682D" w:rsidP="00C37309">
      <w:pPr>
        <w:pStyle w:val="References"/>
        <w:snapToGrid w:val="0"/>
        <w:rPr>
          <w:color w:val="000000" w:themeColor="text1"/>
        </w:rPr>
      </w:pPr>
      <w:r w:rsidRPr="00664E64">
        <w:rPr>
          <w:color w:val="000000" w:themeColor="text1"/>
        </w:rPr>
        <w:t>Department of Social Services</w:t>
      </w:r>
      <w:r w:rsidR="00385553" w:rsidRPr="00664E64">
        <w:rPr>
          <w:color w:val="000000" w:themeColor="text1"/>
        </w:rPr>
        <w:t xml:space="preserve"> (DSS)</w:t>
      </w:r>
      <w:r w:rsidRPr="00664E64">
        <w:rPr>
          <w:color w:val="000000" w:themeColor="text1"/>
        </w:rPr>
        <w:t xml:space="preserve">. (2018). </w:t>
      </w:r>
      <w:r w:rsidRPr="00664E64">
        <w:rPr>
          <w:i/>
          <w:color w:val="000000" w:themeColor="text1"/>
        </w:rPr>
        <w:t>National consumer protection Framework for online wagering in Australia: National policy statement</w:t>
      </w:r>
      <w:r w:rsidRPr="00664E64">
        <w:rPr>
          <w:color w:val="000000" w:themeColor="text1"/>
        </w:rPr>
        <w:t>. Canberra, Australia.</w:t>
      </w:r>
    </w:p>
    <w:p w14:paraId="0209049A" w14:textId="424491D6" w:rsidR="0025682D" w:rsidRPr="00664E64" w:rsidRDefault="0025682D" w:rsidP="00C37309">
      <w:pPr>
        <w:pStyle w:val="References"/>
        <w:snapToGrid w:val="0"/>
        <w:rPr>
          <w:color w:val="000000" w:themeColor="text1"/>
        </w:rPr>
      </w:pPr>
      <w:r w:rsidRPr="00664E64">
        <w:rPr>
          <w:color w:val="000000" w:themeColor="text1"/>
        </w:rPr>
        <w:t xml:space="preserve">Ferris, J.A., &amp; Wynne, H. J. (2001). </w:t>
      </w:r>
      <w:r w:rsidRPr="00664E64">
        <w:rPr>
          <w:i/>
          <w:color w:val="000000" w:themeColor="text1"/>
        </w:rPr>
        <w:t>The Canadian problem gambling index</w:t>
      </w:r>
      <w:r w:rsidRPr="00664E64">
        <w:rPr>
          <w:color w:val="000000" w:themeColor="text1"/>
        </w:rPr>
        <w:t xml:space="preserve"> (pp. 1–59). Ottawa, ON: Canadian Centre on Substance Abuse.</w:t>
      </w:r>
    </w:p>
    <w:p w14:paraId="7BB4F83D" w14:textId="77777777" w:rsidR="001400BA" w:rsidRPr="00664E64" w:rsidRDefault="001400BA" w:rsidP="00C37309">
      <w:pPr>
        <w:pStyle w:val="References"/>
        <w:snapToGrid w:val="0"/>
        <w:rPr>
          <w:color w:val="000000" w:themeColor="text1"/>
        </w:rPr>
      </w:pPr>
      <w:r w:rsidRPr="00664E64">
        <w:rPr>
          <w:color w:val="000000" w:themeColor="text1"/>
        </w:rPr>
        <w:t xml:space="preserve">Gainsbury, S. M. (2012). </w:t>
      </w:r>
      <w:r w:rsidRPr="00664E64">
        <w:rPr>
          <w:i/>
          <w:color w:val="000000" w:themeColor="text1"/>
        </w:rPr>
        <w:t>Internet Gambling: Current Research Findings and Implications</w:t>
      </w:r>
      <w:r w:rsidRPr="00664E64">
        <w:rPr>
          <w:color w:val="000000" w:themeColor="text1"/>
        </w:rPr>
        <w:t xml:space="preserve">. Berlin: Springer Science &amp; Business Media. </w:t>
      </w:r>
    </w:p>
    <w:p w14:paraId="68A42429" w14:textId="42C9C41B" w:rsidR="001400BA" w:rsidRPr="00664E64" w:rsidRDefault="001400BA" w:rsidP="00C37309">
      <w:pPr>
        <w:pStyle w:val="References"/>
        <w:snapToGrid w:val="0"/>
        <w:rPr>
          <w:color w:val="000000" w:themeColor="text1"/>
        </w:rPr>
      </w:pPr>
      <w:r w:rsidRPr="00664E64">
        <w:rPr>
          <w:color w:val="000000" w:themeColor="text1"/>
        </w:rPr>
        <w:t xml:space="preserve">Gainsbury, S., Arbarbanel, B. &amp; Blaszczynski, A. (2018). Factors influencing internet gamblers’ use of offshore online gambling sites: Policy implications. </w:t>
      </w:r>
      <w:r w:rsidRPr="00664E64">
        <w:rPr>
          <w:i/>
          <w:color w:val="000000" w:themeColor="text1"/>
        </w:rPr>
        <w:t>Policy &amp; Internet</w:t>
      </w:r>
      <w:r w:rsidRPr="00664E64">
        <w:rPr>
          <w:color w:val="000000" w:themeColor="text1"/>
        </w:rPr>
        <w:t>. doi.org/10.1002/poi3.182</w:t>
      </w:r>
      <w:r w:rsidR="00745E8F" w:rsidRPr="00664E64">
        <w:rPr>
          <w:color w:val="000000" w:themeColor="text1"/>
        </w:rPr>
        <w:t>.</w:t>
      </w:r>
    </w:p>
    <w:p w14:paraId="7C0C173A" w14:textId="77777777" w:rsidR="001400BA" w:rsidRPr="00664E64" w:rsidRDefault="001400BA" w:rsidP="00C37309">
      <w:pPr>
        <w:pStyle w:val="References"/>
        <w:snapToGrid w:val="0"/>
        <w:rPr>
          <w:color w:val="000000" w:themeColor="text1"/>
        </w:rPr>
      </w:pPr>
      <w:r w:rsidRPr="00664E64">
        <w:rPr>
          <w:color w:val="000000" w:themeColor="text1"/>
        </w:rPr>
        <w:t xml:space="preserve">Gainsbury, S., Russell, A., Hing, N. &amp; Blaszczynski, A. (2018). Consumer engagement with and perceptions of offshore online gambling sites. </w:t>
      </w:r>
      <w:r w:rsidRPr="00664E64">
        <w:rPr>
          <w:i/>
          <w:color w:val="000000" w:themeColor="text1"/>
        </w:rPr>
        <w:t>New Media and Society</w:t>
      </w:r>
      <w:r w:rsidRPr="00664E64">
        <w:rPr>
          <w:color w:val="000000" w:themeColor="text1"/>
        </w:rPr>
        <w:t xml:space="preserve">, </w:t>
      </w:r>
      <w:r w:rsidRPr="00664E64">
        <w:rPr>
          <w:i/>
          <w:color w:val="000000" w:themeColor="text1"/>
        </w:rPr>
        <w:t>20</w:t>
      </w:r>
      <w:r w:rsidRPr="00664E64">
        <w:rPr>
          <w:color w:val="000000" w:themeColor="text1"/>
        </w:rPr>
        <w:t xml:space="preserve">(8), 2990–3010.  </w:t>
      </w:r>
    </w:p>
    <w:p w14:paraId="76E40035" w14:textId="18FFA6F7" w:rsidR="001400BA" w:rsidRPr="00664E64" w:rsidRDefault="001400BA" w:rsidP="00C37309">
      <w:pPr>
        <w:pStyle w:val="References"/>
        <w:snapToGrid w:val="0"/>
        <w:rPr>
          <w:color w:val="000000" w:themeColor="text1"/>
        </w:rPr>
      </w:pPr>
      <w:r w:rsidRPr="00664E64">
        <w:rPr>
          <w:color w:val="000000" w:themeColor="text1"/>
        </w:rPr>
        <w:t xml:space="preserve">Global Betting and Gaming Consultants (GBGC). (2018). </w:t>
      </w:r>
      <w:r w:rsidRPr="00664E64">
        <w:rPr>
          <w:i/>
          <w:color w:val="000000" w:themeColor="text1"/>
        </w:rPr>
        <w:t>Interactive Gambling Dataset 2018</w:t>
      </w:r>
      <w:r w:rsidRPr="00664E64">
        <w:rPr>
          <w:color w:val="000000" w:themeColor="text1"/>
        </w:rPr>
        <w:t>. Isle of Man: GBGC.</w:t>
      </w:r>
    </w:p>
    <w:p w14:paraId="22B523EE" w14:textId="0247905F" w:rsidR="00777624" w:rsidRPr="00664E64" w:rsidRDefault="00777624" w:rsidP="00C37309">
      <w:pPr>
        <w:pStyle w:val="References"/>
        <w:snapToGrid w:val="0"/>
        <w:rPr>
          <w:color w:val="000000" w:themeColor="text1"/>
        </w:rPr>
      </w:pPr>
      <w:r w:rsidRPr="00664E64">
        <w:rPr>
          <w:color w:val="000000" w:themeColor="text1"/>
        </w:rPr>
        <w:t xml:space="preserve">Goodwin, B. C., Browne, M., Rockloff, M., &amp; Rose, J. (2017). “A typical problem gambler affects six others.” </w:t>
      </w:r>
      <w:r w:rsidRPr="00664E64">
        <w:rPr>
          <w:i/>
          <w:color w:val="000000" w:themeColor="text1"/>
        </w:rPr>
        <w:t>International Gambling Studies, 17</w:t>
      </w:r>
      <w:r w:rsidRPr="00664E64">
        <w:rPr>
          <w:color w:val="000000" w:themeColor="text1"/>
        </w:rPr>
        <w:t>(2)</w:t>
      </w:r>
      <w:r w:rsidR="007929DD" w:rsidRPr="00664E64">
        <w:rPr>
          <w:color w:val="000000" w:themeColor="text1"/>
        </w:rPr>
        <w:t>, 276-289</w:t>
      </w:r>
    </w:p>
    <w:p w14:paraId="5B9B9BCD" w14:textId="5EBA020F" w:rsidR="001400BA" w:rsidRPr="00664E64" w:rsidRDefault="001400BA" w:rsidP="00C37309">
      <w:pPr>
        <w:pStyle w:val="References"/>
        <w:snapToGrid w:val="0"/>
        <w:rPr>
          <w:color w:val="000000" w:themeColor="text1"/>
        </w:rPr>
      </w:pPr>
      <w:r w:rsidRPr="00664E64">
        <w:rPr>
          <w:color w:val="000000" w:themeColor="text1"/>
        </w:rPr>
        <w:t xml:space="preserve">Hing, N., Gainsbury, S., Blaszczynski, A., Wood, R., Lubman, D., &amp; Russell, A. (2014). </w:t>
      </w:r>
      <w:r w:rsidRPr="00664E64">
        <w:rPr>
          <w:i/>
          <w:color w:val="000000" w:themeColor="text1"/>
        </w:rPr>
        <w:t>Interactive Gambling</w:t>
      </w:r>
      <w:r w:rsidRPr="00664E64">
        <w:rPr>
          <w:color w:val="000000" w:themeColor="text1"/>
        </w:rPr>
        <w:t>. Melbourne, Australia: Gambling Research Australia.</w:t>
      </w:r>
    </w:p>
    <w:p w14:paraId="2F0231D5" w14:textId="209D1660" w:rsidR="0025682D" w:rsidRPr="00664E64" w:rsidRDefault="0025682D" w:rsidP="00C37309">
      <w:pPr>
        <w:pStyle w:val="References"/>
      </w:pPr>
      <w:r w:rsidRPr="00664E64">
        <w:t>International Wellbeing Group (2013). Personal Wellbeing Index: 5th Edition. Melbourne: Australian Centre</w:t>
      </w:r>
      <w:r w:rsidRPr="00664E64">
        <w:br/>
        <w:t xml:space="preserve">on Quality of Life, Deakin University. </w:t>
      </w:r>
    </w:p>
    <w:p w14:paraId="023E8077" w14:textId="77777777" w:rsidR="0025682D" w:rsidRPr="00664E64" w:rsidRDefault="0025682D" w:rsidP="00C37309">
      <w:pPr>
        <w:pStyle w:val="References"/>
        <w:snapToGrid w:val="0"/>
        <w:rPr>
          <w:color w:val="000000" w:themeColor="text1"/>
        </w:rPr>
      </w:pPr>
      <w:r w:rsidRPr="00664E64">
        <w:rPr>
          <w:color w:val="000000" w:themeColor="text1"/>
        </w:rPr>
        <w:t xml:space="preserve">Jenkinson, R., de Lacey-Vawdon, C., &amp; Carroll, M. (2018). </w:t>
      </w:r>
      <w:r w:rsidRPr="00664E64">
        <w:rPr>
          <w:i/>
          <w:color w:val="000000" w:themeColor="text1"/>
        </w:rPr>
        <w:t>Weighing up the odds: Young men, sports and betting</w:t>
      </w:r>
      <w:r w:rsidRPr="00664E64">
        <w:rPr>
          <w:color w:val="000000" w:themeColor="text1"/>
        </w:rPr>
        <w:t>. Melbourne: Victorian Responsible Gambling Foundation.</w:t>
      </w:r>
    </w:p>
    <w:p w14:paraId="32D315AC" w14:textId="79C23ACE" w:rsidR="0025682D" w:rsidRPr="00664E64" w:rsidRDefault="0025682D" w:rsidP="00C37309">
      <w:pPr>
        <w:pStyle w:val="References"/>
        <w:snapToGrid w:val="0"/>
        <w:rPr>
          <w:color w:val="000000" w:themeColor="text1"/>
        </w:rPr>
      </w:pPr>
      <w:r w:rsidRPr="00664E64">
        <w:rPr>
          <w:color w:val="000000" w:themeColor="text1"/>
        </w:rPr>
        <w:t xml:space="preserve">O’Farrell, B. (2015). </w:t>
      </w:r>
      <w:r w:rsidRPr="00664E64">
        <w:rPr>
          <w:i/>
          <w:color w:val="000000" w:themeColor="text1"/>
        </w:rPr>
        <w:t>Review of illegal offshore wagering: Report to the Ministers for Social Services and the Minister for Communications and the Arts</w:t>
      </w:r>
      <w:r w:rsidRPr="00664E64">
        <w:rPr>
          <w:color w:val="000000" w:themeColor="text1"/>
        </w:rPr>
        <w:t xml:space="preserve">. Canberra: DSS. </w:t>
      </w:r>
    </w:p>
    <w:p w14:paraId="66F3230D" w14:textId="696FA06A" w:rsidR="0025682D" w:rsidRPr="00664E64" w:rsidRDefault="00385553" w:rsidP="00385553">
      <w:pPr>
        <w:pStyle w:val="References"/>
        <w:snapToGrid w:val="0"/>
        <w:rPr>
          <w:color w:val="000000" w:themeColor="text1"/>
        </w:rPr>
      </w:pPr>
      <w:r w:rsidRPr="00664E64">
        <w:rPr>
          <w:color w:val="000000" w:themeColor="text1"/>
        </w:rPr>
        <w:t xml:space="preserve">Queensland Government Statistician's Office (QGSO), Queensland Treasury. (2018). </w:t>
      </w:r>
      <w:r w:rsidRPr="00664E64">
        <w:rPr>
          <w:i/>
          <w:iCs/>
          <w:color w:val="000000" w:themeColor="text1"/>
        </w:rPr>
        <w:t>Australian Gambling Statistics</w:t>
      </w:r>
      <w:r w:rsidRPr="00664E64">
        <w:rPr>
          <w:color w:val="000000" w:themeColor="text1"/>
        </w:rPr>
        <w:t xml:space="preserve">, 34th edition. </w:t>
      </w:r>
      <w:r w:rsidR="0025682D" w:rsidRPr="00664E64">
        <w:rPr>
          <w:color w:val="000000" w:themeColor="text1"/>
        </w:rPr>
        <w:t>Brisbane: Queensland Government Statistician’s Office.</w:t>
      </w:r>
    </w:p>
    <w:p w14:paraId="6DBB3C44" w14:textId="77777777" w:rsidR="001400BA" w:rsidRPr="00664E64" w:rsidRDefault="001400BA" w:rsidP="00C37309">
      <w:pPr>
        <w:pStyle w:val="References"/>
        <w:snapToGrid w:val="0"/>
        <w:rPr>
          <w:color w:val="000000" w:themeColor="text1"/>
        </w:rPr>
      </w:pPr>
      <w:r w:rsidRPr="00664E64">
        <w:rPr>
          <w:color w:val="000000" w:themeColor="text1"/>
        </w:rPr>
        <w:t xml:space="preserve">Roy Morgan. (2018b). </w:t>
      </w:r>
      <w:r w:rsidRPr="00664E64">
        <w:rPr>
          <w:i/>
          <w:color w:val="000000" w:themeColor="text1"/>
        </w:rPr>
        <w:t>Mobile betting drives growth in online wagering</w:t>
      </w:r>
      <w:r w:rsidRPr="00664E64">
        <w:rPr>
          <w:color w:val="000000" w:themeColor="text1"/>
        </w:rPr>
        <w:t>. Melbourne: Australia.</w:t>
      </w:r>
    </w:p>
    <w:p w14:paraId="51C42B3A" w14:textId="77777777" w:rsidR="001400BA" w:rsidRPr="00664E64" w:rsidRDefault="001400BA" w:rsidP="0025682D">
      <w:pPr>
        <w:pStyle w:val="References"/>
        <w:snapToGrid w:val="0"/>
        <w:spacing w:before="120" w:after="120" w:line="269" w:lineRule="auto"/>
        <w:rPr>
          <w:color w:val="000000" w:themeColor="text1"/>
        </w:rPr>
      </w:pPr>
    </w:p>
    <w:p w14:paraId="36E973DA" w14:textId="2304DFDA" w:rsidR="00817B59" w:rsidRPr="00664E64" w:rsidRDefault="00817B59" w:rsidP="00FC0B24">
      <w:pPr>
        <w:rPr>
          <w:rFonts w:cs="Arial"/>
          <w:color w:val="ED0C64"/>
          <w:kern w:val="32"/>
          <w:sz w:val="44"/>
        </w:rPr>
      </w:pPr>
      <w:r w:rsidRPr="00664E64">
        <w:br w:type="page"/>
      </w:r>
    </w:p>
    <w:p w14:paraId="3C8CD5AD" w14:textId="01EE207F" w:rsidR="00A41688" w:rsidRPr="00915C40" w:rsidRDefault="00A41688" w:rsidP="00A41688">
      <w:pPr>
        <w:pStyle w:val="AppendixHeading1"/>
        <w:rPr>
          <w:color w:val="auto"/>
        </w:rPr>
      </w:pPr>
      <w:bookmarkStart w:id="102" w:name="_Toc12022564"/>
      <w:r w:rsidRPr="00915C40">
        <w:rPr>
          <w:color w:val="auto"/>
        </w:rPr>
        <w:lastRenderedPageBreak/>
        <w:t>Appendix 1: Literature review</w:t>
      </w:r>
      <w:bookmarkEnd w:id="102"/>
    </w:p>
    <w:p w14:paraId="3A3F0EEF" w14:textId="4E96EA05" w:rsidR="00E47A70" w:rsidRPr="00664E64" w:rsidRDefault="00E47A70" w:rsidP="00E47A70">
      <w:pPr>
        <w:pStyle w:val="BodyText"/>
      </w:pPr>
      <w:r w:rsidRPr="00664E64">
        <w:t xml:space="preserve">This literature review describes the key features of the gambling environment in which the evaluation is taking place. It describes levels of wagering participation and related harm in Australia, the current legislative and environmental context in which wagering service providers and regulators operate, and </w:t>
      </w:r>
      <w:r w:rsidR="00790F99" w:rsidRPr="00664E64">
        <w:t xml:space="preserve">the </w:t>
      </w:r>
      <w:r w:rsidRPr="00664E64">
        <w:t>evidence underpinning the 10 proposed consumer protection measures.</w:t>
      </w:r>
    </w:p>
    <w:p w14:paraId="202CBF51" w14:textId="77777777" w:rsidR="00E47A70" w:rsidRPr="00915C40" w:rsidRDefault="00E47A70" w:rsidP="00A55CD9">
      <w:pPr>
        <w:pStyle w:val="AppendixHeading2"/>
        <w:rPr>
          <w:color w:val="auto"/>
        </w:rPr>
      </w:pPr>
      <w:bookmarkStart w:id="103" w:name="_Toc12022565"/>
      <w:r w:rsidRPr="00915C40">
        <w:rPr>
          <w:color w:val="auto"/>
        </w:rPr>
        <w:t>Wagering activity in Australia</w:t>
      </w:r>
      <w:bookmarkEnd w:id="103"/>
    </w:p>
    <w:p w14:paraId="6FB44DC1" w14:textId="77777777" w:rsidR="00E47A70" w:rsidRPr="00915C40" w:rsidRDefault="00E47A70" w:rsidP="00A55CD9">
      <w:pPr>
        <w:pStyle w:val="AppendixHeading3"/>
        <w:rPr>
          <w:color w:val="auto"/>
        </w:rPr>
      </w:pPr>
      <w:r w:rsidRPr="00915C40">
        <w:rPr>
          <w:color w:val="auto"/>
        </w:rPr>
        <w:t xml:space="preserve">The size of the wagering market </w:t>
      </w:r>
    </w:p>
    <w:p w14:paraId="7317E251" w14:textId="2576224A" w:rsidR="00E47A70" w:rsidRPr="00664E64" w:rsidRDefault="00E47A70" w:rsidP="00A55CD9">
      <w:pPr>
        <w:pStyle w:val="BodyText"/>
      </w:pPr>
      <w:r w:rsidRPr="00664E64">
        <w:t>The latest industry-based revenue figures show that in 2016</w:t>
      </w:r>
      <w:r w:rsidRPr="00664E64">
        <w:rPr>
          <w:rFonts w:cs="Arial"/>
        </w:rPr>
        <w:t>–</w:t>
      </w:r>
      <w:r w:rsidRPr="00664E64">
        <w:t>17 wagering comprised $4.3 billion, or 18</w:t>
      </w:r>
      <w:r w:rsidR="00790F99" w:rsidRPr="00664E64">
        <w:t>%</w:t>
      </w:r>
      <w:r w:rsidRPr="00664E64">
        <w:t xml:space="preserve"> of the $23.7 billion spent on gambling in Australia (</w:t>
      </w:r>
      <w:r w:rsidR="0012045A" w:rsidRPr="00664E64">
        <w:t>Queensland Government Statistician's Office [QGSO]</w:t>
      </w:r>
      <w:r w:rsidRPr="00664E64">
        <w:t>, 2018).</w:t>
      </w:r>
      <w:r w:rsidR="006F1A19">
        <w:rPr>
          <w:rStyle w:val="FootnoteReference"/>
        </w:rPr>
        <w:footnoteReference w:id="2"/>
      </w:r>
      <w:r w:rsidRPr="00664E64">
        <w:t xml:space="preserve"> Race betting is the dominant form of wagering, making up around 75% of wagering expenditure ($3.3b)</w:t>
      </w:r>
      <w:r w:rsidR="000F03A5" w:rsidRPr="00664E64">
        <w:t>,</w:t>
      </w:r>
      <w:r w:rsidRPr="00664E64">
        <w:t xml:space="preserve"> with sports betting comprising </w:t>
      </w:r>
      <w:r w:rsidR="00E145CB">
        <w:t>around</w:t>
      </w:r>
      <w:r w:rsidRPr="00664E64">
        <w:t xml:space="preserve"> 25% ($1b; </w:t>
      </w:r>
      <w:r w:rsidR="0012045A" w:rsidRPr="00664E64">
        <w:t>QGSO</w:t>
      </w:r>
      <w:r w:rsidRPr="00664E64">
        <w:t xml:space="preserve">, 2018). </w:t>
      </w:r>
    </w:p>
    <w:p w14:paraId="76522B58" w14:textId="0F55F21A" w:rsidR="00E47A70" w:rsidRPr="00664E64" w:rsidRDefault="00E145CB" w:rsidP="00E47A70">
      <w:pPr>
        <w:pStyle w:val="BodyText"/>
      </w:pPr>
      <w:r>
        <w:t>The</w:t>
      </w:r>
      <w:r w:rsidR="00E47A70" w:rsidRPr="00664E64">
        <w:t xml:space="preserve"> estimated breakdown of expenditure across the varied activities comprising racing and sports wagering is provided in Table </w:t>
      </w:r>
      <w:r w:rsidR="00624A1F" w:rsidRPr="00664E64">
        <w:t>A</w:t>
      </w:r>
      <w:r w:rsidR="00E47A70" w:rsidRPr="00664E64">
        <w:t>1.1.</w:t>
      </w:r>
    </w:p>
    <w:p w14:paraId="4955BACA" w14:textId="2C0A4A5F" w:rsidR="00E47A70" w:rsidRPr="00915C40" w:rsidRDefault="00E47A70" w:rsidP="00415C73">
      <w:pPr>
        <w:pStyle w:val="FigureCaption"/>
        <w:rPr>
          <w:color w:val="auto"/>
          <w:lang w:val="en-AU"/>
        </w:rPr>
      </w:pPr>
      <w:bookmarkStart w:id="104" w:name="_Toc12549591"/>
      <w:r w:rsidRPr="00915C40">
        <w:rPr>
          <w:color w:val="auto"/>
          <w:lang w:val="en-AU"/>
        </w:rPr>
        <w:t xml:space="preserve">Table </w:t>
      </w:r>
      <w:r w:rsidR="00624A1F" w:rsidRPr="00915C40">
        <w:rPr>
          <w:color w:val="auto"/>
          <w:lang w:val="en-AU"/>
        </w:rPr>
        <w:t>A</w:t>
      </w:r>
      <w:r w:rsidRPr="00915C40">
        <w:rPr>
          <w:color w:val="auto"/>
          <w:lang w:val="en-AU"/>
        </w:rPr>
        <w:t>1.</w:t>
      </w:r>
      <w:r w:rsidR="00777624" w:rsidRPr="00915C40">
        <w:rPr>
          <w:color w:val="auto"/>
          <w:lang w:val="en-AU"/>
        </w:rPr>
        <w:fldChar w:fldCharType="begin"/>
      </w:r>
      <w:r w:rsidR="00777624" w:rsidRPr="00915C40">
        <w:rPr>
          <w:color w:val="auto"/>
          <w:lang w:val="en-AU"/>
        </w:rPr>
        <w:instrText xml:space="preserve"> SEQ Table_1. \* ARABIC </w:instrText>
      </w:r>
      <w:r w:rsidR="00777624" w:rsidRPr="00915C40">
        <w:rPr>
          <w:color w:val="auto"/>
          <w:lang w:val="en-AU"/>
        </w:rPr>
        <w:fldChar w:fldCharType="separate"/>
      </w:r>
      <w:r w:rsidR="00354BBD" w:rsidRPr="00915C40">
        <w:rPr>
          <w:noProof/>
          <w:color w:val="auto"/>
          <w:lang w:val="en-AU"/>
        </w:rPr>
        <w:t>1</w:t>
      </w:r>
      <w:r w:rsidR="00777624" w:rsidRPr="00915C40">
        <w:rPr>
          <w:noProof/>
          <w:color w:val="auto"/>
          <w:lang w:val="en-AU"/>
        </w:rPr>
        <w:fldChar w:fldCharType="end"/>
      </w:r>
      <w:r w:rsidR="00624A1F" w:rsidRPr="00915C40">
        <w:rPr>
          <w:color w:val="auto"/>
          <w:lang w:val="en-AU"/>
        </w:rPr>
        <w:t>:</w:t>
      </w:r>
      <w:r w:rsidRPr="00915C40">
        <w:rPr>
          <w:color w:val="auto"/>
          <w:lang w:val="en-AU"/>
        </w:rPr>
        <w:t xml:space="preserve"> Wagering expenditure by activity, 2016–17</w:t>
      </w:r>
      <w:bookmarkEnd w:id="104"/>
    </w:p>
    <w:tbl>
      <w:tblPr>
        <w:tblStyle w:val="TableGrid"/>
        <w:tblW w:w="5000" w:type="pct"/>
        <w:tblLook w:val="04A0" w:firstRow="1" w:lastRow="0" w:firstColumn="1" w:lastColumn="0" w:noHBand="0" w:noVBand="1"/>
        <w:tblCaption w:val="Wagering expenditure by activity, 2016–17"/>
        <w:tblDescription w:val="This table gives the wagering expenditure by gambling activity in millions of dollars and as a percentage of total expenditure."/>
      </w:tblPr>
      <w:tblGrid>
        <w:gridCol w:w="3816"/>
        <w:gridCol w:w="2691"/>
        <w:gridCol w:w="1992"/>
      </w:tblGrid>
      <w:tr w:rsidR="00E47A70" w:rsidRPr="00664E64" w14:paraId="385FA557" w14:textId="77777777" w:rsidTr="00AD1610">
        <w:trPr>
          <w:cnfStyle w:val="100000000000" w:firstRow="1" w:lastRow="0" w:firstColumn="0" w:lastColumn="0" w:oddVBand="0" w:evenVBand="0" w:oddHBand="0" w:evenHBand="0" w:firstRowFirstColumn="0" w:firstRowLastColumn="0" w:lastRowFirstColumn="0" w:lastRowLastColumn="0"/>
          <w:tblHeader/>
        </w:trPr>
        <w:tc>
          <w:tcPr>
            <w:tcW w:w="2245" w:type="pct"/>
          </w:tcPr>
          <w:p w14:paraId="78EBBFE8" w14:textId="77777777" w:rsidR="00E47A70" w:rsidRPr="00664E64" w:rsidRDefault="00E47A70" w:rsidP="00624A1F">
            <w:pPr>
              <w:pStyle w:val="TableColHeadLeft"/>
              <w:rPr>
                <w:lang w:val="en-AU"/>
              </w:rPr>
            </w:pPr>
            <w:r w:rsidRPr="00664E64">
              <w:rPr>
                <w:lang w:val="en-AU"/>
              </w:rPr>
              <w:t>Wagering activity</w:t>
            </w:r>
          </w:p>
        </w:tc>
        <w:tc>
          <w:tcPr>
            <w:tcW w:w="1583" w:type="pct"/>
          </w:tcPr>
          <w:p w14:paraId="072E1009" w14:textId="77777777" w:rsidR="00E47A70" w:rsidRPr="00664E64" w:rsidRDefault="00E47A70" w:rsidP="00A55CD9">
            <w:pPr>
              <w:pStyle w:val="TableColHeadCentre"/>
              <w:rPr>
                <w:lang w:val="en-AU"/>
              </w:rPr>
            </w:pPr>
            <w:r w:rsidRPr="00664E64">
              <w:rPr>
                <w:lang w:val="en-AU"/>
              </w:rPr>
              <w:t xml:space="preserve">$ in millions </w:t>
            </w:r>
            <w:r w:rsidRPr="00664E64">
              <w:rPr>
                <w:vertAlign w:val="superscript"/>
                <w:lang w:val="en-AU"/>
              </w:rPr>
              <w:t>a</w:t>
            </w:r>
          </w:p>
        </w:tc>
        <w:tc>
          <w:tcPr>
            <w:tcW w:w="1172" w:type="pct"/>
          </w:tcPr>
          <w:p w14:paraId="0D29DA5A" w14:textId="77777777" w:rsidR="00E47A70" w:rsidRPr="00664E64" w:rsidRDefault="00E47A70" w:rsidP="00624A1F">
            <w:pPr>
              <w:pStyle w:val="TableColHeadCentre"/>
              <w:rPr>
                <w:lang w:val="en-AU"/>
              </w:rPr>
            </w:pPr>
            <w:r w:rsidRPr="00664E64">
              <w:rPr>
                <w:lang w:val="en-AU"/>
              </w:rPr>
              <w:t>% Total wagering</w:t>
            </w:r>
          </w:p>
          <w:p w14:paraId="19AA6133" w14:textId="77777777" w:rsidR="00E47A70" w:rsidRPr="00664E64" w:rsidRDefault="00E47A70" w:rsidP="00624A1F">
            <w:pPr>
              <w:pStyle w:val="TableColHeadCentre"/>
              <w:rPr>
                <w:lang w:val="en-AU"/>
              </w:rPr>
            </w:pPr>
            <w:r w:rsidRPr="00664E64">
              <w:rPr>
                <w:lang w:val="en-AU"/>
              </w:rPr>
              <w:t xml:space="preserve">expenditure </w:t>
            </w:r>
            <w:r w:rsidRPr="00664E64">
              <w:rPr>
                <w:vertAlign w:val="superscript"/>
                <w:lang w:val="en-AU"/>
              </w:rPr>
              <w:t>b</w:t>
            </w:r>
          </w:p>
        </w:tc>
      </w:tr>
      <w:tr w:rsidR="00E47A70" w:rsidRPr="00664E64" w14:paraId="78E7C1F4" w14:textId="77777777" w:rsidTr="00E47A70">
        <w:tc>
          <w:tcPr>
            <w:tcW w:w="2245" w:type="pct"/>
          </w:tcPr>
          <w:p w14:paraId="4856BCD8" w14:textId="77777777" w:rsidR="00E47A70" w:rsidRPr="00664E64" w:rsidRDefault="00E47A70" w:rsidP="00A55CD9">
            <w:pPr>
              <w:pStyle w:val="TableHeading"/>
              <w:rPr>
                <w:lang w:val="en-AU"/>
              </w:rPr>
            </w:pPr>
            <w:r w:rsidRPr="00664E64">
              <w:rPr>
                <w:lang w:val="en-AU"/>
              </w:rPr>
              <w:t>Racing</w:t>
            </w:r>
          </w:p>
        </w:tc>
        <w:tc>
          <w:tcPr>
            <w:tcW w:w="1583" w:type="pct"/>
          </w:tcPr>
          <w:p w14:paraId="429773D3" w14:textId="77777777" w:rsidR="00E47A70" w:rsidRPr="00664E64" w:rsidRDefault="00E47A70" w:rsidP="00E47A70">
            <w:pPr>
              <w:pStyle w:val="TableTextAligned"/>
              <w:rPr>
                <w:lang w:val="en-AU"/>
              </w:rPr>
            </w:pPr>
            <w:r w:rsidRPr="00664E64">
              <w:rPr>
                <w:lang w:val="en-AU"/>
              </w:rPr>
              <w:t>3,300</w:t>
            </w:r>
          </w:p>
        </w:tc>
        <w:tc>
          <w:tcPr>
            <w:tcW w:w="1172" w:type="pct"/>
          </w:tcPr>
          <w:p w14:paraId="474338D3" w14:textId="77777777" w:rsidR="00E47A70" w:rsidRPr="00664E64" w:rsidRDefault="00E47A70" w:rsidP="00E47A70">
            <w:pPr>
              <w:pStyle w:val="TableTextAligned"/>
              <w:rPr>
                <w:lang w:val="en-AU"/>
              </w:rPr>
            </w:pPr>
            <w:r w:rsidRPr="00664E64">
              <w:rPr>
                <w:lang w:val="en-AU"/>
              </w:rPr>
              <w:t>75</w:t>
            </w:r>
          </w:p>
        </w:tc>
      </w:tr>
      <w:tr w:rsidR="00E47A70" w:rsidRPr="00664E64" w14:paraId="3357E1DA" w14:textId="77777777" w:rsidTr="00E47A70">
        <w:tc>
          <w:tcPr>
            <w:tcW w:w="2245" w:type="pct"/>
          </w:tcPr>
          <w:p w14:paraId="6E089C88" w14:textId="77777777" w:rsidR="00E47A70" w:rsidRPr="00664E64" w:rsidRDefault="00E47A70" w:rsidP="00624A1F">
            <w:pPr>
              <w:pStyle w:val="TableText"/>
              <w:rPr>
                <w:lang w:val="en-AU"/>
              </w:rPr>
            </w:pPr>
            <w:r w:rsidRPr="00664E64">
              <w:rPr>
                <w:lang w:val="en-AU"/>
              </w:rPr>
              <w:t>Horse racing</w:t>
            </w:r>
          </w:p>
        </w:tc>
        <w:tc>
          <w:tcPr>
            <w:tcW w:w="1583" w:type="pct"/>
          </w:tcPr>
          <w:p w14:paraId="5B6A0703" w14:textId="77777777" w:rsidR="00E47A70" w:rsidRPr="00664E64" w:rsidRDefault="00E47A70" w:rsidP="00E47A70">
            <w:pPr>
              <w:pStyle w:val="TableTextAligned"/>
              <w:rPr>
                <w:i/>
                <w:lang w:val="en-AU"/>
              </w:rPr>
            </w:pPr>
            <w:r w:rsidRPr="00664E64">
              <w:rPr>
                <w:i/>
                <w:lang w:val="en-AU"/>
              </w:rPr>
              <w:t>2,200</w:t>
            </w:r>
          </w:p>
        </w:tc>
        <w:tc>
          <w:tcPr>
            <w:tcW w:w="1172" w:type="pct"/>
          </w:tcPr>
          <w:p w14:paraId="0D9BF6CD" w14:textId="77777777" w:rsidR="00E47A70" w:rsidRPr="00664E64" w:rsidRDefault="00E47A70" w:rsidP="00E47A70">
            <w:pPr>
              <w:pStyle w:val="TableTextAligned"/>
              <w:rPr>
                <w:i/>
                <w:lang w:val="en-AU"/>
              </w:rPr>
            </w:pPr>
            <w:r w:rsidRPr="00664E64">
              <w:rPr>
                <w:i/>
                <w:lang w:val="en-AU"/>
              </w:rPr>
              <w:t>51</w:t>
            </w:r>
          </w:p>
        </w:tc>
      </w:tr>
      <w:tr w:rsidR="00E47A70" w:rsidRPr="00664E64" w14:paraId="1F8D51CC" w14:textId="77777777" w:rsidTr="00E47A70">
        <w:tc>
          <w:tcPr>
            <w:tcW w:w="2245" w:type="pct"/>
          </w:tcPr>
          <w:p w14:paraId="4D8037B2" w14:textId="77777777" w:rsidR="00E47A70" w:rsidRPr="00664E64" w:rsidRDefault="00E47A70" w:rsidP="00624A1F">
            <w:pPr>
              <w:pStyle w:val="TableText"/>
              <w:rPr>
                <w:lang w:val="en-AU"/>
              </w:rPr>
            </w:pPr>
            <w:r w:rsidRPr="00664E64">
              <w:rPr>
                <w:lang w:val="en-AU"/>
              </w:rPr>
              <w:t>Harness racing</w:t>
            </w:r>
          </w:p>
        </w:tc>
        <w:tc>
          <w:tcPr>
            <w:tcW w:w="1583" w:type="pct"/>
          </w:tcPr>
          <w:p w14:paraId="4AE576CA" w14:textId="77777777" w:rsidR="00E47A70" w:rsidRPr="00664E64" w:rsidRDefault="00E47A70" w:rsidP="00E47A70">
            <w:pPr>
              <w:pStyle w:val="TableTextAligned"/>
              <w:rPr>
                <w:i/>
                <w:lang w:val="en-AU"/>
              </w:rPr>
            </w:pPr>
            <w:r w:rsidRPr="00664E64">
              <w:rPr>
                <w:i/>
                <w:lang w:val="en-AU"/>
              </w:rPr>
              <w:t>550</w:t>
            </w:r>
          </w:p>
        </w:tc>
        <w:tc>
          <w:tcPr>
            <w:tcW w:w="1172" w:type="pct"/>
          </w:tcPr>
          <w:p w14:paraId="600AF607" w14:textId="77777777" w:rsidR="00E47A70" w:rsidRPr="00664E64" w:rsidRDefault="00E47A70" w:rsidP="00E47A70">
            <w:pPr>
              <w:pStyle w:val="TableTextAligned"/>
              <w:rPr>
                <w:i/>
                <w:lang w:val="en-AU"/>
              </w:rPr>
            </w:pPr>
            <w:r w:rsidRPr="00664E64">
              <w:rPr>
                <w:i/>
                <w:lang w:val="en-AU"/>
              </w:rPr>
              <w:t>13</w:t>
            </w:r>
          </w:p>
        </w:tc>
      </w:tr>
      <w:tr w:rsidR="00E47A70" w:rsidRPr="00664E64" w14:paraId="48E327D5" w14:textId="77777777" w:rsidTr="00E47A70">
        <w:tc>
          <w:tcPr>
            <w:tcW w:w="2245" w:type="pct"/>
          </w:tcPr>
          <w:p w14:paraId="0B87BE21" w14:textId="77777777" w:rsidR="00E47A70" w:rsidRPr="00664E64" w:rsidRDefault="00E47A70" w:rsidP="00624A1F">
            <w:pPr>
              <w:pStyle w:val="TableText"/>
              <w:rPr>
                <w:lang w:val="en-AU"/>
              </w:rPr>
            </w:pPr>
            <w:r w:rsidRPr="00664E64">
              <w:rPr>
                <w:lang w:val="en-AU"/>
              </w:rPr>
              <w:t>Greyhound racing</w:t>
            </w:r>
          </w:p>
        </w:tc>
        <w:tc>
          <w:tcPr>
            <w:tcW w:w="1583" w:type="pct"/>
          </w:tcPr>
          <w:p w14:paraId="7195A23F" w14:textId="77777777" w:rsidR="00E47A70" w:rsidRPr="00664E64" w:rsidRDefault="00E47A70" w:rsidP="00E47A70">
            <w:pPr>
              <w:pStyle w:val="TableTextAligned"/>
              <w:rPr>
                <w:i/>
                <w:lang w:val="en-AU"/>
              </w:rPr>
            </w:pPr>
            <w:r w:rsidRPr="00664E64">
              <w:rPr>
                <w:i/>
                <w:lang w:val="en-AU"/>
              </w:rPr>
              <w:t>500</w:t>
            </w:r>
          </w:p>
        </w:tc>
        <w:tc>
          <w:tcPr>
            <w:tcW w:w="1172" w:type="pct"/>
          </w:tcPr>
          <w:p w14:paraId="147E35D0" w14:textId="77777777" w:rsidR="00E47A70" w:rsidRPr="00664E64" w:rsidRDefault="00E47A70" w:rsidP="00E47A70">
            <w:pPr>
              <w:pStyle w:val="TableTextAligned"/>
              <w:rPr>
                <w:i/>
                <w:lang w:val="en-AU"/>
              </w:rPr>
            </w:pPr>
            <w:r w:rsidRPr="00664E64">
              <w:rPr>
                <w:i/>
                <w:lang w:val="en-AU"/>
              </w:rPr>
              <w:t>11</w:t>
            </w:r>
          </w:p>
        </w:tc>
      </w:tr>
      <w:tr w:rsidR="00E47A70" w:rsidRPr="00664E64" w14:paraId="2A6E05F8" w14:textId="77777777" w:rsidTr="00E47A70">
        <w:tc>
          <w:tcPr>
            <w:tcW w:w="2245" w:type="pct"/>
          </w:tcPr>
          <w:p w14:paraId="5D7F249B" w14:textId="77777777" w:rsidR="00E47A70" w:rsidRPr="00664E64" w:rsidRDefault="00E47A70" w:rsidP="00A55CD9">
            <w:pPr>
              <w:pStyle w:val="TableHeading"/>
              <w:rPr>
                <w:lang w:val="en-AU"/>
              </w:rPr>
            </w:pPr>
            <w:r w:rsidRPr="00664E64">
              <w:rPr>
                <w:lang w:val="en-AU"/>
              </w:rPr>
              <w:t>Sports</w:t>
            </w:r>
          </w:p>
        </w:tc>
        <w:tc>
          <w:tcPr>
            <w:tcW w:w="1583" w:type="pct"/>
          </w:tcPr>
          <w:p w14:paraId="71AC3927" w14:textId="77777777" w:rsidR="00E47A70" w:rsidRPr="00664E64" w:rsidRDefault="00E47A70" w:rsidP="00E47A70">
            <w:pPr>
              <w:pStyle w:val="TableTextAligned"/>
              <w:rPr>
                <w:lang w:val="en-AU"/>
              </w:rPr>
            </w:pPr>
            <w:r w:rsidRPr="00664E64">
              <w:rPr>
                <w:lang w:val="en-AU"/>
              </w:rPr>
              <w:t>1,000</w:t>
            </w:r>
          </w:p>
        </w:tc>
        <w:tc>
          <w:tcPr>
            <w:tcW w:w="1172" w:type="pct"/>
          </w:tcPr>
          <w:p w14:paraId="77198E1E" w14:textId="77777777" w:rsidR="00E47A70" w:rsidRPr="00664E64" w:rsidRDefault="00E47A70" w:rsidP="00E47A70">
            <w:pPr>
              <w:pStyle w:val="TableTextAligned"/>
              <w:rPr>
                <w:lang w:val="en-AU"/>
              </w:rPr>
            </w:pPr>
            <w:r w:rsidRPr="00664E64">
              <w:rPr>
                <w:lang w:val="en-AU"/>
              </w:rPr>
              <w:t>25</w:t>
            </w:r>
          </w:p>
        </w:tc>
      </w:tr>
      <w:tr w:rsidR="00E47A70" w:rsidRPr="00664E64" w14:paraId="77535E96" w14:textId="77777777" w:rsidTr="00E47A70">
        <w:tc>
          <w:tcPr>
            <w:tcW w:w="2245" w:type="pct"/>
          </w:tcPr>
          <w:p w14:paraId="59E7B251" w14:textId="77777777" w:rsidR="00E47A70" w:rsidRPr="00664E64" w:rsidRDefault="00E47A70" w:rsidP="00624A1F">
            <w:pPr>
              <w:pStyle w:val="TableText"/>
              <w:rPr>
                <w:lang w:val="en-AU"/>
              </w:rPr>
            </w:pPr>
            <w:r w:rsidRPr="00664E64">
              <w:rPr>
                <w:lang w:val="en-AU"/>
              </w:rPr>
              <w:t>NRL/State of Origin</w:t>
            </w:r>
          </w:p>
        </w:tc>
        <w:tc>
          <w:tcPr>
            <w:tcW w:w="1583" w:type="pct"/>
          </w:tcPr>
          <w:p w14:paraId="28B0A23F" w14:textId="77777777" w:rsidR="00E47A70" w:rsidRPr="00664E64" w:rsidRDefault="00E47A70" w:rsidP="00E47A70">
            <w:pPr>
              <w:pStyle w:val="TableTextAligned"/>
              <w:rPr>
                <w:i/>
                <w:lang w:val="en-AU"/>
              </w:rPr>
            </w:pPr>
            <w:r w:rsidRPr="00664E64">
              <w:rPr>
                <w:i/>
                <w:lang w:val="en-AU"/>
              </w:rPr>
              <w:t>300</w:t>
            </w:r>
          </w:p>
        </w:tc>
        <w:tc>
          <w:tcPr>
            <w:tcW w:w="1172" w:type="pct"/>
          </w:tcPr>
          <w:p w14:paraId="1B4D160B" w14:textId="77777777" w:rsidR="00E47A70" w:rsidRPr="00664E64" w:rsidRDefault="00E47A70" w:rsidP="00E47A70">
            <w:pPr>
              <w:pStyle w:val="TableTextAligned"/>
              <w:rPr>
                <w:i/>
                <w:lang w:val="en-AU"/>
              </w:rPr>
            </w:pPr>
            <w:r w:rsidRPr="00664E64">
              <w:rPr>
                <w:i/>
                <w:lang w:val="en-AU"/>
              </w:rPr>
              <w:t>8</w:t>
            </w:r>
          </w:p>
        </w:tc>
      </w:tr>
      <w:tr w:rsidR="00E47A70" w:rsidRPr="00664E64" w14:paraId="7B26BD6D" w14:textId="77777777" w:rsidTr="00E47A70">
        <w:tc>
          <w:tcPr>
            <w:tcW w:w="2245" w:type="pct"/>
          </w:tcPr>
          <w:p w14:paraId="5460A258" w14:textId="77777777" w:rsidR="00E47A70" w:rsidRPr="00664E64" w:rsidRDefault="00E47A70" w:rsidP="00624A1F">
            <w:pPr>
              <w:pStyle w:val="TableText"/>
              <w:rPr>
                <w:lang w:val="en-AU"/>
              </w:rPr>
            </w:pPr>
            <w:r w:rsidRPr="00664E64">
              <w:rPr>
                <w:lang w:val="en-AU"/>
              </w:rPr>
              <w:t>AFL</w:t>
            </w:r>
          </w:p>
        </w:tc>
        <w:tc>
          <w:tcPr>
            <w:tcW w:w="1583" w:type="pct"/>
          </w:tcPr>
          <w:p w14:paraId="1A40DB91" w14:textId="77777777" w:rsidR="00E47A70" w:rsidRPr="00664E64" w:rsidRDefault="00E47A70" w:rsidP="00E47A70">
            <w:pPr>
              <w:pStyle w:val="TableTextAligned"/>
              <w:rPr>
                <w:i/>
                <w:lang w:val="en-AU"/>
              </w:rPr>
            </w:pPr>
            <w:r w:rsidRPr="00664E64">
              <w:rPr>
                <w:i/>
                <w:lang w:val="en-AU"/>
              </w:rPr>
              <w:t>300</w:t>
            </w:r>
          </w:p>
        </w:tc>
        <w:tc>
          <w:tcPr>
            <w:tcW w:w="1172" w:type="pct"/>
          </w:tcPr>
          <w:p w14:paraId="45341C19" w14:textId="77777777" w:rsidR="00E47A70" w:rsidRPr="00664E64" w:rsidRDefault="00E47A70" w:rsidP="00E47A70">
            <w:pPr>
              <w:pStyle w:val="TableTextAligned"/>
              <w:rPr>
                <w:i/>
                <w:lang w:val="en-AU"/>
              </w:rPr>
            </w:pPr>
            <w:r w:rsidRPr="00664E64">
              <w:rPr>
                <w:i/>
                <w:lang w:val="en-AU"/>
              </w:rPr>
              <w:t>7</w:t>
            </w:r>
          </w:p>
        </w:tc>
      </w:tr>
      <w:tr w:rsidR="00E47A70" w:rsidRPr="00664E64" w14:paraId="3D6EBA40" w14:textId="77777777" w:rsidTr="00E47A70">
        <w:tc>
          <w:tcPr>
            <w:tcW w:w="2245" w:type="pct"/>
          </w:tcPr>
          <w:p w14:paraId="183DF057" w14:textId="77777777" w:rsidR="00E47A70" w:rsidRPr="00664E64" w:rsidRDefault="00E47A70" w:rsidP="00624A1F">
            <w:pPr>
              <w:pStyle w:val="TableText"/>
              <w:rPr>
                <w:lang w:val="en-AU"/>
              </w:rPr>
            </w:pPr>
            <w:r w:rsidRPr="00664E64">
              <w:rPr>
                <w:lang w:val="en-AU"/>
              </w:rPr>
              <w:t xml:space="preserve">All other sports (e.g. tennis, cricket, basketball) </w:t>
            </w:r>
          </w:p>
        </w:tc>
        <w:tc>
          <w:tcPr>
            <w:tcW w:w="1583" w:type="pct"/>
          </w:tcPr>
          <w:p w14:paraId="1B3A0942" w14:textId="77777777" w:rsidR="00E47A70" w:rsidRPr="00664E64" w:rsidRDefault="00E47A70" w:rsidP="00E47A70">
            <w:pPr>
              <w:pStyle w:val="TableTextAligned"/>
              <w:rPr>
                <w:i/>
                <w:lang w:val="en-AU"/>
              </w:rPr>
            </w:pPr>
            <w:r w:rsidRPr="00664E64">
              <w:rPr>
                <w:i/>
                <w:lang w:val="en-AU"/>
              </w:rPr>
              <w:t>450</w:t>
            </w:r>
          </w:p>
        </w:tc>
        <w:tc>
          <w:tcPr>
            <w:tcW w:w="1172" w:type="pct"/>
          </w:tcPr>
          <w:p w14:paraId="1C81DFAD" w14:textId="77777777" w:rsidR="00E47A70" w:rsidRPr="00664E64" w:rsidRDefault="00E47A70" w:rsidP="00E47A70">
            <w:pPr>
              <w:pStyle w:val="TableTextAligned"/>
              <w:rPr>
                <w:i/>
                <w:lang w:val="en-AU"/>
              </w:rPr>
            </w:pPr>
            <w:r w:rsidRPr="00664E64">
              <w:rPr>
                <w:i/>
                <w:lang w:val="en-AU"/>
              </w:rPr>
              <w:t>10</w:t>
            </w:r>
          </w:p>
        </w:tc>
      </w:tr>
    </w:tbl>
    <w:p w14:paraId="5BEC1140" w14:textId="77777777" w:rsidR="00E47A70" w:rsidRPr="00664E64" w:rsidRDefault="00E47A70" w:rsidP="00F94EAB">
      <w:pPr>
        <w:pStyle w:val="TableNotes"/>
        <w:rPr>
          <w:lang w:val="en-AU"/>
        </w:rPr>
      </w:pPr>
      <w:r w:rsidRPr="00664E64">
        <w:rPr>
          <w:lang w:val="en-AU"/>
        </w:rPr>
        <w:t xml:space="preserve">Notes: Expenditure figures rounded to nearest whole number. </w:t>
      </w:r>
    </w:p>
    <w:p w14:paraId="0A5EA297" w14:textId="10BF9868" w:rsidR="00E47A70" w:rsidRPr="00664E64" w:rsidRDefault="00E47A70" w:rsidP="00F94EAB">
      <w:pPr>
        <w:pStyle w:val="TableNotes"/>
        <w:rPr>
          <w:lang w:val="en-AU"/>
        </w:rPr>
      </w:pPr>
      <w:r w:rsidRPr="00664E64">
        <w:rPr>
          <w:vertAlign w:val="superscript"/>
          <w:lang w:val="en-AU"/>
        </w:rPr>
        <w:t>a</w:t>
      </w:r>
      <w:r w:rsidRPr="00664E64">
        <w:rPr>
          <w:lang w:val="en-AU"/>
        </w:rPr>
        <w:t xml:space="preserve"> Italicised expenditure estimates were extrapolated from the application of % revenue shares reported by Roy Morgan</w:t>
      </w:r>
      <w:r w:rsidR="00E145CB">
        <w:rPr>
          <w:lang w:val="en-AU"/>
        </w:rPr>
        <w:t xml:space="preserve"> Research (2018a)</w:t>
      </w:r>
      <w:r w:rsidRPr="00664E64">
        <w:rPr>
          <w:lang w:val="en-AU"/>
        </w:rPr>
        <w:t>.</w:t>
      </w:r>
    </w:p>
    <w:p w14:paraId="6B902244" w14:textId="627F7E81" w:rsidR="00E47A70" w:rsidRPr="00664E64" w:rsidRDefault="00E47A70" w:rsidP="00F94EAB">
      <w:pPr>
        <w:pStyle w:val="TableNotes"/>
        <w:rPr>
          <w:lang w:val="en-AU"/>
        </w:rPr>
      </w:pPr>
      <w:r w:rsidRPr="00664E64">
        <w:rPr>
          <w:vertAlign w:val="superscript"/>
          <w:lang w:val="en-AU"/>
        </w:rPr>
        <w:t>b</w:t>
      </w:r>
      <w:r w:rsidRPr="00664E64">
        <w:rPr>
          <w:lang w:val="en-AU"/>
        </w:rPr>
        <w:t xml:space="preserve"> Total racing and sports expenditure reported in Australian Gambling Statistics (</w:t>
      </w:r>
      <w:r w:rsidR="0012045A" w:rsidRPr="00664E64">
        <w:rPr>
          <w:lang w:val="en-AU"/>
        </w:rPr>
        <w:t xml:space="preserve">QGSO, </w:t>
      </w:r>
      <w:r w:rsidRPr="00664E64">
        <w:rPr>
          <w:lang w:val="en-AU"/>
        </w:rPr>
        <w:t>2018).</w:t>
      </w:r>
    </w:p>
    <w:p w14:paraId="23ED4C94" w14:textId="77777777" w:rsidR="00E47A70" w:rsidRPr="00915C40" w:rsidRDefault="00E47A70" w:rsidP="00A55CD9">
      <w:pPr>
        <w:pStyle w:val="Heading3"/>
        <w:rPr>
          <w:color w:val="auto"/>
        </w:rPr>
      </w:pPr>
      <w:r w:rsidRPr="00915C40">
        <w:rPr>
          <w:color w:val="auto"/>
        </w:rPr>
        <w:t>The online wagering market</w:t>
      </w:r>
    </w:p>
    <w:p w14:paraId="619F81F6" w14:textId="52B29556" w:rsidR="00E47A70" w:rsidRPr="00664E64" w:rsidRDefault="00E47A70" w:rsidP="00E47A70">
      <w:pPr>
        <w:pStyle w:val="BodyText"/>
      </w:pPr>
      <w:r w:rsidRPr="00664E64">
        <w:t>Online wagering is the fastest growing segment of the gambling market in Australia. From 2016 to 2017, there was an estimated 18% increase in active online sports betting accounts (Global Betting and Gaming Consultants</w:t>
      </w:r>
      <w:r w:rsidR="00624A1F" w:rsidRPr="00664E64">
        <w:t xml:space="preserve"> [GBGC]</w:t>
      </w:r>
      <w:r w:rsidRPr="00664E64">
        <w:t>, 2018). Globally, online sports betting represents approximately 6.5% of the overall gambling market (GBGC, 2018).</w:t>
      </w:r>
    </w:p>
    <w:p w14:paraId="3F499D0C" w14:textId="5BDD0976" w:rsidR="00E47A70" w:rsidRDefault="00E47A70" w:rsidP="00E47A70">
      <w:pPr>
        <w:pStyle w:val="BodyText"/>
      </w:pPr>
      <w:r w:rsidRPr="00664E64">
        <w:lastRenderedPageBreak/>
        <w:t>Most online wagering is conducted through the 133 interactive wagering service providers licensed in Australia.</w:t>
      </w:r>
      <w:r w:rsidRPr="00664E64">
        <w:rPr>
          <w:rStyle w:val="FootnoteReference"/>
        </w:rPr>
        <w:footnoteReference w:id="3"/>
      </w:r>
      <w:r w:rsidRPr="00664E64">
        <w:t xml:space="preserve"> Somewhere between 74% and 95% of all wagering expenditure by Australian customers is estimated to take place through these providers, with the remainder (5</w:t>
      </w:r>
      <w:r w:rsidRPr="00664E64">
        <w:rPr>
          <w:rFonts w:cs="Arial"/>
        </w:rPr>
        <w:t>–</w:t>
      </w:r>
      <w:r w:rsidRPr="00664E64">
        <w:t xml:space="preserve">26%) spent with offshore operators (O’Farrell, 2015). </w:t>
      </w:r>
    </w:p>
    <w:p w14:paraId="3233E80E" w14:textId="7B293810" w:rsidR="00E145CB" w:rsidRPr="00E145CB" w:rsidRDefault="00E145CB" w:rsidP="00E145CB">
      <w:pPr>
        <w:pStyle w:val="BodyText"/>
      </w:pPr>
      <w:r w:rsidRPr="00E145CB">
        <w:t xml:space="preserve">Harm minimisation is one of the primary reasons behind the introduction of Australian regulations for online wagering, with the rationale that domestically licensed providers, who are obligated to comply with local regulations, will provide appropriate harm-reduction measures and operate in a safe, reputable manner (DSS, 2017; O’Farrell, 2015). Recent amendments in 2017 to the </w:t>
      </w:r>
      <w:r w:rsidRPr="00E145CB">
        <w:rPr>
          <w:i/>
        </w:rPr>
        <w:t>Interactive Gambling Act</w:t>
      </w:r>
      <w:r w:rsidRPr="00E145CB">
        <w:t xml:space="preserve"> (2001) have strengthened regulation and enforcement of Australian providers, and prohibit offshore providers from soliciting or providing online gambling services to Australian consumers. </w:t>
      </w:r>
    </w:p>
    <w:p w14:paraId="061AB7AB" w14:textId="15527B9F" w:rsidR="00E47A70" w:rsidRPr="00664E64" w:rsidRDefault="00E145CB" w:rsidP="00E47A70">
      <w:pPr>
        <w:pStyle w:val="BodyText"/>
      </w:pPr>
      <w:r>
        <w:t xml:space="preserve">Around one-third of the wagering providers licenced in Australia </w:t>
      </w:r>
      <w:r w:rsidRPr="00E145CB">
        <w:t xml:space="preserve">are </w:t>
      </w:r>
      <w:r>
        <w:t>mid-</w:t>
      </w:r>
      <w:r w:rsidRPr="00E145CB">
        <w:t>large</w:t>
      </w:r>
      <w:r>
        <w:t xml:space="preserve"> sized</w:t>
      </w:r>
      <w:r w:rsidRPr="00E145CB">
        <w:t xml:space="preserve"> TABs, corporate bookmakers and betting exchanges</w:t>
      </w:r>
      <w:r>
        <w:t xml:space="preserve">. Each provider is licenced with one state or territory licensing authority, but they typically provide wagering services across multiple jurisdictions. </w:t>
      </w:r>
      <w:r w:rsidR="00E47A70" w:rsidRPr="00664E64">
        <w:t xml:space="preserve">On-course bookmakers, generally much smaller and </w:t>
      </w:r>
      <w:r w:rsidR="000E52A7" w:rsidRPr="00664E64">
        <w:t xml:space="preserve">more </w:t>
      </w:r>
      <w:r w:rsidR="00E47A70" w:rsidRPr="00664E64">
        <w:t>limited operationally, make up two</w:t>
      </w:r>
      <w:r w:rsidR="00624A1F" w:rsidRPr="00664E64">
        <w:t>-</w:t>
      </w:r>
      <w:r w:rsidR="00E47A70" w:rsidRPr="00664E64">
        <w:t xml:space="preserve">thirds of registered Australian providers and </w:t>
      </w:r>
      <w:r>
        <w:t>generally operate</w:t>
      </w:r>
      <w:r w:rsidR="00E47A70" w:rsidRPr="00664E64">
        <w:t xml:space="preserve"> </w:t>
      </w:r>
      <w:r>
        <w:t>with</w:t>
      </w:r>
      <w:r w:rsidR="00E47A70" w:rsidRPr="00664E64">
        <w:t xml:space="preserve">in a single jurisdiction. </w:t>
      </w:r>
    </w:p>
    <w:p w14:paraId="4A04DA96" w14:textId="2BF880F5" w:rsidR="00E47A70" w:rsidRPr="00664E64" w:rsidRDefault="00E47A70" w:rsidP="00E47A70">
      <w:pPr>
        <w:pStyle w:val="BodyText"/>
      </w:pPr>
      <w:r w:rsidRPr="00664E64">
        <w:t xml:space="preserve">A breakdown of licensed providers by jurisdiction and type is provided in Table </w:t>
      </w:r>
      <w:r w:rsidR="00624A1F" w:rsidRPr="00664E64">
        <w:t>A</w:t>
      </w:r>
      <w:r w:rsidRPr="00664E64">
        <w:t>1.2.</w:t>
      </w:r>
    </w:p>
    <w:p w14:paraId="37428090" w14:textId="190E32B8" w:rsidR="00E47A70" w:rsidRPr="00915C40" w:rsidRDefault="00E47A70" w:rsidP="00415C73">
      <w:pPr>
        <w:pStyle w:val="FigureCaption"/>
        <w:rPr>
          <w:color w:val="auto"/>
          <w:lang w:val="en-AU"/>
        </w:rPr>
      </w:pPr>
      <w:bookmarkStart w:id="105" w:name="_Toc12549592"/>
      <w:r w:rsidRPr="00915C40">
        <w:rPr>
          <w:color w:val="auto"/>
          <w:lang w:val="en-AU"/>
        </w:rPr>
        <w:t xml:space="preserve">Table </w:t>
      </w:r>
      <w:r w:rsidR="00624A1F" w:rsidRPr="00915C40">
        <w:rPr>
          <w:color w:val="auto"/>
          <w:lang w:val="en-AU"/>
        </w:rPr>
        <w:t>A</w:t>
      </w:r>
      <w:r w:rsidRPr="00915C40">
        <w:rPr>
          <w:color w:val="auto"/>
          <w:lang w:val="en-AU"/>
        </w:rPr>
        <w:t>1.</w:t>
      </w:r>
      <w:r w:rsidR="00777624" w:rsidRPr="00915C40">
        <w:rPr>
          <w:color w:val="auto"/>
          <w:lang w:val="en-AU"/>
        </w:rPr>
        <w:fldChar w:fldCharType="begin"/>
      </w:r>
      <w:r w:rsidR="00777624" w:rsidRPr="00915C40">
        <w:rPr>
          <w:color w:val="auto"/>
          <w:lang w:val="en-AU"/>
        </w:rPr>
        <w:instrText xml:space="preserve"> SEQ Table_1. \* ARABIC </w:instrText>
      </w:r>
      <w:r w:rsidR="00777624" w:rsidRPr="00915C40">
        <w:rPr>
          <w:color w:val="auto"/>
          <w:lang w:val="en-AU"/>
        </w:rPr>
        <w:fldChar w:fldCharType="separate"/>
      </w:r>
      <w:r w:rsidR="00354BBD" w:rsidRPr="00915C40">
        <w:rPr>
          <w:noProof/>
          <w:color w:val="auto"/>
          <w:lang w:val="en-AU"/>
        </w:rPr>
        <w:t>2</w:t>
      </w:r>
      <w:r w:rsidR="00777624" w:rsidRPr="00915C40">
        <w:rPr>
          <w:noProof/>
          <w:color w:val="auto"/>
          <w:lang w:val="en-AU"/>
        </w:rPr>
        <w:fldChar w:fldCharType="end"/>
      </w:r>
      <w:r w:rsidR="00624A1F" w:rsidRPr="00915C40">
        <w:rPr>
          <w:color w:val="auto"/>
          <w:lang w:val="en-AU"/>
        </w:rPr>
        <w:t>:</w:t>
      </w:r>
      <w:r w:rsidRPr="00915C40">
        <w:rPr>
          <w:color w:val="auto"/>
          <w:lang w:val="en-AU"/>
        </w:rPr>
        <w:t xml:space="preserve"> Licensed interactive wagering providers by jurisdiction and type</w:t>
      </w:r>
      <w:bookmarkEnd w:id="105"/>
    </w:p>
    <w:tbl>
      <w:tblPr>
        <w:tblStyle w:val="TableGrid"/>
        <w:tblW w:w="5000" w:type="pct"/>
        <w:tblLook w:val="04A0" w:firstRow="1" w:lastRow="0" w:firstColumn="1" w:lastColumn="0" w:noHBand="0" w:noVBand="1"/>
        <w:tblCaption w:val="Licensed interactive wagering providers by jurisdiction and type"/>
        <w:tblDescription w:val="Lists the number of interactive wagering providers by state or territory and by type of bookmaker."/>
      </w:tblPr>
      <w:tblGrid>
        <w:gridCol w:w="3642"/>
        <w:gridCol w:w="3400"/>
        <w:gridCol w:w="1457"/>
      </w:tblGrid>
      <w:tr w:rsidR="00E47A70" w:rsidRPr="00664E64" w14:paraId="706F65AD" w14:textId="77777777" w:rsidTr="00AD1610">
        <w:trPr>
          <w:cnfStyle w:val="100000000000" w:firstRow="1" w:lastRow="0" w:firstColumn="0" w:lastColumn="0" w:oddVBand="0" w:evenVBand="0" w:oddHBand="0" w:evenHBand="0" w:firstRowFirstColumn="0" w:firstRowLastColumn="0" w:lastRowFirstColumn="0" w:lastRowLastColumn="0"/>
          <w:tblHeader/>
        </w:trPr>
        <w:tc>
          <w:tcPr>
            <w:tcW w:w="2143" w:type="pct"/>
          </w:tcPr>
          <w:p w14:paraId="0D4AE683" w14:textId="4D3E10CC" w:rsidR="00E47A70" w:rsidRPr="00664E64" w:rsidRDefault="00624A1F" w:rsidP="00A55CD9">
            <w:pPr>
              <w:pStyle w:val="TableColHeadLeft"/>
              <w:rPr>
                <w:lang w:val="en-AU"/>
              </w:rPr>
            </w:pPr>
            <w:r w:rsidRPr="00664E64">
              <w:rPr>
                <w:lang w:val="en-AU"/>
              </w:rPr>
              <w:t>Interactive wagering providers</w:t>
            </w:r>
          </w:p>
        </w:tc>
        <w:tc>
          <w:tcPr>
            <w:tcW w:w="2000" w:type="pct"/>
          </w:tcPr>
          <w:p w14:paraId="0D79ED09" w14:textId="77777777" w:rsidR="00E47A70" w:rsidRPr="00664E64" w:rsidRDefault="00E47A70" w:rsidP="00624A1F">
            <w:pPr>
              <w:pStyle w:val="TableColHeadCentre"/>
              <w:rPr>
                <w:lang w:val="en-AU"/>
              </w:rPr>
            </w:pPr>
            <w:r w:rsidRPr="00664E64">
              <w:rPr>
                <w:lang w:val="en-AU"/>
              </w:rPr>
              <w:t>Number of licensed interactive wagering providers</w:t>
            </w:r>
          </w:p>
        </w:tc>
        <w:tc>
          <w:tcPr>
            <w:tcW w:w="857" w:type="pct"/>
          </w:tcPr>
          <w:p w14:paraId="198723A6" w14:textId="77777777" w:rsidR="00E47A70" w:rsidRPr="00664E64" w:rsidRDefault="00E47A70" w:rsidP="00624A1F">
            <w:pPr>
              <w:pStyle w:val="TableColHeadCentre"/>
              <w:rPr>
                <w:lang w:val="en-AU"/>
              </w:rPr>
            </w:pPr>
            <w:r w:rsidRPr="00664E64">
              <w:rPr>
                <w:lang w:val="en-AU"/>
              </w:rPr>
              <w:t>% located in each jurisdiction</w:t>
            </w:r>
          </w:p>
        </w:tc>
      </w:tr>
      <w:tr w:rsidR="00E47A70" w:rsidRPr="00664E64" w14:paraId="691E2335" w14:textId="77777777" w:rsidTr="00E47A70">
        <w:trPr>
          <w:cantSplit w:val="0"/>
        </w:trPr>
        <w:tc>
          <w:tcPr>
            <w:tcW w:w="2143" w:type="pct"/>
          </w:tcPr>
          <w:p w14:paraId="7C9C9DE6" w14:textId="77777777" w:rsidR="00E47A70" w:rsidRPr="00915C40" w:rsidRDefault="00E47A70" w:rsidP="00A55CD9">
            <w:pPr>
              <w:pStyle w:val="TableHeading"/>
              <w:rPr>
                <w:b/>
                <w:color w:val="000000"/>
                <w:lang w:val="en-AU"/>
              </w:rPr>
            </w:pPr>
            <w:r w:rsidRPr="00915C40">
              <w:rPr>
                <w:b/>
                <w:color w:val="auto"/>
                <w:lang w:val="en-AU"/>
              </w:rPr>
              <w:t>Providers by state</w:t>
            </w:r>
          </w:p>
        </w:tc>
        <w:tc>
          <w:tcPr>
            <w:tcW w:w="2000" w:type="pct"/>
          </w:tcPr>
          <w:p w14:paraId="1F626ABB" w14:textId="77777777" w:rsidR="00E47A70" w:rsidRPr="00664E64" w:rsidRDefault="00E47A70" w:rsidP="00E47A70">
            <w:pPr>
              <w:pStyle w:val="TableText"/>
              <w:spacing w:before="40" w:after="40"/>
              <w:rPr>
                <w:color w:val="000000"/>
                <w:lang w:val="en-AU"/>
              </w:rPr>
            </w:pPr>
          </w:p>
        </w:tc>
        <w:tc>
          <w:tcPr>
            <w:tcW w:w="857" w:type="pct"/>
          </w:tcPr>
          <w:p w14:paraId="1DA54A3F" w14:textId="77777777" w:rsidR="00E47A70" w:rsidRPr="00664E64" w:rsidRDefault="00E47A70" w:rsidP="00E47A70">
            <w:pPr>
              <w:pStyle w:val="TableText"/>
              <w:spacing w:before="40" w:after="40"/>
              <w:rPr>
                <w:color w:val="000000"/>
                <w:lang w:val="en-AU"/>
              </w:rPr>
            </w:pPr>
          </w:p>
        </w:tc>
      </w:tr>
      <w:tr w:rsidR="00E47A70" w:rsidRPr="00664E64" w14:paraId="306AD0C3" w14:textId="77777777" w:rsidTr="00E47A70">
        <w:trPr>
          <w:cantSplit w:val="0"/>
        </w:trPr>
        <w:tc>
          <w:tcPr>
            <w:tcW w:w="2143" w:type="pct"/>
          </w:tcPr>
          <w:p w14:paraId="44399DAB" w14:textId="77777777" w:rsidR="00E47A70" w:rsidRPr="00664E64" w:rsidRDefault="00E47A70" w:rsidP="00E47A70">
            <w:pPr>
              <w:pStyle w:val="TableText"/>
              <w:spacing w:before="40" w:after="40"/>
              <w:rPr>
                <w:lang w:val="en-AU"/>
              </w:rPr>
            </w:pPr>
            <w:r w:rsidRPr="00664E64">
              <w:rPr>
                <w:color w:val="000000"/>
                <w:lang w:val="en-AU"/>
              </w:rPr>
              <w:t>ACT</w:t>
            </w:r>
          </w:p>
        </w:tc>
        <w:tc>
          <w:tcPr>
            <w:tcW w:w="2000" w:type="pct"/>
          </w:tcPr>
          <w:p w14:paraId="716274CC" w14:textId="77777777" w:rsidR="00E47A70" w:rsidRPr="00664E64" w:rsidRDefault="00E47A70" w:rsidP="00E47A70">
            <w:pPr>
              <w:pStyle w:val="TableTextAligned"/>
              <w:rPr>
                <w:lang w:val="en-AU"/>
              </w:rPr>
            </w:pPr>
            <w:r w:rsidRPr="00664E64">
              <w:rPr>
                <w:lang w:val="en-AU"/>
              </w:rPr>
              <w:t>1</w:t>
            </w:r>
          </w:p>
        </w:tc>
        <w:tc>
          <w:tcPr>
            <w:tcW w:w="857" w:type="pct"/>
          </w:tcPr>
          <w:p w14:paraId="6927A17B" w14:textId="77777777" w:rsidR="00E47A70" w:rsidRPr="00664E64" w:rsidRDefault="00E47A70" w:rsidP="00E47A70">
            <w:pPr>
              <w:pStyle w:val="TableTextAligned"/>
              <w:rPr>
                <w:lang w:val="en-AU"/>
              </w:rPr>
            </w:pPr>
            <w:r w:rsidRPr="00664E64">
              <w:rPr>
                <w:lang w:val="en-AU"/>
              </w:rPr>
              <w:t>1</w:t>
            </w:r>
          </w:p>
        </w:tc>
      </w:tr>
      <w:tr w:rsidR="00E47A70" w:rsidRPr="00664E64" w14:paraId="02F6AC73" w14:textId="77777777" w:rsidTr="00E47A70">
        <w:trPr>
          <w:cantSplit w:val="0"/>
        </w:trPr>
        <w:tc>
          <w:tcPr>
            <w:tcW w:w="2143" w:type="pct"/>
          </w:tcPr>
          <w:p w14:paraId="0CD7A3F5" w14:textId="77777777" w:rsidR="00E47A70" w:rsidRPr="00664E64" w:rsidRDefault="00E47A70" w:rsidP="00E47A70">
            <w:pPr>
              <w:pStyle w:val="TableText"/>
              <w:spacing w:before="40" w:after="40"/>
              <w:rPr>
                <w:lang w:val="en-AU"/>
              </w:rPr>
            </w:pPr>
            <w:r w:rsidRPr="00664E64">
              <w:rPr>
                <w:color w:val="000000"/>
                <w:lang w:val="en-AU"/>
              </w:rPr>
              <w:t xml:space="preserve">NSW </w:t>
            </w:r>
          </w:p>
        </w:tc>
        <w:tc>
          <w:tcPr>
            <w:tcW w:w="2000" w:type="pct"/>
          </w:tcPr>
          <w:p w14:paraId="47B99CAF" w14:textId="77777777" w:rsidR="00E47A70" w:rsidRPr="00664E64" w:rsidRDefault="00E47A70" w:rsidP="00E47A70">
            <w:pPr>
              <w:pStyle w:val="TableTextAligned"/>
              <w:rPr>
                <w:lang w:val="en-AU"/>
              </w:rPr>
            </w:pPr>
            <w:r w:rsidRPr="00664E64">
              <w:rPr>
                <w:lang w:val="en-AU"/>
              </w:rPr>
              <w:t>28</w:t>
            </w:r>
          </w:p>
        </w:tc>
        <w:tc>
          <w:tcPr>
            <w:tcW w:w="857" w:type="pct"/>
          </w:tcPr>
          <w:p w14:paraId="36BCC5A2" w14:textId="77777777" w:rsidR="00E47A70" w:rsidRPr="00664E64" w:rsidRDefault="00E47A70" w:rsidP="00E47A70">
            <w:pPr>
              <w:pStyle w:val="TableTextAligned"/>
              <w:rPr>
                <w:lang w:val="en-AU"/>
              </w:rPr>
            </w:pPr>
            <w:r w:rsidRPr="00664E64">
              <w:rPr>
                <w:lang w:val="en-AU"/>
              </w:rPr>
              <w:t>21</w:t>
            </w:r>
          </w:p>
        </w:tc>
      </w:tr>
      <w:tr w:rsidR="00E47A70" w:rsidRPr="00664E64" w14:paraId="27512BAC" w14:textId="77777777" w:rsidTr="00E47A70">
        <w:trPr>
          <w:cantSplit w:val="0"/>
        </w:trPr>
        <w:tc>
          <w:tcPr>
            <w:tcW w:w="2143" w:type="pct"/>
          </w:tcPr>
          <w:p w14:paraId="4C426E06" w14:textId="77777777" w:rsidR="00E47A70" w:rsidRPr="00664E64" w:rsidRDefault="00E47A70" w:rsidP="00E47A70">
            <w:pPr>
              <w:pStyle w:val="TableText"/>
              <w:spacing w:before="40" w:after="40"/>
              <w:rPr>
                <w:lang w:val="en-AU"/>
              </w:rPr>
            </w:pPr>
            <w:r w:rsidRPr="00664E64">
              <w:rPr>
                <w:color w:val="000000"/>
                <w:lang w:val="en-AU"/>
              </w:rPr>
              <w:t>NT</w:t>
            </w:r>
          </w:p>
        </w:tc>
        <w:tc>
          <w:tcPr>
            <w:tcW w:w="2000" w:type="pct"/>
          </w:tcPr>
          <w:p w14:paraId="2B83C981" w14:textId="77777777" w:rsidR="00E47A70" w:rsidRPr="00664E64" w:rsidRDefault="00E47A70" w:rsidP="00E47A70">
            <w:pPr>
              <w:pStyle w:val="TableTextAligned"/>
              <w:rPr>
                <w:lang w:val="en-AU"/>
              </w:rPr>
            </w:pPr>
            <w:r w:rsidRPr="00664E64">
              <w:rPr>
                <w:lang w:val="en-AU"/>
              </w:rPr>
              <w:t>31</w:t>
            </w:r>
          </w:p>
        </w:tc>
        <w:tc>
          <w:tcPr>
            <w:tcW w:w="857" w:type="pct"/>
          </w:tcPr>
          <w:p w14:paraId="79D624DD" w14:textId="77777777" w:rsidR="00E47A70" w:rsidRPr="00664E64" w:rsidRDefault="00E47A70" w:rsidP="00E47A70">
            <w:pPr>
              <w:pStyle w:val="TableTextAligned"/>
              <w:rPr>
                <w:lang w:val="en-AU"/>
              </w:rPr>
            </w:pPr>
            <w:r w:rsidRPr="00664E64">
              <w:rPr>
                <w:lang w:val="en-AU"/>
              </w:rPr>
              <w:t>23</w:t>
            </w:r>
          </w:p>
        </w:tc>
      </w:tr>
      <w:tr w:rsidR="00E47A70" w:rsidRPr="00664E64" w14:paraId="4FE802E9" w14:textId="77777777" w:rsidTr="00E47A70">
        <w:trPr>
          <w:cantSplit w:val="0"/>
        </w:trPr>
        <w:tc>
          <w:tcPr>
            <w:tcW w:w="2143" w:type="pct"/>
          </w:tcPr>
          <w:p w14:paraId="700522D9" w14:textId="77777777" w:rsidR="00E47A70" w:rsidRPr="00664E64" w:rsidRDefault="00E47A70" w:rsidP="00E47A70">
            <w:pPr>
              <w:pStyle w:val="TableText"/>
              <w:spacing w:before="40" w:after="40"/>
              <w:rPr>
                <w:lang w:val="en-AU"/>
              </w:rPr>
            </w:pPr>
            <w:r w:rsidRPr="00664E64">
              <w:rPr>
                <w:color w:val="000000"/>
                <w:lang w:val="en-AU"/>
              </w:rPr>
              <w:t>TAS</w:t>
            </w:r>
          </w:p>
        </w:tc>
        <w:tc>
          <w:tcPr>
            <w:tcW w:w="2000" w:type="pct"/>
          </w:tcPr>
          <w:p w14:paraId="1016D5F9" w14:textId="77777777" w:rsidR="00E47A70" w:rsidRPr="00664E64" w:rsidRDefault="00E47A70" w:rsidP="00E47A70">
            <w:pPr>
              <w:pStyle w:val="TableTextAligned"/>
              <w:rPr>
                <w:lang w:val="en-AU"/>
              </w:rPr>
            </w:pPr>
            <w:r w:rsidRPr="00664E64">
              <w:rPr>
                <w:lang w:val="en-AU"/>
              </w:rPr>
              <w:t>2</w:t>
            </w:r>
          </w:p>
        </w:tc>
        <w:tc>
          <w:tcPr>
            <w:tcW w:w="857" w:type="pct"/>
          </w:tcPr>
          <w:p w14:paraId="571B5DBD" w14:textId="77777777" w:rsidR="00E47A70" w:rsidRPr="00664E64" w:rsidRDefault="00E47A70" w:rsidP="00E47A70">
            <w:pPr>
              <w:pStyle w:val="TableTextAligned"/>
              <w:rPr>
                <w:lang w:val="en-AU"/>
              </w:rPr>
            </w:pPr>
            <w:r w:rsidRPr="00664E64">
              <w:rPr>
                <w:lang w:val="en-AU"/>
              </w:rPr>
              <w:t>2</w:t>
            </w:r>
          </w:p>
        </w:tc>
      </w:tr>
      <w:tr w:rsidR="00E47A70" w:rsidRPr="00664E64" w14:paraId="42F0D340" w14:textId="77777777" w:rsidTr="00E47A70">
        <w:trPr>
          <w:cantSplit w:val="0"/>
        </w:trPr>
        <w:tc>
          <w:tcPr>
            <w:tcW w:w="2143" w:type="pct"/>
          </w:tcPr>
          <w:p w14:paraId="12C48A07" w14:textId="77777777" w:rsidR="00E47A70" w:rsidRPr="00664E64" w:rsidRDefault="00E47A70" w:rsidP="00E47A70">
            <w:pPr>
              <w:pStyle w:val="TableText"/>
              <w:spacing w:before="40" w:after="40"/>
              <w:rPr>
                <w:lang w:val="en-AU"/>
              </w:rPr>
            </w:pPr>
            <w:r w:rsidRPr="00664E64">
              <w:rPr>
                <w:color w:val="000000"/>
                <w:lang w:val="en-AU"/>
              </w:rPr>
              <w:t>QLD</w:t>
            </w:r>
          </w:p>
        </w:tc>
        <w:tc>
          <w:tcPr>
            <w:tcW w:w="2000" w:type="pct"/>
          </w:tcPr>
          <w:p w14:paraId="18EFD8CE" w14:textId="77777777" w:rsidR="00E47A70" w:rsidRPr="00664E64" w:rsidRDefault="00E47A70" w:rsidP="00E47A70">
            <w:pPr>
              <w:pStyle w:val="TableTextAligned"/>
              <w:rPr>
                <w:lang w:val="en-AU"/>
              </w:rPr>
            </w:pPr>
            <w:r w:rsidRPr="00664E64">
              <w:rPr>
                <w:lang w:val="en-AU"/>
              </w:rPr>
              <w:t>1</w:t>
            </w:r>
          </w:p>
        </w:tc>
        <w:tc>
          <w:tcPr>
            <w:tcW w:w="857" w:type="pct"/>
          </w:tcPr>
          <w:p w14:paraId="445D1B65" w14:textId="77777777" w:rsidR="00E47A70" w:rsidRPr="00664E64" w:rsidRDefault="00E47A70" w:rsidP="00E47A70">
            <w:pPr>
              <w:pStyle w:val="TableTextAligned"/>
              <w:rPr>
                <w:lang w:val="en-AU"/>
              </w:rPr>
            </w:pPr>
            <w:r w:rsidRPr="00664E64">
              <w:rPr>
                <w:lang w:val="en-AU"/>
              </w:rPr>
              <w:t>1</w:t>
            </w:r>
          </w:p>
        </w:tc>
      </w:tr>
      <w:tr w:rsidR="00E47A70" w:rsidRPr="00664E64" w14:paraId="4884D7BC" w14:textId="77777777" w:rsidTr="00E47A70">
        <w:trPr>
          <w:cantSplit w:val="0"/>
        </w:trPr>
        <w:tc>
          <w:tcPr>
            <w:tcW w:w="2143" w:type="pct"/>
          </w:tcPr>
          <w:p w14:paraId="2BE504C2" w14:textId="77777777" w:rsidR="00E47A70" w:rsidRPr="00664E64" w:rsidRDefault="00E47A70" w:rsidP="00E47A70">
            <w:pPr>
              <w:pStyle w:val="TableText"/>
              <w:spacing w:before="40" w:after="40"/>
              <w:rPr>
                <w:lang w:val="en-AU"/>
              </w:rPr>
            </w:pPr>
            <w:r w:rsidRPr="00664E64">
              <w:rPr>
                <w:color w:val="000000"/>
                <w:lang w:val="en-AU"/>
              </w:rPr>
              <w:t>SA</w:t>
            </w:r>
          </w:p>
        </w:tc>
        <w:tc>
          <w:tcPr>
            <w:tcW w:w="2000" w:type="pct"/>
          </w:tcPr>
          <w:p w14:paraId="0BF45D66" w14:textId="77777777" w:rsidR="00E47A70" w:rsidRPr="00664E64" w:rsidRDefault="00E47A70" w:rsidP="00E47A70">
            <w:pPr>
              <w:pStyle w:val="TableTextAligned"/>
              <w:rPr>
                <w:lang w:val="en-AU"/>
              </w:rPr>
            </w:pPr>
            <w:r w:rsidRPr="00664E64">
              <w:rPr>
                <w:lang w:val="en-AU"/>
              </w:rPr>
              <w:t>5</w:t>
            </w:r>
          </w:p>
        </w:tc>
        <w:tc>
          <w:tcPr>
            <w:tcW w:w="857" w:type="pct"/>
          </w:tcPr>
          <w:p w14:paraId="38AFBA24" w14:textId="77777777" w:rsidR="00E47A70" w:rsidRPr="00664E64" w:rsidRDefault="00E47A70" w:rsidP="00E47A70">
            <w:pPr>
              <w:pStyle w:val="TableTextAligned"/>
              <w:rPr>
                <w:lang w:val="en-AU"/>
              </w:rPr>
            </w:pPr>
            <w:r w:rsidRPr="00664E64">
              <w:rPr>
                <w:lang w:val="en-AU"/>
              </w:rPr>
              <w:t>4</w:t>
            </w:r>
          </w:p>
        </w:tc>
      </w:tr>
      <w:tr w:rsidR="00E47A70" w:rsidRPr="00664E64" w14:paraId="3ADDFA35" w14:textId="77777777" w:rsidTr="00E47A70">
        <w:trPr>
          <w:cantSplit w:val="0"/>
        </w:trPr>
        <w:tc>
          <w:tcPr>
            <w:tcW w:w="2143" w:type="pct"/>
          </w:tcPr>
          <w:p w14:paraId="2B552D47" w14:textId="77777777" w:rsidR="00E47A70" w:rsidRPr="00664E64" w:rsidRDefault="00E47A70" w:rsidP="00E47A70">
            <w:pPr>
              <w:pStyle w:val="TableText"/>
              <w:spacing w:before="40" w:after="40"/>
              <w:rPr>
                <w:lang w:val="en-AU"/>
              </w:rPr>
            </w:pPr>
            <w:r w:rsidRPr="00664E64">
              <w:rPr>
                <w:color w:val="000000"/>
                <w:lang w:val="en-AU"/>
              </w:rPr>
              <w:t>VIC</w:t>
            </w:r>
          </w:p>
        </w:tc>
        <w:tc>
          <w:tcPr>
            <w:tcW w:w="2000" w:type="pct"/>
          </w:tcPr>
          <w:p w14:paraId="7DB6B86F" w14:textId="77777777" w:rsidR="00E47A70" w:rsidRPr="00664E64" w:rsidRDefault="00E47A70" w:rsidP="00E47A70">
            <w:pPr>
              <w:pStyle w:val="TableTextAligned"/>
              <w:rPr>
                <w:lang w:val="en-AU"/>
              </w:rPr>
            </w:pPr>
            <w:r w:rsidRPr="00664E64">
              <w:rPr>
                <w:lang w:val="en-AU"/>
              </w:rPr>
              <w:t>39</w:t>
            </w:r>
          </w:p>
        </w:tc>
        <w:tc>
          <w:tcPr>
            <w:tcW w:w="857" w:type="pct"/>
          </w:tcPr>
          <w:p w14:paraId="65CE6AA4" w14:textId="77777777" w:rsidR="00E47A70" w:rsidRPr="00664E64" w:rsidRDefault="00E47A70" w:rsidP="00E47A70">
            <w:pPr>
              <w:pStyle w:val="TableTextAligned"/>
              <w:rPr>
                <w:lang w:val="en-AU"/>
              </w:rPr>
            </w:pPr>
            <w:r w:rsidRPr="00664E64">
              <w:rPr>
                <w:lang w:val="en-AU"/>
              </w:rPr>
              <w:t>29</w:t>
            </w:r>
          </w:p>
        </w:tc>
      </w:tr>
      <w:tr w:rsidR="00E47A70" w:rsidRPr="00664E64" w14:paraId="6034D70F" w14:textId="77777777" w:rsidTr="00E47A70">
        <w:trPr>
          <w:cantSplit w:val="0"/>
        </w:trPr>
        <w:tc>
          <w:tcPr>
            <w:tcW w:w="2143" w:type="pct"/>
          </w:tcPr>
          <w:p w14:paraId="70D49AEB" w14:textId="77777777" w:rsidR="00E47A70" w:rsidRPr="00664E64" w:rsidRDefault="00E47A70" w:rsidP="00E47A70">
            <w:pPr>
              <w:pStyle w:val="TableText"/>
              <w:spacing w:before="40" w:after="40"/>
              <w:rPr>
                <w:lang w:val="en-AU"/>
              </w:rPr>
            </w:pPr>
            <w:r w:rsidRPr="00664E64">
              <w:rPr>
                <w:color w:val="000000"/>
                <w:lang w:val="en-AU"/>
              </w:rPr>
              <w:t>WA</w:t>
            </w:r>
          </w:p>
        </w:tc>
        <w:tc>
          <w:tcPr>
            <w:tcW w:w="2000" w:type="pct"/>
          </w:tcPr>
          <w:p w14:paraId="27481725" w14:textId="77777777" w:rsidR="00E47A70" w:rsidRPr="00664E64" w:rsidRDefault="00E47A70" w:rsidP="00E47A70">
            <w:pPr>
              <w:pStyle w:val="TableTextAligned"/>
              <w:rPr>
                <w:lang w:val="en-AU"/>
              </w:rPr>
            </w:pPr>
            <w:r w:rsidRPr="00664E64">
              <w:rPr>
                <w:lang w:val="en-AU"/>
              </w:rPr>
              <w:t>26</w:t>
            </w:r>
          </w:p>
        </w:tc>
        <w:tc>
          <w:tcPr>
            <w:tcW w:w="857" w:type="pct"/>
          </w:tcPr>
          <w:p w14:paraId="13AC9DF7" w14:textId="77777777" w:rsidR="00E47A70" w:rsidRPr="00664E64" w:rsidRDefault="00E47A70" w:rsidP="00E47A70">
            <w:pPr>
              <w:pStyle w:val="TableTextAligned"/>
              <w:rPr>
                <w:lang w:val="en-AU"/>
              </w:rPr>
            </w:pPr>
            <w:r w:rsidRPr="00664E64">
              <w:rPr>
                <w:lang w:val="en-AU"/>
              </w:rPr>
              <w:t>20</w:t>
            </w:r>
          </w:p>
        </w:tc>
      </w:tr>
      <w:tr w:rsidR="00E47A70" w:rsidRPr="00664E64" w14:paraId="637B2482" w14:textId="77777777" w:rsidTr="00E47A70">
        <w:trPr>
          <w:cantSplit w:val="0"/>
        </w:trPr>
        <w:tc>
          <w:tcPr>
            <w:tcW w:w="2143" w:type="pct"/>
          </w:tcPr>
          <w:p w14:paraId="662B3B7B" w14:textId="77777777" w:rsidR="00E47A70" w:rsidRPr="00664E64" w:rsidRDefault="00E47A70" w:rsidP="00A55CD9">
            <w:pPr>
              <w:pStyle w:val="TableHeading"/>
              <w:rPr>
                <w:lang w:val="en-AU"/>
              </w:rPr>
            </w:pPr>
            <w:r w:rsidRPr="00915C40">
              <w:rPr>
                <w:b/>
                <w:color w:val="auto"/>
                <w:lang w:val="en-AU"/>
              </w:rPr>
              <w:t>Providers by type</w:t>
            </w:r>
          </w:p>
        </w:tc>
        <w:tc>
          <w:tcPr>
            <w:tcW w:w="2000" w:type="pct"/>
          </w:tcPr>
          <w:p w14:paraId="2395C024" w14:textId="77777777" w:rsidR="00E47A70" w:rsidRPr="00664E64" w:rsidRDefault="00E47A70" w:rsidP="00E47A70">
            <w:pPr>
              <w:pStyle w:val="TableTextAligned"/>
              <w:rPr>
                <w:lang w:val="en-AU"/>
              </w:rPr>
            </w:pPr>
          </w:p>
        </w:tc>
        <w:tc>
          <w:tcPr>
            <w:tcW w:w="857" w:type="pct"/>
          </w:tcPr>
          <w:p w14:paraId="42F8F27B" w14:textId="77777777" w:rsidR="00E47A70" w:rsidRPr="00664E64" w:rsidRDefault="00E47A70" w:rsidP="00E47A70">
            <w:pPr>
              <w:pStyle w:val="TableTextAligned"/>
              <w:rPr>
                <w:lang w:val="en-AU"/>
              </w:rPr>
            </w:pPr>
          </w:p>
        </w:tc>
      </w:tr>
      <w:tr w:rsidR="00E47A70" w:rsidRPr="00664E64" w14:paraId="357F2618" w14:textId="77777777" w:rsidTr="00E47A70">
        <w:trPr>
          <w:cantSplit w:val="0"/>
        </w:trPr>
        <w:tc>
          <w:tcPr>
            <w:tcW w:w="2143" w:type="pct"/>
          </w:tcPr>
          <w:p w14:paraId="0634888A" w14:textId="77777777" w:rsidR="00E47A70" w:rsidRPr="00664E64" w:rsidRDefault="00E47A70" w:rsidP="00E47A70">
            <w:pPr>
              <w:pStyle w:val="TableText"/>
              <w:spacing w:before="40" w:after="40"/>
              <w:rPr>
                <w:lang w:val="en-AU"/>
              </w:rPr>
            </w:pPr>
            <w:r w:rsidRPr="00664E64">
              <w:rPr>
                <w:lang w:val="en-AU"/>
              </w:rPr>
              <w:t>TABs, corporate bookmakers and betting exchanges</w:t>
            </w:r>
          </w:p>
        </w:tc>
        <w:tc>
          <w:tcPr>
            <w:tcW w:w="2000" w:type="pct"/>
          </w:tcPr>
          <w:p w14:paraId="2866CC88" w14:textId="77777777" w:rsidR="00E47A70" w:rsidRPr="00664E64" w:rsidRDefault="00E47A70" w:rsidP="00E47A70">
            <w:pPr>
              <w:pStyle w:val="TableTextAligned"/>
              <w:rPr>
                <w:lang w:val="en-AU"/>
              </w:rPr>
            </w:pPr>
            <w:r w:rsidRPr="00664E64">
              <w:rPr>
                <w:lang w:val="en-AU"/>
              </w:rPr>
              <w:t>42</w:t>
            </w:r>
          </w:p>
        </w:tc>
        <w:tc>
          <w:tcPr>
            <w:tcW w:w="857" w:type="pct"/>
          </w:tcPr>
          <w:p w14:paraId="0AC1524E" w14:textId="77777777" w:rsidR="00E47A70" w:rsidRPr="00664E64" w:rsidRDefault="00E47A70" w:rsidP="00E47A70">
            <w:pPr>
              <w:pStyle w:val="TableTextAligned"/>
              <w:rPr>
                <w:lang w:val="en-AU"/>
              </w:rPr>
            </w:pPr>
            <w:r w:rsidRPr="00664E64">
              <w:rPr>
                <w:lang w:val="en-AU"/>
              </w:rPr>
              <w:t>32</w:t>
            </w:r>
          </w:p>
        </w:tc>
      </w:tr>
      <w:tr w:rsidR="00E47A70" w:rsidRPr="00664E64" w14:paraId="6FE0BE80" w14:textId="77777777" w:rsidTr="00E47A70">
        <w:trPr>
          <w:cantSplit w:val="0"/>
        </w:trPr>
        <w:tc>
          <w:tcPr>
            <w:tcW w:w="2143" w:type="pct"/>
          </w:tcPr>
          <w:p w14:paraId="69E5438D" w14:textId="77777777" w:rsidR="00E47A70" w:rsidRPr="00664E64" w:rsidRDefault="00E47A70" w:rsidP="00E47A70">
            <w:pPr>
              <w:pStyle w:val="TableText"/>
              <w:spacing w:before="40" w:after="40"/>
              <w:rPr>
                <w:lang w:val="en-AU"/>
              </w:rPr>
            </w:pPr>
            <w:r w:rsidRPr="00664E64">
              <w:rPr>
                <w:lang w:val="en-AU"/>
              </w:rPr>
              <w:t>On-course bookmakers</w:t>
            </w:r>
          </w:p>
        </w:tc>
        <w:tc>
          <w:tcPr>
            <w:tcW w:w="2000" w:type="pct"/>
          </w:tcPr>
          <w:p w14:paraId="1B5D7A73" w14:textId="77777777" w:rsidR="00E47A70" w:rsidRPr="00664E64" w:rsidRDefault="00E47A70" w:rsidP="00E47A70">
            <w:pPr>
              <w:pStyle w:val="TableTextAligned"/>
              <w:rPr>
                <w:lang w:val="en-AU"/>
              </w:rPr>
            </w:pPr>
            <w:r w:rsidRPr="00664E64">
              <w:rPr>
                <w:lang w:val="en-AU"/>
              </w:rPr>
              <w:t>91</w:t>
            </w:r>
          </w:p>
        </w:tc>
        <w:tc>
          <w:tcPr>
            <w:tcW w:w="857" w:type="pct"/>
          </w:tcPr>
          <w:p w14:paraId="6C2F5BC6" w14:textId="77777777" w:rsidR="00E47A70" w:rsidRPr="00664E64" w:rsidRDefault="00E47A70" w:rsidP="00E47A70">
            <w:pPr>
              <w:pStyle w:val="TableTextAligned"/>
              <w:rPr>
                <w:lang w:val="en-AU"/>
              </w:rPr>
            </w:pPr>
            <w:r w:rsidRPr="00664E64">
              <w:rPr>
                <w:lang w:val="en-AU"/>
              </w:rPr>
              <w:t>68</w:t>
            </w:r>
          </w:p>
        </w:tc>
      </w:tr>
      <w:tr w:rsidR="00E47A70" w:rsidRPr="00664E64" w14:paraId="1FE408F4" w14:textId="77777777" w:rsidTr="00E47A70">
        <w:trPr>
          <w:cantSplit w:val="0"/>
        </w:trPr>
        <w:tc>
          <w:tcPr>
            <w:tcW w:w="2143" w:type="pct"/>
            <w:tcBorders>
              <w:bottom w:val="single" w:sz="2" w:space="0" w:color="auto"/>
            </w:tcBorders>
          </w:tcPr>
          <w:p w14:paraId="1BF93335" w14:textId="77777777" w:rsidR="00E47A70" w:rsidRPr="00664E64" w:rsidRDefault="00E47A70" w:rsidP="00E47A70">
            <w:pPr>
              <w:pStyle w:val="TableText"/>
              <w:spacing w:before="40" w:after="40"/>
              <w:rPr>
                <w:b/>
                <w:lang w:val="en-AU"/>
              </w:rPr>
            </w:pPr>
            <w:r w:rsidRPr="00664E64">
              <w:rPr>
                <w:b/>
                <w:lang w:val="en-AU"/>
              </w:rPr>
              <w:t>Total</w:t>
            </w:r>
          </w:p>
        </w:tc>
        <w:tc>
          <w:tcPr>
            <w:tcW w:w="2000" w:type="pct"/>
            <w:tcBorders>
              <w:bottom w:val="single" w:sz="2" w:space="0" w:color="auto"/>
            </w:tcBorders>
          </w:tcPr>
          <w:p w14:paraId="422E31B9" w14:textId="77777777" w:rsidR="00E47A70" w:rsidRPr="00664E64" w:rsidRDefault="00E47A70" w:rsidP="00E47A70">
            <w:pPr>
              <w:pStyle w:val="TableTextAligned"/>
              <w:rPr>
                <w:lang w:val="en-AU"/>
              </w:rPr>
            </w:pPr>
            <w:r w:rsidRPr="00664E64">
              <w:rPr>
                <w:lang w:val="en-AU"/>
              </w:rPr>
              <w:t>133</w:t>
            </w:r>
          </w:p>
        </w:tc>
        <w:tc>
          <w:tcPr>
            <w:tcW w:w="857" w:type="pct"/>
            <w:tcBorders>
              <w:bottom w:val="single" w:sz="2" w:space="0" w:color="auto"/>
            </w:tcBorders>
          </w:tcPr>
          <w:p w14:paraId="01366C43" w14:textId="77777777" w:rsidR="00E47A70" w:rsidRPr="00664E64" w:rsidRDefault="00E47A70" w:rsidP="00E47A70">
            <w:pPr>
              <w:pStyle w:val="TableTextAligned"/>
              <w:rPr>
                <w:lang w:val="en-AU"/>
              </w:rPr>
            </w:pPr>
            <w:r w:rsidRPr="00664E64">
              <w:rPr>
                <w:lang w:val="en-AU"/>
              </w:rPr>
              <w:t>100</w:t>
            </w:r>
          </w:p>
        </w:tc>
      </w:tr>
    </w:tbl>
    <w:p w14:paraId="1437D454" w14:textId="24876BB4" w:rsidR="009B2E8B" w:rsidRPr="009B2E8B" w:rsidRDefault="009B2E8B" w:rsidP="009B2E8B">
      <w:pPr>
        <w:rPr>
          <w:rFonts w:ascii="Arial" w:hAnsi="Arial" w:cs="Arial"/>
          <w:sz w:val="18"/>
          <w:szCs w:val="18"/>
        </w:rPr>
      </w:pPr>
      <w:r>
        <w:rPr>
          <w:rFonts w:ascii="Arial" w:hAnsi="Arial" w:cs="Arial"/>
          <w:sz w:val="18"/>
          <w:szCs w:val="18"/>
        </w:rPr>
        <w:t xml:space="preserve"> </w:t>
      </w:r>
      <w:r w:rsidRPr="009B2E8B">
        <w:rPr>
          <w:rFonts w:ascii="Arial" w:hAnsi="Arial" w:cs="Arial"/>
          <w:sz w:val="16"/>
          <w:szCs w:val="16"/>
        </w:rPr>
        <w:t>Source:</w:t>
      </w:r>
      <w:r w:rsidRPr="009B2E8B">
        <w:rPr>
          <w:rFonts w:ascii="Arial" w:hAnsi="Arial" w:cs="Arial"/>
          <w:sz w:val="16"/>
          <w:szCs w:val="16"/>
        </w:rPr>
        <w:tab/>
        <w:t>Data extrapolated from ACMA (2018</w:t>
      </w:r>
      <w:r>
        <w:rPr>
          <w:rFonts w:ascii="Arial" w:hAnsi="Arial" w:cs="Arial"/>
          <w:sz w:val="18"/>
          <w:szCs w:val="18"/>
        </w:rPr>
        <w:t>)</w:t>
      </w:r>
    </w:p>
    <w:p w14:paraId="77B8C814" w14:textId="6407A452" w:rsidR="00E47A70" w:rsidRPr="00915C40" w:rsidRDefault="00E47A70" w:rsidP="00A55CD9">
      <w:pPr>
        <w:pStyle w:val="Heading3"/>
        <w:rPr>
          <w:color w:val="auto"/>
        </w:rPr>
      </w:pPr>
      <w:r w:rsidRPr="00915C40">
        <w:rPr>
          <w:color w:val="auto"/>
        </w:rPr>
        <w:t>Online wagering participation</w:t>
      </w:r>
    </w:p>
    <w:p w14:paraId="06E099C3" w14:textId="62FFCA29" w:rsidR="00E47A70" w:rsidRPr="00664E64" w:rsidRDefault="00E47A70" w:rsidP="00E2770A">
      <w:pPr>
        <w:spacing w:before="120" w:line="280" w:lineRule="atLeast"/>
        <w:jc w:val="both"/>
        <w:rPr>
          <w:rFonts w:ascii="Arial" w:hAnsi="Arial" w:cs="Arial"/>
          <w:sz w:val="20"/>
        </w:rPr>
      </w:pPr>
      <w:r w:rsidRPr="00664E64">
        <w:rPr>
          <w:rFonts w:ascii="Arial" w:hAnsi="Arial" w:cs="Arial"/>
          <w:sz w:val="20"/>
        </w:rPr>
        <w:t xml:space="preserve">Recent survey data suggest that race betting is the fourth most common gambling activity in Australia </w:t>
      </w:r>
      <w:r w:rsidR="00744912" w:rsidRPr="00664E64">
        <w:rPr>
          <w:rFonts w:ascii="Arial" w:hAnsi="Arial" w:cs="Arial"/>
          <w:sz w:val="20"/>
        </w:rPr>
        <w:t xml:space="preserve">(by expenditure per individual) </w:t>
      </w:r>
      <w:r w:rsidRPr="00664E64">
        <w:rPr>
          <w:rFonts w:ascii="Arial" w:hAnsi="Arial" w:cs="Arial"/>
          <w:sz w:val="20"/>
        </w:rPr>
        <w:t>followed by sports betting</w:t>
      </w:r>
      <w:r w:rsidR="00744912" w:rsidRPr="00664E64">
        <w:rPr>
          <w:rFonts w:ascii="Arial" w:hAnsi="Arial" w:cs="Arial"/>
          <w:sz w:val="20"/>
        </w:rPr>
        <w:t xml:space="preserve"> </w:t>
      </w:r>
      <w:r w:rsidRPr="00664E64">
        <w:rPr>
          <w:rFonts w:ascii="Arial" w:hAnsi="Arial" w:cs="Arial"/>
          <w:sz w:val="20"/>
        </w:rPr>
        <w:t xml:space="preserve">– after lotto, instant scratch tickets and EGM participation (Armstrong &amp; Carroll, 2017b). Estimates suggest that around 3.4 </w:t>
      </w:r>
      <w:r w:rsidRPr="00664E64">
        <w:rPr>
          <w:rFonts w:ascii="Arial" w:hAnsi="Arial" w:cs="Arial"/>
          <w:sz w:val="20"/>
        </w:rPr>
        <w:lastRenderedPageBreak/>
        <w:t>million Australians wagered in the 12 months to March 2018, a decrease from the 3.7 million who wagered in 2012 (Roy Morgan, 2018a</w:t>
      </w:r>
      <w:r w:rsidR="00624A1F" w:rsidRPr="00664E64">
        <w:rPr>
          <w:rFonts w:ascii="Arial" w:hAnsi="Arial" w:cs="Arial"/>
          <w:sz w:val="20"/>
        </w:rPr>
        <w:t xml:space="preserve">, </w:t>
      </w:r>
      <w:r w:rsidRPr="00664E64">
        <w:rPr>
          <w:rFonts w:ascii="Arial" w:hAnsi="Arial" w:cs="Arial"/>
          <w:sz w:val="20"/>
        </w:rPr>
        <w:t xml:space="preserve">b). However, this decrease in overall wagering has been countered by an increase in online wagering, with 34% of Australians betting via the internet, compared to 16% in 2012 (Roy Morgan, 2018b). This growth </w:t>
      </w:r>
      <w:r w:rsidR="00E145CB">
        <w:rPr>
          <w:rFonts w:ascii="Arial" w:hAnsi="Arial" w:cs="Arial"/>
          <w:sz w:val="20"/>
        </w:rPr>
        <w:t xml:space="preserve">in online wagering </w:t>
      </w:r>
      <w:r w:rsidRPr="00664E64">
        <w:rPr>
          <w:rFonts w:ascii="Arial" w:hAnsi="Arial" w:cs="Arial"/>
          <w:sz w:val="20"/>
        </w:rPr>
        <w:t xml:space="preserve">is being driven by </w:t>
      </w:r>
      <w:r w:rsidR="00E145CB">
        <w:rPr>
          <w:rFonts w:ascii="Arial" w:hAnsi="Arial" w:cs="Arial"/>
          <w:sz w:val="20"/>
        </w:rPr>
        <w:t>a</w:t>
      </w:r>
      <w:r w:rsidRPr="00664E64">
        <w:rPr>
          <w:rFonts w:ascii="Arial" w:hAnsi="Arial" w:cs="Arial"/>
          <w:sz w:val="20"/>
        </w:rPr>
        <w:t xml:space="preserve"> significant increase in the use of mobile</w:t>
      </w:r>
      <w:r w:rsidR="00E145CB">
        <w:rPr>
          <w:rFonts w:ascii="Arial" w:hAnsi="Arial" w:cs="Arial"/>
          <w:sz w:val="20"/>
        </w:rPr>
        <w:t>/smart</w:t>
      </w:r>
      <w:r w:rsidRPr="00664E64">
        <w:rPr>
          <w:rFonts w:ascii="Arial" w:hAnsi="Arial" w:cs="Arial"/>
          <w:sz w:val="20"/>
        </w:rPr>
        <w:t xml:space="preserve">phones to place bets; approximately 23% of </w:t>
      </w:r>
      <w:r w:rsidR="00E145CB">
        <w:rPr>
          <w:rFonts w:ascii="Arial" w:hAnsi="Arial" w:cs="Arial"/>
          <w:sz w:val="20"/>
        </w:rPr>
        <w:t>bettors are estimated to have</w:t>
      </w:r>
      <w:r w:rsidRPr="00664E64">
        <w:rPr>
          <w:rFonts w:ascii="Arial" w:hAnsi="Arial" w:cs="Arial"/>
          <w:sz w:val="20"/>
        </w:rPr>
        <w:t xml:space="preserve"> used their phones to wager in 2018</w:t>
      </w:r>
      <w:r w:rsidR="00624A1F" w:rsidRPr="00664E64">
        <w:rPr>
          <w:rFonts w:ascii="Arial" w:hAnsi="Arial" w:cs="Arial"/>
          <w:sz w:val="20"/>
        </w:rPr>
        <w:t>,</w:t>
      </w:r>
      <w:r w:rsidRPr="00664E64">
        <w:rPr>
          <w:rFonts w:ascii="Arial" w:hAnsi="Arial" w:cs="Arial"/>
          <w:sz w:val="20"/>
        </w:rPr>
        <w:t xml:space="preserve"> compared to only 6% in 2012 (Figure </w:t>
      </w:r>
      <w:r w:rsidR="00624A1F" w:rsidRPr="00664E64">
        <w:rPr>
          <w:rFonts w:ascii="Arial" w:hAnsi="Arial" w:cs="Arial"/>
          <w:sz w:val="20"/>
        </w:rPr>
        <w:t>A</w:t>
      </w:r>
      <w:r w:rsidRPr="00664E64">
        <w:rPr>
          <w:rFonts w:ascii="Arial" w:hAnsi="Arial" w:cs="Arial"/>
          <w:sz w:val="20"/>
        </w:rPr>
        <w:t xml:space="preserve">1.1). </w:t>
      </w:r>
    </w:p>
    <w:p w14:paraId="31EA0535" w14:textId="52E2D8B3" w:rsidR="00DB2B9E" w:rsidRDefault="00E47A70" w:rsidP="00415C73">
      <w:pPr>
        <w:pStyle w:val="BodyText"/>
      </w:pPr>
      <w:r w:rsidRPr="00664E64">
        <w:t xml:space="preserve">Figure </w:t>
      </w:r>
      <w:r w:rsidR="00624A1F" w:rsidRPr="00664E64">
        <w:t>A</w:t>
      </w:r>
      <w:r w:rsidRPr="00664E64">
        <w:t>1.</w:t>
      </w:r>
      <w:r w:rsidRPr="00664E64">
        <w:fldChar w:fldCharType="begin"/>
      </w:r>
      <w:r w:rsidRPr="00664E64">
        <w:instrText xml:space="preserve"> SEQ Figure_1. \* ARABIC </w:instrText>
      </w:r>
      <w:r w:rsidRPr="00664E64">
        <w:fldChar w:fldCharType="separate"/>
      </w:r>
      <w:r w:rsidR="00354BBD">
        <w:rPr>
          <w:noProof/>
        </w:rPr>
        <w:t>1</w:t>
      </w:r>
      <w:r w:rsidRPr="00664E64">
        <w:fldChar w:fldCharType="end"/>
      </w:r>
      <w:r w:rsidR="00624A1F" w:rsidRPr="00664E64">
        <w:t>:</w:t>
      </w:r>
      <w:r w:rsidRPr="00664E64">
        <w:t xml:space="preserve"> </w:t>
      </w:r>
      <w:r w:rsidR="00E145CB">
        <w:t>Proportion of bettors</w:t>
      </w:r>
      <w:r w:rsidRPr="00664E64">
        <w:t xml:space="preserve"> who wagered using the internet and mobile phones, 2012–2018</w:t>
      </w:r>
      <w:bookmarkStart w:id="106" w:name="_Toc12022329"/>
    </w:p>
    <w:bookmarkEnd w:id="106"/>
    <w:p w14:paraId="0E0DF01B" w14:textId="565ACE22" w:rsidR="00E47A70" w:rsidRPr="00664E64" w:rsidRDefault="00F652A8" w:rsidP="00415C73">
      <w:pPr>
        <w:pStyle w:val="BodyText"/>
      </w:pPr>
      <w:r>
        <w:rPr>
          <w:noProof/>
          <w:lang w:eastAsia="en-AU" w:bidi="ar-SA"/>
        </w:rPr>
        <w:drawing>
          <wp:inline distT="0" distB="0" distL="0" distR="0" wp14:anchorId="1E91533B" wp14:editId="2C5432F0">
            <wp:extent cx="5365115" cy="3383280"/>
            <wp:effectExtent l="0" t="0" r="6985" b="7620"/>
            <wp:docPr id="2" name="Picture 2" descr="A bar graph showing the increasing proportions of bettors between April 2011 and Mar 2018 who have used the internet or a mobile phone to place a bet. The graph shows the growth of both these methods particlarly mobile phones; 23% in 2018 compared to 6% in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65115" cy="3383280"/>
                    </a:xfrm>
                    <a:prstGeom prst="rect">
                      <a:avLst/>
                    </a:prstGeom>
                    <a:noFill/>
                  </pic:spPr>
                </pic:pic>
              </a:graphicData>
            </a:graphic>
          </wp:inline>
        </w:drawing>
      </w:r>
    </w:p>
    <w:p w14:paraId="47C0EBFD" w14:textId="77777777" w:rsidR="00E47A70" w:rsidRPr="00664E64" w:rsidRDefault="00E47A70" w:rsidP="00F94EAB">
      <w:pPr>
        <w:pStyle w:val="TableNotes"/>
        <w:rPr>
          <w:lang w:val="en-AU"/>
        </w:rPr>
      </w:pPr>
      <w:r w:rsidRPr="00664E64">
        <w:rPr>
          <w:lang w:val="en-AU"/>
        </w:rPr>
        <w:t xml:space="preserve">Source: </w:t>
      </w:r>
      <w:r w:rsidRPr="00664E64">
        <w:rPr>
          <w:lang w:val="en-AU"/>
        </w:rPr>
        <w:tab/>
        <w:t>Data extrapolated from Roy Morgan (2018b).</w:t>
      </w:r>
    </w:p>
    <w:p w14:paraId="3BA020F1" w14:textId="77777777" w:rsidR="002E7579" w:rsidRDefault="002E7579" w:rsidP="002E7579">
      <w:pPr>
        <w:rPr>
          <w:rFonts w:ascii="Arial" w:hAnsi="Arial" w:cs="Arial"/>
          <w:sz w:val="20"/>
          <w:szCs w:val="20"/>
          <w:lang w:bidi="en-US"/>
        </w:rPr>
      </w:pPr>
    </w:p>
    <w:p w14:paraId="3F014B9B" w14:textId="6E2C7C0E" w:rsidR="00DA0362" w:rsidRPr="002E7579" w:rsidRDefault="00DA0362" w:rsidP="002E7579">
      <w:pPr>
        <w:spacing w:before="120" w:line="280" w:lineRule="atLeast"/>
        <w:rPr>
          <w:rFonts w:ascii="Arial" w:hAnsi="Arial" w:cs="Arial"/>
          <w:sz w:val="20"/>
          <w:szCs w:val="20"/>
          <w:lang w:bidi="en-US"/>
        </w:rPr>
      </w:pPr>
      <w:r w:rsidRPr="002E7579">
        <w:rPr>
          <w:rFonts w:ascii="Arial" w:hAnsi="Arial" w:cs="Arial"/>
          <w:sz w:val="20"/>
          <w:szCs w:val="20"/>
          <w:lang w:bidi="en-US"/>
        </w:rPr>
        <w:t xml:space="preserve">Most people who wager online report having multiple accounts. Research suggests that on average, people who wager report having 2–3 accounts (Gainsbury, Russell, Blaszczynski, &amp; Hing, 2015), but that those who bet weekly or more </w:t>
      </w:r>
      <w:r w:rsidR="00550B2E" w:rsidRPr="002E7579">
        <w:rPr>
          <w:rFonts w:ascii="Arial" w:hAnsi="Arial" w:cs="Arial"/>
          <w:sz w:val="20"/>
          <w:szCs w:val="20"/>
          <w:lang w:bidi="en-US"/>
        </w:rPr>
        <w:t>often</w:t>
      </w:r>
      <w:r w:rsidRPr="002E7579">
        <w:rPr>
          <w:rFonts w:ascii="Arial" w:hAnsi="Arial" w:cs="Arial"/>
          <w:sz w:val="20"/>
          <w:szCs w:val="20"/>
          <w:lang w:bidi="en-US"/>
        </w:rPr>
        <w:t xml:space="preserve">, and who may be more prone to risky gambling behaviour, </w:t>
      </w:r>
      <w:r w:rsidR="00550B2E" w:rsidRPr="002E7579">
        <w:rPr>
          <w:rFonts w:ascii="Arial" w:hAnsi="Arial" w:cs="Arial"/>
          <w:sz w:val="20"/>
          <w:szCs w:val="20"/>
          <w:lang w:bidi="en-US"/>
        </w:rPr>
        <w:t xml:space="preserve">report </w:t>
      </w:r>
      <w:r w:rsidRPr="002E7579">
        <w:rPr>
          <w:rFonts w:ascii="Arial" w:hAnsi="Arial" w:cs="Arial"/>
          <w:sz w:val="20"/>
          <w:szCs w:val="20"/>
          <w:lang w:bidi="en-US"/>
        </w:rPr>
        <w:t>hav</w:t>
      </w:r>
      <w:r w:rsidR="00550B2E" w:rsidRPr="002E7579">
        <w:rPr>
          <w:rFonts w:ascii="Arial" w:hAnsi="Arial" w:cs="Arial"/>
          <w:sz w:val="20"/>
          <w:szCs w:val="20"/>
          <w:lang w:bidi="en-US"/>
        </w:rPr>
        <w:t>ing</w:t>
      </w:r>
      <w:r w:rsidRPr="002E7579">
        <w:rPr>
          <w:rFonts w:ascii="Arial" w:hAnsi="Arial" w:cs="Arial"/>
          <w:sz w:val="20"/>
          <w:szCs w:val="20"/>
          <w:lang w:bidi="en-US"/>
        </w:rPr>
        <w:t xml:space="preserve"> a larger number</w:t>
      </w:r>
      <w:r w:rsidR="00550B2E" w:rsidRPr="002E7579">
        <w:rPr>
          <w:rFonts w:ascii="Arial" w:hAnsi="Arial" w:cs="Arial"/>
          <w:sz w:val="20"/>
          <w:szCs w:val="20"/>
          <w:lang w:bidi="en-US"/>
        </w:rPr>
        <w:t xml:space="preserve"> of active accounts</w:t>
      </w:r>
      <w:r w:rsidRPr="002E7579">
        <w:rPr>
          <w:rFonts w:ascii="Arial" w:hAnsi="Arial" w:cs="Arial"/>
          <w:sz w:val="20"/>
          <w:szCs w:val="20"/>
          <w:lang w:bidi="en-US"/>
        </w:rPr>
        <w:t xml:space="preserve"> (Jenkinson et al., 2018).</w:t>
      </w:r>
    </w:p>
    <w:p w14:paraId="2558EC50" w14:textId="4CD78188" w:rsidR="00550B2E" w:rsidRPr="00550B2E" w:rsidRDefault="00550B2E" w:rsidP="002E7579">
      <w:pPr>
        <w:pStyle w:val="BodyText"/>
      </w:pPr>
      <w:r w:rsidRPr="00550B2E">
        <w:t>Compared to non</w:t>
      </w:r>
      <w:r w:rsidRPr="00550B2E">
        <w:rPr>
          <w:rFonts w:ascii="Cambria Math" w:hAnsi="Cambria Math" w:cs="Cambria Math"/>
        </w:rPr>
        <w:t>‐</w:t>
      </w:r>
      <w:r w:rsidRPr="00550B2E">
        <w:t xml:space="preserve">interactive gamblers, people who gamble online have been found to be more likely to participate in a wider range of gambling activities, and to have a higher frequency of gambling participation (Gainsbury, 2012; Hing, Gainsbury et al., 2014). For example, half (54%) of interactive gamblers who reported betting on sports in the </w:t>
      </w:r>
      <w:r w:rsidRPr="00550B2E">
        <w:rPr>
          <w:i/>
        </w:rPr>
        <w:t>Interactive Gambling</w:t>
      </w:r>
      <w:r w:rsidRPr="00550B2E">
        <w:t xml:space="preserve"> study reported betting weekly or more often, compared to 15% of non-interactive gamblers; and similar proportions were reported for race betting (48% of interactive gamblers bet weekly or more often, compared 13% of non-interactive gamblers; Hing, 2014). Another recent study of young men who wager</w:t>
      </w:r>
      <w:r w:rsidR="00903BCE">
        <w:t>ed</w:t>
      </w:r>
      <w:r w:rsidRPr="00550B2E">
        <w:t xml:space="preserve"> on sports found that half (51%) reported having bet (on one or more sports) at least weekly (Jenkinson et al., 2018).</w:t>
      </w:r>
    </w:p>
    <w:p w14:paraId="6E076F2F" w14:textId="593F7E63" w:rsidR="00550B2E" w:rsidRPr="00550B2E" w:rsidRDefault="00550B2E" w:rsidP="00550B2E">
      <w:pPr>
        <w:pStyle w:val="BodyText"/>
        <w:rPr>
          <w:lang w:bidi="ar-SA"/>
        </w:rPr>
      </w:pPr>
      <w:r w:rsidRPr="00550B2E">
        <w:rPr>
          <w:lang w:bidi="ar-SA"/>
        </w:rPr>
        <w:t xml:space="preserve">Household Income and Labour Dynamics in Australia </w:t>
      </w:r>
      <w:r>
        <w:rPr>
          <w:lang w:bidi="ar-SA"/>
        </w:rPr>
        <w:t>(</w:t>
      </w:r>
      <w:r w:rsidRPr="00550B2E">
        <w:rPr>
          <w:lang w:bidi="ar-SA"/>
        </w:rPr>
        <w:t>HILDA</w:t>
      </w:r>
      <w:r>
        <w:rPr>
          <w:lang w:bidi="ar-SA"/>
        </w:rPr>
        <w:t>; Wave 15)</w:t>
      </w:r>
      <w:r w:rsidRPr="00550B2E">
        <w:rPr>
          <w:lang w:bidi="ar-SA"/>
        </w:rPr>
        <w:t xml:space="preserve"> data suggests that</w:t>
      </w:r>
      <w:r w:rsidR="00903BCE">
        <w:rPr>
          <w:lang w:bidi="ar-SA"/>
        </w:rPr>
        <w:t xml:space="preserve"> p</w:t>
      </w:r>
      <w:r w:rsidR="00903BCE" w:rsidRPr="00550B2E">
        <w:rPr>
          <w:lang w:bidi="ar-SA"/>
        </w:rPr>
        <w:t xml:space="preserve">articipation in other forms of gambling </w:t>
      </w:r>
      <w:r w:rsidR="00903BCE">
        <w:rPr>
          <w:lang w:bidi="ar-SA"/>
        </w:rPr>
        <w:t xml:space="preserve">is </w:t>
      </w:r>
      <w:r w:rsidR="00903BCE" w:rsidRPr="00550B2E">
        <w:rPr>
          <w:lang w:bidi="ar-SA"/>
        </w:rPr>
        <w:t>common among those who bet regularly on sports and races</w:t>
      </w:r>
      <w:r w:rsidR="00903BCE">
        <w:rPr>
          <w:lang w:bidi="ar-SA"/>
        </w:rPr>
        <w:t>:</w:t>
      </w:r>
      <w:r w:rsidRPr="00550B2E">
        <w:rPr>
          <w:lang w:bidi="ar-SA"/>
        </w:rPr>
        <w:t xml:space="preserve"> over half (57%) of those who regularly bets on sports also regularly bet on races, while one-third (33%) of those who regularly bet</w:t>
      </w:r>
      <w:r w:rsidR="00903BCE">
        <w:rPr>
          <w:lang w:bidi="ar-SA"/>
        </w:rPr>
        <w:t xml:space="preserve"> on races</w:t>
      </w:r>
      <w:r w:rsidRPr="00550B2E">
        <w:rPr>
          <w:lang w:bidi="ar-SA"/>
        </w:rPr>
        <w:t xml:space="preserve"> also placed regular sports bets. For both of </w:t>
      </w:r>
      <w:r w:rsidRPr="00550B2E">
        <w:rPr>
          <w:lang w:bidi="ar-SA"/>
        </w:rPr>
        <w:lastRenderedPageBreak/>
        <w:t xml:space="preserve">these groups, regular participation in lotteries (sports: 46%, races: 54%) and EGMs (sports: 27%; races: 29%) was </w:t>
      </w:r>
      <w:r>
        <w:rPr>
          <w:lang w:bidi="ar-SA"/>
        </w:rPr>
        <w:t xml:space="preserve">also </w:t>
      </w:r>
      <w:r w:rsidRPr="00550B2E">
        <w:rPr>
          <w:lang w:bidi="ar-SA"/>
        </w:rPr>
        <w:t>common (Armstrong &amp; Carroll, 2017a).</w:t>
      </w:r>
    </w:p>
    <w:p w14:paraId="1B825E68" w14:textId="2FBE46A3" w:rsidR="00E47A70" w:rsidRPr="00664E64" w:rsidRDefault="00E47A70" w:rsidP="00A55CD9">
      <w:pPr>
        <w:pStyle w:val="Heading4"/>
      </w:pPr>
      <w:r w:rsidRPr="00664E64">
        <w:t xml:space="preserve">Socio-demographic characteristics of the Australian wagering population </w:t>
      </w:r>
    </w:p>
    <w:p w14:paraId="21D849F2" w14:textId="6E323388" w:rsidR="00E47A70" w:rsidRPr="00664E64" w:rsidRDefault="00E145CB" w:rsidP="00E47A70">
      <w:pPr>
        <w:pStyle w:val="BodyText"/>
      </w:pPr>
      <w:r>
        <w:t>People who wager</w:t>
      </w:r>
      <w:r w:rsidR="00E47A70" w:rsidRPr="00664E64">
        <w:t xml:space="preserve"> on sports and races </w:t>
      </w:r>
      <w:r>
        <w:t xml:space="preserve">in Australia </w:t>
      </w:r>
      <w:r w:rsidR="00E47A70" w:rsidRPr="00664E64">
        <w:t xml:space="preserve">share a number of socio-demographic characteristics (Armstrong &amp; Carroll, 2017a). </w:t>
      </w:r>
      <w:r w:rsidR="00E955D1">
        <w:t>For example, a</w:t>
      </w:r>
      <w:r w:rsidR="00E955D1" w:rsidRPr="00664E64">
        <w:t xml:space="preserve">nalysis of the </w:t>
      </w:r>
      <w:r w:rsidR="00E955D1">
        <w:t xml:space="preserve">HILDA </w:t>
      </w:r>
      <w:r w:rsidR="00E955D1" w:rsidRPr="00664E64">
        <w:t xml:space="preserve">survey (Wave 15) </w:t>
      </w:r>
      <w:r w:rsidR="00E955D1">
        <w:t>found that people</w:t>
      </w:r>
      <w:r w:rsidR="00E955D1" w:rsidRPr="00664E64">
        <w:t xml:space="preserve"> who regularly (i.e. monthly or more</w:t>
      </w:r>
      <w:r w:rsidR="00E955D1">
        <w:t xml:space="preserve"> often</w:t>
      </w:r>
      <w:r w:rsidR="00E955D1" w:rsidRPr="00664E64">
        <w:t xml:space="preserve">) bet on sports and racing </w:t>
      </w:r>
      <w:r w:rsidR="00E955D1">
        <w:t>were often</w:t>
      </w:r>
      <w:r w:rsidR="00E955D1" w:rsidRPr="00664E64">
        <w:t xml:space="preserve"> male (88% and 81% respectively), to work</w:t>
      </w:r>
      <w:r w:rsidR="00E955D1">
        <w:t>ed</w:t>
      </w:r>
      <w:r w:rsidR="00E955D1" w:rsidRPr="00664E64">
        <w:t xml:space="preserve"> full-time (70% and 56% respectively), and ha</w:t>
      </w:r>
      <w:r w:rsidR="00E955D1">
        <w:t>d</w:t>
      </w:r>
      <w:r w:rsidR="00E955D1" w:rsidRPr="00664E64">
        <w:t xml:space="preserve"> higher-than-average incom</w:t>
      </w:r>
      <w:r w:rsidR="00E955D1">
        <w:t>es</w:t>
      </w:r>
      <w:r w:rsidR="00E955D1" w:rsidRPr="00664E64">
        <w:t xml:space="preserve"> (55% and 44% respectively). </w:t>
      </w:r>
      <w:r w:rsidR="00E47A70" w:rsidRPr="00664E64">
        <w:t xml:space="preserve">Sports bettors </w:t>
      </w:r>
      <w:r>
        <w:t xml:space="preserve">were most commonly aged </w:t>
      </w:r>
      <w:r w:rsidR="00E47A70" w:rsidRPr="00664E64">
        <w:t xml:space="preserve">between 18 and 49 (75%), </w:t>
      </w:r>
      <w:r>
        <w:t>while</w:t>
      </w:r>
      <w:r w:rsidR="00E47A70" w:rsidRPr="00664E64">
        <w:t xml:space="preserve"> those who bet on racing </w:t>
      </w:r>
      <w:r>
        <w:t xml:space="preserve">were slightly </w:t>
      </w:r>
      <w:r w:rsidR="00E47A70" w:rsidRPr="00664E64">
        <w:t>older, most</w:t>
      </w:r>
      <w:r w:rsidR="00F94EAB" w:rsidRPr="00664E64">
        <w:t>ly</w:t>
      </w:r>
      <w:r w:rsidR="00E47A70" w:rsidRPr="00664E64">
        <w:t xml:space="preserve"> aged between 30 and 64 (66%) (Armstrong &amp; Carroll, 2017c). </w:t>
      </w:r>
    </w:p>
    <w:p w14:paraId="092CFCA9" w14:textId="28C91181" w:rsidR="00744912" w:rsidRDefault="00744912" w:rsidP="00E47A70">
      <w:pPr>
        <w:pStyle w:val="BodyText"/>
      </w:pPr>
      <w:r w:rsidRPr="00664E64">
        <w:t xml:space="preserve">While less is known about the Australian </w:t>
      </w:r>
      <w:r w:rsidRPr="00E145CB">
        <w:t xml:space="preserve">online </w:t>
      </w:r>
      <w:r w:rsidRPr="00664E64">
        <w:t xml:space="preserve">wagering population specifically, findings from the </w:t>
      </w:r>
      <w:r w:rsidRPr="00E145CB">
        <w:rPr>
          <w:i/>
        </w:rPr>
        <w:t>Interactive Gambling</w:t>
      </w:r>
      <w:r w:rsidRPr="00664E64">
        <w:t xml:space="preserve"> study suggest that people who gamble via the internet in Australia are more likely to be male, younger, have higher educations, higher incomes, participate in a greater range of gambling activities, and have higher rates of gambling problems, compared to non-interactive gamblers (</w:t>
      </w:r>
      <w:r w:rsidR="00E145CB">
        <w:t xml:space="preserve">Gainsbury, 2012; </w:t>
      </w:r>
      <w:r w:rsidRPr="00664E64">
        <w:t>Hing</w:t>
      </w:r>
      <w:r w:rsidR="00E2770A" w:rsidRPr="00664E64">
        <w:t>, Gainsbury</w:t>
      </w:r>
      <w:r w:rsidRPr="00664E64">
        <w:t xml:space="preserve"> et al., 2014).</w:t>
      </w:r>
    </w:p>
    <w:p w14:paraId="105C3DC8" w14:textId="1846EF91" w:rsidR="00E145CB" w:rsidRDefault="00E145CB" w:rsidP="00E145CB">
      <w:pPr>
        <w:pStyle w:val="Heading4"/>
      </w:pPr>
      <w:r w:rsidRPr="00E145CB">
        <w:t>Gambling motivations and self-regulation strategies</w:t>
      </w:r>
      <w:r w:rsidRPr="00664E64">
        <w:t xml:space="preserve"> </w:t>
      </w:r>
    </w:p>
    <w:p w14:paraId="0B7951E1" w14:textId="2402895B" w:rsidR="00E145CB" w:rsidRPr="00E145CB" w:rsidRDefault="00E145CB" w:rsidP="00E145CB">
      <w:pPr>
        <w:pStyle w:val="BodyText"/>
      </w:pPr>
      <w:r w:rsidRPr="00E145CB">
        <w:t xml:space="preserve">Understanding the motivations for wagering and self-regulation strategies can further inform the refinement of National Framework measures, including the development of relevant gambling messaging. </w:t>
      </w:r>
    </w:p>
    <w:p w14:paraId="4846E028" w14:textId="61E70B37" w:rsidR="00E145CB" w:rsidRPr="00E145CB" w:rsidRDefault="00E145CB" w:rsidP="00E145CB">
      <w:pPr>
        <w:pStyle w:val="BodyText"/>
      </w:pPr>
      <w:r w:rsidRPr="00E145CB">
        <w:t>One nationally representative study of gambling motivations in the UK (</w:t>
      </w:r>
      <w:r w:rsidRPr="00E145CB">
        <w:rPr>
          <w:i/>
        </w:rPr>
        <w:t>N</w:t>
      </w:r>
      <w:r w:rsidRPr="00E145CB">
        <w:t xml:space="preserve"> = 7,756; British Gambling Prevalence Survey data) found that young males who regularly gamble, including those at risk of gambling problems, </w:t>
      </w:r>
      <w:r>
        <w:t>we</w:t>
      </w:r>
      <w:r w:rsidRPr="00E145CB">
        <w:t>re more likely to gamble for enhancement (i.e. for the challenge, to compete against others, for the sense of achievement, excitement) or coping (i.e. gambling to relieve tension or impress others) (Wardle et al., 2011). Another recent study of young Australian online sports bettors using a self-selected sample (</w:t>
      </w:r>
      <w:r w:rsidRPr="00E145CB">
        <w:rPr>
          <w:i/>
        </w:rPr>
        <w:t>N</w:t>
      </w:r>
      <w:r w:rsidRPr="00E145CB">
        <w:t xml:space="preserve"> = 335) suggests the addition of social motivations (e.g. gambling to be sociable) may characterise the Australian online wagering population, including those at greater risk of harm (the ‘Weighing up the odds’ [WUTO] study; Jenkinson, de Lacy-Vawdon, &amp; Carroll, 2018). </w:t>
      </w:r>
    </w:p>
    <w:p w14:paraId="44B13B42" w14:textId="3C28E17D" w:rsidR="00E145CB" w:rsidRPr="00664E64" w:rsidRDefault="00E145CB" w:rsidP="00E47A70">
      <w:pPr>
        <w:pStyle w:val="BodyText"/>
      </w:pPr>
      <w:r w:rsidRPr="00E145CB">
        <w:t>People who gamble are known to use a broad range of resources and strategies in attempts to stay within personal limits (Jenkinson, de Lacy-Vawdon, &amp; Carroll, 2018; Moore, Thomas, Kyrios, &amp; Bates, 2012; Rodda, Dowling, &amp; Lubman, 2018</w:t>
      </w:r>
      <w:r>
        <w:t xml:space="preserve">; </w:t>
      </w:r>
      <w:r w:rsidRPr="00E145CB">
        <w:t xml:space="preserve">Rodda, Bagot et al., 2018). Within the WUTO study of Australian online bettors, the most common strategies were to monitor spending, set weekly limits, substitute betting with other activities, and suspend or cancel betting agency subscriptions (Jenkinson, de Lacy-Vawdon, &amp; Carroll, 2018). </w:t>
      </w:r>
    </w:p>
    <w:p w14:paraId="6750DBA7" w14:textId="77777777" w:rsidR="00E47A70" w:rsidRPr="00915C40" w:rsidRDefault="00E47A70" w:rsidP="00A55CD9">
      <w:pPr>
        <w:pStyle w:val="Heading3"/>
        <w:rPr>
          <w:color w:val="auto"/>
        </w:rPr>
      </w:pPr>
      <w:r w:rsidRPr="00915C40">
        <w:rPr>
          <w:color w:val="auto"/>
        </w:rPr>
        <w:t>Risk profile of Australians who wager</w:t>
      </w:r>
    </w:p>
    <w:p w14:paraId="2407902E" w14:textId="0181CD9E" w:rsidR="00E47A70" w:rsidRPr="00664E64" w:rsidRDefault="00E47A70" w:rsidP="00E47A70">
      <w:pPr>
        <w:pStyle w:val="BodyText"/>
      </w:pPr>
      <w:r w:rsidRPr="00664E64">
        <w:t xml:space="preserve">Research regularly identifies wagering as a high-risk form of gambling. </w:t>
      </w:r>
      <w:r w:rsidR="00E145CB">
        <w:t>For example, a</w:t>
      </w:r>
      <w:r w:rsidRPr="00664E64">
        <w:t xml:space="preserve">n international review of gambling prevalence studies found that sports betting was one of the forms most strongly associated with problem gambling (Williams, West, &amp; Simpson, 2012). Analysis of industry wagering data has linked race betting (Armstrong, Thomas, &amp; Abbott, 2018) and sports betting – particularly live-action online betting – with problem gambling (Brosowski, Meyer, &amp; Hayer, 2012; LaPlante, Nelson, &amp; Gray, 2014). </w:t>
      </w:r>
    </w:p>
    <w:p w14:paraId="28E86C46" w14:textId="1F78B2EA" w:rsidR="007063C6" w:rsidRPr="00664E64" w:rsidRDefault="00E47A70" w:rsidP="00E47A70">
      <w:pPr>
        <w:pStyle w:val="BodyText"/>
      </w:pPr>
      <w:r w:rsidRPr="00664E64">
        <w:t xml:space="preserve">Analysis of the Problem Gambling Severity Index (PGSI) data from the most recent HILDA survey identified regular sports betting and race betting as two of the highest risk gambling activities. </w:t>
      </w:r>
      <w:r w:rsidRPr="00664E64">
        <w:lastRenderedPageBreak/>
        <w:t xml:space="preserve">Approximately 230,000 people who </w:t>
      </w:r>
      <w:r w:rsidR="00E145CB">
        <w:t>placed</w:t>
      </w:r>
      <w:r w:rsidRPr="00664E64">
        <w:t xml:space="preserve"> regular sports bets and 400,000 people who </w:t>
      </w:r>
      <w:r w:rsidR="00E145CB">
        <w:t>placed</w:t>
      </w:r>
      <w:r w:rsidRPr="00664E64">
        <w:t xml:space="preserve"> regular race bets experienced some level of gambling-related harm in the preceding year (see Table </w:t>
      </w:r>
      <w:r w:rsidR="00F94EAB" w:rsidRPr="00664E64">
        <w:t>A</w:t>
      </w:r>
      <w:r w:rsidRPr="00664E64">
        <w:t xml:space="preserve">1.3); </w:t>
      </w:r>
      <w:r w:rsidR="00E145CB">
        <w:t>equating to around</w:t>
      </w:r>
      <w:r w:rsidRPr="00664E64">
        <w:t xml:space="preserve"> 40% of bettors on either activity reporting one or more problems.</w:t>
      </w:r>
      <w:r w:rsidRPr="00664E64">
        <w:rPr>
          <w:rStyle w:val="FootnoteReference"/>
          <w:rFonts w:cs="Arial"/>
        </w:rPr>
        <w:footnoteReference w:id="4"/>
      </w:r>
    </w:p>
    <w:p w14:paraId="6D34835A" w14:textId="0DAE996F" w:rsidR="00E47A70" w:rsidRPr="00915C40" w:rsidRDefault="00E47A70" w:rsidP="00415C73">
      <w:pPr>
        <w:pStyle w:val="FigureCaption"/>
        <w:rPr>
          <w:color w:val="auto"/>
          <w:lang w:val="en-AU"/>
        </w:rPr>
      </w:pPr>
      <w:bookmarkStart w:id="107" w:name="_Toc12549593"/>
      <w:r w:rsidRPr="00915C40">
        <w:rPr>
          <w:color w:val="auto"/>
          <w:lang w:val="en-AU"/>
        </w:rPr>
        <w:t xml:space="preserve">Table </w:t>
      </w:r>
      <w:r w:rsidR="007063C6" w:rsidRPr="00915C40">
        <w:rPr>
          <w:color w:val="auto"/>
          <w:lang w:val="en-AU"/>
        </w:rPr>
        <w:t>A</w:t>
      </w:r>
      <w:r w:rsidRPr="00915C40">
        <w:rPr>
          <w:color w:val="auto"/>
          <w:lang w:val="en-AU"/>
        </w:rPr>
        <w:t>1.</w:t>
      </w:r>
      <w:r w:rsidR="00777624" w:rsidRPr="00915C40">
        <w:rPr>
          <w:color w:val="auto"/>
          <w:lang w:val="en-AU"/>
        </w:rPr>
        <w:fldChar w:fldCharType="begin"/>
      </w:r>
      <w:r w:rsidR="00777624" w:rsidRPr="00915C40">
        <w:rPr>
          <w:color w:val="auto"/>
          <w:lang w:val="en-AU"/>
        </w:rPr>
        <w:instrText xml:space="preserve"> SEQ Table_1. \* ARABIC </w:instrText>
      </w:r>
      <w:r w:rsidR="00777624" w:rsidRPr="00915C40">
        <w:rPr>
          <w:color w:val="auto"/>
          <w:lang w:val="en-AU"/>
        </w:rPr>
        <w:fldChar w:fldCharType="separate"/>
      </w:r>
      <w:r w:rsidR="00354BBD" w:rsidRPr="00915C40">
        <w:rPr>
          <w:noProof/>
          <w:color w:val="auto"/>
          <w:lang w:val="en-AU"/>
        </w:rPr>
        <w:t>3</w:t>
      </w:r>
      <w:r w:rsidR="00777624" w:rsidRPr="00915C40">
        <w:rPr>
          <w:noProof/>
          <w:color w:val="auto"/>
          <w:lang w:val="en-AU"/>
        </w:rPr>
        <w:fldChar w:fldCharType="end"/>
      </w:r>
      <w:r w:rsidR="007063C6" w:rsidRPr="00915C40">
        <w:rPr>
          <w:color w:val="auto"/>
          <w:lang w:val="en-AU"/>
        </w:rPr>
        <w:t>:</w:t>
      </w:r>
      <w:r w:rsidRPr="00915C40">
        <w:rPr>
          <w:color w:val="auto"/>
          <w:lang w:val="en-AU"/>
        </w:rPr>
        <w:t xml:space="preserve"> Proportion and number of Australians who regularly bet on race and sports, by gambling harm risk group</w:t>
      </w:r>
      <w:bookmarkEnd w:id="107"/>
    </w:p>
    <w:tbl>
      <w:tblPr>
        <w:tblStyle w:val="TableGrid"/>
        <w:tblpPr w:leftFromText="180" w:rightFromText="180" w:vertAnchor="text" w:tblpY="1"/>
        <w:tblOverlap w:val="never"/>
        <w:tblW w:w="5000" w:type="pct"/>
        <w:tblLook w:val="00A0" w:firstRow="1" w:lastRow="0" w:firstColumn="1" w:lastColumn="0" w:noHBand="0" w:noVBand="0"/>
        <w:tblCaption w:val="Proportion and number of Australians who regularly bet on race and sports, by gambling harm risk group"/>
        <w:tblDescription w:val="The percentage of regular sports bettors and regular race bettors in Australia  within each risk category including problem gambling."/>
      </w:tblPr>
      <w:tblGrid>
        <w:gridCol w:w="1582"/>
        <w:gridCol w:w="1730"/>
        <w:gridCol w:w="1729"/>
        <w:gridCol w:w="1729"/>
        <w:gridCol w:w="1729"/>
      </w:tblGrid>
      <w:tr w:rsidR="00E47A70" w:rsidRPr="00664E64" w14:paraId="0B320388" w14:textId="77777777" w:rsidTr="00A81BD5">
        <w:trPr>
          <w:cnfStyle w:val="100000000000" w:firstRow="1" w:lastRow="0" w:firstColumn="0" w:lastColumn="0" w:oddVBand="0" w:evenVBand="0" w:oddHBand="0" w:evenHBand="0" w:firstRowFirstColumn="0" w:firstRowLastColumn="0" w:lastRowFirstColumn="0" w:lastRowLastColumn="0"/>
          <w:trHeight w:val="301"/>
          <w:tblHeader/>
        </w:trPr>
        <w:tc>
          <w:tcPr>
            <w:tcW w:w="931" w:type="pct"/>
          </w:tcPr>
          <w:p w14:paraId="12A017CC" w14:textId="21CCBA93" w:rsidR="00E47A70" w:rsidRPr="00664E64" w:rsidRDefault="007063C6" w:rsidP="00A55CD9">
            <w:pPr>
              <w:pStyle w:val="TableColHeadLeft"/>
              <w:rPr>
                <w:lang w:val="en-AU"/>
              </w:rPr>
            </w:pPr>
            <w:r w:rsidRPr="00664E64">
              <w:rPr>
                <w:lang w:val="en-AU"/>
              </w:rPr>
              <w:t>Gambling harm risk</w:t>
            </w:r>
          </w:p>
        </w:tc>
        <w:tc>
          <w:tcPr>
            <w:tcW w:w="2035" w:type="pct"/>
            <w:gridSpan w:val="2"/>
          </w:tcPr>
          <w:p w14:paraId="22BDA994" w14:textId="77777777" w:rsidR="00E47A70" w:rsidRPr="00664E64" w:rsidRDefault="00E47A70" w:rsidP="00A55CD9">
            <w:pPr>
              <w:pStyle w:val="TableColHeadCentre"/>
              <w:rPr>
                <w:lang w:val="en-AU"/>
              </w:rPr>
            </w:pPr>
            <w:r w:rsidRPr="00664E64">
              <w:rPr>
                <w:lang w:val="en-AU"/>
              </w:rPr>
              <w:t>Regular race bettors</w:t>
            </w:r>
          </w:p>
        </w:tc>
        <w:tc>
          <w:tcPr>
            <w:tcW w:w="2034" w:type="pct"/>
            <w:gridSpan w:val="2"/>
          </w:tcPr>
          <w:p w14:paraId="611F5CA5" w14:textId="77777777" w:rsidR="00E47A70" w:rsidRPr="00664E64" w:rsidRDefault="00E47A70" w:rsidP="00A55CD9">
            <w:pPr>
              <w:pStyle w:val="TableColHeadCentre"/>
              <w:rPr>
                <w:lang w:val="en-AU"/>
              </w:rPr>
            </w:pPr>
            <w:r w:rsidRPr="00664E64">
              <w:rPr>
                <w:lang w:val="en-AU"/>
              </w:rPr>
              <w:t>Regular sports bettors</w:t>
            </w:r>
          </w:p>
        </w:tc>
      </w:tr>
      <w:tr w:rsidR="00E47A70" w:rsidRPr="00664E64" w14:paraId="307FEA5F" w14:textId="77777777" w:rsidTr="00A81BD5">
        <w:trPr>
          <w:cantSplit w:val="0"/>
          <w:trHeight w:val="421"/>
        </w:trPr>
        <w:tc>
          <w:tcPr>
            <w:tcW w:w="931" w:type="pct"/>
          </w:tcPr>
          <w:p w14:paraId="18BE26DD" w14:textId="77777777" w:rsidR="00E47A70" w:rsidRPr="00664E64" w:rsidRDefault="00E47A70" w:rsidP="007063C6">
            <w:pPr>
              <w:pStyle w:val="TableText"/>
              <w:rPr>
                <w:lang w:val="en-AU"/>
              </w:rPr>
            </w:pPr>
          </w:p>
        </w:tc>
        <w:tc>
          <w:tcPr>
            <w:tcW w:w="1018" w:type="pct"/>
          </w:tcPr>
          <w:p w14:paraId="51E5B770" w14:textId="77777777" w:rsidR="00E47A70" w:rsidRPr="00664E64" w:rsidRDefault="00E47A70" w:rsidP="007063C6">
            <w:pPr>
              <w:pStyle w:val="TableTextCentre"/>
              <w:rPr>
                <w:b/>
                <w:lang w:val="en-AU"/>
              </w:rPr>
            </w:pPr>
            <w:r w:rsidRPr="00664E64">
              <w:rPr>
                <w:b/>
                <w:lang w:val="en-AU"/>
              </w:rPr>
              <w:t>%</w:t>
            </w:r>
          </w:p>
        </w:tc>
        <w:tc>
          <w:tcPr>
            <w:tcW w:w="1017" w:type="pct"/>
          </w:tcPr>
          <w:p w14:paraId="74BB24A4" w14:textId="77777777" w:rsidR="00E47A70" w:rsidRPr="00664E64" w:rsidRDefault="00E47A70" w:rsidP="007063C6">
            <w:pPr>
              <w:pStyle w:val="TableTextCentre"/>
              <w:rPr>
                <w:b/>
                <w:lang w:val="en-AU"/>
              </w:rPr>
            </w:pPr>
            <w:r w:rsidRPr="00664E64">
              <w:rPr>
                <w:b/>
                <w:i/>
                <w:lang w:val="en-AU"/>
              </w:rPr>
              <w:t>n</w:t>
            </w:r>
            <w:r w:rsidRPr="00664E64">
              <w:rPr>
                <w:b/>
                <w:lang w:val="en-AU"/>
              </w:rPr>
              <w:t xml:space="preserve"> (‘000)</w:t>
            </w:r>
          </w:p>
        </w:tc>
        <w:tc>
          <w:tcPr>
            <w:tcW w:w="1017" w:type="pct"/>
          </w:tcPr>
          <w:p w14:paraId="4A79A96E" w14:textId="77777777" w:rsidR="00E47A70" w:rsidRPr="00664E64" w:rsidRDefault="00E47A70" w:rsidP="007063C6">
            <w:pPr>
              <w:pStyle w:val="TableTextCentre"/>
              <w:rPr>
                <w:b/>
                <w:lang w:val="en-AU"/>
              </w:rPr>
            </w:pPr>
            <w:r w:rsidRPr="00664E64">
              <w:rPr>
                <w:b/>
                <w:lang w:val="en-AU"/>
              </w:rPr>
              <w:t>%</w:t>
            </w:r>
          </w:p>
        </w:tc>
        <w:tc>
          <w:tcPr>
            <w:tcW w:w="1017" w:type="pct"/>
          </w:tcPr>
          <w:p w14:paraId="3865B28F" w14:textId="77777777" w:rsidR="00E47A70" w:rsidRPr="00664E64" w:rsidRDefault="00E47A70" w:rsidP="007063C6">
            <w:pPr>
              <w:pStyle w:val="TableTextCentre"/>
              <w:rPr>
                <w:b/>
                <w:lang w:val="en-AU"/>
              </w:rPr>
            </w:pPr>
            <w:r w:rsidRPr="00664E64">
              <w:rPr>
                <w:b/>
                <w:i/>
                <w:lang w:val="en-AU"/>
              </w:rPr>
              <w:t>n</w:t>
            </w:r>
            <w:r w:rsidRPr="00664E64">
              <w:rPr>
                <w:b/>
                <w:lang w:val="en-AU"/>
              </w:rPr>
              <w:t xml:space="preserve"> (‘000)</w:t>
            </w:r>
          </w:p>
        </w:tc>
      </w:tr>
      <w:tr w:rsidR="00E47A70" w:rsidRPr="00664E64" w14:paraId="59B175AE" w14:textId="77777777" w:rsidTr="00A81BD5">
        <w:trPr>
          <w:cantSplit w:val="0"/>
          <w:trHeight w:val="492"/>
        </w:trPr>
        <w:tc>
          <w:tcPr>
            <w:tcW w:w="931" w:type="pct"/>
          </w:tcPr>
          <w:p w14:paraId="364F10DC" w14:textId="77777777" w:rsidR="00E47A70" w:rsidRPr="00664E64" w:rsidRDefault="00E47A70" w:rsidP="007063C6">
            <w:pPr>
              <w:pStyle w:val="TableText"/>
              <w:rPr>
                <w:lang w:val="en-AU"/>
              </w:rPr>
            </w:pPr>
            <w:r w:rsidRPr="00664E64">
              <w:rPr>
                <w:lang w:val="en-AU"/>
              </w:rPr>
              <w:t>No problems</w:t>
            </w:r>
          </w:p>
        </w:tc>
        <w:tc>
          <w:tcPr>
            <w:tcW w:w="1018" w:type="pct"/>
          </w:tcPr>
          <w:p w14:paraId="1246934E" w14:textId="77777777" w:rsidR="00E47A70" w:rsidRPr="00664E64" w:rsidRDefault="00E47A70" w:rsidP="007063C6">
            <w:pPr>
              <w:pStyle w:val="TableTextAligned"/>
              <w:rPr>
                <w:lang w:val="en-AU"/>
              </w:rPr>
            </w:pPr>
            <w:r w:rsidRPr="00664E64">
              <w:rPr>
                <w:lang w:val="en-AU"/>
              </w:rPr>
              <w:t>59</w:t>
            </w:r>
          </w:p>
        </w:tc>
        <w:tc>
          <w:tcPr>
            <w:tcW w:w="1017" w:type="pct"/>
          </w:tcPr>
          <w:p w14:paraId="388DC079" w14:textId="77777777" w:rsidR="00E47A70" w:rsidRPr="00664E64" w:rsidRDefault="00E47A70" w:rsidP="007063C6">
            <w:pPr>
              <w:pStyle w:val="TableTextAligned"/>
              <w:rPr>
                <w:lang w:val="en-AU"/>
              </w:rPr>
            </w:pPr>
            <w:r w:rsidRPr="00664E64">
              <w:rPr>
                <w:lang w:val="en-AU"/>
              </w:rPr>
              <w:t>572</w:t>
            </w:r>
          </w:p>
        </w:tc>
        <w:tc>
          <w:tcPr>
            <w:tcW w:w="1017" w:type="pct"/>
          </w:tcPr>
          <w:p w14:paraId="311DB115" w14:textId="77777777" w:rsidR="00E47A70" w:rsidRPr="00664E64" w:rsidRDefault="00E47A70" w:rsidP="007063C6">
            <w:pPr>
              <w:pStyle w:val="TableTextAligned"/>
              <w:rPr>
                <w:lang w:val="en-AU"/>
              </w:rPr>
            </w:pPr>
            <w:r w:rsidRPr="00664E64">
              <w:rPr>
                <w:lang w:val="en-AU"/>
              </w:rPr>
              <w:t>59</w:t>
            </w:r>
          </w:p>
        </w:tc>
        <w:tc>
          <w:tcPr>
            <w:tcW w:w="1017" w:type="pct"/>
          </w:tcPr>
          <w:p w14:paraId="5B1F4546" w14:textId="77777777" w:rsidR="00E47A70" w:rsidRPr="00664E64" w:rsidRDefault="00E47A70" w:rsidP="007063C6">
            <w:pPr>
              <w:pStyle w:val="TableTextAligned"/>
              <w:rPr>
                <w:lang w:val="en-AU"/>
              </w:rPr>
            </w:pPr>
            <w:r w:rsidRPr="00664E64">
              <w:rPr>
                <w:lang w:val="en-AU"/>
              </w:rPr>
              <w:t>340</w:t>
            </w:r>
          </w:p>
        </w:tc>
      </w:tr>
      <w:tr w:rsidR="00E47A70" w:rsidRPr="00664E64" w14:paraId="38800C86" w14:textId="77777777" w:rsidTr="00A81BD5">
        <w:trPr>
          <w:cantSplit w:val="0"/>
          <w:trHeight w:val="492"/>
        </w:trPr>
        <w:tc>
          <w:tcPr>
            <w:tcW w:w="931" w:type="pct"/>
          </w:tcPr>
          <w:p w14:paraId="07FC7998" w14:textId="77777777" w:rsidR="00E47A70" w:rsidRPr="00664E64" w:rsidRDefault="00E47A70" w:rsidP="007063C6">
            <w:pPr>
              <w:pStyle w:val="TableText"/>
              <w:rPr>
                <w:lang w:val="en-AU"/>
              </w:rPr>
            </w:pPr>
            <w:r w:rsidRPr="00664E64">
              <w:rPr>
                <w:lang w:val="en-AU"/>
              </w:rPr>
              <w:t>Low risk</w:t>
            </w:r>
          </w:p>
        </w:tc>
        <w:tc>
          <w:tcPr>
            <w:tcW w:w="1018" w:type="pct"/>
          </w:tcPr>
          <w:p w14:paraId="7BD1667A" w14:textId="77777777" w:rsidR="00E47A70" w:rsidRPr="00664E64" w:rsidRDefault="00E47A70" w:rsidP="007063C6">
            <w:pPr>
              <w:pStyle w:val="TableTextAligned"/>
              <w:rPr>
                <w:lang w:val="en-AU"/>
              </w:rPr>
            </w:pPr>
            <w:r w:rsidRPr="00664E64">
              <w:rPr>
                <w:lang w:val="en-AU"/>
              </w:rPr>
              <w:t>19</w:t>
            </w:r>
          </w:p>
        </w:tc>
        <w:tc>
          <w:tcPr>
            <w:tcW w:w="1017" w:type="pct"/>
          </w:tcPr>
          <w:p w14:paraId="2B55413F" w14:textId="77777777" w:rsidR="00E47A70" w:rsidRPr="00664E64" w:rsidRDefault="00E47A70" w:rsidP="007063C6">
            <w:pPr>
              <w:pStyle w:val="TableTextAligned"/>
              <w:rPr>
                <w:lang w:val="en-AU"/>
              </w:rPr>
            </w:pPr>
            <w:r w:rsidRPr="00664E64">
              <w:rPr>
                <w:lang w:val="en-AU"/>
              </w:rPr>
              <w:t>190</w:t>
            </w:r>
          </w:p>
        </w:tc>
        <w:tc>
          <w:tcPr>
            <w:tcW w:w="1017" w:type="pct"/>
          </w:tcPr>
          <w:p w14:paraId="00B4C929" w14:textId="77777777" w:rsidR="00E47A70" w:rsidRPr="00664E64" w:rsidRDefault="00E47A70" w:rsidP="007063C6">
            <w:pPr>
              <w:pStyle w:val="TableTextAligned"/>
              <w:rPr>
                <w:lang w:val="en-AU"/>
              </w:rPr>
            </w:pPr>
            <w:r w:rsidRPr="00664E64">
              <w:rPr>
                <w:lang w:val="en-AU"/>
              </w:rPr>
              <w:t>17</w:t>
            </w:r>
          </w:p>
        </w:tc>
        <w:tc>
          <w:tcPr>
            <w:tcW w:w="1017" w:type="pct"/>
          </w:tcPr>
          <w:p w14:paraId="3295D102" w14:textId="77777777" w:rsidR="00E47A70" w:rsidRPr="00664E64" w:rsidRDefault="00E47A70" w:rsidP="007063C6">
            <w:pPr>
              <w:pStyle w:val="TableTextAligned"/>
              <w:rPr>
                <w:lang w:val="en-AU"/>
              </w:rPr>
            </w:pPr>
            <w:r w:rsidRPr="00664E64">
              <w:rPr>
                <w:lang w:val="en-AU"/>
              </w:rPr>
              <w:t>99</w:t>
            </w:r>
          </w:p>
        </w:tc>
      </w:tr>
      <w:tr w:rsidR="00E47A70" w:rsidRPr="00664E64" w14:paraId="2AF1E558" w14:textId="77777777" w:rsidTr="00A81BD5">
        <w:trPr>
          <w:cantSplit w:val="0"/>
          <w:trHeight w:val="492"/>
        </w:trPr>
        <w:tc>
          <w:tcPr>
            <w:tcW w:w="931" w:type="pct"/>
          </w:tcPr>
          <w:p w14:paraId="236D4B02" w14:textId="77777777" w:rsidR="00E47A70" w:rsidRPr="00664E64" w:rsidRDefault="00E47A70" w:rsidP="007063C6">
            <w:pPr>
              <w:pStyle w:val="TableText"/>
              <w:rPr>
                <w:lang w:val="en-AU"/>
              </w:rPr>
            </w:pPr>
            <w:r w:rsidRPr="00664E64">
              <w:rPr>
                <w:lang w:val="en-AU"/>
              </w:rPr>
              <w:t>Moderate risk</w:t>
            </w:r>
          </w:p>
        </w:tc>
        <w:tc>
          <w:tcPr>
            <w:tcW w:w="1018" w:type="pct"/>
          </w:tcPr>
          <w:p w14:paraId="32E3511C" w14:textId="77777777" w:rsidR="00E47A70" w:rsidRPr="00664E64" w:rsidRDefault="00E47A70" w:rsidP="007063C6">
            <w:pPr>
              <w:pStyle w:val="TableTextAligned"/>
              <w:rPr>
                <w:lang w:val="en-AU"/>
              </w:rPr>
            </w:pPr>
            <w:r w:rsidRPr="00664E64">
              <w:rPr>
                <w:lang w:val="en-AU"/>
              </w:rPr>
              <w:t>17</w:t>
            </w:r>
          </w:p>
        </w:tc>
        <w:tc>
          <w:tcPr>
            <w:tcW w:w="1017" w:type="pct"/>
          </w:tcPr>
          <w:p w14:paraId="55AB80A7" w14:textId="77777777" w:rsidR="00E47A70" w:rsidRPr="00664E64" w:rsidRDefault="00E47A70" w:rsidP="007063C6">
            <w:pPr>
              <w:pStyle w:val="TableTextAligned"/>
              <w:rPr>
                <w:lang w:val="en-AU"/>
              </w:rPr>
            </w:pPr>
            <w:r w:rsidRPr="00664E64">
              <w:rPr>
                <w:lang w:val="en-AU"/>
              </w:rPr>
              <w:t>164</w:t>
            </w:r>
          </w:p>
        </w:tc>
        <w:tc>
          <w:tcPr>
            <w:tcW w:w="1017" w:type="pct"/>
          </w:tcPr>
          <w:p w14:paraId="2F736C92" w14:textId="77777777" w:rsidR="00E47A70" w:rsidRPr="00664E64" w:rsidRDefault="00E47A70" w:rsidP="007063C6">
            <w:pPr>
              <w:pStyle w:val="TableTextAligned"/>
              <w:rPr>
                <w:lang w:val="en-AU"/>
              </w:rPr>
            </w:pPr>
            <w:r w:rsidRPr="00664E64">
              <w:rPr>
                <w:lang w:val="en-AU"/>
              </w:rPr>
              <w:t>17</w:t>
            </w:r>
          </w:p>
        </w:tc>
        <w:tc>
          <w:tcPr>
            <w:tcW w:w="1017" w:type="pct"/>
          </w:tcPr>
          <w:p w14:paraId="7A18F813" w14:textId="77777777" w:rsidR="00E47A70" w:rsidRPr="00664E64" w:rsidRDefault="00E47A70" w:rsidP="007063C6">
            <w:pPr>
              <w:pStyle w:val="TableTextAligned"/>
              <w:rPr>
                <w:lang w:val="en-AU"/>
              </w:rPr>
            </w:pPr>
            <w:r w:rsidRPr="00664E64">
              <w:rPr>
                <w:lang w:val="en-AU"/>
              </w:rPr>
              <w:t>98</w:t>
            </w:r>
          </w:p>
        </w:tc>
      </w:tr>
      <w:tr w:rsidR="00E47A70" w:rsidRPr="00664E64" w14:paraId="3BB99B56" w14:textId="77777777" w:rsidTr="00A81BD5">
        <w:trPr>
          <w:cantSplit w:val="0"/>
          <w:trHeight w:val="492"/>
        </w:trPr>
        <w:tc>
          <w:tcPr>
            <w:tcW w:w="931" w:type="pct"/>
          </w:tcPr>
          <w:p w14:paraId="1CF81EF0" w14:textId="77777777" w:rsidR="00E47A70" w:rsidRPr="00664E64" w:rsidRDefault="00E47A70" w:rsidP="007063C6">
            <w:pPr>
              <w:pStyle w:val="TableText"/>
              <w:rPr>
                <w:lang w:val="en-AU"/>
              </w:rPr>
            </w:pPr>
            <w:r w:rsidRPr="00664E64">
              <w:rPr>
                <w:lang w:val="en-AU"/>
              </w:rPr>
              <w:t>Severe risk (problem gamblers)</w:t>
            </w:r>
          </w:p>
        </w:tc>
        <w:tc>
          <w:tcPr>
            <w:tcW w:w="1018" w:type="pct"/>
          </w:tcPr>
          <w:p w14:paraId="75C798FA" w14:textId="77777777" w:rsidR="00E47A70" w:rsidRPr="00664E64" w:rsidRDefault="00E47A70" w:rsidP="007063C6">
            <w:pPr>
              <w:pStyle w:val="TableTextAligned"/>
              <w:rPr>
                <w:lang w:val="en-AU"/>
              </w:rPr>
            </w:pPr>
            <w:r w:rsidRPr="00664E64">
              <w:rPr>
                <w:lang w:val="en-AU"/>
              </w:rPr>
              <w:t>5</w:t>
            </w:r>
          </w:p>
        </w:tc>
        <w:tc>
          <w:tcPr>
            <w:tcW w:w="1017" w:type="pct"/>
          </w:tcPr>
          <w:p w14:paraId="0544AD14" w14:textId="77777777" w:rsidR="00E47A70" w:rsidRPr="00664E64" w:rsidRDefault="00E47A70" w:rsidP="007063C6">
            <w:pPr>
              <w:pStyle w:val="TableTextAligned"/>
              <w:rPr>
                <w:lang w:val="en-AU"/>
              </w:rPr>
            </w:pPr>
            <w:r w:rsidRPr="00664E64">
              <w:rPr>
                <w:lang w:val="en-AU"/>
              </w:rPr>
              <w:t>50</w:t>
            </w:r>
          </w:p>
        </w:tc>
        <w:tc>
          <w:tcPr>
            <w:tcW w:w="1017" w:type="pct"/>
          </w:tcPr>
          <w:p w14:paraId="36B08E4A" w14:textId="77777777" w:rsidR="00E47A70" w:rsidRPr="00664E64" w:rsidRDefault="00E47A70" w:rsidP="007063C6">
            <w:pPr>
              <w:pStyle w:val="TableTextAligned"/>
              <w:rPr>
                <w:lang w:val="en-AU"/>
              </w:rPr>
            </w:pPr>
            <w:r w:rsidRPr="00664E64">
              <w:rPr>
                <w:lang w:val="en-AU"/>
              </w:rPr>
              <w:t>6</w:t>
            </w:r>
          </w:p>
        </w:tc>
        <w:tc>
          <w:tcPr>
            <w:tcW w:w="1017" w:type="pct"/>
          </w:tcPr>
          <w:p w14:paraId="2E4F854D" w14:textId="77777777" w:rsidR="00E47A70" w:rsidRPr="00664E64" w:rsidRDefault="00E47A70" w:rsidP="007063C6">
            <w:pPr>
              <w:pStyle w:val="TableTextAligned"/>
              <w:rPr>
                <w:lang w:val="en-AU"/>
              </w:rPr>
            </w:pPr>
            <w:r w:rsidRPr="00664E64">
              <w:rPr>
                <w:lang w:val="en-AU"/>
              </w:rPr>
              <w:t>36</w:t>
            </w:r>
          </w:p>
        </w:tc>
      </w:tr>
    </w:tbl>
    <w:p w14:paraId="67F5371A" w14:textId="77777777" w:rsidR="00E44E8E" w:rsidRDefault="00E44E8E" w:rsidP="00A31FF9">
      <w:pPr>
        <w:pStyle w:val="BodyText"/>
        <w:spacing w:before="0" w:line="240" w:lineRule="auto"/>
      </w:pPr>
    </w:p>
    <w:p w14:paraId="3BBA0F4B" w14:textId="11C905EE" w:rsidR="00A31FF9" w:rsidRDefault="00A31FF9" w:rsidP="00A31FF9">
      <w:pPr>
        <w:pStyle w:val="BodyText"/>
        <w:spacing w:before="0" w:line="240" w:lineRule="auto"/>
      </w:pPr>
      <w:r w:rsidRPr="00664E64">
        <w:t>Note: Estimates are based on weighted data from the 2015 Household Income and Labour Dynamics in Australia survey</w:t>
      </w:r>
    </w:p>
    <w:p w14:paraId="518DE17E" w14:textId="77777777" w:rsidR="00A31FF9" w:rsidRDefault="00A31FF9" w:rsidP="00E47A70">
      <w:pPr>
        <w:pStyle w:val="BodyText"/>
      </w:pPr>
    </w:p>
    <w:p w14:paraId="56CC715C" w14:textId="6911238E" w:rsidR="00E47A70" w:rsidRPr="00664E64" w:rsidRDefault="00E47A70" w:rsidP="00E47A70">
      <w:pPr>
        <w:pStyle w:val="BodyText"/>
        <w:rPr>
          <w:i/>
        </w:rPr>
      </w:pPr>
      <w:r w:rsidRPr="00664E64">
        <w:t xml:space="preserve">Bettors at risk of </w:t>
      </w:r>
      <w:r w:rsidR="00E145CB">
        <w:t>experiencing problem gambling</w:t>
      </w:r>
      <w:r w:rsidRPr="00664E64">
        <w:t xml:space="preserve"> were more likely to be single, male, renting and, among sports bettors, aged 18</w:t>
      </w:r>
      <w:r w:rsidRPr="00664E64">
        <w:rPr>
          <w:rFonts w:cs="Arial"/>
        </w:rPr>
        <w:t>–</w:t>
      </w:r>
      <w:r w:rsidRPr="00664E64">
        <w:t>29 (Armstrong &amp; Carroll, 2017a-c). Follow-up analysis of HILDA data by the AGRC found that greater expenditure on either race or sports wagering was associated with greater risk of gambling</w:t>
      </w:r>
      <w:r w:rsidR="00E145CB">
        <w:t>-related problems</w:t>
      </w:r>
      <w:r w:rsidRPr="00664E64">
        <w:t>, irrespective of gamblers’ participation in other activities or socio-economic characteristics.</w:t>
      </w:r>
    </w:p>
    <w:p w14:paraId="7C25BEB8" w14:textId="77777777" w:rsidR="00E47A70" w:rsidRPr="00664E64" w:rsidRDefault="00E47A70" w:rsidP="00A55CD9">
      <w:pPr>
        <w:pStyle w:val="Heading4"/>
      </w:pPr>
      <w:r w:rsidRPr="00664E64">
        <w:t>Types of harm</w:t>
      </w:r>
    </w:p>
    <w:p w14:paraId="4F12930D" w14:textId="4E2B7BC9" w:rsidR="00E47A70" w:rsidRPr="00664E64" w:rsidRDefault="00E47A70" w:rsidP="00E47A70">
      <w:pPr>
        <w:pStyle w:val="BodyText"/>
        <w:rPr>
          <w:rFonts w:cs="Arial"/>
          <w:highlight w:val="lightGray"/>
        </w:rPr>
      </w:pPr>
      <w:r w:rsidRPr="00664E64">
        <w:t xml:space="preserve">Gambling-related harms not only affect the people directly involved, but also their families, peers and the wider community. The social cost of gambling takes into consideration the external burden to society. In 2010, it was estimated that the social costs of problem gambling in Australia ranged from $4.7–$8.6 billion annually </w:t>
      </w:r>
      <w:r w:rsidRPr="00664E64">
        <w:rPr>
          <w:noProof/>
        </w:rPr>
        <w:t>(Productivity Commission, 2010)</w:t>
      </w:r>
      <w:r w:rsidRPr="00664E64">
        <w:t>. More recently, an estimate that also included the costs associated with people who gamble at low- and moderate-risk levels estimated the social costs of gambling, including adverse effects to emotional, physical, relationship and family wellbeing, to be about $7 billion in Victoria alone (Browne</w:t>
      </w:r>
      <w:r w:rsidR="003D095D" w:rsidRPr="00664E64">
        <w:t xml:space="preserve"> et al.</w:t>
      </w:r>
      <w:r w:rsidRPr="00664E64">
        <w:t>, 201</w:t>
      </w:r>
      <w:r w:rsidR="00811855">
        <w:t>7</w:t>
      </w:r>
      <w:r w:rsidRPr="00664E64">
        <w:t xml:space="preserve">). </w:t>
      </w:r>
      <w:r w:rsidR="00420E70" w:rsidRPr="00664E64">
        <w:t>Browne</w:t>
      </w:r>
      <w:r w:rsidR="00E145CB">
        <w:t xml:space="preserve"> and colleagues </w:t>
      </w:r>
      <w:r w:rsidRPr="00664E64">
        <w:t>(201</w:t>
      </w:r>
      <w:r w:rsidR="005C5559" w:rsidRPr="00664E64">
        <w:t>7</w:t>
      </w:r>
      <w:r w:rsidRPr="00664E64">
        <w:t>) estimated that, on average, six others are directly affected by a person gambling at high-risk levels, with three others and one other affected by those gambling at moderate- and low-risk levels, respectively.</w:t>
      </w:r>
    </w:p>
    <w:p w14:paraId="16A03D74" w14:textId="792DF0FA" w:rsidR="003D095D" w:rsidRPr="00664E64" w:rsidRDefault="00E47A70" w:rsidP="00E47A70">
      <w:pPr>
        <w:pStyle w:val="BodyText"/>
        <w:rPr>
          <w:rFonts w:cs="Arial"/>
        </w:rPr>
      </w:pPr>
      <w:r w:rsidRPr="00664E64">
        <w:rPr>
          <w:rFonts w:cs="Arial"/>
        </w:rPr>
        <w:t xml:space="preserve">At the population level, most aggregate harm caused by gambling </w:t>
      </w:r>
      <w:r w:rsidR="003D095D" w:rsidRPr="00664E64">
        <w:rPr>
          <w:rFonts w:cs="Arial"/>
        </w:rPr>
        <w:t xml:space="preserve">is </w:t>
      </w:r>
      <w:r w:rsidRPr="00664E64">
        <w:rPr>
          <w:rFonts w:cs="Arial"/>
        </w:rPr>
        <w:t>accounted for by those in the low- and moderate-risk groups, rather than the small</w:t>
      </w:r>
      <w:r w:rsidR="00E145CB">
        <w:rPr>
          <w:rFonts w:cs="Arial"/>
        </w:rPr>
        <w:t>er</w:t>
      </w:r>
      <w:r w:rsidRPr="00664E64">
        <w:rPr>
          <w:rFonts w:cs="Arial"/>
        </w:rPr>
        <w:t xml:space="preserve"> number of those identified as ‘problem gamblers’ (Browne et al., 2016). </w:t>
      </w:r>
      <w:r w:rsidRPr="00664E64">
        <w:t xml:space="preserve">The burden of harm associated with gambling problems has </w:t>
      </w:r>
      <w:r w:rsidRPr="00664E64">
        <w:lastRenderedPageBreak/>
        <w:t xml:space="preserve">recently been estimated at about 60% of that associated with alcohol use and dependence </w:t>
      </w:r>
      <w:r w:rsidRPr="00664E64">
        <w:rPr>
          <w:noProof/>
        </w:rPr>
        <w:t>(Browne et al., 201</w:t>
      </w:r>
      <w:r w:rsidR="00811855">
        <w:rPr>
          <w:noProof/>
        </w:rPr>
        <w:t>7</w:t>
      </w:r>
      <w:r w:rsidRPr="00664E64">
        <w:rPr>
          <w:noProof/>
        </w:rPr>
        <w:t>)</w:t>
      </w:r>
      <w:r w:rsidRPr="00664E64">
        <w:t xml:space="preserve">. </w:t>
      </w:r>
      <w:r w:rsidRPr="00664E64">
        <w:rPr>
          <w:rFonts w:cs="Arial"/>
        </w:rPr>
        <w:t xml:space="preserve">Relationship, health, emotional/psychological and financial </w:t>
      </w:r>
      <w:r w:rsidR="00E145CB">
        <w:rPr>
          <w:rFonts w:cs="Arial"/>
        </w:rPr>
        <w:t>factors</w:t>
      </w:r>
      <w:r w:rsidRPr="00664E64">
        <w:rPr>
          <w:rFonts w:cs="Arial"/>
        </w:rPr>
        <w:t xml:space="preserve"> are </w:t>
      </w:r>
      <w:r w:rsidR="00E145CB">
        <w:rPr>
          <w:rFonts w:cs="Arial"/>
        </w:rPr>
        <w:t xml:space="preserve">reported to be </w:t>
      </w:r>
      <w:r w:rsidRPr="00664E64">
        <w:rPr>
          <w:rFonts w:cs="Arial"/>
        </w:rPr>
        <w:t xml:space="preserve">the most instrumental in driving gambling-related harms </w:t>
      </w:r>
      <w:r w:rsidR="00E145CB">
        <w:rPr>
          <w:rFonts w:cs="Arial"/>
        </w:rPr>
        <w:t xml:space="preserve">that </w:t>
      </w:r>
      <w:r w:rsidRPr="00664E64">
        <w:rPr>
          <w:rFonts w:cs="Arial"/>
        </w:rPr>
        <w:t xml:space="preserve">adversely impact quality of life for </w:t>
      </w:r>
      <w:r w:rsidR="00E145CB">
        <w:rPr>
          <w:rFonts w:cs="Arial"/>
        </w:rPr>
        <w:t>people who gamble</w:t>
      </w:r>
      <w:r w:rsidRPr="00664E64">
        <w:rPr>
          <w:rFonts w:cs="Arial"/>
        </w:rPr>
        <w:t xml:space="preserve"> (Figure </w:t>
      </w:r>
      <w:r w:rsidR="003D095D" w:rsidRPr="00664E64">
        <w:rPr>
          <w:rFonts w:cs="Arial"/>
        </w:rPr>
        <w:t>A</w:t>
      </w:r>
      <w:r w:rsidRPr="00664E64">
        <w:rPr>
          <w:rFonts w:cs="Arial"/>
        </w:rPr>
        <w:t xml:space="preserve">1.2). </w:t>
      </w:r>
    </w:p>
    <w:p w14:paraId="31130212" w14:textId="76841E50" w:rsidR="00E47A70" w:rsidRPr="00915C40" w:rsidRDefault="00E47A70" w:rsidP="00415C73">
      <w:pPr>
        <w:pStyle w:val="FigureCaption"/>
        <w:rPr>
          <w:color w:val="auto"/>
          <w:lang w:val="en-AU"/>
        </w:rPr>
      </w:pPr>
      <w:bookmarkStart w:id="108" w:name="_Toc12549594"/>
      <w:r w:rsidRPr="00915C40">
        <w:rPr>
          <w:color w:val="auto"/>
          <w:lang w:val="en-AU"/>
        </w:rPr>
        <w:t xml:space="preserve">Figure </w:t>
      </w:r>
      <w:r w:rsidR="003D095D" w:rsidRPr="00915C40">
        <w:rPr>
          <w:color w:val="auto"/>
          <w:lang w:val="en-AU"/>
        </w:rPr>
        <w:t>A</w:t>
      </w:r>
      <w:r w:rsidRPr="00915C40">
        <w:rPr>
          <w:color w:val="auto"/>
          <w:lang w:val="en-AU"/>
        </w:rPr>
        <w:t>1.2</w:t>
      </w:r>
      <w:r w:rsidR="003D095D" w:rsidRPr="00915C40">
        <w:rPr>
          <w:color w:val="auto"/>
          <w:lang w:val="en-AU"/>
        </w:rPr>
        <w:t>:</w:t>
      </w:r>
      <w:r w:rsidRPr="00915C40">
        <w:rPr>
          <w:color w:val="auto"/>
          <w:lang w:val="en-AU"/>
        </w:rPr>
        <w:t xml:space="preserve"> Proportion contributed by each domain to quality of life</w:t>
      </w:r>
      <w:bookmarkEnd w:id="108"/>
      <w:r w:rsidRPr="00915C40">
        <w:rPr>
          <w:color w:val="auto"/>
          <w:lang w:val="en-AU"/>
        </w:rPr>
        <w:t xml:space="preserve"> </w:t>
      </w:r>
    </w:p>
    <w:p w14:paraId="41432F4D" w14:textId="77777777" w:rsidR="00E47A70" w:rsidRPr="00664E64" w:rsidRDefault="00E47A70" w:rsidP="0030560E">
      <w:pPr>
        <w:autoSpaceDE w:val="0"/>
        <w:autoSpaceDN w:val="0"/>
        <w:adjustRightInd w:val="0"/>
        <w:spacing w:line="276" w:lineRule="auto"/>
        <w:jc w:val="center"/>
        <w:rPr>
          <w:rFonts w:cs="Arial"/>
        </w:rPr>
      </w:pPr>
      <w:r w:rsidRPr="00664E64">
        <w:rPr>
          <w:rFonts w:cs="Arial"/>
          <w:noProof/>
          <w:lang w:eastAsia="en-AU"/>
        </w:rPr>
        <w:drawing>
          <wp:inline distT="0" distB="0" distL="0" distR="0" wp14:anchorId="0CD238EF" wp14:editId="1D13239B">
            <wp:extent cx="3981450" cy="2477632"/>
            <wp:effectExtent l="0" t="0" r="0" b="0"/>
            <wp:docPr id="14" name="Picture 14" descr="A pie graph showing the domains for quality of life and and the proportion they contribute to making up good quality of life: relationships 24.9%, health 20.6%, emotional/psychological 18.6%, financial 15.6%, work/study 8.6% and other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81450" cy="2477632"/>
                    </a:xfrm>
                    <a:prstGeom prst="rect">
                      <a:avLst/>
                    </a:prstGeom>
                  </pic:spPr>
                </pic:pic>
              </a:graphicData>
            </a:graphic>
          </wp:inline>
        </w:drawing>
      </w:r>
    </w:p>
    <w:p w14:paraId="497A70BE" w14:textId="6D6F7E1A" w:rsidR="00E47A70" w:rsidRPr="00664E64" w:rsidRDefault="00E47A70" w:rsidP="00E47A70">
      <w:pPr>
        <w:pStyle w:val="BodyText"/>
        <w:spacing w:after="240" w:line="240" w:lineRule="auto"/>
        <w:rPr>
          <w:sz w:val="16"/>
          <w:szCs w:val="16"/>
        </w:rPr>
      </w:pPr>
      <w:r w:rsidRPr="00664E64">
        <w:rPr>
          <w:sz w:val="16"/>
          <w:szCs w:val="16"/>
        </w:rPr>
        <w:t xml:space="preserve">Source: </w:t>
      </w:r>
      <w:r w:rsidRPr="00664E64">
        <w:rPr>
          <w:sz w:val="16"/>
          <w:szCs w:val="16"/>
        </w:rPr>
        <w:tab/>
        <w:t>Browne et al., 2016, p. 136</w:t>
      </w:r>
      <w:r w:rsidR="003D095D" w:rsidRPr="00664E64">
        <w:rPr>
          <w:sz w:val="16"/>
          <w:szCs w:val="16"/>
        </w:rPr>
        <w:t>.</w:t>
      </w:r>
    </w:p>
    <w:p w14:paraId="794405B5" w14:textId="6D3ACE1A" w:rsidR="00E47A70" w:rsidRPr="00664E64" w:rsidRDefault="00E47A70" w:rsidP="00E47A70">
      <w:pPr>
        <w:pStyle w:val="BodyText"/>
      </w:pPr>
      <w:r w:rsidRPr="00664E64">
        <w:t xml:space="preserve">In a recent study conducted by the AGRC on place-based gambling, the different types of harms described by participants who gambled included family breakdown, family violence and other crimes, mental illness and suicide. All interview participants </w:t>
      </w:r>
      <w:r w:rsidR="008457B8" w:rsidRPr="00664E64">
        <w:t>described</w:t>
      </w:r>
      <w:r w:rsidRPr="00664E64">
        <w:t xml:space="preserve"> financial harms, and reported that gambling harms could escalate their situation to crisis levels very quickly. The study also found that legacy effects of gambling harms represent substantial opportunity costs, and </w:t>
      </w:r>
      <w:r w:rsidR="00E145CB">
        <w:t xml:space="preserve">often </w:t>
      </w:r>
      <w:r w:rsidRPr="00664E64">
        <w:t>impose enduring financial and relationship costs on people who gamble, their families and communities (Rintoul &amp; Deblaquiere, 2019).</w:t>
      </w:r>
    </w:p>
    <w:p w14:paraId="419BE50B" w14:textId="0401B55C" w:rsidR="00E47A70" w:rsidRPr="00664E64" w:rsidRDefault="00E47A70" w:rsidP="00E47A70">
      <w:pPr>
        <w:pStyle w:val="BodyText"/>
      </w:pPr>
      <w:r w:rsidRPr="00664E64">
        <w:t>In relation to harms associated with online gambling, a study of interactive gamblers conducted in 2011</w:t>
      </w:r>
      <w:r w:rsidR="003D095D" w:rsidRPr="00664E64">
        <w:t>–</w:t>
      </w:r>
      <w:r w:rsidRPr="00664E64">
        <w:t>12 reported higher rates of psychological distress, relationship breakdown, loss of contact with children, change or loss of employment, bankruptcy and loss of savings in interactive compared to non-interactive gamblers (Hing</w:t>
      </w:r>
      <w:r w:rsidR="00154AF8" w:rsidRPr="00664E64">
        <w:t>, Gainsbury</w:t>
      </w:r>
      <w:r w:rsidRPr="00664E64">
        <w:t xml:space="preserve"> et al., 2014). </w:t>
      </w:r>
    </w:p>
    <w:p w14:paraId="14AEAD3E" w14:textId="652B87E6" w:rsidR="00E47A70" w:rsidRPr="00664E64" w:rsidRDefault="00E47A70" w:rsidP="00E47A70">
      <w:pPr>
        <w:pStyle w:val="BodyText"/>
      </w:pPr>
      <w:r w:rsidRPr="00664E64">
        <w:t>Gambling and other help services have also reported an increase in the number of clients reporting that online gambling is the main cause of their problems (Blaszczynski &amp; Hunt, 2011; Hing</w:t>
      </w:r>
      <w:r w:rsidR="00154AF8" w:rsidRPr="00664E64">
        <w:t>, Gainsbury</w:t>
      </w:r>
      <w:r w:rsidRPr="00664E64">
        <w:t xml:space="preserve"> et al., 2014; Rintoul &amp; Deblaquiere, 2019). Of callers to gambling services in Sweden and Australia, 44% and 30% respectively, reported that online gambling was the main cause of their problems (Hing</w:t>
      </w:r>
      <w:r w:rsidR="00154AF8" w:rsidRPr="00664E64">
        <w:t>, Gainsbury</w:t>
      </w:r>
      <w:r w:rsidRPr="00664E64">
        <w:t xml:space="preserve"> et al., 2014).  </w:t>
      </w:r>
    </w:p>
    <w:p w14:paraId="1E81C475" w14:textId="77777777" w:rsidR="00E47A70" w:rsidRPr="00915C40" w:rsidRDefault="00E47A70" w:rsidP="00A55CD9">
      <w:pPr>
        <w:pStyle w:val="Heading2"/>
        <w:jc w:val="left"/>
        <w:rPr>
          <w:color w:val="auto"/>
        </w:rPr>
      </w:pPr>
      <w:bookmarkStart w:id="109" w:name="_Toc12022566"/>
      <w:r w:rsidRPr="00915C40">
        <w:rPr>
          <w:color w:val="auto"/>
        </w:rPr>
        <w:t>Legislative responsibility for the National Framework</w:t>
      </w:r>
      <w:bookmarkEnd w:id="109"/>
      <w:r w:rsidRPr="00915C40">
        <w:rPr>
          <w:color w:val="auto"/>
        </w:rPr>
        <w:t xml:space="preserve"> </w:t>
      </w:r>
    </w:p>
    <w:p w14:paraId="735A8315" w14:textId="46F6D0BD" w:rsidR="00E47A70" w:rsidRPr="00664E64" w:rsidRDefault="00E50EF3" w:rsidP="00E47A70">
      <w:pPr>
        <w:pStyle w:val="BodyText"/>
      </w:pPr>
      <w:r w:rsidRPr="00664E64">
        <w:t>T</w:t>
      </w:r>
      <w:r w:rsidR="00E47A70" w:rsidRPr="00664E64">
        <w:t xml:space="preserve">here are examples of interactive wagering legislation, regulation and codes of practice that have not received substantial amendments since their enactment, </w:t>
      </w:r>
      <w:r w:rsidRPr="00664E64">
        <w:t xml:space="preserve">and thus </w:t>
      </w:r>
      <w:r w:rsidR="00E47A70" w:rsidRPr="00664E64">
        <w:t xml:space="preserve">do not reflect the </w:t>
      </w:r>
      <w:r w:rsidRPr="00664E64">
        <w:t xml:space="preserve">rapid developments </w:t>
      </w:r>
      <w:r w:rsidR="00E47A70" w:rsidRPr="00664E64">
        <w:t>that characterise the online wagering environment</w:t>
      </w:r>
      <w:r w:rsidRPr="00664E64">
        <w:t xml:space="preserve"> (O’Farrell, 2015)</w:t>
      </w:r>
      <w:r w:rsidR="00E47A70" w:rsidRPr="00664E64">
        <w:t xml:space="preserve">. </w:t>
      </w:r>
      <w:r w:rsidR="00E145CB">
        <w:t>Further, i</w:t>
      </w:r>
      <w:r w:rsidR="00E47A70" w:rsidRPr="00664E64">
        <w:t>nconsistent application of consumer protections across jurisdictions has resulted in poorer outcomes for consumers and providers</w:t>
      </w:r>
      <w:r w:rsidR="00E145CB">
        <w:t>, and o</w:t>
      </w:r>
      <w:r w:rsidR="00E47A70" w:rsidRPr="00664E64">
        <w:t xml:space="preserve">nline wagering providers licensed in jurisdictions </w:t>
      </w:r>
      <w:r w:rsidR="00E47A70" w:rsidRPr="00664E64">
        <w:lastRenderedPageBreak/>
        <w:t>with stronger regulation are at a competitive disadvantage in terms of compliance and service costs, resulting in ‘jurisdiction shopping’ by some providers.</w:t>
      </w:r>
    </w:p>
    <w:p w14:paraId="7263C0E0" w14:textId="56778492" w:rsidR="00E47A70" w:rsidRPr="00664E64" w:rsidRDefault="00E47A70" w:rsidP="00E47A70">
      <w:pPr>
        <w:pStyle w:val="BodyText"/>
        <w:rPr>
          <w:rFonts w:eastAsiaTheme="minorHAnsi"/>
        </w:rPr>
      </w:pPr>
      <w:r w:rsidRPr="00664E64">
        <w:t>The National Framework was officially launched by Commonwealth and state and territory governments on Friday, 30 November 2018. It is intended to be rolled out progressively to mid-2020. The National Framework comprises 10 consumer protection measures, implemented through a combination of Commonwealth, state and territory laws and regulations as detailed in the National Policy Statement (DSS</w:t>
      </w:r>
      <w:r w:rsidR="009B02AD" w:rsidRPr="00664E64">
        <w:t>,</w:t>
      </w:r>
      <w:r w:rsidRPr="00664E64">
        <w:t xml:space="preserve"> 2018)</w:t>
      </w:r>
      <w:r w:rsidR="009E7752" w:rsidRPr="00664E64">
        <w:t>.</w:t>
      </w:r>
    </w:p>
    <w:p w14:paraId="77EB4224" w14:textId="77777777" w:rsidR="00E47A70" w:rsidRPr="00664E64" w:rsidRDefault="00E47A70" w:rsidP="00E47A70">
      <w:pPr>
        <w:pStyle w:val="BodyText"/>
      </w:pPr>
      <w:r w:rsidRPr="00664E64">
        <w:t xml:space="preserve">The Commonwealth Government is responsible for enacting and administering </w:t>
      </w:r>
      <w:r w:rsidRPr="00664E64">
        <w:rPr>
          <w:rFonts w:cs="Arial"/>
        </w:rPr>
        <w:t>–</w:t>
      </w:r>
      <w:r w:rsidRPr="00664E64">
        <w:t xml:space="preserve"> including monitoring, enforcing, and promoting compliance </w:t>
      </w:r>
      <w:r w:rsidRPr="00664E64">
        <w:rPr>
          <w:rFonts w:cs="Arial"/>
        </w:rPr>
        <w:t>–</w:t>
      </w:r>
      <w:r w:rsidRPr="00664E64">
        <w:t xml:space="preserve"> the following measures: </w:t>
      </w:r>
    </w:p>
    <w:p w14:paraId="17554728" w14:textId="77777777" w:rsidR="00E47A70" w:rsidRPr="00664E64" w:rsidRDefault="00E47A70" w:rsidP="00E47A70">
      <w:pPr>
        <w:pStyle w:val="ListBullet"/>
        <w:rPr>
          <w:i/>
          <w:u w:val="single"/>
        </w:rPr>
      </w:pPr>
      <w:r w:rsidRPr="00664E64">
        <w:t xml:space="preserve">prohibition of lines of credit, pursuant to the Commonwealth’s </w:t>
      </w:r>
      <w:r w:rsidRPr="00664E64">
        <w:rPr>
          <w:i/>
        </w:rPr>
        <w:t>Interactive Gambling Amendment Act 2017</w:t>
      </w:r>
    </w:p>
    <w:p w14:paraId="3D97888C" w14:textId="77777777" w:rsidR="00E47A70" w:rsidRPr="00664E64" w:rsidRDefault="00E47A70" w:rsidP="00E47A70">
      <w:pPr>
        <w:pStyle w:val="ListBullet"/>
      </w:pPr>
      <w:r w:rsidRPr="00664E64">
        <w:t xml:space="preserve">discouraging links with small amount credit contract providers (payday lenders), pursuant to the Commonwealth’s </w:t>
      </w:r>
      <w:r w:rsidRPr="00664E64">
        <w:rPr>
          <w:i/>
        </w:rPr>
        <w:t>Interactive Gambling Amendment Act 2017</w:t>
      </w:r>
    </w:p>
    <w:p w14:paraId="795E337B" w14:textId="77777777" w:rsidR="00E47A70" w:rsidRPr="00664E64" w:rsidRDefault="00E47A70" w:rsidP="00E47A70">
      <w:pPr>
        <w:pStyle w:val="ListBullet"/>
      </w:pPr>
      <w:r w:rsidRPr="00664E64">
        <w:t>customer verification period, pursuant to the Commonwealth’s Anti-Money Laundering and Counter-Terrorism Financing Rules Instrument 2007 (No.10)</w:t>
      </w:r>
    </w:p>
    <w:p w14:paraId="2DE9E09C" w14:textId="77777777" w:rsidR="00E47A70" w:rsidRPr="00664E64" w:rsidRDefault="00E47A70" w:rsidP="00E47A70">
      <w:pPr>
        <w:pStyle w:val="ListBullet"/>
      </w:pPr>
      <w:r w:rsidRPr="00664E64">
        <w:t xml:space="preserve">a national self-exclusion register, pursuant to further amendments to the Commonwealth’s </w:t>
      </w:r>
      <w:r w:rsidRPr="00664E64">
        <w:rPr>
          <w:i/>
        </w:rPr>
        <w:t>Interactive Gambling Act 2001</w:t>
      </w:r>
      <w:r w:rsidRPr="00664E64">
        <w:t>.</w:t>
      </w:r>
    </w:p>
    <w:p w14:paraId="2A519A07" w14:textId="301C95AB" w:rsidR="00E47A70" w:rsidRPr="00664E64" w:rsidRDefault="00E47A70" w:rsidP="00A55CD9">
      <w:pPr>
        <w:pStyle w:val="BodyText"/>
      </w:pPr>
      <w:r w:rsidRPr="00664E64">
        <w:t xml:space="preserve">The Commonwealth is also coordinating trialling, testing and evaluation of measures, in addition to chairing a governance committee of </w:t>
      </w:r>
      <w:r w:rsidR="00E145CB">
        <w:t xml:space="preserve">Commonwealth and state and territory </w:t>
      </w:r>
      <w:r w:rsidRPr="00664E64">
        <w:t xml:space="preserve">officials to oversee the </w:t>
      </w:r>
      <w:r w:rsidR="00E145CB">
        <w:t>Framework’s</w:t>
      </w:r>
      <w:r w:rsidRPr="00664E64">
        <w:t xml:space="preserve"> implementation. </w:t>
      </w:r>
    </w:p>
    <w:p w14:paraId="178ED158" w14:textId="77777777" w:rsidR="00E47A70" w:rsidRPr="00664E64" w:rsidRDefault="00E47A70" w:rsidP="009E7752">
      <w:pPr>
        <w:pStyle w:val="BodyText"/>
      </w:pPr>
      <w:r w:rsidRPr="00664E64">
        <w:t xml:space="preserve">State and territory governments are responsible for enacting and administering, including monitoring, enforcing and promoting compliance with, the following measures: </w:t>
      </w:r>
    </w:p>
    <w:p w14:paraId="5D01D3D1" w14:textId="77777777" w:rsidR="00E47A70" w:rsidRPr="00664E64" w:rsidRDefault="00E47A70" w:rsidP="00E47A70">
      <w:pPr>
        <w:pStyle w:val="ListBullet"/>
      </w:pPr>
      <w:r w:rsidRPr="00664E64">
        <w:t>offering of inducements</w:t>
      </w:r>
    </w:p>
    <w:p w14:paraId="2A27D145" w14:textId="77777777" w:rsidR="00E47A70" w:rsidRPr="00664E64" w:rsidRDefault="00E47A70" w:rsidP="00E47A70">
      <w:pPr>
        <w:pStyle w:val="ListBullet"/>
      </w:pPr>
      <w:r w:rsidRPr="00664E64">
        <w:t>account closures</w:t>
      </w:r>
    </w:p>
    <w:p w14:paraId="5493FD76" w14:textId="77777777" w:rsidR="00E47A70" w:rsidRPr="00664E64" w:rsidRDefault="00E47A70" w:rsidP="00E47A70">
      <w:pPr>
        <w:pStyle w:val="ListBullet"/>
      </w:pPr>
      <w:r w:rsidRPr="00664E64">
        <w:t>voluntary opt-out pre-commitment</w:t>
      </w:r>
    </w:p>
    <w:p w14:paraId="4C6F76F3" w14:textId="77777777" w:rsidR="00E47A70" w:rsidRPr="00664E64" w:rsidRDefault="00E47A70" w:rsidP="00E47A70">
      <w:pPr>
        <w:pStyle w:val="ListBullet"/>
      </w:pPr>
      <w:r w:rsidRPr="00664E64">
        <w:t>activity statements</w:t>
      </w:r>
    </w:p>
    <w:p w14:paraId="6B33355F" w14:textId="77777777" w:rsidR="00E47A70" w:rsidRPr="00664E64" w:rsidRDefault="00E47A70" w:rsidP="00E47A70">
      <w:pPr>
        <w:pStyle w:val="ListBullet"/>
      </w:pPr>
      <w:r w:rsidRPr="00664E64">
        <w:t>consistent gambling messaging</w:t>
      </w:r>
    </w:p>
    <w:p w14:paraId="26936956" w14:textId="77777777" w:rsidR="00E47A70" w:rsidRPr="00664E64" w:rsidRDefault="00E47A70" w:rsidP="00E47A70">
      <w:pPr>
        <w:pStyle w:val="ListBullet"/>
        <w:rPr>
          <w:color w:val="222222"/>
        </w:rPr>
      </w:pPr>
      <w:r w:rsidRPr="00664E64">
        <w:t>staff training.</w:t>
      </w:r>
    </w:p>
    <w:p w14:paraId="003CCA68" w14:textId="3806F2E3" w:rsidR="00E47A70" w:rsidRPr="00664E64" w:rsidRDefault="00E47A70" w:rsidP="00E47A70">
      <w:pPr>
        <w:pStyle w:val="BodyText"/>
      </w:pPr>
      <w:r w:rsidRPr="00664E64">
        <w:t>While all governments share responsibility for implementing the 10 measures, each government will determine how to implement the</w:t>
      </w:r>
      <w:r w:rsidR="005C5559" w:rsidRPr="00664E64">
        <w:t xml:space="preserve">se </w:t>
      </w:r>
      <w:r w:rsidRPr="00664E64">
        <w:t>in the context of the legislative framework and regulatory tools available in its jurisdiction</w:t>
      </w:r>
      <w:r w:rsidR="005C5559" w:rsidRPr="00664E64">
        <w:t>,</w:t>
      </w:r>
      <w:r w:rsidRPr="00664E64">
        <w:t xml:space="preserve"> and while maintaining national consistency. </w:t>
      </w:r>
    </w:p>
    <w:p w14:paraId="372DBA2B" w14:textId="77777777" w:rsidR="00E47A70" w:rsidRPr="00915C40" w:rsidRDefault="00E47A70" w:rsidP="00A55CD9">
      <w:pPr>
        <w:pStyle w:val="Heading3"/>
        <w:jc w:val="left"/>
        <w:rPr>
          <w:color w:val="auto"/>
        </w:rPr>
      </w:pPr>
      <w:r w:rsidRPr="00915C40">
        <w:rPr>
          <w:color w:val="auto"/>
        </w:rPr>
        <w:t xml:space="preserve">Evidence underpinning the National Framework’s 10 consumer protection measures </w:t>
      </w:r>
    </w:p>
    <w:p w14:paraId="704BDAE9" w14:textId="50CF0CCC" w:rsidR="00E47A70" w:rsidRPr="00664E64" w:rsidRDefault="00E47A70" w:rsidP="00E47A70">
      <w:pPr>
        <w:pStyle w:val="BodyText"/>
      </w:pPr>
      <w:r w:rsidRPr="00664E64">
        <w:t>The 10 measures comprising the National Framework include a suite of tools available for use by individuals, as well as requirements for interactive wagering service providers, to help mitigate the risk of harm. The measures are designed to provide consumers with strong, nationally consistent minimum protections,</w:t>
      </w:r>
      <w:r w:rsidR="00E50EF3" w:rsidRPr="00664E64">
        <w:t xml:space="preserve"> as recommended by the O’Farrell review and built upon by stakeholder advice and the growing evidence base for both online and terrestrial gambling. The consumer protection measures are designed to both prevent and provide support for those experiencing gambling</w:t>
      </w:r>
      <w:r w:rsidR="00E145CB">
        <w:t>-related</w:t>
      </w:r>
      <w:r w:rsidR="00E50EF3" w:rsidRPr="00664E64">
        <w:t xml:space="preserve"> harm, and respect consumer choice by empowering consumers to make more informed decisions about their gambling (DSS, 2018).</w:t>
      </w:r>
    </w:p>
    <w:p w14:paraId="291A1C53" w14:textId="77777777" w:rsidR="00E47A70" w:rsidRPr="00664E64" w:rsidRDefault="00E47A70" w:rsidP="00A55CD9">
      <w:pPr>
        <w:pStyle w:val="Heading4"/>
      </w:pPr>
      <w:r w:rsidRPr="00664E64">
        <w:lastRenderedPageBreak/>
        <w:t>Prohibition of lines of credit offered by online wagering providers</w:t>
      </w:r>
    </w:p>
    <w:p w14:paraId="69BD6368" w14:textId="77777777" w:rsidR="00E47A70" w:rsidRPr="00664E64" w:rsidRDefault="00E47A70" w:rsidP="00E47A70">
      <w:pPr>
        <w:pStyle w:val="BodyText"/>
      </w:pPr>
      <w:r w:rsidRPr="00664E64">
        <w:t xml:space="preserve">The first measure prohibits the offering or provision of credit by interactive wagering service providers for wagering purposes, with the exception of on-course bookmakers’ telephone-based betting services (DSS, 2018). This measure aligns with a policy of prohibiting lines of credit for most other gambling products including EGMs and casinos (DSS, 2017). The banning of lines of credit was enacted into Commonwealth legislation through the </w:t>
      </w:r>
      <w:r w:rsidRPr="00664E64">
        <w:rPr>
          <w:i/>
        </w:rPr>
        <w:t xml:space="preserve">Interactive Gambling Amendment Act 2017 </w:t>
      </w:r>
      <w:r w:rsidRPr="00664E64">
        <w:t>and implemented in February 2018.</w:t>
      </w:r>
    </w:p>
    <w:p w14:paraId="219B8305" w14:textId="5DC76500" w:rsidR="00E47A70" w:rsidRPr="00664E64" w:rsidRDefault="00E145CB" w:rsidP="00E47A70">
      <w:pPr>
        <w:pStyle w:val="BodyText"/>
      </w:pPr>
      <w:r>
        <w:t>A</w:t>
      </w:r>
      <w:r w:rsidR="00E47A70" w:rsidRPr="00664E64">
        <w:t xml:space="preserve">cademics and the community sector </w:t>
      </w:r>
      <w:r>
        <w:t xml:space="preserve">have </w:t>
      </w:r>
      <w:r w:rsidR="00E47A70" w:rsidRPr="00664E64">
        <w:t>argu</w:t>
      </w:r>
      <w:r>
        <w:t>ed</w:t>
      </w:r>
      <w:r w:rsidR="00E47A70" w:rsidRPr="00664E64">
        <w:t xml:space="preserve"> that a line of credit can act as an inducement for some gamblers, including problem gamblers, to bet more than they can afford (O’Farrell, 2015). The findings of a study by Financial Counselling Australia (2015) reported that some Australian sports betting companies had been actively encouraging customers to bet using credit provided after initial funds were exhausted. ‘Free bets’ were a common initial inducement, followed by the provision of credit. When customers stopped betting with one company, companies </w:t>
      </w:r>
      <w:r>
        <w:t xml:space="preserve">reportedly </w:t>
      </w:r>
      <w:r w:rsidR="00E47A70" w:rsidRPr="00664E64">
        <w:t xml:space="preserve">swapped customer lists to entice the person to resume </w:t>
      </w:r>
      <w:r w:rsidR="00A37701">
        <w:t>betting</w:t>
      </w:r>
      <w:r w:rsidR="00E47A70" w:rsidRPr="00664E64">
        <w:t xml:space="preserve"> with ‘free money’ or credit. This extended to people who had been actively identified by industry employees as struggling to pay back existing credit and who were close to being referred to a debt collection agency.  </w:t>
      </w:r>
    </w:p>
    <w:p w14:paraId="65FE226B" w14:textId="2F1345D8" w:rsidR="00E47A70" w:rsidRPr="00664E64" w:rsidRDefault="00E47A70" w:rsidP="00E47A70">
      <w:pPr>
        <w:pStyle w:val="BodyText"/>
      </w:pPr>
      <w:r w:rsidRPr="00664E64">
        <w:t xml:space="preserve">The strengthening of the </w:t>
      </w:r>
      <w:r w:rsidRPr="00664E64">
        <w:rPr>
          <w:i/>
        </w:rPr>
        <w:t xml:space="preserve">Interactive Gambling Amendment Act 2017 </w:t>
      </w:r>
      <w:r w:rsidRPr="00664E64">
        <w:t xml:space="preserve">should address concerns that offshore wagering providers will continue to offer lines of credit, </w:t>
      </w:r>
      <w:r w:rsidR="009E7752" w:rsidRPr="00664E64">
        <w:t xml:space="preserve">or </w:t>
      </w:r>
      <w:r w:rsidRPr="00664E64">
        <w:t>lead Australians who gamble to obtain credit outside of domestic regulatory protections (DSS, 2017).</w:t>
      </w:r>
    </w:p>
    <w:p w14:paraId="617B4746" w14:textId="77777777" w:rsidR="00E47A70" w:rsidRPr="00664E64" w:rsidRDefault="00E47A70" w:rsidP="00A55CD9">
      <w:pPr>
        <w:pStyle w:val="Heading4"/>
      </w:pPr>
      <w:r w:rsidRPr="00664E64">
        <w:t>Discouragement of payday lending for online wagering</w:t>
      </w:r>
    </w:p>
    <w:p w14:paraId="516A318E" w14:textId="116B317C" w:rsidR="00E47A70" w:rsidRPr="00664E64" w:rsidRDefault="00E47A70" w:rsidP="00E47A70">
      <w:pPr>
        <w:pStyle w:val="BodyText"/>
      </w:pPr>
      <w:r w:rsidRPr="00664E64">
        <w:t>The second measure prohibits online wagering operators from sharing customer information and referring customers to payday lenders (</w:t>
      </w:r>
      <w:r w:rsidR="00AC2020" w:rsidRPr="00664E64">
        <w:t>DSS</w:t>
      </w:r>
      <w:r w:rsidRPr="00664E64">
        <w:t xml:space="preserve">, 2018). As with the credit prohibition, this was legislated via the </w:t>
      </w:r>
      <w:r w:rsidRPr="00664E64">
        <w:rPr>
          <w:i/>
        </w:rPr>
        <w:t xml:space="preserve">Interactive Gambling Amendment Act 2017 </w:t>
      </w:r>
      <w:r w:rsidRPr="00664E64">
        <w:t xml:space="preserve">and implemented in February 2018. </w:t>
      </w:r>
    </w:p>
    <w:p w14:paraId="71FBE85A" w14:textId="49787E10" w:rsidR="00E47A70" w:rsidRPr="00664E64" w:rsidRDefault="00E47A70" w:rsidP="00E47A70">
      <w:pPr>
        <w:pStyle w:val="BodyText"/>
        <w:rPr>
          <w:b/>
          <w:i/>
        </w:rPr>
      </w:pPr>
      <w:r w:rsidRPr="00664E64">
        <w:t xml:space="preserve">This measure </w:t>
      </w:r>
      <w:r w:rsidR="002C4DE5" w:rsidRPr="00664E64">
        <w:t>responds to</w:t>
      </w:r>
      <w:r w:rsidRPr="00664E64">
        <w:t xml:space="preserve"> concerns that customers of online providers were being directed to payday lenders through advertising on providers’ websites or through direct partnerships between lenders and providers, with customers quickly find</w:t>
      </w:r>
      <w:r w:rsidR="00AC2020" w:rsidRPr="00664E64">
        <w:t>ing</w:t>
      </w:r>
      <w:r w:rsidRPr="00664E64">
        <w:t xml:space="preserve"> themselves in financial difficulty (O’Farrell</w:t>
      </w:r>
      <w:r w:rsidR="00AC2020" w:rsidRPr="00664E64">
        <w:t>,</w:t>
      </w:r>
      <w:r w:rsidRPr="00664E64">
        <w:t xml:space="preserve"> 2015). This is supported by interviews </w:t>
      </w:r>
      <w:r w:rsidR="00E145CB">
        <w:t xml:space="preserve">conducted </w:t>
      </w:r>
      <w:r w:rsidRPr="00664E64">
        <w:t>with stakeholders across the gambling sector by Financial Counselling Australia (2015), which found that some people were borrowing from online payday lenders to fund their online wagering and resultant debts. Financial Counselling Australia (2016) highlighted case</w:t>
      </w:r>
      <w:r w:rsidR="00AC2020" w:rsidRPr="00664E64">
        <w:t>s</w:t>
      </w:r>
      <w:r w:rsidRPr="00664E64">
        <w:t xml:space="preserve"> </w:t>
      </w:r>
      <w:r w:rsidR="00AC2020" w:rsidRPr="00664E64">
        <w:t>where</w:t>
      </w:r>
      <w:r w:rsidRPr="00664E64">
        <w:t xml:space="preserve"> financially vulnerable individuals may chase their losses by borrowing even more money, and questioned whether credit for gambling can ever legally be considered to be within the applicants ‘needs and objectives’ under the </w:t>
      </w:r>
      <w:r w:rsidRPr="00664E64">
        <w:rPr>
          <w:i/>
        </w:rPr>
        <w:t>National Consumer Credit Protection Act 20</w:t>
      </w:r>
      <w:r w:rsidR="00E145CB">
        <w:rPr>
          <w:i/>
        </w:rPr>
        <w:t>0</w:t>
      </w:r>
      <w:r w:rsidRPr="00664E64">
        <w:rPr>
          <w:i/>
        </w:rPr>
        <w:t>9.</w:t>
      </w:r>
    </w:p>
    <w:p w14:paraId="680DC7BE" w14:textId="77777777" w:rsidR="00E47A70" w:rsidRPr="00664E64" w:rsidRDefault="00E47A70" w:rsidP="00A55CD9">
      <w:pPr>
        <w:pStyle w:val="Heading4"/>
      </w:pPr>
      <w:r w:rsidRPr="00664E64">
        <w:t>Reduction in the time frame for customer verification</w:t>
      </w:r>
    </w:p>
    <w:p w14:paraId="73B4B862" w14:textId="77777777" w:rsidR="00E47A70" w:rsidRPr="00664E64" w:rsidRDefault="00E47A70" w:rsidP="00E47A70">
      <w:pPr>
        <w:pStyle w:val="BodyText"/>
      </w:pPr>
      <w:r w:rsidRPr="00664E64">
        <w:t xml:space="preserve">The third measure is for the online wagering customer verification period to be reduced to 14 days, with the feasibility of a reduction to a 72-hour period to be further explored (DSS, 2018). This measure came into effect in February 2019. </w:t>
      </w:r>
    </w:p>
    <w:p w14:paraId="77128B2C" w14:textId="3B357AA3" w:rsidR="00E47A70" w:rsidRPr="00664E64" w:rsidRDefault="00E47A70" w:rsidP="00E47A70">
      <w:pPr>
        <w:pStyle w:val="BodyText"/>
      </w:pPr>
      <w:r w:rsidRPr="00664E64">
        <w:t xml:space="preserve">In specific terms, online wagering operators </w:t>
      </w:r>
      <w:r w:rsidR="0077252E" w:rsidRPr="00664E64">
        <w:t>were previously</w:t>
      </w:r>
      <w:r w:rsidRPr="00664E64">
        <w:t xml:space="preserve"> required to verify </w:t>
      </w:r>
      <w:r w:rsidR="0077252E" w:rsidRPr="00664E64">
        <w:t xml:space="preserve">a </w:t>
      </w:r>
      <w:r w:rsidRPr="00664E64">
        <w:t>customer</w:t>
      </w:r>
      <w:r w:rsidR="0077252E" w:rsidRPr="00664E64">
        <w:t>’</w:t>
      </w:r>
      <w:r w:rsidRPr="00664E64">
        <w:t>s identity within 90 days of opening an online wagering account, in line with Part 10.4 of the Anti-Money Laundering and Counter-Terrorism Financing Rules (AML/CTF; 2006). In one point of jurisdictional difference, a 45-day limit applie</w:t>
      </w:r>
      <w:r w:rsidR="0077252E" w:rsidRPr="00664E64">
        <w:t>d</w:t>
      </w:r>
      <w:r w:rsidRPr="00664E64">
        <w:t xml:space="preserve"> in the Northern Territory as specified under the NT Code of Practice (Department of Trade, Business &amp; Innovation, 2016). Customers of providers in all jurisdictions </w:t>
      </w:r>
      <w:r w:rsidR="0077252E" w:rsidRPr="00664E64">
        <w:t>were</w:t>
      </w:r>
      <w:r w:rsidRPr="00664E64">
        <w:t xml:space="preserve"> prohibited from withdrawing any funds from their account before verification of their identity (DSS, 2017). </w:t>
      </w:r>
    </w:p>
    <w:p w14:paraId="1D7215B1" w14:textId="0DAE83A1" w:rsidR="00E47A70" w:rsidRPr="00664E64" w:rsidRDefault="0077252E" w:rsidP="00E47A70">
      <w:pPr>
        <w:pStyle w:val="BodyText"/>
      </w:pPr>
      <w:r w:rsidRPr="00664E64">
        <w:lastRenderedPageBreak/>
        <w:t xml:space="preserve">The O’Farrell </w:t>
      </w:r>
      <w:r w:rsidR="00B13C1A" w:rsidRPr="00664E64">
        <w:t>r</w:t>
      </w:r>
      <w:r w:rsidRPr="00664E64">
        <w:t>eview (2015) suggested that previous</w:t>
      </w:r>
      <w:r w:rsidR="00E47A70" w:rsidRPr="00664E64">
        <w:t xml:space="preserve"> time</w:t>
      </w:r>
      <w:r w:rsidR="00AC2020" w:rsidRPr="00664E64">
        <w:t xml:space="preserve"> </w:t>
      </w:r>
      <w:r w:rsidR="00E47A70" w:rsidRPr="00664E64">
        <w:t>frames vastly over-estimate</w:t>
      </w:r>
      <w:r w:rsidRPr="00664E64">
        <w:t>d</w:t>
      </w:r>
      <w:r w:rsidR="00E47A70" w:rsidRPr="00664E64">
        <w:t xml:space="preserve"> the time required to verify customers’ identities. </w:t>
      </w:r>
      <w:r w:rsidRPr="00664E64">
        <w:t xml:space="preserve">It was suggested that they did </w:t>
      </w:r>
      <w:r w:rsidR="00E47A70" w:rsidRPr="00664E64">
        <w:t>not reflect the ease or speed with which online customers c</w:t>
      </w:r>
      <w:r w:rsidRPr="00664E64">
        <w:t>ould</w:t>
      </w:r>
      <w:r w:rsidR="00E47A70" w:rsidRPr="00664E64">
        <w:t xml:space="preserve"> be identified with current technology</w:t>
      </w:r>
      <w:r w:rsidRPr="00664E64">
        <w:t xml:space="preserve">, and that it allowed for </w:t>
      </w:r>
      <w:r w:rsidR="00E47A70" w:rsidRPr="00664E64">
        <w:t xml:space="preserve">an extended period in which persons who </w:t>
      </w:r>
      <w:r w:rsidRPr="00664E64">
        <w:t>were</w:t>
      </w:r>
      <w:r w:rsidR="00E47A70" w:rsidRPr="00664E64">
        <w:t xml:space="preserve"> underage or self-excluded c</w:t>
      </w:r>
      <w:r w:rsidRPr="00664E64">
        <w:t>ould</w:t>
      </w:r>
      <w:r w:rsidR="00E47A70" w:rsidRPr="00664E64">
        <w:t xml:space="preserve"> wager online, or </w:t>
      </w:r>
      <w:r w:rsidRPr="00664E64">
        <w:t xml:space="preserve">in </w:t>
      </w:r>
      <w:r w:rsidR="00E47A70" w:rsidRPr="00664E64">
        <w:t>which persons engaged in match fixing or money laundering c</w:t>
      </w:r>
      <w:r w:rsidRPr="00664E64">
        <w:t>ould</w:t>
      </w:r>
      <w:r w:rsidR="00E47A70" w:rsidRPr="00664E64">
        <w:t xml:space="preserve"> </w:t>
      </w:r>
      <w:r w:rsidR="00AC2020" w:rsidRPr="00664E64">
        <w:t xml:space="preserve">not </w:t>
      </w:r>
      <w:r w:rsidR="00E47A70" w:rsidRPr="00664E64">
        <w:t xml:space="preserve">be detected. </w:t>
      </w:r>
    </w:p>
    <w:p w14:paraId="3CB6E0C5" w14:textId="77777777" w:rsidR="00E47A70" w:rsidRPr="00664E64" w:rsidRDefault="00E47A70" w:rsidP="00A55CD9">
      <w:pPr>
        <w:pStyle w:val="Heading4"/>
      </w:pPr>
      <w:r w:rsidRPr="00664E64">
        <w:t>Restrictions to inducements across jurisdictions</w:t>
      </w:r>
    </w:p>
    <w:p w14:paraId="4ED9CB9E" w14:textId="2C5B2A96" w:rsidR="00E47A70" w:rsidRPr="00664E64" w:rsidRDefault="00E47A70" w:rsidP="00E47A70">
      <w:pPr>
        <w:pStyle w:val="BodyText"/>
      </w:pPr>
      <w:r w:rsidRPr="00664E64">
        <w:t xml:space="preserve">The fourth measure provides a consistent set of six core minimum consumer protection standards around the provision of inducements by online wagering providers (DSS, 2017). State and territory governments </w:t>
      </w:r>
      <w:r w:rsidR="00681EBC" w:rsidRPr="00664E64">
        <w:t>are</w:t>
      </w:r>
      <w:r w:rsidR="0077252E" w:rsidRPr="00664E64">
        <w:t xml:space="preserve"> scheduled to </w:t>
      </w:r>
      <w:r w:rsidRPr="00664E64">
        <w:t xml:space="preserve">implement these standards by May 2019 (DSS, 2018). </w:t>
      </w:r>
    </w:p>
    <w:p w14:paraId="14655560" w14:textId="7AFC7035" w:rsidR="00E47A70" w:rsidRPr="00664E64" w:rsidRDefault="00E47A70" w:rsidP="00E47A70">
      <w:pPr>
        <w:pStyle w:val="BodyText"/>
      </w:pPr>
      <w:r w:rsidRPr="00664E64">
        <w:t>These standards include the following features (</w:t>
      </w:r>
      <w:r w:rsidR="00AC2020" w:rsidRPr="00664E64">
        <w:t>DSS</w:t>
      </w:r>
      <w:r w:rsidRPr="00664E64">
        <w:t>, 2018):</w:t>
      </w:r>
    </w:p>
    <w:p w14:paraId="0E8909B6" w14:textId="41698E5A" w:rsidR="00E47A70" w:rsidRPr="00664E64" w:rsidRDefault="00AC2020" w:rsidP="00A55CD9">
      <w:pPr>
        <w:pStyle w:val="ListBullet"/>
      </w:pPr>
      <w:r w:rsidRPr="00664E64">
        <w:t xml:space="preserve">Offering </w:t>
      </w:r>
      <w:r w:rsidR="00E47A70" w:rsidRPr="00664E64">
        <w:t>any credit, voucher, reward, or other benefit as an incentive to open an account or refer another person to open an account is prohibited.</w:t>
      </w:r>
    </w:p>
    <w:p w14:paraId="3A4649AF" w14:textId="0986D828" w:rsidR="00E47A70" w:rsidRPr="00664E64" w:rsidRDefault="00AC2020" w:rsidP="00A55CD9">
      <w:pPr>
        <w:pStyle w:val="ListBullet"/>
      </w:pPr>
      <w:r w:rsidRPr="00664E64">
        <w:t xml:space="preserve">Any </w:t>
      </w:r>
      <w:r w:rsidR="00E47A70" w:rsidRPr="00664E64">
        <w:t>credit, voucher, reward, or other benefit that is not part of an approved loyalty program must not be offered.</w:t>
      </w:r>
    </w:p>
    <w:p w14:paraId="35858BC0" w14:textId="151F389F" w:rsidR="00E47A70" w:rsidRPr="00664E64" w:rsidRDefault="00AC2020" w:rsidP="00A55CD9">
      <w:pPr>
        <w:pStyle w:val="ListBullet"/>
      </w:pPr>
      <w:r w:rsidRPr="00664E64">
        <w:t xml:space="preserve">Winnings </w:t>
      </w:r>
      <w:r w:rsidR="00E47A70" w:rsidRPr="00664E64">
        <w:t>from a complementary betting credit or token (i.e. bonus bet) must be able to be withdrawn without being subject to any turnover requirements.</w:t>
      </w:r>
    </w:p>
    <w:p w14:paraId="5F4F2209" w14:textId="69CBE72D" w:rsidR="00E47A70" w:rsidRPr="00664E64" w:rsidRDefault="00AC2020" w:rsidP="00A55CD9">
      <w:pPr>
        <w:pStyle w:val="ListBullet"/>
      </w:pPr>
      <w:r w:rsidRPr="00664E64">
        <w:t xml:space="preserve">All </w:t>
      </w:r>
      <w:r w:rsidR="00E47A70" w:rsidRPr="00664E64">
        <w:t xml:space="preserve">direct marketing to customers may only be sent to customers who provide their express consent to receive this material.  </w:t>
      </w:r>
    </w:p>
    <w:p w14:paraId="79D99293" w14:textId="5361B52E" w:rsidR="00E47A70" w:rsidRPr="00664E64" w:rsidRDefault="00AC2020" w:rsidP="00A55CD9">
      <w:pPr>
        <w:pStyle w:val="ListBullet"/>
      </w:pPr>
      <w:r w:rsidRPr="00664E64">
        <w:t xml:space="preserve">A </w:t>
      </w:r>
      <w:r w:rsidR="00E47A70" w:rsidRPr="00664E64">
        <w:t xml:space="preserve">customer must be able to unsubscribe </w:t>
      </w:r>
      <w:r w:rsidRPr="00664E64">
        <w:t xml:space="preserve">from </w:t>
      </w:r>
      <w:r w:rsidR="00E47A70" w:rsidRPr="00664E64">
        <w:t xml:space="preserve">receiving direct marketing materials and the link to unsubscribe must be functional and easily accessible. </w:t>
      </w:r>
    </w:p>
    <w:p w14:paraId="2AD91368" w14:textId="66707548" w:rsidR="00E47A70" w:rsidRPr="00664E64" w:rsidRDefault="00AC2020" w:rsidP="00A55CD9">
      <w:pPr>
        <w:pStyle w:val="ListBullet"/>
      </w:pPr>
      <w:r w:rsidRPr="00664E64">
        <w:t xml:space="preserve">No </w:t>
      </w:r>
      <w:r w:rsidR="00E47A70" w:rsidRPr="00664E64">
        <w:t xml:space="preserve">further direct marketing materials may be sent to </w:t>
      </w:r>
      <w:r w:rsidRPr="00664E64">
        <w:t xml:space="preserve">the </w:t>
      </w:r>
      <w:r w:rsidR="00E47A70" w:rsidRPr="00664E64">
        <w:t xml:space="preserve">consumer from the time their unsubscribe request is received. </w:t>
      </w:r>
    </w:p>
    <w:p w14:paraId="64CA35F3" w14:textId="786DE87B" w:rsidR="00E47A70" w:rsidRPr="00664E64" w:rsidRDefault="00E47A70" w:rsidP="00E47A70">
      <w:pPr>
        <w:pStyle w:val="BodyText"/>
      </w:pPr>
      <w:r w:rsidRPr="00664E64">
        <w:t xml:space="preserve">All Australian jurisdictions have </w:t>
      </w:r>
      <w:r w:rsidR="00681EBC" w:rsidRPr="00664E64">
        <w:t xml:space="preserve">had </w:t>
      </w:r>
      <w:r w:rsidRPr="00664E64">
        <w:t xml:space="preserve">varying restrictions for inducements offered by online wagering providers. The most prohibitive </w:t>
      </w:r>
      <w:r w:rsidR="00681EBC" w:rsidRPr="00664E64">
        <w:t>have been</w:t>
      </w:r>
      <w:r w:rsidRPr="00664E64">
        <w:t xml:space="preserve"> in New South Wales (NSW) and South Australia (SA). In NSW, regulations </w:t>
      </w:r>
      <w:r w:rsidR="00681EBC" w:rsidRPr="00664E64">
        <w:t xml:space="preserve">have </w:t>
      </w:r>
      <w:r w:rsidRPr="00664E64">
        <w:t>prohibit</w:t>
      </w:r>
      <w:r w:rsidR="00681EBC" w:rsidRPr="00664E64">
        <w:t>ed</w:t>
      </w:r>
      <w:r w:rsidRPr="00664E64">
        <w:t xml:space="preserve"> gambling advertising that offers any sort of inducement to participate in any </w:t>
      </w:r>
      <w:r w:rsidR="00681EBC" w:rsidRPr="00664E64">
        <w:t>wagering</w:t>
      </w:r>
      <w:r w:rsidRPr="00664E64">
        <w:t xml:space="preserve"> activity, including opening a betting account and any inducement offered with a disclaimer. An exception </w:t>
      </w:r>
      <w:r w:rsidR="00681EBC" w:rsidRPr="00664E64">
        <w:t>has been</w:t>
      </w:r>
      <w:r w:rsidRPr="00664E64">
        <w:t xml:space="preserve"> that inducement offers are allowed to be marketed to people who have existing wagering accounts. In SA, all inducements </w:t>
      </w:r>
      <w:r w:rsidR="00681EBC" w:rsidRPr="00664E64">
        <w:t>have been</w:t>
      </w:r>
      <w:r w:rsidRPr="00664E64">
        <w:t xml:space="preserve"> banned except for the offering or provision of participation in an acceptable loyalty program. Interstate online wagering providers are prohibited from offering SA residents any inducements (DSS, 2017). </w:t>
      </w:r>
    </w:p>
    <w:p w14:paraId="3C849BD2" w14:textId="4A92A91A" w:rsidR="00AD1610" w:rsidRDefault="00E47A70" w:rsidP="00E47A70">
      <w:pPr>
        <w:pStyle w:val="BodyText"/>
      </w:pPr>
      <w:r w:rsidRPr="00664E64">
        <w:t>The application of the current measure to all Australian jurisdictions follows from research linking wagering inducements to higher risk gambling behaviour</w:t>
      </w:r>
      <w:r w:rsidR="00E145CB">
        <w:t>,</w:t>
      </w:r>
      <w:r w:rsidRPr="00664E64">
        <w:t xml:space="preserve"> and from concerns in the O’Farrell </w:t>
      </w:r>
      <w:r w:rsidR="00B13C1A" w:rsidRPr="00664E64">
        <w:t>r</w:t>
      </w:r>
      <w:r w:rsidRPr="00664E64">
        <w:t>eview (2015) about the fragmented approach to restricting their use across Australian jurisdictions (Gainsbury, Delfabbro, King, &amp; Hing, 2015; Hing, Cherney, Blaszcznski, Gainsbury, &amp; Lubman, 2014; Hing, Lamont, Vitartas, &amp; Fink, 2015; Hing, Sproston, Brading, &amp; Brook, 2015; Hing, Sproston, Brook &amp; Brading, 2016; Responsible Gambling Council, 2013)</w:t>
      </w:r>
      <w:r w:rsidR="00EB7953" w:rsidRPr="00664E64">
        <w:t>.</w:t>
      </w:r>
      <w:r w:rsidRPr="00664E64">
        <w:t xml:space="preserve">  Box </w:t>
      </w:r>
      <w:r w:rsidR="00AC2020" w:rsidRPr="00664E64">
        <w:t>A</w:t>
      </w:r>
      <w:r w:rsidRPr="00664E64">
        <w:t xml:space="preserve">1.1 lists common inducements. </w:t>
      </w:r>
    </w:p>
    <w:p w14:paraId="776E1F7C" w14:textId="77777777" w:rsidR="00AD1610" w:rsidRDefault="00AD1610">
      <w:pPr>
        <w:rPr>
          <w:rFonts w:ascii="Arial" w:hAnsi="Arial"/>
          <w:color w:val="2C2624"/>
          <w:sz w:val="20"/>
          <w:lang w:bidi="en-US"/>
        </w:rPr>
      </w:pPr>
      <w:r>
        <w:br w:type="page"/>
      </w:r>
    </w:p>
    <w:p w14:paraId="6D149B31" w14:textId="77777777" w:rsidR="00E47A70" w:rsidRPr="00664E64" w:rsidRDefault="00E47A70" w:rsidP="00E47A70">
      <w:pPr>
        <w:pStyle w:val="BodyText"/>
      </w:pPr>
    </w:p>
    <w:p w14:paraId="47224F43" w14:textId="456A4E6E" w:rsidR="00A35876" w:rsidRPr="00915C40" w:rsidRDefault="00A35876" w:rsidP="00A35876">
      <w:pPr>
        <w:pStyle w:val="BoxHeading1"/>
        <w:rPr>
          <w:color w:val="auto"/>
        </w:rPr>
      </w:pPr>
      <w:r w:rsidRPr="00915C40">
        <w:rPr>
          <w:color w:val="auto"/>
        </w:rPr>
        <w:t>Box A1.1: Inducements</w:t>
      </w:r>
    </w:p>
    <w:p w14:paraId="0A4786B3" w14:textId="51C67D29" w:rsidR="00A35876" w:rsidRPr="00664E64" w:rsidRDefault="00A35876" w:rsidP="00A35876">
      <w:pPr>
        <w:pStyle w:val="BoxText"/>
      </w:pPr>
      <w:r w:rsidRPr="00664E64">
        <w:t xml:space="preserve">Inducements refer to financial incentives provided to </w:t>
      </w:r>
      <w:r w:rsidR="00E145CB">
        <w:t>people who wager</w:t>
      </w:r>
      <w:r w:rsidRPr="00664E64">
        <w:t xml:space="preserve"> or potential </w:t>
      </w:r>
      <w:r w:rsidR="00E145CB">
        <w:t>wagerers</w:t>
      </w:r>
      <w:r w:rsidRPr="00664E64">
        <w:t xml:space="preserve"> to encourage the initial or continued use of a specific operator. These include: </w:t>
      </w:r>
    </w:p>
    <w:p w14:paraId="75072DD5" w14:textId="77777777" w:rsidR="00A35876" w:rsidRPr="00664E64" w:rsidRDefault="00A35876" w:rsidP="00A35876">
      <w:pPr>
        <w:pStyle w:val="BoxBulletList"/>
      </w:pPr>
      <w:r w:rsidRPr="00664E64">
        <w:t>sign up offers (including free bets or matching of initial deposits)</w:t>
      </w:r>
    </w:p>
    <w:p w14:paraId="2F76360C" w14:textId="77777777" w:rsidR="00A35876" w:rsidRPr="00664E64" w:rsidRDefault="00A35876" w:rsidP="00A35876">
      <w:pPr>
        <w:pStyle w:val="BoxBulletList"/>
      </w:pPr>
      <w:r w:rsidRPr="00664E64">
        <w:t>multi-bet offers</w:t>
      </w:r>
    </w:p>
    <w:p w14:paraId="650432F7" w14:textId="77777777" w:rsidR="00A35876" w:rsidRPr="00664E64" w:rsidRDefault="00A35876" w:rsidP="00A35876">
      <w:pPr>
        <w:pStyle w:val="BoxBulletList"/>
      </w:pPr>
      <w:r w:rsidRPr="00664E64">
        <w:t>deposit bonuses (including free bets or matching of additional deposits)</w:t>
      </w:r>
    </w:p>
    <w:p w14:paraId="6D2407F1" w14:textId="77777777" w:rsidR="00A35876" w:rsidRPr="00664E64" w:rsidRDefault="00A35876" w:rsidP="00A35876">
      <w:pPr>
        <w:pStyle w:val="BoxBulletList"/>
      </w:pPr>
      <w:r w:rsidRPr="00664E64">
        <w:t>payouts on certain losing bets (including protest or extra-time payouts)</w:t>
      </w:r>
    </w:p>
    <w:p w14:paraId="1A519D11" w14:textId="77777777" w:rsidR="00A35876" w:rsidRPr="00664E64" w:rsidRDefault="00A35876" w:rsidP="00A35876">
      <w:pPr>
        <w:pStyle w:val="BoxBulletList"/>
      </w:pPr>
      <w:r w:rsidRPr="00664E64">
        <w:t>referral credits</w:t>
      </w:r>
    </w:p>
    <w:p w14:paraId="48035A09" w14:textId="77777777" w:rsidR="00A35876" w:rsidRPr="00664E64" w:rsidRDefault="00A35876" w:rsidP="00A35876">
      <w:pPr>
        <w:pStyle w:val="BoxBulletList"/>
      </w:pPr>
      <w:r w:rsidRPr="00664E64">
        <w:t>promotional odds (such as ‘bonus’ odds)</w:t>
      </w:r>
    </w:p>
    <w:p w14:paraId="43A1E256" w14:textId="77777777" w:rsidR="00A35876" w:rsidRPr="00664E64" w:rsidRDefault="00A35876" w:rsidP="00A35876">
      <w:pPr>
        <w:pStyle w:val="BoxBulletList"/>
      </w:pPr>
      <w:r w:rsidRPr="00664E64">
        <w:t>promotional winnings (such as ‘bonus’ winnings)</w:t>
      </w:r>
    </w:p>
    <w:p w14:paraId="3474D9A1" w14:textId="77777777" w:rsidR="00A35876" w:rsidRPr="00664E64" w:rsidRDefault="00A35876" w:rsidP="00A35876">
      <w:pPr>
        <w:pStyle w:val="BoxBulletList"/>
      </w:pPr>
      <w:r w:rsidRPr="00664E64">
        <w:t>competitions offering bonus bets as prizes</w:t>
      </w:r>
    </w:p>
    <w:p w14:paraId="01CDCDE8" w14:textId="77777777" w:rsidR="00A35876" w:rsidRPr="00664E64" w:rsidRDefault="00A35876" w:rsidP="00A35876">
      <w:pPr>
        <w:pStyle w:val="BoxBulletList"/>
      </w:pPr>
      <w:r w:rsidRPr="00664E64">
        <w:t>reduced commissions</w:t>
      </w:r>
    </w:p>
    <w:p w14:paraId="4F60FDA5" w14:textId="77777777" w:rsidR="00A35876" w:rsidRPr="00664E64" w:rsidRDefault="00A35876" w:rsidP="00A35876">
      <w:pPr>
        <w:pStyle w:val="BoxBulletList"/>
      </w:pPr>
      <w:r w:rsidRPr="00664E64">
        <w:t xml:space="preserve">free bets </w:t>
      </w:r>
    </w:p>
    <w:p w14:paraId="56EF7DE8" w14:textId="77777777" w:rsidR="00A35876" w:rsidRPr="00664E64" w:rsidRDefault="00A35876" w:rsidP="00A35876">
      <w:pPr>
        <w:pStyle w:val="BoxBulletList"/>
      </w:pPr>
      <w:r w:rsidRPr="00664E64">
        <w:t>cash rebates.</w:t>
      </w:r>
    </w:p>
    <w:p w14:paraId="20A639DD" w14:textId="3CBE0B64" w:rsidR="00A35876" w:rsidRPr="00664E64" w:rsidRDefault="00A35876" w:rsidP="00415C73">
      <w:pPr>
        <w:pStyle w:val="BoxNotesandSource"/>
      </w:pPr>
      <w:r w:rsidRPr="00664E64">
        <w:t xml:space="preserve">Source: </w:t>
      </w:r>
      <w:r w:rsidRPr="00664E64">
        <w:tab/>
        <w:t>O’Farrell (2015)</w:t>
      </w:r>
    </w:p>
    <w:p w14:paraId="7376F8F6" w14:textId="28C47782" w:rsidR="00E47A70" w:rsidRPr="00664E64" w:rsidRDefault="00E47A70" w:rsidP="00E47A70">
      <w:pPr>
        <w:pStyle w:val="BodyText"/>
        <w:snapToGrid w:val="0"/>
        <w:spacing w:before="240"/>
      </w:pPr>
      <w:r w:rsidRPr="00664E64">
        <w:t>Inducements to wager are heavily promoted through traditional and</w:t>
      </w:r>
      <w:r w:rsidR="00154AF8" w:rsidRPr="00664E64">
        <w:t>,</w:t>
      </w:r>
      <w:r w:rsidRPr="00664E64">
        <w:t xml:space="preserve"> particularly</w:t>
      </w:r>
      <w:r w:rsidR="00154AF8" w:rsidRPr="00664E64">
        <w:t>,</w:t>
      </w:r>
      <w:r w:rsidRPr="00664E64">
        <w:t xml:space="preserve"> digital media</w:t>
      </w:r>
      <w:r w:rsidR="00154AF8" w:rsidRPr="00664E64">
        <w:t>,</w:t>
      </w:r>
      <w:r w:rsidRPr="00664E64">
        <w:t xml:space="preserve"> </w:t>
      </w:r>
      <w:r w:rsidR="00154AF8" w:rsidRPr="00664E64">
        <w:t xml:space="preserve">which </w:t>
      </w:r>
      <w:r w:rsidRPr="00664E64">
        <w:t>face</w:t>
      </w:r>
      <w:r w:rsidR="00154AF8" w:rsidRPr="00664E64">
        <w:t>s</w:t>
      </w:r>
      <w:r w:rsidRPr="00664E64">
        <w:t xml:space="preserve"> fewer advertising restrictions (Sproston, Hanley, Brook, Hing, &amp; Gainsbury, 2015). Many are </w:t>
      </w:r>
      <w:r w:rsidR="00E145CB">
        <w:t xml:space="preserve">reportedly </w:t>
      </w:r>
      <w:r w:rsidRPr="00664E64">
        <w:t xml:space="preserve">designed to facilitate impulse betting and are conducive to continued and intensified </w:t>
      </w:r>
      <w:r w:rsidR="00E145CB">
        <w:t>wagering</w:t>
      </w:r>
      <w:r w:rsidRPr="00664E64">
        <w:t xml:space="preserve"> involvement – behaviours commonly identified as high-risk factors for gambling problems (Hing, Russell, Lamont, &amp; Vitartas, 2017; Hing, Russell, Li, &amp; Vitartas, 2018; Lopez-Gonzalez &amp; Griffiths, 2017; Armstrong et al., 2018; Binde, 2011; MacLaren, 2016). </w:t>
      </w:r>
    </w:p>
    <w:p w14:paraId="3639F785" w14:textId="1509344A" w:rsidR="00E47A70" w:rsidRPr="00664E64" w:rsidRDefault="00E47A70" w:rsidP="00E47A70">
      <w:pPr>
        <w:pStyle w:val="BodyText"/>
      </w:pPr>
      <w:r w:rsidRPr="00664E64">
        <w:t>A review of gambling advertising concluded that inducements also hinder efforts to limit gambling and can trigger relapses in risky gambling behaviour patterns (Binde, 2014). The advertising and provision of such inducements by domestic providers runs contrary to the commitment to responsible gambling outlined on the front page of most providers’ websites (Hing et al., 2016).</w:t>
      </w:r>
    </w:p>
    <w:p w14:paraId="68D97BF6" w14:textId="65D9CE20" w:rsidR="00E47A70" w:rsidRPr="00664E64" w:rsidRDefault="00E47A70" w:rsidP="00E47A70">
      <w:pPr>
        <w:pStyle w:val="BodyText"/>
      </w:pPr>
      <w:r w:rsidRPr="00664E64">
        <w:t xml:space="preserve">It is also common for people who bet online to actively seek out inducements to increase the value of their bets. Previous research has found that participants open accounts with multiple providers, increasing their exposure to inducements in the process. Young males who bet, in particular, are </w:t>
      </w:r>
      <w:r w:rsidR="00E145CB">
        <w:t xml:space="preserve">often </w:t>
      </w:r>
      <w:r w:rsidRPr="00664E64">
        <w:t>targeted by advertising to encourage this behaviour (Hing</w:t>
      </w:r>
      <w:r w:rsidR="00ED0DF3" w:rsidRPr="00664E64">
        <w:t>, Lamont</w:t>
      </w:r>
      <w:r w:rsidRPr="00664E64">
        <w:t xml:space="preserve"> et al., 2015; Jenkinson et al., 2018). </w:t>
      </w:r>
    </w:p>
    <w:p w14:paraId="0F93D90D" w14:textId="78FC4096" w:rsidR="00A37CBD" w:rsidRPr="00664E64" w:rsidRDefault="00E145CB" w:rsidP="00A37CBD">
      <w:pPr>
        <w:pStyle w:val="BodyText"/>
      </w:pPr>
      <w:r>
        <w:t xml:space="preserve">A </w:t>
      </w:r>
      <w:r w:rsidR="00A37CBD" w:rsidRPr="00664E64">
        <w:t>recent</w:t>
      </w:r>
      <w:r>
        <w:t xml:space="preserve"> </w:t>
      </w:r>
      <w:r w:rsidR="00A37CBD" w:rsidRPr="00664E64">
        <w:t xml:space="preserve">study of 722 people who bet regularly found frequent and ongoing exposure to inducements on a near daily basis (Hing, Russell, Thomas, &amp; Jenkinson, 2019). It was suggested that although those who bet could opt out of receiving messages containing inducements, a desire to stay informed underlay their choice to remain opted in. Both race and sports bettors reported that inducements made it much more likely they would place more frequent and larger bets. </w:t>
      </w:r>
    </w:p>
    <w:p w14:paraId="35FA82D8" w14:textId="0046BAD9" w:rsidR="00A37CBD" w:rsidRPr="00664E64" w:rsidRDefault="00A37CBD" w:rsidP="00A37CBD">
      <w:pPr>
        <w:pStyle w:val="BodyText"/>
      </w:pPr>
      <w:r w:rsidRPr="00664E64">
        <w:t xml:space="preserve">Sports betting inducements in particular are often marketed with a reduction in risks by providing full or partial refund of the stake (under certain conditions), or the opportunity to withdraw the bet before the outcome is guaranteed (Lopez-Gonzalez &amp; Griffiths, 2017). However, recent research shows these marketing approaches to inducements are likely to lead consumers to overestimate </w:t>
      </w:r>
      <w:r w:rsidRPr="00664E64">
        <w:lastRenderedPageBreak/>
        <w:t xml:space="preserve">their attractiveness and underestimate their true cost (Hing, Browne et al., 2018), and to spend/lose more rather than less (Hing et al., 2019). </w:t>
      </w:r>
    </w:p>
    <w:p w14:paraId="7A5F96CC" w14:textId="628175B7" w:rsidR="00E47A70" w:rsidRPr="00664E64" w:rsidRDefault="00591CC2" w:rsidP="00A55CD9">
      <w:pPr>
        <w:pStyle w:val="Heading4"/>
      </w:pPr>
      <w:r w:rsidRPr="00664E64">
        <w:t>Ready access to account closure or cancellation</w:t>
      </w:r>
      <w:r w:rsidR="00E47A70" w:rsidRPr="00664E64">
        <w:t xml:space="preserve"> </w:t>
      </w:r>
    </w:p>
    <w:p w14:paraId="402913E9" w14:textId="0B7174B3" w:rsidR="00E47A70" w:rsidRPr="00664E64" w:rsidRDefault="00E47A70" w:rsidP="00E47A70">
      <w:pPr>
        <w:pStyle w:val="BodyText"/>
        <w:rPr>
          <w:color w:val="000000" w:themeColor="text1"/>
        </w:rPr>
      </w:pPr>
      <w:r w:rsidRPr="00664E64">
        <w:t xml:space="preserve">The fifth </w:t>
      </w:r>
      <w:r w:rsidRPr="00664E64">
        <w:rPr>
          <w:color w:val="000000" w:themeColor="text1"/>
        </w:rPr>
        <w:t xml:space="preserve">measure requires that information regarding the process for customer-initiated account closure be included and clearly articulated within each customer’s ‘My Account’ window (DSS, 2017, 2018). </w:t>
      </w:r>
      <w:r w:rsidR="00681EBC" w:rsidRPr="00664E64">
        <w:rPr>
          <w:color w:val="000000" w:themeColor="text1"/>
        </w:rPr>
        <w:t>S</w:t>
      </w:r>
      <w:r w:rsidRPr="00664E64">
        <w:rPr>
          <w:color w:val="000000" w:themeColor="text1"/>
        </w:rPr>
        <w:t xml:space="preserve">tate and territory governments </w:t>
      </w:r>
      <w:r w:rsidR="00681EBC" w:rsidRPr="00664E64">
        <w:rPr>
          <w:color w:val="000000" w:themeColor="text1"/>
        </w:rPr>
        <w:t>are expected to</w:t>
      </w:r>
      <w:r w:rsidRPr="00664E64">
        <w:rPr>
          <w:color w:val="000000" w:themeColor="text1"/>
        </w:rPr>
        <w:t xml:space="preserve"> implement this measure by May 2019 (DSS, 2018). </w:t>
      </w:r>
    </w:p>
    <w:p w14:paraId="235F6E49" w14:textId="26888EAA" w:rsidR="00CB3838" w:rsidRPr="00664E64" w:rsidRDefault="00CB3838" w:rsidP="00CB3838">
      <w:pPr>
        <w:pStyle w:val="BodyText"/>
      </w:pPr>
      <w:r w:rsidRPr="00664E64">
        <w:rPr>
          <w:color w:val="000000" w:themeColor="text1"/>
        </w:rPr>
        <w:t xml:space="preserve">The measure addresses the current lack of consistency across online wagering sites in account closure options for customers. Stakeholder consultations for the National Framework </w:t>
      </w:r>
      <w:r w:rsidR="00591CC2" w:rsidRPr="00664E64">
        <w:rPr>
          <w:color w:val="000000" w:themeColor="text1"/>
        </w:rPr>
        <w:t>Regulation Impact Statement (</w:t>
      </w:r>
      <w:r w:rsidRPr="00664E64">
        <w:rPr>
          <w:color w:val="000000" w:themeColor="text1"/>
        </w:rPr>
        <w:t>RIS</w:t>
      </w:r>
      <w:r w:rsidR="00591CC2" w:rsidRPr="00664E64">
        <w:rPr>
          <w:color w:val="000000" w:themeColor="text1"/>
        </w:rPr>
        <w:t>)</w:t>
      </w:r>
      <w:r w:rsidRPr="00664E64">
        <w:rPr>
          <w:color w:val="000000" w:themeColor="text1"/>
        </w:rPr>
        <w:t xml:space="preserve"> heard concerns that some </w:t>
      </w:r>
      <w:r w:rsidR="00591CC2" w:rsidRPr="00664E64">
        <w:rPr>
          <w:color w:val="000000" w:themeColor="text1"/>
        </w:rPr>
        <w:t>people who wagered</w:t>
      </w:r>
      <w:r w:rsidRPr="00664E64">
        <w:rPr>
          <w:color w:val="000000" w:themeColor="text1"/>
        </w:rPr>
        <w:t xml:space="preserve"> </w:t>
      </w:r>
      <w:r w:rsidRPr="00664E64">
        <w:t xml:space="preserve">experienced difficulties closing their </w:t>
      </w:r>
      <w:r w:rsidR="00591CC2" w:rsidRPr="00664E64">
        <w:t>online</w:t>
      </w:r>
      <w:r w:rsidRPr="00664E64">
        <w:t xml:space="preserve"> accounts, with some providers not closing customer accounts when requested to do so. Indeed, some </w:t>
      </w:r>
      <w:r w:rsidR="00591CC2" w:rsidRPr="00664E64">
        <w:t>people who bet</w:t>
      </w:r>
      <w:r w:rsidRPr="00664E64">
        <w:t xml:space="preserve"> described being offered inducements to keep their accounts open following closure requests. Others described sites where providers did not have account closure options. Instead, deactivation or suspension options were offered, with no return of funds. An administrative fee was charged to retain the funds attached to the deactivated account (DSS, 2017). </w:t>
      </w:r>
    </w:p>
    <w:p w14:paraId="1A96B9B7" w14:textId="38A5A653" w:rsidR="00CB3838" w:rsidRPr="00664E64" w:rsidRDefault="00CB3838" w:rsidP="00CB3838">
      <w:pPr>
        <w:pStyle w:val="BodyText"/>
      </w:pPr>
      <w:r w:rsidRPr="00664E64">
        <w:t xml:space="preserve">The absence of a </w:t>
      </w:r>
      <w:r w:rsidRPr="00FF4B80">
        <w:t>transparent, simple and accessible process to close an account runs counter to responsible gam</w:t>
      </w:r>
      <w:r w:rsidR="00E145CB" w:rsidRPr="00FF4B80">
        <w:t>bl</w:t>
      </w:r>
      <w:r w:rsidRPr="00FF4B80">
        <w:t xml:space="preserve">ing practices for customers who </w:t>
      </w:r>
      <w:r w:rsidR="00E145CB" w:rsidRPr="00FF4B80">
        <w:t xml:space="preserve">may be at risk of harm or </w:t>
      </w:r>
      <w:r w:rsidRPr="00FF4B80">
        <w:t>wish to cease gambling and have funds returned.</w:t>
      </w:r>
      <w:r w:rsidR="00FE56A8" w:rsidRPr="00FF4B80">
        <w:t xml:space="preserve"> A simple and clearly articulated mechanism for closing consumer accounts should be established.</w:t>
      </w:r>
      <w:r w:rsidR="00FE56A8">
        <w:t xml:space="preserve"> </w:t>
      </w:r>
    </w:p>
    <w:p w14:paraId="6A3E80C9" w14:textId="77777777" w:rsidR="00E47A70" w:rsidRPr="00664E64" w:rsidRDefault="00E47A70" w:rsidP="00A55CD9">
      <w:pPr>
        <w:pStyle w:val="Heading4"/>
      </w:pPr>
      <w:r w:rsidRPr="00664E64">
        <w:t>Provision of a voluntary opt-out pre-commitment scheme</w:t>
      </w:r>
    </w:p>
    <w:p w14:paraId="7ADF98ED" w14:textId="0F33A98E" w:rsidR="00E47A70" w:rsidRPr="00664E64" w:rsidRDefault="00E47A70" w:rsidP="00E47A70">
      <w:pPr>
        <w:pStyle w:val="BodyText"/>
      </w:pPr>
      <w:r w:rsidRPr="00664E64">
        <w:t xml:space="preserve">The sixth measure requires online wagering providers to follow a standardised approach in the provision of a voluntary opt-out pre-commitment scheme for all customers (DSS, 2017). Each provider is required to offer consumers options to set binding limits on how much they can deposit into their online wagering account over a given time period. They are also required to review these limits </w:t>
      </w:r>
      <w:r w:rsidR="00A37701">
        <w:t xml:space="preserve">at least </w:t>
      </w:r>
      <w:r w:rsidRPr="00664E64">
        <w:t xml:space="preserve">yearly. State and territory governments are expected to implement this measure by May 2019. The feasibility of extending the scheme to a centralised system, where limits set with one provider would apply across all providers, is to be considered within three years (DSS, 2018). </w:t>
      </w:r>
    </w:p>
    <w:p w14:paraId="6EFAAA3D" w14:textId="1A9A4015" w:rsidR="00E47A70" w:rsidRPr="00664E64" w:rsidRDefault="00E47A70" w:rsidP="00E47A70">
      <w:pPr>
        <w:pStyle w:val="BodyText"/>
      </w:pPr>
      <w:r w:rsidRPr="00664E64">
        <w:t>The specific features of the standardised approach comprise the following (</w:t>
      </w:r>
      <w:r w:rsidR="00390FF0" w:rsidRPr="00664E64">
        <w:t>DSS</w:t>
      </w:r>
      <w:r w:rsidRPr="00664E64">
        <w:t>, 2018):</w:t>
      </w:r>
    </w:p>
    <w:p w14:paraId="2161E6F7" w14:textId="77777777" w:rsidR="00E47A70" w:rsidRPr="00664E64" w:rsidRDefault="00E47A70" w:rsidP="00E47A70">
      <w:pPr>
        <w:pStyle w:val="ListBullet"/>
      </w:pPr>
      <w:r w:rsidRPr="00664E64">
        <w:t>be easily accessible and effectively promoted to customers</w:t>
      </w:r>
    </w:p>
    <w:p w14:paraId="43E64E7F" w14:textId="77777777" w:rsidR="00E47A70" w:rsidRPr="00664E64" w:rsidRDefault="00E47A70" w:rsidP="00E47A70">
      <w:pPr>
        <w:pStyle w:val="ListBullet"/>
      </w:pPr>
      <w:r w:rsidRPr="00664E64">
        <w:t>prompt a customer to set a limit during the account sign-up process</w:t>
      </w:r>
    </w:p>
    <w:p w14:paraId="755E43E3" w14:textId="16EFE4A4" w:rsidR="00E47A70" w:rsidRPr="00664E64" w:rsidRDefault="00E47A70" w:rsidP="00E47A70">
      <w:pPr>
        <w:pStyle w:val="ListBullet"/>
      </w:pPr>
      <w:r w:rsidRPr="00664E64">
        <w:t xml:space="preserve">mandate deposit limits, with other limits </w:t>
      </w:r>
      <w:r w:rsidR="0024538A">
        <w:t xml:space="preserve">(e.g., spend limits) </w:t>
      </w:r>
      <w:r w:rsidRPr="00664E64">
        <w:t>optional for operators</w:t>
      </w:r>
    </w:p>
    <w:p w14:paraId="3C5F4EEE" w14:textId="77777777" w:rsidR="00E47A70" w:rsidRPr="00664E64" w:rsidRDefault="00E47A70" w:rsidP="00E47A70">
      <w:pPr>
        <w:pStyle w:val="ListBullet"/>
      </w:pPr>
      <w:r w:rsidRPr="00664E64">
        <w:t>limits to be binding</w:t>
      </w:r>
    </w:p>
    <w:p w14:paraId="2F63D6DB" w14:textId="77777777" w:rsidR="00E47A70" w:rsidRPr="00664E64" w:rsidRDefault="00E47A70" w:rsidP="00E47A70">
      <w:pPr>
        <w:pStyle w:val="ListBullet"/>
      </w:pPr>
      <w:r w:rsidRPr="00664E64">
        <w:t>interactive wagering service must not accept further deposits from a customer above the set deposit limit</w:t>
      </w:r>
    </w:p>
    <w:p w14:paraId="24365398" w14:textId="77777777" w:rsidR="00E47A70" w:rsidRPr="00664E64" w:rsidRDefault="00E47A70" w:rsidP="00E47A70">
      <w:pPr>
        <w:pStyle w:val="ListBullet"/>
      </w:pPr>
      <w:r w:rsidRPr="00664E64">
        <w:t>decreasing of limits to apply immediately, with a cooling-off period for limit increases being seven days</w:t>
      </w:r>
    </w:p>
    <w:p w14:paraId="5331C55C" w14:textId="77777777" w:rsidR="00E47A70" w:rsidRPr="00664E64" w:rsidRDefault="00E47A70" w:rsidP="00E47A70">
      <w:pPr>
        <w:pStyle w:val="ListBullet"/>
      </w:pPr>
      <w:r w:rsidRPr="00664E64">
        <w:t>all consumers to be prompted to set and review pre-commitment limits at regular intervals, possibly every year, including to consumers who have chosen not to set a limit (subject to testing)</w:t>
      </w:r>
    </w:p>
    <w:p w14:paraId="376D3DC7" w14:textId="77777777" w:rsidR="00E47A70" w:rsidRPr="00664E64" w:rsidRDefault="00E47A70" w:rsidP="00E47A70">
      <w:pPr>
        <w:pStyle w:val="ListBullet"/>
      </w:pPr>
      <w:r w:rsidRPr="00664E64">
        <w:t>the prompt must occur at the time of the customer’s next bet following each anniversary of the customer’s first bet, except where the customer does not have an active betting account on that date</w:t>
      </w:r>
    </w:p>
    <w:p w14:paraId="74E7CF96" w14:textId="77777777" w:rsidR="00E47A70" w:rsidRPr="00664E64" w:rsidRDefault="00E47A70" w:rsidP="00E47A70">
      <w:pPr>
        <w:pStyle w:val="ListBullet"/>
      </w:pPr>
      <w:r w:rsidRPr="00664E64">
        <w:lastRenderedPageBreak/>
        <w:t>the prompt must be made via the same channel being used by the customer for placing their bet at the time the prompt is due</w:t>
      </w:r>
    </w:p>
    <w:p w14:paraId="7C139497" w14:textId="77777777" w:rsidR="00E47A70" w:rsidRPr="00FF4B80" w:rsidRDefault="00E47A70" w:rsidP="00E47A70">
      <w:pPr>
        <w:pStyle w:val="ListBullet"/>
      </w:pPr>
      <w:r w:rsidRPr="00FF4B80">
        <w:t>options to be available for the consumer to determine the time period for their limit, including daily, weekly, fortnightly and monthly</w:t>
      </w:r>
    </w:p>
    <w:p w14:paraId="163862AA" w14:textId="474BFF3F" w:rsidR="00E47A70" w:rsidRPr="00FF4B80" w:rsidRDefault="00E47A70" w:rsidP="00E47A70">
      <w:pPr>
        <w:pStyle w:val="ListBullet"/>
      </w:pPr>
      <w:r w:rsidRPr="00FF4B80">
        <w:t xml:space="preserve">limit setting </w:t>
      </w:r>
      <w:r w:rsidR="00CB24C8" w:rsidRPr="00FF4B80">
        <w:t xml:space="preserve">and changes to deposit limits </w:t>
      </w:r>
      <w:r w:rsidRPr="00FF4B80">
        <w:t xml:space="preserve">to be </w:t>
      </w:r>
      <w:r w:rsidR="00506A7A" w:rsidRPr="00FF4B80">
        <w:t>accessible</w:t>
      </w:r>
      <w:r w:rsidR="00FA335D" w:rsidRPr="00FF4B80">
        <w:t xml:space="preserve"> via the same channels available to </w:t>
      </w:r>
      <w:r w:rsidR="00506A7A" w:rsidRPr="00FF4B80">
        <w:t xml:space="preserve">customers </w:t>
      </w:r>
      <w:r w:rsidR="00FA335D" w:rsidRPr="00FF4B80">
        <w:t xml:space="preserve">to place a bet, in addition to being able to set or change their deposit limit in writing </w:t>
      </w:r>
    </w:p>
    <w:p w14:paraId="0C2DC657" w14:textId="77777777" w:rsidR="00E47A70" w:rsidRPr="00664E64" w:rsidRDefault="00E47A70" w:rsidP="00E47A70">
      <w:pPr>
        <w:pStyle w:val="ListBullet"/>
      </w:pPr>
      <w:r w:rsidRPr="00FF4B80">
        <w:t>availability of the scheme</w:t>
      </w:r>
      <w:r w:rsidRPr="00664E64">
        <w:t xml:space="preserve"> to be promoted beyond initial account sign-up, with education and awareness of the scheme shown on a provider’s website and in promotional material.</w:t>
      </w:r>
    </w:p>
    <w:p w14:paraId="5854504B" w14:textId="52F4B52B" w:rsidR="00E47A70" w:rsidRPr="00664E64" w:rsidRDefault="00E47A70" w:rsidP="00E47A70">
      <w:pPr>
        <w:pStyle w:val="BodyText"/>
      </w:pPr>
      <w:r w:rsidRPr="00664E64">
        <w:t xml:space="preserve">The measure is intended to provide a nationally consistent approach at the single-operator level. Providers will still be able to offer additional limit-setting options in forms that they currently do, including various combinations of deposit limits, play limits, loss limits and bet limits. Over time, the voluntary opt-out </w:t>
      </w:r>
      <w:r w:rsidR="00E145CB">
        <w:t xml:space="preserve">pre-commitment </w:t>
      </w:r>
      <w:r w:rsidRPr="00664E64">
        <w:t>element is anticipated to normalise monetary limit-setting behaviour for customers, reduc</w:t>
      </w:r>
      <w:r w:rsidR="00E145CB">
        <w:t>e</w:t>
      </w:r>
      <w:r w:rsidRPr="00664E64">
        <w:t xml:space="preserve"> stigma, increas</w:t>
      </w:r>
      <w:r w:rsidR="00E145CB">
        <w:t>e</w:t>
      </w:r>
      <w:r w:rsidRPr="00664E64">
        <w:t xml:space="preserve"> uptake</w:t>
      </w:r>
      <w:r w:rsidR="00E145CB">
        <w:t>,</w:t>
      </w:r>
      <w:r w:rsidRPr="00664E64">
        <w:t xml:space="preserve"> and </w:t>
      </w:r>
      <w:r w:rsidR="00E145CB">
        <w:t xml:space="preserve">in turn, </w:t>
      </w:r>
      <w:r w:rsidRPr="00664E64">
        <w:t>reduc</w:t>
      </w:r>
      <w:r w:rsidR="00E145CB">
        <w:t xml:space="preserve">e related </w:t>
      </w:r>
      <w:r w:rsidRPr="00664E64">
        <w:t xml:space="preserve">harm. </w:t>
      </w:r>
    </w:p>
    <w:p w14:paraId="7705DB5A" w14:textId="77777777" w:rsidR="00CB3838" w:rsidRPr="00664E64" w:rsidRDefault="00CB3838" w:rsidP="00E47A70">
      <w:pPr>
        <w:pStyle w:val="BodyText"/>
      </w:pPr>
    </w:p>
    <w:p w14:paraId="6534F836" w14:textId="77777777" w:rsidR="00A35876" w:rsidRPr="00915C40" w:rsidRDefault="00A35876" w:rsidP="00A35876">
      <w:pPr>
        <w:pStyle w:val="BoxHeading1"/>
        <w:rPr>
          <w:color w:val="auto"/>
        </w:rPr>
      </w:pPr>
      <w:r w:rsidRPr="00915C40">
        <w:rPr>
          <w:color w:val="auto"/>
        </w:rPr>
        <w:t>Box A1.2: Common limit-setting features</w:t>
      </w:r>
    </w:p>
    <w:p w14:paraId="3C231C0A" w14:textId="77777777" w:rsidR="00A35876" w:rsidRPr="00664E64" w:rsidRDefault="00A35876" w:rsidP="00A35876">
      <w:pPr>
        <w:pStyle w:val="BoxBulletList"/>
      </w:pPr>
      <w:r w:rsidRPr="00664E64">
        <w:t>Deposit limits: This refers to the maximum amount of money that an individual can deposit into their account at any given time. Winnings can either be included or excluded from this figure.</w:t>
      </w:r>
    </w:p>
    <w:p w14:paraId="29F77F1B" w14:textId="77777777" w:rsidR="00A35876" w:rsidRPr="00664E64" w:rsidRDefault="00A35876" w:rsidP="00A35876">
      <w:pPr>
        <w:pStyle w:val="BoxBulletList"/>
      </w:pPr>
      <w:r w:rsidRPr="00664E64">
        <w:t>Play limits: This refers to the maximum amount of money that an individual can gamble with at any given time. As with deposit limits, winnings can either be included or excluded from this figure.</w:t>
      </w:r>
    </w:p>
    <w:p w14:paraId="16D3EFA0" w14:textId="77777777" w:rsidR="00A35876" w:rsidRPr="00664E64" w:rsidRDefault="00A35876" w:rsidP="00A35876">
      <w:pPr>
        <w:pStyle w:val="BoxBulletList"/>
      </w:pPr>
      <w:r w:rsidRPr="00664E64">
        <w:t>Loss limits: This refers to the maximum amount of money that an individual is able to lose at any one session.</w:t>
      </w:r>
    </w:p>
    <w:p w14:paraId="5B9C852C" w14:textId="77777777" w:rsidR="00A35876" w:rsidRPr="00664E64" w:rsidRDefault="00A35876" w:rsidP="00A35876">
      <w:pPr>
        <w:pStyle w:val="BoxBulletList"/>
      </w:pPr>
      <w:r w:rsidRPr="00664E64">
        <w:t>Bet limits: This refers to the maximum amount of money that can be bet on a single outcome/event, or on concurrent outcomes/events.</w:t>
      </w:r>
    </w:p>
    <w:p w14:paraId="0FEFD89A" w14:textId="1EADBDBB" w:rsidR="00390FF0" w:rsidRPr="00664E64" w:rsidRDefault="00A35876" w:rsidP="00415C73">
      <w:pPr>
        <w:pStyle w:val="BoxNotesandSource"/>
      </w:pPr>
      <w:r w:rsidRPr="00664E64">
        <w:t xml:space="preserve">Source: </w:t>
      </w:r>
      <w:r w:rsidRPr="00664E64">
        <w:tab/>
        <w:t>Auer &amp; Griffiths (2013)</w:t>
      </w:r>
    </w:p>
    <w:p w14:paraId="28BFCA60" w14:textId="7F44D9FC" w:rsidR="00E47A70" w:rsidRPr="00664E64" w:rsidRDefault="00E47A70" w:rsidP="00E47A70">
      <w:pPr>
        <w:pStyle w:val="BodyText"/>
        <w:snapToGrid w:val="0"/>
        <w:spacing w:before="240"/>
      </w:pPr>
      <w:r w:rsidRPr="00664E64">
        <w:t xml:space="preserve">Research suggests that a voluntary opt-out, deposit limit-setting measure will be well-received. Many people who gamble decide how much they are going to spend before commencing gambling (Blaszczynski, Parke, Parke, &amp; Rigby, 2014; Wohl, Gainsbury, Stewart, &amp; Sztainert, 2013). However, many also frequently spend more time and money than </w:t>
      </w:r>
      <w:r w:rsidR="00390FF0" w:rsidRPr="00664E64">
        <w:t xml:space="preserve">they </w:t>
      </w:r>
      <w:r w:rsidRPr="00664E64">
        <w:t xml:space="preserve">initially intended (Monaghan &amp; Blaszczynski, 2010a). A study of more than 10,000 who gamble online, from 96 different countries, found that most (70%) thought that voluntary spending limits would be a useful responsible gambling feature (International Gaming Research Unit, 2007). </w:t>
      </w:r>
    </w:p>
    <w:p w14:paraId="2481A27D" w14:textId="77777777" w:rsidR="00E145CB" w:rsidRPr="00664E64" w:rsidRDefault="00E145CB" w:rsidP="00E145CB">
      <w:pPr>
        <w:pStyle w:val="BodyText"/>
      </w:pPr>
      <w:r w:rsidRPr="00664E64">
        <w:t>Reviews have showed evidence of harm minimisation effectiveness for those who used pre-commitment features. These include reduced expenditure and participation, lower rates of problem gambling, and increased awareness of spending. However, some studies have reported decreases in average expenditure for moderate-risk and problem gamblers while other studies have reported no change. Setting limits under a voluntary system were found to have limited effectiveness where the individual was able to exit the system and/or continue gambling past set limits (Edgerton, Biegun, &amp; Roberts, 2016; Harris &amp; Griffiths, 2017; Livingstone et al., in press; Tanner, et al, 2017; Thomas, Carson et al., 2016).</w:t>
      </w:r>
    </w:p>
    <w:p w14:paraId="44FE2C65" w14:textId="31D18799" w:rsidR="00CB3838" w:rsidRPr="00664E64" w:rsidRDefault="00CB3838" w:rsidP="00CB3838">
      <w:pPr>
        <w:pStyle w:val="BodyText"/>
      </w:pPr>
      <w:r w:rsidRPr="00664E64">
        <w:lastRenderedPageBreak/>
        <w:t>In the case of the National Framework,</w:t>
      </w:r>
      <w:r w:rsidR="00E145CB">
        <w:t xml:space="preserve"> wagering</w:t>
      </w:r>
      <w:r w:rsidRPr="00664E64">
        <w:t xml:space="preserve"> </w:t>
      </w:r>
      <w:r w:rsidR="00E145CB" w:rsidRPr="00664E64">
        <w:t>providers</w:t>
      </w:r>
      <w:r w:rsidR="00E145CB">
        <w:t xml:space="preserve"> will be required</w:t>
      </w:r>
      <w:r w:rsidR="00E145CB" w:rsidRPr="00664E64">
        <w:t xml:space="preserve"> to actively prompt consumers to use and review the limit-setting options</w:t>
      </w:r>
      <w:r w:rsidR="00E145CB">
        <w:t>, which is expected to</w:t>
      </w:r>
      <w:r w:rsidR="00E145CB" w:rsidRPr="00664E64">
        <w:t xml:space="preserve"> improve usage and effectiveness of the system. </w:t>
      </w:r>
      <w:r w:rsidR="00E145CB">
        <w:t>I</w:t>
      </w:r>
      <w:r w:rsidRPr="00664E64">
        <w:t xml:space="preserve">t is </w:t>
      </w:r>
      <w:r w:rsidR="00E145CB">
        <w:t xml:space="preserve">also </w:t>
      </w:r>
      <w:r w:rsidRPr="00664E64">
        <w:t xml:space="preserve">anticipated that in mandating consumers to make a conscious decision to set limits </w:t>
      </w:r>
      <w:r w:rsidR="00E145CB">
        <w:t xml:space="preserve">(i.e. an </w:t>
      </w:r>
      <w:r w:rsidR="00E145CB" w:rsidRPr="00664E64">
        <w:rPr>
          <w:i/>
        </w:rPr>
        <w:t>opt-out</w:t>
      </w:r>
      <w:r w:rsidR="00E145CB" w:rsidRPr="00664E64">
        <w:t xml:space="preserve"> system</w:t>
      </w:r>
      <w:r w:rsidR="00E145CB">
        <w:t>)</w:t>
      </w:r>
      <w:r w:rsidRPr="00664E64">
        <w:t>, awareness and use of the measure will be greater (DSS, 2017).</w:t>
      </w:r>
    </w:p>
    <w:p w14:paraId="3BB8A2F6" w14:textId="6563AB6C" w:rsidR="00E47A70" w:rsidRPr="00664E64" w:rsidRDefault="00E47A70" w:rsidP="00E47A70">
      <w:pPr>
        <w:pStyle w:val="BodyText"/>
      </w:pPr>
      <w:r w:rsidRPr="00664E64">
        <w:t xml:space="preserve">An important consideration for the evaluation will be the impact of the requirement for customers to set limits for each account they hold with separate providers. </w:t>
      </w:r>
      <w:r w:rsidR="00DA0362">
        <w:t>At noted earlier, m</w:t>
      </w:r>
      <w:r w:rsidRPr="00664E64">
        <w:t xml:space="preserve">ost </w:t>
      </w:r>
      <w:r w:rsidR="00E145CB">
        <w:t>people who wager online</w:t>
      </w:r>
      <w:r w:rsidRPr="00664E64">
        <w:t xml:space="preserve"> </w:t>
      </w:r>
      <w:r w:rsidR="00DA0362">
        <w:t xml:space="preserve">report having multiple active wagering accounts </w:t>
      </w:r>
      <w:r w:rsidRPr="00664E64">
        <w:t>(Gainsbury, Russell, Blaszczynski, &amp; Hing, 2015</w:t>
      </w:r>
      <w:r w:rsidR="00DA0362">
        <w:t xml:space="preserve">; </w:t>
      </w:r>
      <w:r w:rsidRPr="00664E64">
        <w:t xml:space="preserve">Jenkinson et al., 2018). The burden on customers to set limits across all accounts and review each limit yearly may impact on the choice to opt-out, and also to set effective limits. </w:t>
      </w:r>
    </w:p>
    <w:p w14:paraId="35509A0C" w14:textId="5FBD17B1" w:rsidR="00E47A70" w:rsidRPr="00664E64" w:rsidRDefault="00E47A70" w:rsidP="00E47A70">
      <w:pPr>
        <w:pStyle w:val="BodyText"/>
      </w:pPr>
      <w:r w:rsidRPr="00664E64">
        <w:t>In some European Union countries, online verification data are used to assign each customer a unique code for use across all sites licensed with</w:t>
      </w:r>
      <w:r w:rsidR="00390FF0" w:rsidRPr="00664E64">
        <w:t>in</w:t>
      </w:r>
      <w:r w:rsidRPr="00664E64">
        <w:t xml:space="preserve"> the jurisdiction, ensuring the limits set to wagering expenditure apply across all provider sites (European Union, 2014). The capacity for this system to reduce user fatigue and enhance tracking and impact of expenditure limits supports extending the single operator-level system to a centralised system, where limits set with one provider would apply across all. Australian governments are expected to consider the feasibility of an option like this within three years. In the meantime, a centralised limit-setting tool could complement the existing measure (DSS, 2018). </w:t>
      </w:r>
    </w:p>
    <w:p w14:paraId="7032A0AA" w14:textId="77777777" w:rsidR="00E47A70" w:rsidRPr="00664E64" w:rsidRDefault="00E47A70" w:rsidP="00A55CD9">
      <w:pPr>
        <w:pStyle w:val="Heading4"/>
      </w:pPr>
      <w:r w:rsidRPr="00664E64">
        <w:t>Provision of meaningful wagering activity statements</w:t>
      </w:r>
    </w:p>
    <w:p w14:paraId="0ABA13F5" w14:textId="527B71B2" w:rsidR="00CB3838" w:rsidRPr="00664E64" w:rsidRDefault="00CB3838" w:rsidP="00E47A70">
      <w:pPr>
        <w:pStyle w:val="BodyText"/>
      </w:pPr>
      <w:r w:rsidRPr="00664E64">
        <w:t xml:space="preserve">The seventh measure requires </w:t>
      </w:r>
      <w:r w:rsidR="00E145CB">
        <w:t xml:space="preserve">that </w:t>
      </w:r>
      <w:r w:rsidRPr="00664E64">
        <w:t xml:space="preserve">all online wagering operators provide standardised activity statements to customers, detailing wagering activity including winnings, losses and total amount wagered. The goal of activity statements is to provide information on spending to inform decisions about </w:t>
      </w:r>
      <w:r w:rsidR="00E145CB">
        <w:t xml:space="preserve">wagering behaviour and </w:t>
      </w:r>
      <w:r w:rsidRPr="00664E64">
        <w:t>expenditure, and support prevention and minimisation of risky gambling.</w:t>
      </w:r>
    </w:p>
    <w:p w14:paraId="020D71A4" w14:textId="2800F3BA" w:rsidR="00E47A70" w:rsidRPr="00664E64" w:rsidRDefault="00E47A70" w:rsidP="00E47A70">
      <w:pPr>
        <w:pStyle w:val="BodyText"/>
      </w:pPr>
      <w:r w:rsidRPr="00664E64">
        <w:t>Testing and trialling of different features by the Behavioural Economics Team of the Australian Government (BETA) will inform the final format and content</w:t>
      </w:r>
      <w:r w:rsidR="00E145CB">
        <w:t xml:space="preserve"> of these statements</w:t>
      </w:r>
      <w:r w:rsidRPr="00664E64">
        <w:t xml:space="preserve"> (DSS, 2017). State and territory governments are expected to implement the agreed standards by May 2020, subject to </w:t>
      </w:r>
      <w:r w:rsidR="00E145CB">
        <w:t xml:space="preserve">the </w:t>
      </w:r>
      <w:r w:rsidRPr="00664E64">
        <w:t xml:space="preserve">trialling and testing (DSS, 2018). </w:t>
      </w:r>
    </w:p>
    <w:p w14:paraId="58CD5361" w14:textId="4E7F84A8" w:rsidR="00E47A70" w:rsidRPr="00664E64" w:rsidRDefault="00E47A70" w:rsidP="00E47A70">
      <w:pPr>
        <w:pStyle w:val="BodyText"/>
      </w:pPr>
      <w:r w:rsidRPr="00664E64">
        <w:t>In the absence of specific requirements, the standardised approach is informed by the following high-level principles (</w:t>
      </w:r>
      <w:r w:rsidR="00230CA1" w:rsidRPr="00664E64">
        <w:t>DSS, 2018</w:t>
      </w:r>
      <w:r w:rsidRPr="00664E64">
        <w:t>):</w:t>
      </w:r>
    </w:p>
    <w:p w14:paraId="58048FEC" w14:textId="196AD769" w:rsidR="00E47A70" w:rsidRPr="00664E64" w:rsidRDefault="00E47A70" w:rsidP="00415C73">
      <w:pPr>
        <w:pStyle w:val="ListBullet"/>
      </w:pPr>
      <w:r w:rsidRPr="00664E64">
        <w:t>Interactive wagering service provider</w:t>
      </w:r>
      <w:r w:rsidR="00230CA1" w:rsidRPr="00664E64">
        <w:t>s</w:t>
      </w:r>
      <w:r w:rsidRPr="00664E64">
        <w:t xml:space="preserve"> must provide an activity statement at least once a year to every customer with an active betting account</w:t>
      </w:r>
      <w:r w:rsidR="00230CA1" w:rsidRPr="00664E64">
        <w:t>.</w:t>
      </w:r>
    </w:p>
    <w:p w14:paraId="42123FDA" w14:textId="5FE249C4" w:rsidR="00E47A70" w:rsidRPr="00664E64" w:rsidRDefault="00230CA1" w:rsidP="00415C73">
      <w:pPr>
        <w:pStyle w:val="ListBullet"/>
      </w:pPr>
      <w:r w:rsidRPr="00664E64">
        <w:t xml:space="preserve">Activity </w:t>
      </w:r>
      <w:r w:rsidR="00E47A70" w:rsidRPr="00664E64">
        <w:t xml:space="preserve">statements must provide clear and easily understandable information about each bet placed, the account balance, deposits and withdrawals, wins and losses, the net win/loss for a specified time and the data, time, and unique transaction identifier </w:t>
      </w:r>
      <w:r w:rsidRPr="00664E64">
        <w:t>o</w:t>
      </w:r>
      <w:r w:rsidR="00E47A70" w:rsidRPr="00664E64">
        <w:t>f each transaction</w:t>
      </w:r>
      <w:r w:rsidRPr="00664E64">
        <w:t>.</w:t>
      </w:r>
    </w:p>
    <w:p w14:paraId="51287658" w14:textId="0734E0D0" w:rsidR="00E47A70" w:rsidRPr="00664E64" w:rsidRDefault="00230CA1" w:rsidP="00415C73">
      <w:pPr>
        <w:pStyle w:val="ListBullet"/>
      </w:pPr>
      <w:r w:rsidRPr="00664E64">
        <w:t xml:space="preserve">Activity </w:t>
      </w:r>
      <w:r w:rsidR="00E47A70" w:rsidRPr="00664E64">
        <w:t>statements must be accessible by a customer on request at any time either via email, telephone or online through their account</w:t>
      </w:r>
      <w:r w:rsidRPr="00664E64">
        <w:t>.</w:t>
      </w:r>
    </w:p>
    <w:p w14:paraId="1850FA3E" w14:textId="12A141AA" w:rsidR="00E47A70" w:rsidRPr="00664E64" w:rsidRDefault="00230CA1" w:rsidP="00415C73">
      <w:pPr>
        <w:pStyle w:val="ListBullet"/>
      </w:pPr>
      <w:r w:rsidRPr="00664E64">
        <w:t>A</w:t>
      </w:r>
      <w:r w:rsidR="00E47A70" w:rsidRPr="00664E64">
        <w:t>ctivity statements must not be sent to inactive accounts</w:t>
      </w:r>
      <w:r w:rsidRPr="00664E64">
        <w:t>;</w:t>
      </w:r>
      <w:r w:rsidR="00E47A70" w:rsidRPr="00664E64">
        <w:t xml:space="preserve"> however</w:t>
      </w:r>
      <w:r w:rsidRPr="00664E64">
        <w:t>,</w:t>
      </w:r>
      <w:r w:rsidR="00E47A70" w:rsidRPr="00664E64">
        <w:t xml:space="preserve"> customers with an inactive account can still request their activity statements</w:t>
      </w:r>
      <w:r w:rsidRPr="00664E64">
        <w:t>.</w:t>
      </w:r>
    </w:p>
    <w:p w14:paraId="759CE20E" w14:textId="4F60CFC7" w:rsidR="00E47A70" w:rsidRPr="00664E64" w:rsidRDefault="00230CA1" w:rsidP="00415C73">
      <w:pPr>
        <w:pStyle w:val="ListBullet"/>
      </w:pPr>
      <w:r w:rsidRPr="00664E64">
        <w:t>A</w:t>
      </w:r>
      <w:r w:rsidR="00E47A70" w:rsidRPr="00664E64">
        <w:t>ctivity statements must be provided free of charge except where a customer elects for delivery by mail</w:t>
      </w:r>
      <w:r w:rsidRPr="00664E64">
        <w:t>.</w:t>
      </w:r>
    </w:p>
    <w:p w14:paraId="1E992282" w14:textId="500FE7E6" w:rsidR="00E47A70" w:rsidRPr="00664E64" w:rsidRDefault="00230CA1" w:rsidP="00415C73">
      <w:pPr>
        <w:pStyle w:val="ListBullet"/>
      </w:pPr>
      <w:r w:rsidRPr="00664E64">
        <w:t>B</w:t>
      </w:r>
      <w:r w:rsidR="00E47A70" w:rsidRPr="00664E64">
        <w:t>etting account transactions must also be readily available via a customer’s account window or by email/post</w:t>
      </w:r>
      <w:r w:rsidRPr="00664E64">
        <w:t>.</w:t>
      </w:r>
    </w:p>
    <w:p w14:paraId="73CD8C99" w14:textId="0D403DE5" w:rsidR="00E47A70" w:rsidRPr="00664E64" w:rsidRDefault="00230CA1" w:rsidP="00415C73">
      <w:pPr>
        <w:pStyle w:val="ListBullet"/>
      </w:pPr>
      <w:r w:rsidRPr="00664E64">
        <w:t xml:space="preserve">At </w:t>
      </w:r>
      <w:r w:rsidR="00E47A70" w:rsidRPr="00664E64">
        <w:t>a minimum, customers should be able to access a record of their transactions for the preceding seven years</w:t>
      </w:r>
      <w:r w:rsidRPr="00664E64">
        <w:t>.</w:t>
      </w:r>
    </w:p>
    <w:p w14:paraId="4694ECB3" w14:textId="1851847C" w:rsidR="00CB3838" w:rsidRPr="00664E64" w:rsidRDefault="00CB3838" w:rsidP="00CB3838">
      <w:pPr>
        <w:pStyle w:val="BodyText"/>
      </w:pPr>
      <w:r w:rsidRPr="00664E64">
        <w:lastRenderedPageBreak/>
        <w:t>Currently provision of wagering activity information and transaction histories is mandated within most Australian jurisdictions</w:t>
      </w:r>
      <w:r w:rsidR="00E145CB">
        <w:t>;</w:t>
      </w:r>
      <w:r w:rsidRPr="00664E64">
        <w:t xml:space="preserve"> however</w:t>
      </w:r>
      <w:r w:rsidR="00E145CB">
        <w:t>,</w:t>
      </w:r>
      <w:r w:rsidRPr="00664E64">
        <w:t xml:space="preserve"> the information provided is </w:t>
      </w:r>
      <w:r w:rsidR="00E145CB">
        <w:t xml:space="preserve">often </w:t>
      </w:r>
      <w:r w:rsidRPr="00664E64">
        <w:t xml:space="preserve">inconsistent across jurisdictions and providers, </w:t>
      </w:r>
      <w:r w:rsidR="00E145CB">
        <w:t>and there is</w:t>
      </w:r>
      <w:r w:rsidRPr="00664E64">
        <w:t xml:space="preserve"> concern that the information is not presented in user-friendly ways. For example, the provision of long lists of transactions </w:t>
      </w:r>
      <w:r w:rsidR="00E145CB">
        <w:t>may</w:t>
      </w:r>
      <w:r w:rsidRPr="00664E64">
        <w:t xml:space="preserve"> prevent customers understanding their wagering expenditure, as it can be difficult to understand whether they are ahead or behind overall (DSS, 2017). </w:t>
      </w:r>
    </w:p>
    <w:p w14:paraId="5A496A4A" w14:textId="674DA181" w:rsidR="00CB3838" w:rsidRPr="00664E64" w:rsidRDefault="00CB3838" w:rsidP="00CB3838">
      <w:pPr>
        <w:pStyle w:val="BodyText"/>
      </w:pPr>
      <w:r w:rsidRPr="00664E64">
        <w:t xml:space="preserve">A key finding of the small number of studies on activity statements was that </w:t>
      </w:r>
      <w:r w:rsidR="00E145CB">
        <w:t>they</w:t>
      </w:r>
      <w:r w:rsidRPr="00664E64">
        <w:t xml:space="preserve"> appeared to </w:t>
      </w:r>
      <w:r w:rsidR="00E145CB">
        <w:t>prevent and curtail unp</w:t>
      </w:r>
      <w:r w:rsidR="004D6142">
        <w:t>l</w:t>
      </w:r>
      <w:r w:rsidR="00E145CB">
        <w:t xml:space="preserve">anned spending and </w:t>
      </w:r>
      <w:r w:rsidRPr="00664E64">
        <w:t xml:space="preserve">encourage people at risk of gambling problems to confront their spending and may trigger behaviour changes including reducing expenditure and seeking help (Thomas, </w:t>
      </w:r>
      <w:r w:rsidR="00FF75F2" w:rsidRPr="00664E64">
        <w:t>Carson</w:t>
      </w:r>
      <w:r w:rsidRPr="00664E64">
        <w:t xml:space="preserve"> et al., 2016). </w:t>
      </w:r>
    </w:p>
    <w:p w14:paraId="73DF9166" w14:textId="03AE3980" w:rsidR="00E47A70" w:rsidRPr="00664E64" w:rsidRDefault="00E145CB" w:rsidP="00E47A70">
      <w:pPr>
        <w:pStyle w:val="BodyText"/>
      </w:pPr>
      <w:r>
        <w:t>Another</w:t>
      </w:r>
      <w:r w:rsidR="00E47A70" w:rsidRPr="00664E64">
        <w:t xml:space="preserve"> study found that the regular activity statements were considered one of the most vital tools for self-regulating expenditure. Fifty online wagerers reported that they often lost track of their expenditure during sessions, with losses becoming apparent later when viewing bank statements (Hing</w:t>
      </w:r>
      <w:r w:rsidR="00230CA1" w:rsidRPr="00664E64">
        <w:t>, Gainsbury</w:t>
      </w:r>
      <w:r w:rsidR="00E47A70" w:rsidRPr="00664E64">
        <w:t xml:space="preserve"> et al., 2014). The value of activity statements is further </w:t>
      </w:r>
      <w:r w:rsidR="00CB3838" w:rsidRPr="00664E64">
        <w:t>supported</w:t>
      </w:r>
      <w:r w:rsidR="00E47A70" w:rsidRPr="00664E64">
        <w:t xml:space="preserve"> by comparisons between industry-reported expenditure data and consumer-reported data, which suggest that people significantly underestimate their gambling expenditure (Armstrong &amp; Carroll, 2017a). </w:t>
      </w:r>
    </w:p>
    <w:p w14:paraId="5CBDEB42" w14:textId="6C323A70" w:rsidR="00E47A70" w:rsidRPr="00664E64" w:rsidRDefault="00E47A70" w:rsidP="00E47A70">
      <w:pPr>
        <w:pStyle w:val="BodyText"/>
      </w:pPr>
      <w:r w:rsidRPr="00664E64">
        <w:t xml:space="preserve">These findings suggest that wagering activity statements, on their own and in </w:t>
      </w:r>
      <w:r w:rsidR="00E145CB">
        <w:t xml:space="preserve">combination </w:t>
      </w:r>
      <w:r w:rsidRPr="00664E64">
        <w:t xml:space="preserve">with other measures, </w:t>
      </w:r>
      <w:r w:rsidRPr="00664E64">
        <w:rPr>
          <w:rFonts w:eastAsiaTheme="minorHAnsi"/>
        </w:rPr>
        <w:t xml:space="preserve">may be of great value to customers. Statements and pre-commitment together can inform consumer decisions about appropriate loss limits, and track progress toward these limits. They will provide users with a record of expenditure, when a limit was set, at what level, and how often it was reached over a given time interval. It is anticipated that this will </w:t>
      </w:r>
      <w:r w:rsidR="00E145CB">
        <w:rPr>
          <w:rFonts w:eastAsiaTheme="minorHAnsi"/>
        </w:rPr>
        <w:t xml:space="preserve">assist consumers to manage their wagering participation and </w:t>
      </w:r>
      <w:r w:rsidRPr="00664E64">
        <w:rPr>
          <w:rFonts w:eastAsiaTheme="minorHAnsi"/>
        </w:rPr>
        <w:t>provide greater overall protection</w:t>
      </w:r>
      <w:r w:rsidR="00E145CB">
        <w:rPr>
          <w:rFonts w:eastAsiaTheme="minorHAnsi"/>
        </w:rPr>
        <w:t xml:space="preserve"> </w:t>
      </w:r>
      <w:r w:rsidRPr="00664E64">
        <w:rPr>
          <w:rFonts w:eastAsiaTheme="minorHAnsi"/>
        </w:rPr>
        <w:t xml:space="preserve">(DSS, 2017). </w:t>
      </w:r>
    </w:p>
    <w:p w14:paraId="7CF73876" w14:textId="77777777" w:rsidR="00E47A70" w:rsidRPr="00664E64" w:rsidRDefault="00E47A70" w:rsidP="00A55CD9">
      <w:pPr>
        <w:pStyle w:val="Heading4"/>
      </w:pPr>
      <w:r w:rsidRPr="00664E64">
        <w:t>Provision of consistent gambling messaging</w:t>
      </w:r>
    </w:p>
    <w:p w14:paraId="333DFFE1" w14:textId="05C5F369" w:rsidR="00E47A70" w:rsidRPr="00664E64" w:rsidRDefault="00E47A70" w:rsidP="00E47A70">
      <w:pPr>
        <w:pStyle w:val="BodyText"/>
      </w:pPr>
      <w:r w:rsidRPr="00664E64">
        <w:t>The eighth measure requires all online wagering operators to apply consistent g</w:t>
      </w:r>
      <w:r w:rsidR="00681EBC" w:rsidRPr="00664E64">
        <w:t>ambling</w:t>
      </w:r>
      <w:r w:rsidRPr="00664E64">
        <w:t xml:space="preserve"> messaging (CGM) to assist responsible gambling efforts (DSS, 2018). It refers to the display of messages </w:t>
      </w:r>
      <w:r w:rsidR="00230CA1" w:rsidRPr="00664E64">
        <w:t xml:space="preserve">that </w:t>
      </w:r>
      <w:r w:rsidRPr="00664E64">
        <w:t>aim to encourage people who gamble to become more aware of their gambling behaviours and decisions. The messaging is intended to be engaging to facilitate conscious decision-making among people who engage in online wagering, and to correct any misperceptions about their own gambling behaviour. The messaging will also aim to inform consumers about harmful gambling behaviours, remove stigma associated with consumer protection tools and gambling help services and encourage their up</w:t>
      </w:r>
      <w:r w:rsidR="00230CA1" w:rsidRPr="00664E64">
        <w:t>take</w:t>
      </w:r>
      <w:r w:rsidRPr="00664E64">
        <w:t xml:space="preserve">. This is intended to ensure that Australian consumers all receive the same responsible gambling information, with messages that encourage rational gambling choices and support self-appraisal (DSS, 2017). </w:t>
      </w:r>
    </w:p>
    <w:p w14:paraId="6C8E1BB3" w14:textId="77777777" w:rsidR="00E47A70" w:rsidRPr="00664E64" w:rsidRDefault="00E47A70" w:rsidP="00E47A70">
      <w:pPr>
        <w:pStyle w:val="BodyText"/>
      </w:pPr>
      <w:r w:rsidRPr="00664E64">
        <w:t xml:space="preserve">Testing and trialling is still required to design CGM features that will be effective as a consumer protection measure, including message terminology, format, style, consistency and imagery. Subject to approval, CGMs are intended to be fully implemented by May 2020 (DSS, 2017, 2018). </w:t>
      </w:r>
    </w:p>
    <w:p w14:paraId="22C98E60" w14:textId="1617AE88" w:rsidR="00E47A70" w:rsidRPr="00664E64" w:rsidRDefault="00E47A70" w:rsidP="00E47A70">
      <w:pPr>
        <w:pStyle w:val="BodyText"/>
      </w:pPr>
      <w:r w:rsidRPr="00664E64">
        <w:t>In the absence of specific requirements, high-level principles have been recommended to be mandated in the National Framework to guide the CGM measure (</w:t>
      </w:r>
      <w:r w:rsidR="00230CA1" w:rsidRPr="00664E64">
        <w:t>DSS</w:t>
      </w:r>
      <w:r w:rsidRPr="00664E64">
        <w:t>, 2018):</w:t>
      </w:r>
    </w:p>
    <w:p w14:paraId="2967C587" w14:textId="258F5167" w:rsidR="00E47A70" w:rsidRPr="00664E64" w:rsidRDefault="00230CA1" w:rsidP="00A55CD9">
      <w:pPr>
        <w:pStyle w:val="ListBullet"/>
      </w:pPr>
      <w:r w:rsidRPr="00664E64">
        <w:t>T</w:t>
      </w:r>
      <w:r w:rsidR="00E47A70" w:rsidRPr="00664E64">
        <w:t>he same approved gambling messages must be used in connection with any interactive wagering service</w:t>
      </w:r>
      <w:r w:rsidRPr="00664E64">
        <w:t>.</w:t>
      </w:r>
    </w:p>
    <w:p w14:paraId="0D119EEB" w14:textId="0632A687" w:rsidR="00E47A70" w:rsidRPr="00664E64" w:rsidRDefault="00230CA1" w:rsidP="00A55CD9">
      <w:pPr>
        <w:pStyle w:val="ListBullet"/>
      </w:pPr>
      <w:r w:rsidRPr="00664E64">
        <w:t xml:space="preserve">State </w:t>
      </w:r>
      <w:r w:rsidR="00E47A70" w:rsidRPr="00664E64">
        <w:t>and territory governments will be able to tailor the gambling messages to their own campaigns</w:t>
      </w:r>
      <w:r w:rsidRPr="00664E64">
        <w:t>.</w:t>
      </w:r>
    </w:p>
    <w:p w14:paraId="780A4CCC" w14:textId="602B2ECE" w:rsidR="00E47A70" w:rsidRPr="00664E64" w:rsidRDefault="00230CA1" w:rsidP="00A55CD9">
      <w:pPr>
        <w:pStyle w:val="ListBullet"/>
      </w:pPr>
      <w:r w:rsidRPr="00664E64">
        <w:lastRenderedPageBreak/>
        <w:t xml:space="preserve">The </w:t>
      </w:r>
      <w:r w:rsidR="00E47A70" w:rsidRPr="00664E64">
        <w:t>approved gambling messages will be designed in collaboration with experts, in consideration of the jurisdictions in which they will be displayed and in consideration of the messages being easily understood by the wide range of consumer groups who make up the intended audience</w:t>
      </w:r>
      <w:r w:rsidRPr="00664E64">
        <w:t>.</w:t>
      </w:r>
    </w:p>
    <w:p w14:paraId="3E312D7D" w14:textId="716A73CE" w:rsidR="00E47A70" w:rsidRPr="00664E64" w:rsidRDefault="00E47A70" w:rsidP="00591CC2">
      <w:pPr>
        <w:spacing w:before="120" w:line="280" w:lineRule="atLeast"/>
        <w:jc w:val="both"/>
        <w:rPr>
          <w:rFonts w:ascii="Arial" w:hAnsi="Arial" w:cs="Arial"/>
          <w:sz w:val="20"/>
          <w:szCs w:val="20"/>
        </w:rPr>
      </w:pPr>
      <w:r w:rsidRPr="00664E64">
        <w:rPr>
          <w:rFonts w:ascii="Arial" w:hAnsi="Arial" w:cs="Arial"/>
          <w:sz w:val="20"/>
          <w:szCs w:val="20"/>
        </w:rPr>
        <w:t>Current regulations for the provision of CGM</w:t>
      </w:r>
      <w:r w:rsidR="00230CA1" w:rsidRPr="00664E64">
        <w:rPr>
          <w:rFonts w:ascii="Arial" w:hAnsi="Arial" w:cs="Arial"/>
          <w:sz w:val="20"/>
          <w:szCs w:val="20"/>
        </w:rPr>
        <w:t>s</w:t>
      </w:r>
      <w:r w:rsidRPr="00664E64">
        <w:rPr>
          <w:rFonts w:ascii="Arial" w:hAnsi="Arial" w:cs="Arial"/>
          <w:sz w:val="20"/>
          <w:szCs w:val="20"/>
        </w:rPr>
        <w:t xml:space="preserve"> are fragmented across states and territories. CGMs will reduce the regulatory burden for providers since they will only be required to adhere to a single set of regulations and to use the same </w:t>
      </w:r>
      <w:r w:rsidR="00C37309" w:rsidRPr="00664E64">
        <w:rPr>
          <w:rFonts w:ascii="Arial" w:hAnsi="Arial" w:cs="Arial"/>
          <w:sz w:val="20"/>
          <w:szCs w:val="20"/>
        </w:rPr>
        <w:t>messaging</w:t>
      </w:r>
      <w:r w:rsidRPr="00664E64">
        <w:rPr>
          <w:rFonts w:ascii="Arial" w:hAnsi="Arial" w:cs="Arial"/>
          <w:sz w:val="20"/>
          <w:szCs w:val="20"/>
        </w:rPr>
        <w:t xml:space="preserve"> across Australia. However, </w:t>
      </w:r>
      <w:r w:rsidR="00230CA1" w:rsidRPr="00664E64">
        <w:rPr>
          <w:rFonts w:ascii="Arial" w:hAnsi="Arial" w:cs="Arial"/>
          <w:sz w:val="20"/>
          <w:szCs w:val="20"/>
        </w:rPr>
        <w:t xml:space="preserve">there is </w:t>
      </w:r>
      <w:r w:rsidRPr="00664E64">
        <w:rPr>
          <w:rFonts w:ascii="Arial" w:hAnsi="Arial" w:cs="Arial"/>
          <w:sz w:val="20"/>
          <w:szCs w:val="20"/>
        </w:rPr>
        <w:t xml:space="preserve">a concern related to ‘generic’ messaging </w:t>
      </w:r>
      <w:r w:rsidR="007519BD" w:rsidRPr="00664E64">
        <w:rPr>
          <w:rFonts w:ascii="Arial" w:hAnsi="Arial" w:cs="Arial"/>
          <w:sz w:val="20"/>
          <w:szCs w:val="20"/>
        </w:rPr>
        <w:t xml:space="preserve">and </w:t>
      </w:r>
      <w:r w:rsidRPr="00664E64">
        <w:rPr>
          <w:rFonts w:ascii="Arial" w:hAnsi="Arial" w:cs="Arial"/>
          <w:sz w:val="20"/>
          <w:szCs w:val="20"/>
        </w:rPr>
        <w:t xml:space="preserve">the possibility that seeing the same messages repeatedly will result in CGMs being less effective (DSS, 2017). </w:t>
      </w:r>
    </w:p>
    <w:p w14:paraId="7FAAE627" w14:textId="5DF8D7F7" w:rsidR="00E47A70" w:rsidRPr="00664E64" w:rsidRDefault="00E47A70" w:rsidP="00591CC2">
      <w:pPr>
        <w:pStyle w:val="BodyText"/>
      </w:pPr>
      <w:r w:rsidRPr="00664E64">
        <w:rPr>
          <w:rFonts w:cs="Arial"/>
          <w:szCs w:val="20"/>
        </w:rPr>
        <w:t>The information provided by</w:t>
      </w:r>
      <w:r w:rsidRPr="00664E64">
        <w:t xml:space="preserve"> CGMs may relate to the benefits of sticking to limits, the odds of winning, and potential risks of gambling excessively. Informative messaging of similar content has frequently been used in educational campaigns and warning messages </w:t>
      </w:r>
      <w:r w:rsidR="0096700D" w:rsidRPr="00664E64">
        <w:t xml:space="preserve">have been used </w:t>
      </w:r>
      <w:r w:rsidRPr="00664E64">
        <w:t xml:space="preserve">across a range of public health initiatives (Monaghan &amp; Blaszczynski, 2010a). Presenting customers with accurate information about products and behaviours diminishes erroneous cognitions and biases, and facilitates informed consumer choice (Monaghan &amp; Blaszczynski, 2010b). </w:t>
      </w:r>
    </w:p>
    <w:p w14:paraId="5A4C6CE3" w14:textId="29B9A39C" w:rsidR="00E47A70" w:rsidRPr="00664E64" w:rsidRDefault="00E47A70" w:rsidP="00E47A70">
      <w:pPr>
        <w:pStyle w:val="BodyText"/>
      </w:pPr>
      <w:r w:rsidRPr="00664E64">
        <w:t xml:space="preserve">The CGMs may also include self-appraisal messages that directly encourage the customer to consider how much time and money they have spent gambling during the session. These messages may cause customers to evaluate their behaviour in a more personally relevant way than information around odds and risks would evoke, and </w:t>
      </w:r>
      <w:r w:rsidR="0096700D" w:rsidRPr="00664E64">
        <w:t xml:space="preserve">may </w:t>
      </w:r>
      <w:r w:rsidRPr="00664E64">
        <w:t xml:space="preserve">lead to more informed and considered decisions (Monaghan &amp; Blaszczynski, 2010a). </w:t>
      </w:r>
    </w:p>
    <w:p w14:paraId="5939CCB1" w14:textId="77777777" w:rsidR="00E47A70" w:rsidRPr="00664E64" w:rsidRDefault="00E47A70" w:rsidP="00A55CD9">
      <w:pPr>
        <w:pStyle w:val="Heading4"/>
      </w:pPr>
      <w:r w:rsidRPr="00664E64">
        <w:t>Provision of staff training in responsible service of online gambling</w:t>
      </w:r>
    </w:p>
    <w:p w14:paraId="196E88E1" w14:textId="73E84407" w:rsidR="00E47A70" w:rsidRPr="00664E64" w:rsidRDefault="00E47A70" w:rsidP="00E47A70">
      <w:pPr>
        <w:pStyle w:val="BodyText"/>
      </w:pPr>
      <w:r w:rsidRPr="00664E64">
        <w:t xml:space="preserve">The ninth measure makes responsible conduct of gambling training mandatory for all staff employed by an Australian licensed online wagering </w:t>
      </w:r>
      <w:r w:rsidR="00E145CB">
        <w:t>provider</w:t>
      </w:r>
      <w:r w:rsidRPr="00664E64">
        <w:t xml:space="preserve"> who are </w:t>
      </w:r>
      <w:r w:rsidR="00E145CB">
        <w:t xml:space="preserve">either </w:t>
      </w:r>
      <w:r w:rsidRPr="00664E64">
        <w:t xml:space="preserve">involved in the provision of online wagering services, or who have the capacity to influence the online wagering service (such as marketing and communications staff). The training program is to be nationally consistent, provided online through an accredited provider, and include an annual refresher component. The intention is to ensure that industry staff are educated in the responsible provision of gambling services in the context of online wagering environments (DSS, 2017). It is anticipated that the program will be delivered within 18 months of </w:t>
      </w:r>
      <w:r w:rsidR="00E145CB">
        <w:t xml:space="preserve">commencement of </w:t>
      </w:r>
      <w:r w:rsidRPr="00664E64">
        <w:t xml:space="preserve">the National Framework (DSS, 2018). </w:t>
      </w:r>
    </w:p>
    <w:p w14:paraId="4085ECC4" w14:textId="2F5A904F" w:rsidR="00E47A70" w:rsidRPr="00FF4B80" w:rsidRDefault="00E47A70" w:rsidP="00E47A70">
      <w:pPr>
        <w:pStyle w:val="BodyText"/>
      </w:pPr>
      <w:r w:rsidRPr="00FF4B80">
        <w:t>Features of the mandatory training program include (</w:t>
      </w:r>
      <w:r w:rsidR="0096700D" w:rsidRPr="00FF4B80">
        <w:t>DSS</w:t>
      </w:r>
      <w:r w:rsidRPr="00FF4B80">
        <w:t>, 2018):</w:t>
      </w:r>
    </w:p>
    <w:p w14:paraId="6CD8EA8D" w14:textId="1BFFD765" w:rsidR="00E47A70" w:rsidRPr="00FF4B80" w:rsidRDefault="0096700D" w:rsidP="00A55CD9">
      <w:pPr>
        <w:pStyle w:val="ListBullet"/>
      </w:pPr>
      <w:r w:rsidRPr="00FF4B80">
        <w:t xml:space="preserve">All </w:t>
      </w:r>
      <w:r w:rsidR="00E47A70" w:rsidRPr="00FF4B80">
        <w:t>staff involved in the provision of wagering services</w:t>
      </w:r>
      <w:r w:rsidR="00DF6AD2" w:rsidRPr="00FF4B80">
        <w:t>, or with the capacity to influence the wagering service,</w:t>
      </w:r>
      <w:r w:rsidR="00E47A70" w:rsidRPr="00FF4B80">
        <w:t xml:space="preserve"> must undertake responsible service of gambling training</w:t>
      </w:r>
      <w:r w:rsidRPr="00FF4B80">
        <w:t>.</w:t>
      </w:r>
    </w:p>
    <w:p w14:paraId="58AB0AC6" w14:textId="1726057F" w:rsidR="00E47A70" w:rsidRPr="00FF4B80" w:rsidRDefault="0096700D" w:rsidP="00A55CD9">
      <w:pPr>
        <w:pStyle w:val="ListBullet"/>
      </w:pPr>
      <w:r w:rsidRPr="00FF4B80">
        <w:t xml:space="preserve">An </w:t>
      </w:r>
      <w:r w:rsidR="00E47A70" w:rsidRPr="00FF4B80">
        <w:t>online training program must be undertaken by new staff within one month of commencing work but before interacting with a customer and by existing staff within six months of the online training program coming into effect</w:t>
      </w:r>
      <w:r w:rsidRPr="00FF4B80">
        <w:t>.</w:t>
      </w:r>
    </w:p>
    <w:p w14:paraId="34C928F8" w14:textId="28ADA80A" w:rsidR="00E47A70" w:rsidRPr="00664E64" w:rsidRDefault="0096700D" w:rsidP="00A55CD9">
      <w:pPr>
        <w:pStyle w:val="ListBullet"/>
      </w:pPr>
      <w:r w:rsidRPr="00FF4B80">
        <w:t>A</w:t>
      </w:r>
      <w:r w:rsidR="00E47A70" w:rsidRPr="00FF4B80">
        <w:t>ll staff who have undertaken the approved online training program must</w:t>
      </w:r>
      <w:r w:rsidR="00E47A70" w:rsidRPr="00664E64">
        <w:t xml:space="preserve"> undertake an annual refresher training course</w:t>
      </w:r>
      <w:r w:rsidRPr="00664E64">
        <w:t>.</w:t>
      </w:r>
    </w:p>
    <w:p w14:paraId="2435802C" w14:textId="09B64121" w:rsidR="00E47A70" w:rsidRPr="00664E64" w:rsidRDefault="0096700D" w:rsidP="00A55CD9">
      <w:pPr>
        <w:pStyle w:val="ListBullet"/>
      </w:pPr>
      <w:r w:rsidRPr="00664E64">
        <w:t>T</w:t>
      </w:r>
      <w:r w:rsidR="00E47A70" w:rsidRPr="00664E64">
        <w:t>he approved online training program (including refresher training course) must be industry funded</w:t>
      </w:r>
      <w:r w:rsidRPr="00664E64">
        <w:t>.</w:t>
      </w:r>
    </w:p>
    <w:p w14:paraId="3382D5CD" w14:textId="4F97E599" w:rsidR="00E47A70" w:rsidRPr="00664E64" w:rsidRDefault="00E47A70" w:rsidP="00E47A70">
      <w:pPr>
        <w:pStyle w:val="BodyText"/>
      </w:pPr>
      <w:r w:rsidRPr="00664E64">
        <w:t xml:space="preserve">Currently, regulations are fragmented and inconsistent across Australian jurisdictions with regard to training requirements for staff involved in online wagering. </w:t>
      </w:r>
      <w:r w:rsidR="00E145CB">
        <w:t>S</w:t>
      </w:r>
      <w:r w:rsidRPr="00664E64">
        <w:t xml:space="preserve">tates and territories </w:t>
      </w:r>
      <w:r w:rsidR="00E145CB">
        <w:t xml:space="preserve">generally </w:t>
      </w:r>
      <w:r w:rsidRPr="00664E64">
        <w:t xml:space="preserve">establish codes of practice that require </w:t>
      </w:r>
      <w:r w:rsidR="00E145CB">
        <w:t>wagering providers</w:t>
      </w:r>
      <w:r w:rsidRPr="00664E64">
        <w:t xml:space="preserve"> to provide their online wagering staff with responsible gambling training.</w:t>
      </w:r>
    </w:p>
    <w:p w14:paraId="3D50EDB1" w14:textId="114FF047" w:rsidR="00E47A70" w:rsidRPr="00664E64" w:rsidRDefault="00E47A70" w:rsidP="00E47A70">
      <w:pPr>
        <w:pStyle w:val="BodyText"/>
        <w:rPr>
          <w:szCs w:val="20"/>
        </w:rPr>
      </w:pPr>
      <w:r w:rsidRPr="00664E64">
        <w:rPr>
          <w:szCs w:val="20"/>
        </w:rPr>
        <w:lastRenderedPageBreak/>
        <w:t xml:space="preserve">Staff Responsible Service of Gambling (RSG) training is of high importance to consumer protection efforts and should be an integral aspect of industry practice. It is required to help employees recognise and assist customers who may be experiencing gambling-related difficulties (O’Farrell, 2015). However, the majority of RSG staff training programs have not been tested empirically (Wood, Shorter, &amp; Griffiths, 2014). </w:t>
      </w:r>
    </w:p>
    <w:p w14:paraId="64BB7F6F" w14:textId="3E891F18" w:rsidR="00E47A70" w:rsidRPr="00664E64" w:rsidRDefault="00E47A70" w:rsidP="00E47A70">
      <w:pPr>
        <w:pStyle w:val="BodyText"/>
      </w:pPr>
      <w:r w:rsidRPr="00664E64">
        <w:t xml:space="preserve">There is some evidence to suggest that staff training can increase understanding and identification of gambling problems, and provide the basic skills to intervene with those gambling excessively (Ladoucer </w:t>
      </w:r>
      <w:r w:rsidR="0096700D" w:rsidRPr="00664E64">
        <w:t>et al.</w:t>
      </w:r>
      <w:r w:rsidRPr="00664E64">
        <w:t xml:space="preserve">, 2004; Dufour, Ladoucer, &amp; Giroux, 2010; Quilty, Robinson, &amp; Blaszczynski, 2015). </w:t>
      </w:r>
      <w:r w:rsidR="00E145CB">
        <w:t>However, research conducted in land-based venues suggest that a</w:t>
      </w:r>
      <w:r w:rsidRPr="00664E64">
        <w:t xml:space="preserve"> highly cautionary approach is often taken to staff intervention, with approaches only following the observation of problem gambling behaviours well in excess of the number or severity necessary to be highly confident that the customer is in trouble (Delfabbro, Thomas, &amp; Armstrong, </w:t>
      </w:r>
      <w:r w:rsidR="005B243B" w:rsidRPr="00664E64">
        <w:t>2016</w:t>
      </w:r>
      <w:r w:rsidRPr="00664E64">
        <w:t xml:space="preserve">; Rintoul, Deblaquire, &amp; Thomas, 2017). </w:t>
      </w:r>
    </w:p>
    <w:p w14:paraId="0814A0E4" w14:textId="1E9F1D00" w:rsidR="00E47A70" w:rsidRPr="00664E64" w:rsidRDefault="00E47A70" w:rsidP="00E47A70">
      <w:pPr>
        <w:pStyle w:val="BodyText"/>
      </w:pPr>
      <w:r w:rsidRPr="00664E64">
        <w:t>This measure requires further research to inform the development of an effective staff training program for harm minimisation in the online wagering environment (DSS, 2017). Developing indicators of risk behaviours in the online environment where customers are not ‘visible’ will be necessary.</w:t>
      </w:r>
    </w:p>
    <w:p w14:paraId="1A6CFCF5" w14:textId="6203B6DA" w:rsidR="00E47A70" w:rsidRPr="00664E64" w:rsidRDefault="00E47A70" w:rsidP="00A55CD9">
      <w:pPr>
        <w:pStyle w:val="Heading4"/>
      </w:pPr>
      <w:r w:rsidRPr="00664E64">
        <w:t xml:space="preserve">National </w:t>
      </w:r>
      <w:r w:rsidR="00DB2B9E">
        <w:t>S</w:t>
      </w:r>
      <w:r w:rsidRPr="00664E64">
        <w:t>elf-</w:t>
      </w:r>
      <w:r w:rsidR="00DB2B9E">
        <w:t>E</w:t>
      </w:r>
      <w:r w:rsidRPr="00664E64">
        <w:t xml:space="preserve">xclusion </w:t>
      </w:r>
      <w:r w:rsidR="00DB2B9E">
        <w:t>R</w:t>
      </w:r>
      <w:r w:rsidRPr="00664E64">
        <w:t>egister</w:t>
      </w:r>
    </w:p>
    <w:p w14:paraId="62310A55" w14:textId="62CD8413" w:rsidR="00E47A70" w:rsidRPr="00664E64" w:rsidRDefault="00E47A70" w:rsidP="00E47A70">
      <w:pPr>
        <w:pStyle w:val="BodyText"/>
      </w:pPr>
      <w:r w:rsidRPr="00664E64">
        <w:t xml:space="preserve">The final measure introduces a centralised </w:t>
      </w:r>
      <w:r w:rsidR="00DB2B9E">
        <w:t>N</w:t>
      </w:r>
      <w:r w:rsidRPr="00664E64">
        <w:t xml:space="preserve">ational </w:t>
      </w:r>
      <w:r w:rsidR="00DB2B9E">
        <w:t>S</w:t>
      </w:r>
      <w:r w:rsidRPr="00664E64">
        <w:t>elf-</w:t>
      </w:r>
      <w:r w:rsidR="00DB2B9E">
        <w:t>E</w:t>
      </w:r>
      <w:r w:rsidRPr="00664E64">
        <w:t xml:space="preserve">xclusion </w:t>
      </w:r>
      <w:r w:rsidR="00DB2B9E">
        <w:t>R</w:t>
      </w:r>
      <w:r w:rsidRPr="00664E64">
        <w:t xml:space="preserve">egister (NSER). Customers will have the ability to electronically exclude across all licensed Australian online wagering providers through the NSER platform (DSS, 2017). </w:t>
      </w:r>
      <w:r w:rsidR="00E145CB">
        <w:t>T</w:t>
      </w:r>
      <w:r w:rsidRPr="00664E64">
        <w:t>he NSER is anticipated to be implemented 18 months</w:t>
      </w:r>
      <w:r w:rsidR="00E145CB">
        <w:t xml:space="preserve"> from commencement of the Framework, subject to enactment of legislation and trialling and testing</w:t>
      </w:r>
      <w:r w:rsidRPr="00664E64">
        <w:t xml:space="preserve"> (DSS, 2018). </w:t>
      </w:r>
    </w:p>
    <w:p w14:paraId="0E665C16" w14:textId="0B390ED5" w:rsidR="00E47A70" w:rsidRPr="00664E64" w:rsidRDefault="00E47A70" w:rsidP="00E47A70">
      <w:pPr>
        <w:pStyle w:val="BodyText"/>
      </w:pPr>
      <w:r w:rsidRPr="00664E64">
        <w:t>In terms of features, the NSER will (</w:t>
      </w:r>
      <w:r w:rsidR="00B13C1A" w:rsidRPr="00664E64">
        <w:t>DSS</w:t>
      </w:r>
      <w:r w:rsidRPr="00664E64">
        <w:t>, 2018):</w:t>
      </w:r>
    </w:p>
    <w:p w14:paraId="07E77F7A" w14:textId="77777777" w:rsidR="00E47A70" w:rsidRPr="00664E64" w:rsidRDefault="00E47A70" w:rsidP="00E47A70">
      <w:pPr>
        <w:pStyle w:val="ListBullet"/>
      </w:pPr>
      <w:r w:rsidRPr="00664E64">
        <w:t>be industry-funded</w:t>
      </w:r>
    </w:p>
    <w:p w14:paraId="571229BC" w14:textId="77777777" w:rsidR="00E47A70" w:rsidRPr="00664E64" w:rsidRDefault="00E47A70" w:rsidP="00E47A70">
      <w:pPr>
        <w:pStyle w:val="ListBullet"/>
      </w:pPr>
      <w:r w:rsidRPr="00664E64">
        <w:t>apply across all online wagering providers</w:t>
      </w:r>
    </w:p>
    <w:p w14:paraId="6ED7F6E6" w14:textId="498BF272" w:rsidR="00E47A70" w:rsidRPr="00FF4B80" w:rsidRDefault="00E47A70" w:rsidP="00E47A70">
      <w:pPr>
        <w:pStyle w:val="ListBullet"/>
      </w:pPr>
      <w:r w:rsidRPr="00664E64">
        <w:t xml:space="preserve">be quick and simple to apply for and take immediate </w:t>
      </w:r>
      <w:r w:rsidRPr="00FF4B80">
        <w:t>effect</w:t>
      </w:r>
      <w:r w:rsidR="00724244" w:rsidRPr="00FF4B80">
        <w:t xml:space="preserve"> upon registration/ sign-up</w:t>
      </w:r>
    </w:p>
    <w:p w14:paraId="6E27BB14" w14:textId="77777777" w:rsidR="00E47A70" w:rsidRPr="00664E64" w:rsidRDefault="00E47A70" w:rsidP="00E47A70">
      <w:pPr>
        <w:pStyle w:val="ListBullet"/>
      </w:pPr>
      <w:r w:rsidRPr="00FF4B80">
        <w:t>be effectively promoted so consumers are educated about self-exclusion and aware of</w:t>
      </w:r>
      <w:r w:rsidRPr="00664E64">
        <w:t xml:space="preserve"> the register</w:t>
      </w:r>
    </w:p>
    <w:p w14:paraId="0540F344" w14:textId="26FAB635" w:rsidR="00E47A70" w:rsidRPr="00FF4B80" w:rsidRDefault="00E47A70" w:rsidP="00E47A70">
      <w:pPr>
        <w:pStyle w:val="ListBullet"/>
      </w:pPr>
      <w:r w:rsidRPr="00664E64">
        <w:t xml:space="preserve">be offered across all phone and </w:t>
      </w:r>
      <w:r w:rsidRPr="00FF4B80">
        <w:t>web</w:t>
      </w:r>
      <w:r w:rsidR="00B13C1A" w:rsidRPr="00FF4B80">
        <w:t>-</w:t>
      </w:r>
      <w:r w:rsidRPr="00FF4B80">
        <w:t>based digital platforms</w:t>
      </w:r>
    </w:p>
    <w:p w14:paraId="27C13B11" w14:textId="77777777" w:rsidR="00E47A70" w:rsidRPr="00FF4B80" w:rsidRDefault="00E47A70" w:rsidP="00E47A70">
      <w:pPr>
        <w:pStyle w:val="ListBullet"/>
      </w:pPr>
      <w:r w:rsidRPr="00FF4B80">
        <w:t>have consumer choice regarding the length of the exclusion period, ranging from three months to permanent exclusion</w:t>
      </w:r>
    </w:p>
    <w:p w14:paraId="3B03B9F7" w14:textId="2A94214B" w:rsidR="00E47A70" w:rsidRPr="00FF4B80" w:rsidRDefault="00E47A70" w:rsidP="00E47A70">
      <w:pPr>
        <w:pStyle w:val="ListBullet"/>
      </w:pPr>
      <w:r w:rsidRPr="00FF4B80">
        <w:t>allow individuals to nominate a sponsor</w:t>
      </w:r>
      <w:r w:rsidR="00D3067B" w:rsidRPr="00FF4B80">
        <w:t xml:space="preserve"> who will be notified at the end of the exclusion period</w:t>
      </w:r>
    </w:p>
    <w:p w14:paraId="19021AD0" w14:textId="4DFCB4A9" w:rsidR="00E47A70" w:rsidRPr="00FF4B80" w:rsidRDefault="00E47A70" w:rsidP="00E47A70">
      <w:pPr>
        <w:pStyle w:val="ListBullet"/>
      </w:pPr>
      <w:r w:rsidRPr="00FF4B80">
        <w:t>have information on gambling support services, financial services and counselling at the point in time a consumer nominates to self-exclude, including information about land-based self-exclusion tools</w:t>
      </w:r>
    </w:p>
    <w:p w14:paraId="72ABA889" w14:textId="2D80EF20" w:rsidR="004868D4" w:rsidRPr="00FF4B80" w:rsidRDefault="004868D4" w:rsidP="00E47A70">
      <w:pPr>
        <w:pStyle w:val="ListBullet"/>
      </w:pPr>
      <w:r w:rsidRPr="00FF4B80">
        <w:t>make information on gambling consumer protections publicly available and accessible</w:t>
      </w:r>
    </w:p>
    <w:p w14:paraId="00CB6E7D" w14:textId="77777777" w:rsidR="00E47A70" w:rsidRPr="00FF4B80" w:rsidRDefault="00E47A70" w:rsidP="00E47A70">
      <w:pPr>
        <w:pStyle w:val="ListBullet"/>
      </w:pPr>
      <w:r w:rsidRPr="00FF4B80">
        <w:t>prohibit online wagering service providers from providing any marketing or promotional material during the period of self-exclusion</w:t>
      </w:r>
    </w:p>
    <w:p w14:paraId="175A6B7B" w14:textId="77777777" w:rsidR="00E47A70" w:rsidRPr="00FF4B80" w:rsidRDefault="00E47A70" w:rsidP="00E47A70">
      <w:pPr>
        <w:pStyle w:val="ListBullet"/>
      </w:pPr>
      <w:r w:rsidRPr="00FF4B80">
        <w:t>ensure that all funds held in active accounts will be returned to the excluded customer once all wagers/bets are settled, and then that account will be closed</w:t>
      </w:r>
    </w:p>
    <w:p w14:paraId="02DA1EC3" w14:textId="7F8AADDA" w:rsidR="00E47A70" w:rsidRPr="00FF4B80" w:rsidRDefault="00E47A70" w:rsidP="00E47A70">
      <w:pPr>
        <w:pStyle w:val="ListBullet"/>
      </w:pPr>
      <w:r w:rsidRPr="00FF4B80">
        <w:t>provide a process for revocation of self-exclusion, with evidence that the consumer has seen a counsellor, and a further seven</w:t>
      </w:r>
      <w:r w:rsidR="00492E21" w:rsidRPr="00FF4B80">
        <w:t>-</w:t>
      </w:r>
      <w:r w:rsidRPr="00FF4B80">
        <w:t>day cooling</w:t>
      </w:r>
      <w:r w:rsidR="00B13C1A" w:rsidRPr="00FF4B80">
        <w:t>-</w:t>
      </w:r>
      <w:r w:rsidRPr="00FF4B80">
        <w:t>off period</w:t>
      </w:r>
    </w:p>
    <w:p w14:paraId="04DACBFD" w14:textId="18E0E219" w:rsidR="00E47A70" w:rsidRPr="00FF4B80" w:rsidRDefault="00E47A70" w:rsidP="00E47A70">
      <w:pPr>
        <w:pStyle w:val="ListBullet"/>
        <w:rPr>
          <w:rFonts w:cs="Arial"/>
        </w:rPr>
      </w:pPr>
      <w:r w:rsidRPr="00FF4B80">
        <w:lastRenderedPageBreak/>
        <w:t>ensure that customers are required to actively approach online wagering service providers to reactivate a wagering account</w:t>
      </w:r>
    </w:p>
    <w:p w14:paraId="424DEEC1" w14:textId="4DAA2F53" w:rsidR="002E4590" w:rsidRPr="00FF4B80" w:rsidRDefault="002E4590" w:rsidP="00E47A70">
      <w:pPr>
        <w:pStyle w:val="ListBullet"/>
        <w:rPr>
          <w:rFonts w:cs="Arial"/>
        </w:rPr>
      </w:pPr>
      <w:r w:rsidRPr="00FF4B80">
        <w:t>have the capability to also exclude customers on the basis of an interactive wagering service/ product.</w:t>
      </w:r>
    </w:p>
    <w:p w14:paraId="58D05A07" w14:textId="5D9F590F" w:rsidR="00E47A70" w:rsidRPr="00664E64" w:rsidRDefault="00E47A70" w:rsidP="00E47A70">
      <w:pPr>
        <w:pStyle w:val="BodyText"/>
      </w:pPr>
      <w:r w:rsidRPr="00664E64">
        <w:t xml:space="preserve">In the O’Farrell review (2015), the existing regulatory framework for self-exclusion (SE) was considered fragmented and weak. In most jurisdictions, consumers </w:t>
      </w:r>
      <w:r w:rsidR="00E145CB">
        <w:t>have been</w:t>
      </w:r>
      <w:r w:rsidRPr="00664E64">
        <w:t xml:space="preserve"> required to self-exclude from all providers individually. Only the Northern Territory offers SE across multiple operators</w:t>
      </w:r>
      <w:r w:rsidR="00C37309" w:rsidRPr="00664E64">
        <w:t>, and</w:t>
      </w:r>
      <w:r w:rsidRPr="00664E64">
        <w:t xml:space="preserve"> </w:t>
      </w:r>
      <w:r w:rsidR="00C37309" w:rsidRPr="00664E64">
        <w:t>s</w:t>
      </w:r>
      <w:r w:rsidRPr="00664E64">
        <w:t xml:space="preserve">ome jurisdictions do not mandate for self-exclusion at all. Most self-exclusions are performed through a paper-based process. </w:t>
      </w:r>
    </w:p>
    <w:p w14:paraId="4C1A9EB4" w14:textId="55A13CDA" w:rsidR="00E47A70" w:rsidRPr="00664E64" w:rsidRDefault="00E47A70" w:rsidP="00E47A70">
      <w:pPr>
        <w:pStyle w:val="BodyText"/>
      </w:pPr>
      <w:r w:rsidRPr="00664E64">
        <w:t>Research reviews that considered SE found only a limited number of studies investigating the effectiveness of SE programs or comparing their elements and implementation (Thomas</w:t>
      </w:r>
      <w:r w:rsidR="00DF2954" w:rsidRPr="00664E64">
        <w:t xml:space="preserve"> et al.</w:t>
      </w:r>
      <w:r w:rsidRPr="00664E64">
        <w:t>, 2016; Drawson</w:t>
      </w:r>
      <w:r w:rsidR="00B13C1A" w:rsidRPr="00664E64">
        <w:t>,</w:t>
      </w:r>
      <w:r w:rsidRPr="00664E64">
        <w:t xml:space="preserve"> </w:t>
      </w:r>
      <w:r w:rsidR="00B13C1A" w:rsidRPr="00664E64">
        <w:t>Tanner, Mushquash, Mushquash, &amp; Mazmanian,</w:t>
      </w:r>
      <w:r w:rsidR="00B13C1A" w:rsidRPr="00664E64" w:rsidDel="00B13C1A">
        <w:t xml:space="preserve"> </w:t>
      </w:r>
      <w:r w:rsidRPr="00664E64">
        <w:t>2017). Most of the reviews concluded that there was some evidence of the effectiveness of SE schemes</w:t>
      </w:r>
      <w:r w:rsidR="00E145CB">
        <w:t>:</w:t>
      </w:r>
      <w:r w:rsidRPr="00664E64">
        <w:t xml:space="preserve"> </w:t>
      </w:r>
      <w:r w:rsidR="00E145CB">
        <w:t>s</w:t>
      </w:r>
      <w:r w:rsidRPr="00664E64">
        <w:t>tudy findings included reports of reductions in gambling involvement (Hing, Russell, Tolchard, &amp; Nuske, 2015), expenditure (Xuan &amp; Shaffer, 2009) risk behaviour (Ladoucer</w:t>
      </w:r>
      <w:r w:rsidR="00B13C1A" w:rsidRPr="00664E64">
        <w:t xml:space="preserve">, Sylvain, &amp; Gosselin, </w:t>
      </w:r>
      <w:r w:rsidRPr="00664E64">
        <w:t xml:space="preserve">2007), and improvements in wellbeing (Tremblay, Boutin, &amp; Ladoucer, 2008). </w:t>
      </w:r>
    </w:p>
    <w:p w14:paraId="3447425F" w14:textId="443C258B" w:rsidR="00E47A70" w:rsidRPr="00664E64" w:rsidRDefault="00E47A70" w:rsidP="00E47A70">
      <w:pPr>
        <w:pStyle w:val="BodyText"/>
      </w:pPr>
      <w:r w:rsidRPr="00664E64">
        <w:t>Both stigma and the processes attached to current SE measures were identified by studies as deterrents to their use</w:t>
      </w:r>
      <w:r w:rsidR="00E145CB">
        <w:t xml:space="preserve"> in land-based settings</w:t>
      </w:r>
      <w:r w:rsidRPr="00664E64">
        <w:t xml:space="preserve"> (Thomas, Carson et al., 2016; Livingstone et al., in press). This included customer embarrassment (e.g. Blaszczynski et al., 2014), confidence in staff ability to maintain confidentiality, the time it took to exclude and</w:t>
      </w:r>
      <w:r w:rsidR="00B13C1A" w:rsidRPr="00664E64">
        <w:t xml:space="preserve"> for it</w:t>
      </w:r>
      <w:r w:rsidRPr="00664E64">
        <w:t xml:space="preserve"> to take effect (e.g. Hing</w:t>
      </w:r>
      <w:r w:rsidR="00B13C1A" w:rsidRPr="00664E64">
        <w:t>, Gainsbury</w:t>
      </w:r>
      <w:r w:rsidRPr="00664E64">
        <w:t xml:space="preserve"> et al., 2014) and the rigidity of SE programs (Gainsbury, 2014). </w:t>
      </w:r>
    </w:p>
    <w:p w14:paraId="2CCA0E54" w14:textId="1CC8FB10" w:rsidR="00E47A70" w:rsidRPr="00664E64" w:rsidRDefault="00E47A70" w:rsidP="00E47A70">
      <w:pPr>
        <w:pStyle w:val="BodyText"/>
      </w:pPr>
      <w:r w:rsidRPr="00664E64">
        <w:t>The centralised NSER</w:t>
      </w:r>
      <w:r w:rsidR="00E145CB">
        <w:t xml:space="preserve"> for online wagering</w:t>
      </w:r>
      <w:r w:rsidRPr="00664E64">
        <w:t xml:space="preserve"> is expected to address these issues by providing a</w:t>
      </w:r>
      <w:r w:rsidR="00C37309" w:rsidRPr="00664E64">
        <w:t xml:space="preserve"> timely</w:t>
      </w:r>
      <w:r w:rsidRPr="00664E64">
        <w:t xml:space="preserve"> ‘one</w:t>
      </w:r>
      <w:r w:rsidR="00B13C1A" w:rsidRPr="00664E64">
        <w:t>-</w:t>
      </w:r>
      <w:r w:rsidRPr="00664E64">
        <w:t xml:space="preserve">stop shop’ for exclusion, in an online neutral space managed by an independent third party, with consumer flexibility and choice around the exclusion period (DSS, 2017). </w:t>
      </w:r>
    </w:p>
    <w:p w14:paraId="49D2F50B" w14:textId="07830F3B" w:rsidR="00EB7953" w:rsidRPr="00915C40" w:rsidRDefault="00EB7953" w:rsidP="00777996">
      <w:pPr>
        <w:pStyle w:val="Heading2"/>
        <w:jc w:val="left"/>
        <w:rPr>
          <w:color w:val="auto"/>
        </w:rPr>
      </w:pPr>
      <w:bookmarkStart w:id="110" w:name="_Toc12022567"/>
      <w:r w:rsidRPr="00915C40">
        <w:rPr>
          <w:color w:val="auto"/>
        </w:rPr>
        <w:t xml:space="preserve">Literature </w:t>
      </w:r>
      <w:r w:rsidR="001D5DA9" w:rsidRPr="00915C40">
        <w:rPr>
          <w:color w:val="auto"/>
        </w:rPr>
        <w:t>review references</w:t>
      </w:r>
      <w:bookmarkEnd w:id="110"/>
    </w:p>
    <w:p w14:paraId="0C2B3FFA" w14:textId="12FB43B4" w:rsidR="00FF75F2" w:rsidRPr="00664E64" w:rsidRDefault="00FF75F2" w:rsidP="00FF75F2">
      <w:pPr>
        <w:pStyle w:val="References"/>
        <w:ind w:left="0" w:firstLine="0"/>
      </w:pPr>
      <w:r w:rsidRPr="00664E64">
        <w:t xml:space="preserve">Anti-Money Laundering and Counter-Terrorism Financing Act 2006. </w:t>
      </w:r>
    </w:p>
    <w:p w14:paraId="207B3096" w14:textId="225E067A" w:rsidR="00EB7953" w:rsidRPr="00664E64" w:rsidRDefault="00EB7953" w:rsidP="00EB7953">
      <w:pPr>
        <w:pStyle w:val="References"/>
      </w:pPr>
      <w:r w:rsidRPr="00664E64">
        <w:t xml:space="preserve">Armstrong, A., &amp; Carroll, M. (2017a). </w:t>
      </w:r>
      <w:r w:rsidRPr="00664E64">
        <w:rPr>
          <w:i/>
        </w:rPr>
        <w:t xml:space="preserve">Gambling activity in Australia. </w:t>
      </w:r>
      <w:r w:rsidRPr="00664E64">
        <w:t>Melbourne: Australian Gambling Research Centre, Australian Institute of Family Studies.</w:t>
      </w:r>
    </w:p>
    <w:p w14:paraId="3103A53D" w14:textId="77777777" w:rsidR="00EB7953" w:rsidRPr="00664E64" w:rsidRDefault="00EB7953" w:rsidP="00EB7953">
      <w:pPr>
        <w:pStyle w:val="References"/>
      </w:pPr>
      <w:r w:rsidRPr="00664E64">
        <w:t xml:space="preserve">Armstrong, A. R., &amp; Carroll, M. (2017b). </w:t>
      </w:r>
      <w:r w:rsidRPr="00664E64">
        <w:rPr>
          <w:i/>
        </w:rPr>
        <w:t xml:space="preserve">Sports betting in Australia. </w:t>
      </w:r>
      <w:r w:rsidRPr="00664E64">
        <w:t>Melbourne: Australian Gambling Research Centre, Australian Institute of Family Studies.</w:t>
      </w:r>
    </w:p>
    <w:p w14:paraId="73E6D838" w14:textId="77777777" w:rsidR="00EB7953" w:rsidRPr="00664E64" w:rsidRDefault="00EB7953" w:rsidP="00EB7953">
      <w:pPr>
        <w:pStyle w:val="References"/>
      </w:pPr>
      <w:r w:rsidRPr="00664E64">
        <w:t xml:space="preserve">Armstrong, A., &amp; Carroll, M. (2017c). </w:t>
      </w:r>
      <w:r w:rsidRPr="00664E64">
        <w:rPr>
          <w:i/>
        </w:rPr>
        <w:t xml:space="preserve">Race betting in Australia. </w:t>
      </w:r>
      <w:r w:rsidRPr="00664E64">
        <w:t>Melbourne: Australian Gambling Research Centre, Australian Institute of Family Studies.</w:t>
      </w:r>
    </w:p>
    <w:p w14:paraId="7A01CBFC" w14:textId="77777777" w:rsidR="00EB7953" w:rsidRPr="00664E64" w:rsidRDefault="00EB7953" w:rsidP="00EB7953">
      <w:pPr>
        <w:pStyle w:val="References"/>
      </w:pPr>
      <w:r w:rsidRPr="00664E64">
        <w:t xml:space="preserve">Armstrong, A., Thomas, A., &amp; Abbott, M. (2018). Gambling participation, expenditure and risk of harm in Australia, 1997–98 and 2010–11. </w:t>
      </w:r>
      <w:r w:rsidRPr="00664E64">
        <w:rPr>
          <w:i/>
        </w:rPr>
        <w:t>Journal of Gambling Studies</w:t>
      </w:r>
      <w:r w:rsidRPr="00664E64">
        <w:t xml:space="preserve">, </w:t>
      </w:r>
      <w:r w:rsidRPr="00664E64">
        <w:rPr>
          <w:i/>
        </w:rPr>
        <w:t>34</w:t>
      </w:r>
      <w:r w:rsidRPr="00664E64">
        <w:t>(1), 255</w:t>
      </w:r>
      <w:r w:rsidRPr="00664E64">
        <w:rPr>
          <w:rFonts w:cs="Arial"/>
        </w:rPr>
        <w:t>–</w:t>
      </w:r>
      <w:r w:rsidRPr="00664E64">
        <w:t>274.</w:t>
      </w:r>
    </w:p>
    <w:p w14:paraId="31FB7543" w14:textId="3437A6A0" w:rsidR="00EB7953" w:rsidRPr="00664E64" w:rsidRDefault="00EB7953" w:rsidP="00EB7953">
      <w:pPr>
        <w:pStyle w:val="References"/>
      </w:pPr>
      <w:r w:rsidRPr="00664E64">
        <w:t xml:space="preserve">Auer, M., &amp; Griffiths, M. D. (2013). Voluntary limit setting and player choice in most intense online gamblers: An empirical study of gambling behaviour. </w:t>
      </w:r>
      <w:r w:rsidRPr="00664E64">
        <w:rPr>
          <w:i/>
        </w:rPr>
        <w:t>Journal of Gambling Studies, 29</w:t>
      </w:r>
      <w:r w:rsidRPr="00664E64">
        <w:t>(4), 647</w:t>
      </w:r>
      <w:r w:rsidR="002C4DE5" w:rsidRPr="00664E64">
        <w:rPr>
          <w:rFonts w:cs="Arial"/>
        </w:rPr>
        <w:t>–</w:t>
      </w:r>
      <w:r w:rsidRPr="00664E64">
        <w:t xml:space="preserve">660. </w:t>
      </w:r>
    </w:p>
    <w:p w14:paraId="327A2F3C" w14:textId="77777777" w:rsidR="00EB7953" w:rsidRPr="00664E64" w:rsidRDefault="00EB7953" w:rsidP="00EB7953">
      <w:pPr>
        <w:pStyle w:val="References"/>
      </w:pPr>
      <w:r w:rsidRPr="00664E64">
        <w:t xml:space="preserve">Australian Communications Media Authority (ACMA). (2018). </w:t>
      </w:r>
      <w:r w:rsidRPr="00664E64">
        <w:rPr>
          <w:i/>
        </w:rPr>
        <w:t>Register of licensed interactive wagering services.</w:t>
      </w:r>
      <w:r w:rsidRPr="00664E64">
        <w:t xml:space="preserve"> Sydney: ACMA. </w:t>
      </w:r>
      <w:r w:rsidRPr="00664E64">
        <w:rPr>
          <w:rFonts w:eastAsiaTheme="minorHAnsi"/>
        </w:rPr>
        <w:t xml:space="preserve">Retrieved from </w:t>
      </w:r>
      <w:hyperlink r:id="rId16" w:history="1">
        <w:r w:rsidRPr="00664E64">
          <w:rPr>
            <w:rFonts w:eastAsiaTheme="minorHAnsi"/>
          </w:rPr>
          <w:t>www.acma.gov.au/theACMA/register-of-licensed-interactive-wagering-services</w:t>
        </w:r>
      </w:hyperlink>
    </w:p>
    <w:p w14:paraId="64FA5126" w14:textId="77777777" w:rsidR="00EB7953" w:rsidRPr="00664E64" w:rsidRDefault="00EB7953" w:rsidP="00EB7953">
      <w:pPr>
        <w:pStyle w:val="References"/>
      </w:pPr>
      <w:r w:rsidRPr="00664E64">
        <w:t xml:space="preserve">Blaszczynski, A., &amp; Hunt, C. (2011). </w:t>
      </w:r>
      <w:r w:rsidRPr="00664E64">
        <w:rPr>
          <w:i/>
        </w:rPr>
        <w:t>Online sports betting has created new generation of problem gamblers</w:t>
      </w:r>
      <w:r w:rsidRPr="00664E64">
        <w:t xml:space="preserve">. Sydney: The University of Sydney. Retrieved from sydney.edu.au/news/84.html?newsstoryid=6545 </w:t>
      </w:r>
    </w:p>
    <w:p w14:paraId="7208187C" w14:textId="6374A7CC" w:rsidR="00EB7953" w:rsidRPr="00664E64" w:rsidRDefault="00EB7953" w:rsidP="00EB7953">
      <w:pPr>
        <w:pStyle w:val="References"/>
      </w:pPr>
      <w:r w:rsidRPr="00664E64">
        <w:t xml:space="preserve">Blaszczynski, A., Parke, A., Parke, J., &amp; Rigby, J. </w:t>
      </w:r>
      <w:r w:rsidR="002C4DE5" w:rsidRPr="00664E64">
        <w:t>(</w:t>
      </w:r>
      <w:r w:rsidRPr="00664E64">
        <w:t>2014</w:t>
      </w:r>
      <w:r w:rsidR="002C4DE5" w:rsidRPr="00664E64">
        <w:t>)</w:t>
      </w:r>
      <w:r w:rsidRPr="00664E64">
        <w:t xml:space="preserve">. </w:t>
      </w:r>
      <w:r w:rsidRPr="00664E64">
        <w:rPr>
          <w:i/>
        </w:rPr>
        <w:t>Operator-Based Approaches to Harm Minimisation in Gambling: Summary, Review and Future Directions</w:t>
      </w:r>
      <w:r w:rsidRPr="00664E64">
        <w:t>. London: Responsible Gambling Trust.</w:t>
      </w:r>
    </w:p>
    <w:p w14:paraId="3BA04CA6" w14:textId="77777777" w:rsidR="00EB7953" w:rsidRPr="00664E64" w:rsidRDefault="00EB7953" w:rsidP="00EB7953">
      <w:pPr>
        <w:pStyle w:val="References"/>
      </w:pPr>
      <w:r w:rsidRPr="00664E64">
        <w:t xml:space="preserve">Binde, P. (2011). </w:t>
      </w:r>
      <w:r w:rsidRPr="00664E64">
        <w:rPr>
          <w:i/>
        </w:rPr>
        <w:t>What are the most harmful forms of gambling? Analyzing problem gambling prevalence surveys</w:t>
      </w:r>
      <w:r w:rsidRPr="00664E64">
        <w:t xml:space="preserve">. CEFOS working paper 12. </w:t>
      </w:r>
    </w:p>
    <w:p w14:paraId="0FA96309" w14:textId="77777777" w:rsidR="00EB7953" w:rsidRPr="00664E64" w:rsidRDefault="00EB7953" w:rsidP="00EB7953">
      <w:pPr>
        <w:pStyle w:val="References"/>
      </w:pPr>
      <w:r w:rsidRPr="00664E64">
        <w:t xml:space="preserve">Binde, P. (2014). </w:t>
      </w:r>
      <w:r w:rsidRPr="00664E64">
        <w:rPr>
          <w:i/>
        </w:rPr>
        <w:t>Gambling advertising: A critical research review</w:t>
      </w:r>
      <w:r w:rsidRPr="00664E64">
        <w:t>. London: Responsible Gambling Trust.</w:t>
      </w:r>
    </w:p>
    <w:p w14:paraId="638DB546" w14:textId="77777777" w:rsidR="00EB7953" w:rsidRPr="00664E64" w:rsidRDefault="00EB7953" w:rsidP="00EB7953">
      <w:pPr>
        <w:pStyle w:val="References"/>
      </w:pPr>
      <w:r w:rsidRPr="00664E64">
        <w:lastRenderedPageBreak/>
        <w:t xml:space="preserve">Brosowski, T., Meyer, G., &amp; Hayer, T. (2012). Analyses of multiple types of online gambling within one provider: An extended evaluation Framework of actual online gambling behaviour. </w:t>
      </w:r>
      <w:r w:rsidRPr="00664E64">
        <w:rPr>
          <w:i/>
        </w:rPr>
        <w:t>International Gambling Studies</w:t>
      </w:r>
      <w:r w:rsidRPr="00664E64">
        <w:t xml:space="preserve">, </w:t>
      </w:r>
      <w:r w:rsidRPr="00664E64">
        <w:rPr>
          <w:i/>
        </w:rPr>
        <w:t>12</w:t>
      </w:r>
      <w:r w:rsidRPr="00664E64">
        <w:t xml:space="preserve">(3), 405–419. </w:t>
      </w:r>
    </w:p>
    <w:p w14:paraId="4E70193E" w14:textId="32AA3C6D" w:rsidR="00EB7953" w:rsidRDefault="00EB7953" w:rsidP="00EB7953">
      <w:pPr>
        <w:pStyle w:val="References"/>
      </w:pPr>
      <w:r w:rsidRPr="00664E64">
        <w:t xml:space="preserve">Browne, M., Langham, E., Rawat, V., Greer, N., Li, E., Rose, J. et al. (2016). </w:t>
      </w:r>
      <w:r w:rsidRPr="00664E64">
        <w:rPr>
          <w:i/>
        </w:rPr>
        <w:t>Assessing gambling</w:t>
      </w:r>
      <w:r w:rsidRPr="00664E64">
        <w:rPr>
          <w:rFonts w:ascii="Cambria Math" w:hAnsi="Cambria Math" w:cs="Cambria Math"/>
          <w:i/>
        </w:rPr>
        <w:t>‐</w:t>
      </w:r>
      <w:r w:rsidRPr="00664E64">
        <w:rPr>
          <w:i/>
        </w:rPr>
        <w:t>related harm in Victoria: A public health perspective.</w:t>
      </w:r>
      <w:r w:rsidRPr="00664E64">
        <w:t xml:space="preserve"> Melbourne: Victorian Responsible Gambling Foundation.</w:t>
      </w:r>
    </w:p>
    <w:p w14:paraId="47DCE5DB" w14:textId="65269F63" w:rsidR="0093104D" w:rsidRPr="00664E64" w:rsidRDefault="0093104D" w:rsidP="0093104D">
      <w:pPr>
        <w:pStyle w:val="References"/>
      </w:pPr>
      <w:r w:rsidRPr="0093104D">
        <w:rPr>
          <w:bCs/>
        </w:rPr>
        <w:t xml:space="preserve">Browne, M, Greer, N, Armstrong, T, Doran, C, Kinchin, I, Langham, E &amp; Rockloff, M (2017). </w:t>
      </w:r>
      <w:r w:rsidRPr="0093104D">
        <w:rPr>
          <w:i/>
        </w:rPr>
        <w:t>The social cost of gambling to Victoria</w:t>
      </w:r>
      <w:r>
        <w:t>.</w:t>
      </w:r>
      <w:r w:rsidRPr="0093104D">
        <w:t xml:space="preserve"> Melbourne: Victorian Responsible Gambling Foundation.</w:t>
      </w:r>
    </w:p>
    <w:p w14:paraId="5912AF95" w14:textId="77777777" w:rsidR="00EB7953" w:rsidRPr="00664E64" w:rsidRDefault="00EB7953" w:rsidP="00EB7953">
      <w:pPr>
        <w:pStyle w:val="References"/>
      </w:pPr>
      <w:r w:rsidRPr="00664E64">
        <w:t xml:space="preserve">Communio. (2018). </w:t>
      </w:r>
      <w:r w:rsidRPr="00664E64">
        <w:rPr>
          <w:i/>
        </w:rPr>
        <w:t>Performance, Review and Evaluation Strategy (PRES) and cost options for the National Consumer Protection Framework (NCPF) for online wagering in Australia.</w:t>
      </w:r>
      <w:r w:rsidRPr="00664E64">
        <w:t xml:space="preserve"> Report to the Department of Social Services, Gambling Policy Section, Welfare Quarantining and Gambling Branch. Confidential report.</w:t>
      </w:r>
    </w:p>
    <w:p w14:paraId="3CE6D1D4" w14:textId="77777777" w:rsidR="00EB7953" w:rsidRPr="00664E64" w:rsidRDefault="00EB7953" w:rsidP="00EB7953">
      <w:pPr>
        <w:pStyle w:val="References"/>
      </w:pPr>
      <w:r w:rsidRPr="00664E64">
        <w:t xml:space="preserve">Delfabbro, P., Thomas, A., &amp; Armstrong, A. (2016). Observable indicators and behaviors for the identification of problem gamblers in venue environments. </w:t>
      </w:r>
      <w:r w:rsidRPr="00664E64">
        <w:rPr>
          <w:i/>
        </w:rPr>
        <w:t>Journal of Behavioral Addictions</w:t>
      </w:r>
      <w:r w:rsidRPr="00664E64">
        <w:t>,</w:t>
      </w:r>
      <w:r w:rsidRPr="00664E64">
        <w:rPr>
          <w:i/>
        </w:rPr>
        <w:t xml:space="preserve"> 5</w:t>
      </w:r>
      <w:r w:rsidRPr="00664E64">
        <w:t xml:space="preserve">, 419–428. </w:t>
      </w:r>
    </w:p>
    <w:p w14:paraId="7E0C7EAA" w14:textId="0EAC1B4D" w:rsidR="00EB7953" w:rsidRPr="00664E64" w:rsidRDefault="00EB7953" w:rsidP="00EB7953">
      <w:pPr>
        <w:pStyle w:val="References"/>
      </w:pPr>
      <w:r w:rsidRPr="00664E64">
        <w:t>Department of Social Services</w:t>
      </w:r>
      <w:r w:rsidR="002C4DE5" w:rsidRPr="00664E64">
        <w:t xml:space="preserve"> (DSS)</w:t>
      </w:r>
      <w:r w:rsidRPr="00664E64">
        <w:t xml:space="preserve">. (2017). </w:t>
      </w:r>
      <w:r w:rsidRPr="00664E64">
        <w:rPr>
          <w:i/>
        </w:rPr>
        <w:t>A national consumer protection Framework for online wagering in Australia: Decision regulation impact statement</w:t>
      </w:r>
      <w:r w:rsidRPr="00664E64">
        <w:t>. Canberra</w:t>
      </w:r>
      <w:r w:rsidR="002C4DE5" w:rsidRPr="00664E64">
        <w:t>: DSS</w:t>
      </w:r>
      <w:r w:rsidRPr="00664E64">
        <w:t>.</w:t>
      </w:r>
    </w:p>
    <w:p w14:paraId="406438FE" w14:textId="7BA01463" w:rsidR="00EB7953" w:rsidRPr="00664E64" w:rsidRDefault="00EB7953" w:rsidP="00EB7953">
      <w:pPr>
        <w:pStyle w:val="References"/>
      </w:pPr>
      <w:r w:rsidRPr="00664E64">
        <w:t xml:space="preserve">Department of Social Services. (2018). </w:t>
      </w:r>
      <w:r w:rsidRPr="00664E64">
        <w:rPr>
          <w:i/>
        </w:rPr>
        <w:t>National consumer protection Framework for online wagering in Australia: National policy statement</w:t>
      </w:r>
      <w:r w:rsidRPr="00664E64">
        <w:t>. Canberra</w:t>
      </w:r>
      <w:r w:rsidR="002C4DE5" w:rsidRPr="00664E64">
        <w:t>: DSS.</w:t>
      </w:r>
    </w:p>
    <w:p w14:paraId="5FEB3E37" w14:textId="77777777" w:rsidR="00EB7953" w:rsidRPr="00664E64" w:rsidRDefault="00EB7953" w:rsidP="00EB7953">
      <w:pPr>
        <w:pStyle w:val="References"/>
      </w:pPr>
      <w:r w:rsidRPr="00664E64">
        <w:t xml:space="preserve">Department of Trade, Business and Innovation. (2016). </w:t>
      </w:r>
      <w:r w:rsidRPr="00664E64">
        <w:rPr>
          <w:i/>
        </w:rPr>
        <w:t>NT Code of practice for responsible online gambling</w:t>
      </w:r>
      <w:r w:rsidRPr="00664E64">
        <w:t>. Darwin: Northern Territory Government.</w:t>
      </w:r>
    </w:p>
    <w:p w14:paraId="53B05C54" w14:textId="7CC842B8" w:rsidR="00EB7953" w:rsidRPr="00664E64" w:rsidRDefault="00EB7953" w:rsidP="00EB7953">
      <w:pPr>
        <w:pStyle w:val="References"/>
      </w:pPr>
      <w:r w:rsidRPr="00664E64">
        <w:t xml:space="preserve">Drawson, A. S., Tanner. J., Mushquash, C. J., Mushquash, A. R., &amp; Mazmanian, D. (2017). The use of protective behavioural strategies in gambling: a systematic review. </w:t>
      </w:r>
      <w:r w:rsidRPr="00664E64">
        <w:rPr>
          <w:i/>
        </w:rPr>
        <w:t>International Journal of Mental Health and Addiction, 15</w:t>
      </w:r>
      <w:r w:rsidRPr="00664E64">
        <w:t>(6), 1302</w:t>
      </w:r>
      <w:r w:rsidR="002C4DE5" w:rsidRPr="00664E64">
        <w:rPr>
          <w:rFonts w:cs="Arial"/>
        </w:rPr>
        <w:t>–</w:t>
      </w:r>
      <w:r w:rsidRPr="00664E64">
        <w:t xml:space="preserve">1319 </w:t>
      </w:r>
    </w:p>
    <w:p w14:paraId="2FD2E3A0" w14:textId="77777777" w:rsidR="00EB7953" w:rsidRPr="00664E64" w:rsidRDefault="00EB7953" w:rsidP="00EB7953">
      <w:pPr>
        <w:pStyle w:val="References"/>
      </w:pPr>
      <w:r w:rsidRPr="00664E64">
        <w:t xml:space="preserve">Dufour, J., Ladouceur, R., &amp; Giroux, I. (2010). Training program on responsible gambling among video lottery employees. </w:t>
      </w:r>
      <w:r w:rsidRPr="00664E64">
        <w:rPr>
          <w:i/>
        </w:rPr>
        <w:t>International Gambling Studies, 10</w:t>
      </w:r>
      <w:r w:rsidRPr="00664E64">
        <w:t xml:space="preserve">(1), 61-79.  </w:t>
      </w:r>
    </w:p>
    <w:p w14:paraId="48733430" w14:textId="77777777" w:rsidR="00EB7953" w:rsidRPr="00664E64" w:rsidRDefault="00EB7953" w:rsidP="00EB7953">
      <w:pPr>
        <w:pStyle w:val="References"/>
      </w:pPr>
      <w:r w:rsidRPr="00664E64">
        <w:t xml:space="preserve">Edgerton, J. D., Biegun, J., &amp; Roberts, L. W. (2016). Player behavioral tracking and personalized feedback in online gambling: Implications for prevention and treatment of problem gambling. </w:t>
      </w:r>
      <w:r w:rsidRPr="00664E64">
        <w:rPr>
          <w:i/>
        </w:rPr>
        <w:t>Journal of Addiction Prevention</w:t>
      </w:r>
      <w:r w:rsidRPr="00664E64">
        <w:t xml:space="preserve">, </w:t>
      </w:r>
      <w:r w:rsidRPr="00664E64">
        <w:rPr>
          <w:i/>
        </w:rPr>
        <w:t>4</w:t>
      </w:r>
      <w:r w:rsidRPr="00664E64">
        <w:t>, 1</w:t>
      </w:r>
      <w:r w:rsidRPr="00664E64">
        <w:rPr>
          <w:rFonts w:cs="Arial"/>
        </w:rPr>
        <w:t>–</w:t>
      </w:r>
      <w:r w:rsidRPr="00664E64">
        <w:t xml:space="preserve">8. </w:t>
      </w:r>
    </w:p>
    <w:p w14:paraId="06A5DEB9" w14:textId="104023C4" w:rsidR="00EB7953" w:rsidRPr="00664E64" w:rsidRDefault="00EB7953" w:rsidP="00EB7953">
      <w:pPr>
        <w:pStyle w:val="References"/>
      </w:pPr>
      <w:r w:rsidRPr="00664E64">
        <w:t xml:space="preserve">European Union. (2014). </w:t>
      </w:r>
      <w:r w:rsidRPr="00664E64">
        <w:rPr>
          <w:i/>
        </w:rPr>
        <w:t>Study on the role of regulators for online gambling: authorisation, supervision and enforcement</w:t>
      </w:r>
      <w:r w:rsidR="002C4DE5" w:rsidRPr="00664E64">
        <w:rPr>
          <w:i/>
        </w:rPr>
        <w:t>.</w:t>
      </w:r>
      <w:r w:rsidRPr="00664E64">
        <w:rPr>
          <w:i/>
        </w:rPr>
        <w:t xml:space="preserve"> Final study report</w:t>
      </w:r>
      <w:r w:rsidRPr="00664E64">
        <w:t xml:space="preserve">. </w:t>
      </w:r>
      <w:r w:rsidR="002C4DE5" w:rsidRPr="00664E64">
        <w:t>Doi</w:t>
      </w:r>
      <w:r w:rsidRPr="00664E64">
        <w:t>: 10.2780/30455.</w:t>
      </w:r>
    </w:p>
    <w:p w14:paraId="245E050C" w14:textId="07A8C902" w:rsidR="00EB7953" w:rsidRPr="00664E64" w:rsidRDefault="00EB7953" w:rsidP="00EB7953">
      <w:pPr>
        <w:pStyle w:val="References"/>
      </w:pPr>
      <w:r w:rsidRPr="00664E64">
        <w:t>Ferris, J.</w:t>
      </w:r>
      <w:r w:rsidR="002C4DE5" w:rsidRPr="00664E64">
        <w:t xml:space="preserve"> </w:t>
      </w:r>
      <w:r w:rsidRPr="00664E64">
        <w:t xml:space="preserve">A., &amp; Wynne, H. J. (2001). </w:t>
      </w:r>
      <w:r w:rsidRPr="00664E64">
        <w:rPr>
          <w:i/>
        </w:rPr>
        <w:t>The Canadian problem gambling index</w:t>
      </w:r>
      <w:r w:rsidRPr="00664E64">
        <w:t xml:space="preserve"> (pp. 1</w:t>
      </w:r>
      <w:r w:rsidR="002C4DE5" w:rsidRPr="00664E64">
        <w:rPr>
          <w:rFonts w:cs="Arial"/>
        </w:rPr>
        <w:t>–</w:t>
      </w:r>
      <w:r w:rsidRPr="00664E64">
        <w:t>59). Ottawa, ON: Canadian Centre on Substance Abuse.</w:t>
      </w:r>
    </w:p>
    <w:p w14:paraId="4CFE232D" w14:textId="77777777" w:rsidR="00EB7953" w:rsidRPr="00664E64" w:rsidRDefault="00EB7953" w:rsidP="00EB7953">
      <w:pPr>
        <w:pStyle w:val="References"/>
      </w:pPr>
      <w:r w:rsidRPr="00664E64">
        <w:t xml:space="preserve">Financial Counselling Australia. (2015). </w:t>
      </w:r>
      <w:r w:rsidRPr="00664E64">
        <w:rPr>
          <w:i/>
        </w:rPr>
        <w:t>Duds, Mugs and the A-List: The Impact of Uncontrolled Sports Betting</w:t>
      </w:r>
      <w:r w:rsidRPr="00664E64">
        <w:t>. South Brisbane: Financial Counselling Australia.</w:t>
      </w:r>
    </w:p>
    <w:p w14:paraId="187433BC" w14:textId="77777777" w:rsidR="002C4DE5" w:rsidRPr="00664E64" w:rsidRDefault="002C4DE5" w:rsidP="002C4DE5">
      <w:pPr>
        <w:pStyle w:val="References"/>
      </w:pPr>
      <w:r w:rsidRPr="00664E64">
        <w:t xml:space="preserve">Financial Counselling Australia. (2016). </w:t>
      </w:r>
      <w:r w:rsidRPr="00664E64">
        <w:rPr>
          <w:i/>
        </w:rPr>
        <w:t>Problem Gambling</w:t>
      </w:r>
      <w:r w:rsidRPr="00664E64">
        <w:t>. South Brisbane: Financial Counselling Australia.</w:t>
      </w:r>
    </w:p>
    <w:p w14:paraId="7DC0D8E0" w14:textId="77777777" w:rsidR="00550B2E" w:rsidRPr="00550B2E" w:rsidRDefault="00550B2E" w:rsidP="00550B2E">
      <w:pPr>
        <w:pStyle w:val="References"/>
      </w:pPr>
      <w:r w:rsidRPr="00550B2E">
        <w:t xml:space="preserve">Gainsbury, S. M. (2012). </w:t>
      </w:r>
      <w:r w:rsidRPr="00550B2E">
        <w:rPr>
          <w:i/>
        </w:rPr>
        <w:t>Internet Gambling: Current Research Findings and Implications</w:t>
      </w:r>
      <w:r w:rsidRPr="00550B2E">
        <w:t xml:space="preserve">. Berlin: Springer Science &amp; Business Media. </w:t>
      </w:r>
    </w:p>
    <w:p w14:paraId="505B6F39" w14:textId="77777777" w:rsidR="00EB7953" w:rsidRPr="00664E64" w:rsidRDefault="00EB7953" w:rsidP="00EB7953">
      <w:pPr>
        <w:pStyle w:val="References"/>
      </w:pPr>
      <w:r w:rsidRPr="00664E64">
        <w:t xml:space="preserve">Gainsbury, S. M, Delfabbro, P. H., King, D. L., &amp; Hing, N. (2015). An exploratory study of gambling operators' use of social media and the latent messages conveyed. </w:t>
      </w:r>
      <w:r w:rsidRPr="00664E64">
        <w:rPr>
          <w:i/>
        </w:rPr>
        <w:t>Journal of Gambling Studies</w:t>
      </w:r>
      <w:r w:rsidRPr="00664E64">
        <w:t>. doi: 10.1007/s10899-015-9525-2</w:t>
      </w:r>
    </w:p>
    <w:p w14:paraId="5EC6C6C1" w14:textId="77777777" w:rsidR="00EB7953" w:rsidRPr="00664E64" w:rsidRDefault="00EB7953" w:rsidP="00EB7953">
      <w:pPr>
        <w:pStyle w:val="References"/>
      </w:pPr>
      <w:r w:rsidRPr="00664E64">
        <w:t xml:space="preserve">Gainsbury, S., Russell, A., Blaszczynski, A., &amp; Hing. N. (2015). Greater involvement and diversity of Internet gambling as a risk factor for problem gambling. </w:t>
      </w:r>
      <w:r w:rsidRPr="00664E64">
        <w:rPr>
          <w:i/>
        </w:rPr>
        <w:t>European Journal of Public Health.</w:t>
      </w:r>
      <w:r w:rsidRPr="00664E64">
        <w:t xml:space="preserve"> doi: 10.1093/eurpub/ckv006.  </w:t>
      </w:r>
    </w:p>
    <w:p w14:paraId="0AC3CD48" w14:textId="77777777" w:rsidR="00EB7953" w:rsidRPr="00664E64" w:rsidRDefault="00EB7953" w:rsidP="00EB7953">
      <w:pPr>
        <w:pStyle w:val="References"/>
      </w:pPr>
      <w:r w:rsidRPr="00664E64">
        <w:t xml:space="preserve">Gainsbury, S., Russell, A., Hing, N. &amp; Blaszczynski, A. (2018). Consumer engagement with and perceptions of offshore online gambling sites. </w:t>
      </w:r>
      <w:r w:rsidRPr="00664E64">
        <w:rPr>
          <w:i/>
        </w:rPr>
        <w:t>New Media and Society</w:t>
      </w:r>
      <w:r w:rsidRPr="00664E64">
        <w:t xml:space="preserve">, </w:t>
      </w:r>
      <w:r w:rsidRPr="00664E64">
        <w:rPr>
          <w:i/>
        </w:rPr>
        <w:t>20</w:t>
      </w:r>
      <w:r w:rsidRPr="00664E64">
        <w:t>(8), 2990</w:t>
      </w:r>
      <w:r w:rsidRPr="00664E64">
        <w:rPr>
          <w:rFonts w:cs="Arial"/>
        </w:rPr>
        <w:t>–</w:t>
      </w:r>
      <w:r w:rsidRPr="00664E64">
        <w:t xml:space="preserve">3010.  </w:t>
      </w:r>
    </w:p>
    <w:p w14:paraId="14A6FD9A" w14:textId="77777777" w:rsidR="00EB7953" w:rsidRPr="00664E64" w:rsidRDefault="00EB7953" w:rsidP="00EB7953">
      <w:pPr>
        <w:pStyle w:val="References"/>
      </w:pPr>
      <w:r w:rsidRPr="00664E64">
        <w:t xml:space="preserve">Gainsbury, S. M., Russell, A., Hing, N., Wood, R., Lubman, D., &amp; Blaszczynski, A. (2015). How the Internet is changing gambling: findings from an Australian prevalence survey. </w:t>
      </w:r>
      <w:r w:rsidRPr="00664E64">
        <w:rPr>
          <w:i/>
        </w:rPr>
        <w:t>Journal of Gambling Studies</w:t>
      </w:r>
      <w:r w:rsidRPr="00664E64">
        <w:t xml:space="preserve">, </w:t>
      </w:r>
      <w:r w:rsidRPr="00664E64">
        <w:rPr>
          <w:i/>
        </w:rPr>
        <w:t>31</w:t>
      </w:r>
      <w:r w:rsidRPr="00664E64">
        <w:t>, 1–15.</w:t>
      </w:r>
    </w:p>
    <w:p w14:paraId="0D7443E7" w14:textId="77777777" w:rsidR="00EB7953" w:rsidRPr="00664E64" w:rsidRDefault="00EB7953" w:rsidP="00EB7953">
      <w:pPr>
        <w:pStyle w:val="References"/>
      </w:pPr>
      <w:r w:rsidRPr="00664E64">
        <w:t xml:space="preserve">Global Betting and Gaming Consultants (GBGC). (2018). </w:t>
      </w:r>
      <w:r w:rsidRPr="00664E64">
        <w:rPr>
          <w:i/>
        </w:rPr>
        <w:t>Interactive Gambling Dataset 2018</w:t>
      </w:r>
      <w:r w:rsidRPr="00664E64">
        <w:t>. Isle of Man: GBGC.</w:t>
      </w:r>
    </w:p>
    <w:p w14:paraId="1F29A13B" w14:textId="72BEF226" w:rsidR="005C5559" w:rsidRPr="00664E64" w:rsidRDefault="005C5559" w:rsidP="005C5559">
      <w:pPr>
        <w:pStyle w:val="References"/>
      </w:pPr>
      <w:r w:rsidRPr="00664E64">
        <w:t>Goodwin, B., Browne, M., Rockloff, M., &amp; Rose, J. (2017). A typical problem gambler affects six others, International Gambling Studies, 17:2, 276-289, DOI:10.1080/14459795.2017.1331252</w:t>
      </w:r>
    </w:p>
    <w:p w14:paraId="49388C6E" w14:textId="77777777" w:rsidR="00EB7953" w:rsidRPr="00664E64" w:rsidRDefault="00EB7953" w:rsidP="00EB7953">
      <w:pPr>
        <w:pStyle w:val="References"/>
      </w:pPr>
      <w:r w:rsidRPr="00664E64">
        <w:t xml:space="preserve">Harris, A. &amp; Griffiths, M. D. (2017). A critical review of the harm-minimisation tools available for electronic gambling. </w:t>
      </w:r>
      <w:r w:rsidRPr="00664E64">
        <w:rPr>
          <w:i/>
        </w:rPr>
        <w:t>Journal of Gambling Studies</w:t>
      </w:r>
      <w:r w:rsidRPr="00664E64">
        <w:t xml:space="preserve">, </w:t>
      </w:r>
      <w:r w:rsidRPr="00664E64">
        <w:rPr>
          <w:i/>
        </w:rPr>
        <w:t>33</w:t>
      </w:r>
      <w:r w:rsidRPr="00664E64">
        <w:t>, 187</w:t>
      </w:r>
      <w:r w:rsidRPr="00664E64">
        <w:rPr>
          <w:rFonts w:cs="Arial"/>
        </w:rPr>
        <w:t>–</w:t>
      </w:r>
      <w:r w:rsidRPr="00664E64">
        <w:t>221.</w:t>
      </w:r>
    </w:p>
    <w:p w14:paraId="116439FE" w14:textId="77777777" w:rsidR="00EB7953" w:rsidRPr="00664E64" w:rsidRDefault="00EB7953" w:rsidP="00EB7953">
      <w:pPr>
        <w:pStyle w:val="References"/>
      </w:pPr>
      <w:r w:rsidRPr="00664E64">
        <w:t xml:space="preserve">Hing, N., Browne, M., Russell, A., Greer, N., Thomas, A., Jenkinson, R. &amp; Rockloff, M.  (2018). Where’s the bonus in bonus bets? Assessing sports bettors comprehension of their true cost. </w:t>
      </w:r>
      <w:r w:rsidRPr="00664E64">
        <w:rPr>
          <w:i/>
        </w:rPr>
        <w:t>Journal of Gambling Studies</w:t>
      </w:r>
      <w:r w:rsidRPr="00664E64">
        <w:t>, doi: 10.1007/s10899-018-9800-0.</w:t>
      </w:r>
    </w:p>
    <w:p w14:paraId="4D118EDB" w14:textId="3A8ADC4D" w:rsidR="00EB7953" w:rsidRPr="00664E64" w:rsidRDefault="00EB7953" w:rsidP="00EB7953">
      <w:pPr>
        <w:pStyle w:val="References"/>
      </w:pPr>
      <w:r w:rsidRPr="00664E64">
        <w:lastRenderedPageBreak/>
        <w:t xml:space="preserve">Hing, N., Cherney, L., Blaszczynski, A., Gainsbury, S., &amp; Lubman, D. (2014). Do advertising and promotions for online gambling increase gambling consumption? An exploratory study. </w:t>
      </w:r>
      <w:r w:rsidRPr="00664E64">
        <w:rPr>
          <w:i/>
        </w:rPr>
        <w:t>International Gambling Studies</w:t>
      </w:r>
      <w:r w:rsidRPr="00664E64">
        <w:t xml:space="preserve">, </w:t>
      </w:r>
      <w:r w:rsidRPr="00664E64">
        <w:rPr>
          <w:i/>
        </w:rPr>
        <w:t>14</w:t>
      </w:r>
      <w:r w:rsidRPr="00664E64">
        <w:t>(3), 394</w:t>
      </w:r>
      <w:r w:rsidRPr="00664E64">
        <w:rPr>
          <w:rFonts w:cs="Arial"/>
        </w:rPr>
        <w:t>–</w:t>
      </w:r>
      <w:r w:rsidRPr="00664E64">
        <w:t xml:space="preserve">409. </w:t>
      </w:r>
    </w:p>
    <w:p w14:paraId="35A234C6" w14:textId="7C323848" w:rsidR="00EB7953" w:rsidRPr="00664E64" w:rsidRDefault="00EB7953" w:rsidP="00EB7953">
      <w:pPr>
        <w:pStyle w:val="References"/>
      </w:pPr>
      <w:r w:rsidRPr="00664E64">
        <w:t xml:space="preserve">Hing, N., Gainsbury, S., Blaszczynski, A., Wood, R., Lubman, D., &amp; Russell, A. (2014). </w:t>
      </w:r>
      <w:r w:rsidRPr="00664E64">
        <w:rPr>
          <w:i/>
        </w:rPr>
        <w:t>Interactive Gambling</w:t>
      </w:r>
      <w:r w:rsidRPr="00664E64">
        <w:t>. Melbourne, Australia: Gambling Research Australia.</w:t>
      </w:r>
    </w:p>
    <w:p w14:paraId="2ACF5D8F" w14:textId="77777777" w:rsidR="00EB7953" w:rsidRPr="00664E64" w:rsidRDefault="00EB7953" w:rsidP="00EB7953">
      <w:pPr>
        <w:pStyle w:val="References"/>
      </w:pPr>
      <w:r w:rsidRPr="00664E64">
        <w:t xml:space="preserve">Hing, N., Lamont, M., Vitartas, P., &amp; Fink, E. (2015a). Sports-embedded gambling promotions: A study of exposure, sports betting intention and problem gambling amongst adults. </w:t>
      </w:r>
      <w:r w:rsidRPr="00664E64">
        <w:rPr>
          <w:i/>
        </w:rPr>
        <w:t>International Journal of Mental Health and Addiction</w:t>
      </w:r>
      <w:r w:rsidRPr="00664E64">
        <w:t xml:space="preserve">, </w:t>
      </w:r>
      <w:r w:rsidRPr="00664E64">
        <w:rPr>
          <w:i/>
        </w:rPr>
        <w:t>13</w:t>
      </w:r>
      <w:r w:rsidRPr="00664E64">
        <w:t>(1), 115</w:t>
      </w:r>
      <w:r w:rsidRPr="00664E64">
        <w:rPr>
          <w:rFonts w:cs="Arial"/>
        </w:rPr>
        <w:t>–</w:t>
      </w:r>
      <w:r w:rsidRPr="00664E64">
        <w:t xml:space="preserve">135. </w:t>
      </w:r>
    </w:p>
    <w:p w14:paraId="61F48A20" w14:textId="77777777" w:rsidR="00EB7953" w:rsidRPr="00664E64" w:rsidRDefault="00EB7953" w:rsidP="00EB7953">
      <w:pPr>
        <w:pStyle w:val="References"/>
      </w:pPr>
      <w:r w:rsidRPr="00664E64">
        <w:t xml:space="preserve">Hing, N., Russell, A. M. T., Lamont, M., &amp; Vitartas, P. (2017). Bet anywhere, anytime: An analysis of Internet sports bettors’ responses to gambling promotions during sports broadcasts by problem gambling severity. </w:t>
      </w:r>
      <w:r w:rsidRPr="00664E64">
        <w:rPr>
          <w:i/>
        </w:rPr>
        <w:t>Journal of Gambling Studies</w:t>
      </w:r>
      <w:r w:rsidRPr="00664E64">
        <w:t xml:space="preserve">, </w:t>
      </w:r>
      <w:r w:rsidRPr="00664E64">
        <w:rPr>
          <w:i/>
        </w:rPr>
        <w:t>33</w:t>
      </w:r>
      <w:r w:rsidRPr="00664E64">
        <w:t>, 1051–1065.</w:t>
      </w:r>
    </w:p>
    <w:p w14:paraId="7D63C669" w14:textId="77777777" w:rsidR="00EB7953" w:rsidRPr="00664E64" w:rsidRDefault="00EB7953" w:rsidP="00EB7953">
      <w:pPr>
        <w:pStyle w:val="References"/>
      </w:pPr>
      <w:r w:rsidRPr="00664E64">
        <w:t xml:space="preserve">Hing, N., Russell, A. M., Li, E., &amp; Vitartas, P. (2018). Does the uptake of wagering inducements predict impulse betting on sport? </w:t>
      </w:r>
      <w:r w:rsidRPr="00664E64">
        <w:rPr>
          <w:i/>
        </w:rPr>
        <w:t>Journal of Behavioural Addictions</w:t>
      </w:r>
      <w:r w:rsidRPr="00664E64">
        <w:t xml:space="preserve">, </w:t>
      </w:r>
      <w:r w:rsidRPr="00664E64">
        <w:rPr>
          <w:i/>
        </w:rPr>
        <w:t>7</w:t>
      </w:r>
      <w:r w:rsidRPr="00664E64">
        <w:t>(1), 146–147.</w:t>
      </w:r>
    </w:p>
    <w:p w14:paraId="77BFB3B6" w14:textId="77777777" w:rsidR="00EB7953" w:rsidRPr="00664E64" w:rsidRDefault="00EB7953" w:rsidP="00EB7953">
      <w:pPr>
        <w:pStyle w:val="References"/>
      </w:pPr>
      <w:r w:rsidRPr="00664E64">
        <w:t xml:space="preserve">Hing, N., Russell, A., Thomas, A., &amp; Jenkinson, R. (2019). Wagering advertisements and inducements: Exposure and perceived influence on betting behaviour. </w:t>
      </w:r>
      <w:r w:rsidRPr="00664E64">
        <w:rPr>
          <w:i/>
        </w:rPr>
        <w:t>Journal of Gambling Studies</w:t>
      </w:r>
      <w:r w:rsidRPr="00664E64">
        <w:t>, doi: 10.1007/s10899-018-09823-y.</w:t>
      </w:r>
    </w:p>
    <w:p w14:paraId="105E39D7" w14:textId="77777777" w:rsidR="00EB7953" w:rsidRPr="00664E64" w:rsidRDefault="00EB7953" w:rsidP="00EB7953">
      <w:pPr>
        <w:pStyle w:val="References"/>
      </w:pPr>
      <w:r w:rsidRPr="00664E64">
        <w:t xml:space="preserve">Hing, N., Russell, A., Tolchard, B., &amp; Nuske E. (2015b). Are there distinctive outcomes from self-exclusion? An exploratory study comparing gamblers who have self-excluded, received counselling, or both. </w:t>
      </w:r>
      <w:r w:rsidRPr="00664E64">
        <w:rPr>
          <w:i/>
        </w:rPr>
        <w:t>International Journal of Mental Health and Addiction</w:t>
      </w:r>
      <w:r w:rsidRPr="00664E64">
        <w:t xml:space="preserve">, </w:t>
      </w:r>
      <w:r w:rsidRPr="00664E64">
        <w:rPr>
          <w:i/>
        </w:rPr>
        <w:t>13</w:t>
      </w:r>
      <w:r w:rsidRPr="00664E64">
        <w:t xml:space="preserve">, 481–496. </w:t>
      </w:r>
    </w:p>
    <w:p w14:paraId="09DDB62A" w14:textId="77777777" w:rsidR="00EB7953" w:rsidRPr="00664E64" w:rsidRDefault="00EB7953" w:rsidP="00EB7953">
      <w:pPr>
        <w:pStyle w:val="References"/>
      </w:pPr>
      <w:r w:rsidRPr="00664E64">
        <w:t xml:space="preserve">Hing, N., Sproston, K., Brading, R., &amp; Brook, K. (2015c). </w:t>
      </w:r>
      <w:r w:rsidRPr="00664E64">
        <w:rPr>
          <w:i/>
        </w:rPr>
        <w:t>Review and analysis of sports and race betting inducements</w:t>
      </w:r>
      <w:r w:rsidRPr="00664E64">
        <w:t xml:space="preserve">. Melbourne: Victorian Responsible Gambling Foundation. </w:t>
      </w:r>
    </w:p>
    <w:p w14:paraId="19A2208F" w14:textId="77777777" w:rsidR="00EB7953" w:rsidRPr="00664E64" w:rsidRDefault="00EB7953" w:rsidP="00EB7953">
      <w:pPr>
        <w:pStyle w:val="References"/>
      </w:pPr>
      <w:r w:rsidRPr="00664E64">
        <w:t xml:space="preserve">Hing, N., Sproston, K., Brook, K., &amp; Brading, R. (2016). The Structural Features of Sports and Race Betting Inducements: Issues for Harm Minimisation and Consumer Protection. </w:t>
      </w:r>
      <w:r w:rsidRPr="00664E64">
        <w:rPr>
          <w:i/>
        </w:rPr>
        <w:t>Journal of Gambling Studies</w:t>
      </w:r>
      <w:r w:rsidRPr="00664E64">
        <w:t>, 1</w:t>
      </w:r>
      <w:r w:rsidRPr="00664E64">
        <w:rPr>
          <w:rFonts w:cs="Arial"/>
        </w:rPr>
        <w:t>–</w:t>
      </w:r>
      <w:r w:rsidRPr="00664E64">
        <w:t>20.</w:t>
      </w:r>
    </w:p>
    <w:p w14:paraId="7BC7C35F" w14:textId="77777777" w:rsidR="00EB7953" w:rsidRPr="00664E64" w:rsidRDefault="00EB7953" w:rsidP="00EB7953">
      <w:pPr>
        <w:pStyle w:val="References"/>
      </w:pPr>
      <w:r w:rsidRPr="00664E64">
        <w:t xml:space="preserve">International Gaming Research Unit. (2007). </w:t>
      </w:r>
      <w:r w:rsidRPr="00664E64">
        <w:rPr>
          <w:i/>
        </w:rPr>
        <w:t>The global online gambling report: An exploratory investigation into the attitudes and behaviours of internet casino and poker players.</w:t>
      </w:r>
      <w:r w:rsidRPr="00664E64">
        <w:t xml:space="preserve"> Report for eCOGRA (e-Commerce and Online Gaming Regulation and Assurance). </w:t>
      </w:r>
    </w:p>
    <w:p w14:paraId="23F2A59D" w14:textId="77777777" w:rsidR="00EB7953" w:rsidRPr="00664E64" w:rsidRDefault="00EB7953" w:rsidP="00EB7953">
      <w:pPr>
        <w:pStyle w:val="References"/>
      </w:pPr>
      <w:r w:rsidRPr="00664E64">
        <w:t xml:space="preserve">Jenkinson, R., de Lacey-Vawdon, C., &amp; Carroll, M. (2018). </w:t>
      </w:r>
      <w:r w:rsidRPr="00664E64">
        <w:rPr>
          <w:i/>
        </w:rPr>
        <w:t>Weighing up the odds: Young men, sports and betting</w:t>
      </w:r>
      <w:r w:rsidRPr="00664E64">
        <w:t>. Melbourne: Victorian Responsible Gambling Foundation.</w:t>
      </w:r>
    </w:p>
    <w:p w14:paraId="55B1F347" w14:textId="77777777" w:rsidR="00EB7953" w:rsidRPr="00664E64" w:rsidRDefault="00EB7953" w:rsidP="00EB7953">
      <w:pPr>
        <w:pStyle w:val="References"/>
      </w:pPr>
      <w:r w:rsidRPr="00664E64">
        <w:t xml:space="preserve">Ladouceur, R., Boutin, C., Doucet, C., Dumont, M., Provencher, M., Giroux, I., &amp; Boucher, C. (2004). Awareness promotion about excessive gambling among video lottery retailers. </w:t>
      </w:r>
      <w:r w:rsidRPr="00664E64">
        <w:rPr>
          <w:i/>
        </w:rPr>
        <w:t>Journal of Gambling Studies, 20</w:t>
      </w:r>
      <w:r w:rsidRPr="00664E64">
        <w:t>(2), 181-185.</w:t>
      </w:r>
    </w:p>
    <w:p w14:paraId="26CEDE7C" w14:textId="77777777" w:rsidR="00EB7953" w:rsidRPr="00664E64" w:rsidRDefault="00EB7953" w:rsidP="00EB7953">
      <w:pPr>
        <w:pStyle w:val="References"/>
      </w:pPr>
      <w:r w:rsidRPr="00664E64">
        <w:t xml:space="preserve">Ladouceur, R., Sylvain, C., &amp; Gosselin, P. (2007). Self-exclusion program: A longitudinal evaluation study. </w:t>
      </w:r>
      <w:r w:rsidRPr="00664E64">
        <w:rPr>
          <w:i/>
        </w:rPr>
        <w:t>Journal of Gambling Studies</w:t>
      </w:r>
      <w:r w:rsidRPr="00664E64">
        <w:t xml:space="preserve">, </w:t>
      </w:r>
      <w:r w:rsidRPr="00664E64">
        <w:rPr>
          <w:i/>
        </w:rPr>
        <w:t>23</w:t>
      </w:r>
      <w:r w:rsidRPr="00664E64">
        <w:t>, 85–94.</w:t>
      </w:r>
    </w:p>
    <w:p w14:paraId="711B3E58" w14:textId="77777777" w:rsidR="00EB7953" w:rsidRPr="00664E64" w:rsidRDefault="00EB7953" w:rsidP="00EB7953">
      <w:pPr>
        <w:pStyle w:val="References"/>
      </w:pPr>
      <w:r w:rsidRPr="00664E64">
        <w:t xml:space="preserve">LaPlante, D. A., Nelson, S. E., &amp; Gray, H. M. (2014). Breadth and depth involvement: Understanding Inter- net gambling involvement and its relationship to gambling problems. </w:t>
      </w:r>
      <w:r w:rsidRPr="00664E64">
        <w:rPr>
          <w:i/>
        </w:rPr>
        <w:t>Psychology of Addictive Behaviors</w:t>
      </w:r>
      <w:r w:rsidRPr="00664E64">
        <w:t xml:space="preserve">, </w:t>
      </w:r>
      <w:r w:rsidRPr="00664E64">
        <w:rPr>
          <w:i/>
        </w:rPr>
        <w:t>28</w:t>
      </w:r>
      <w:r w:rsidRPr="00664E64">
        <w:t xml:space="preserve">(2), 396–403. </w:t>
      </w:r>
    </w:p>
    <w:p w14:paraId="3D33B8B8" w14:textId="77777777" w:rsidR="00EB7953" w:rsidRPr="00664E64" w:rsidRDefault="00EB7953" w:rsidP="00EB7953">
      <w:pPr>
        <w:pStyle w:val="References"/>
      </w:pPr>
      <w:r w:rsidRPr="00664E64">
        <w:t xml:space="preserve">Livingstone, C., Rintoul, A., de Lacey-Vawdon, C., Borland, R., Dietze, P., Jenkinson, R., Livingston, M., et al. (in press) </w:t>
      </w:r>
      <w:r w:rsidRPr="00664E64">
        <w:rPr>
          <w:i/>
        </w:rPr>
        <w:t>Identifying effective policy interventions to prevent gambling-related harm</w:t>
      </w:r>
      <w:r w:rsidRPr="00664E64">
        <w:t>. Melbourne: Victorian Responsible Gambling Foundation.</w:t>
      </w:r>
    </w:p>
    <w:p w14:paraId="04424357" w14:textId="77777777" w:rsidR="00EB7953" w:rsidRPr="00664E64" w:rsidRDefault="00EB7953" w:rsidP="00EB7953">
      <w:pPr>
        <w:pStyle w:val="References"/>
      </w:pPr>
      <w:r w:rsidRPr="00664E64">
        <w:t xml:space="preserve">Lopez-Gonzalez, H., &amp; Griffiths, M. D. (2017). ‘Cashing out’ in sports betting: Implications for problem gambling and regulation. </w:t>
      </w:r>
      <w:r w:rsidRPr="00664E64">
        <w:rPr>
          <w:i/>
        </w:rPr>
        <w:t>Gaming Law Review</w:t>
      </w:r>
      <w:r w:rsidRPr="00664E64">
        <w:t xml:space="preserve">, </w:t>
      </w:r>
      <w:r w:rsidRPr="00664E64">
        <w:rPr>
          <w:i/>
        </w:rPr>
        <w:t>21</w:t>
      </w:r>
      <w:r w:rsidRPr="00664E64">
        <w:t>(4), 323–326.</w:t>
      </w:r>
    </w:p>
    <w:p w14:paraId="032F3B40" w14:textId="77777777" w:rsidR="00EB7953" w:rsidRPr="00664E64" w:rsidRDefault="00EB7953" w:rsidP="00EB7953">
      <w:pPr>
        <w:pStyle w:val="References"/>
      </w:pPr>
      <w:r w:rsidRPr="00664E64">
        <w:t xml:space="preserve">MacLaren, V. V. (2016). Video lottery is the most harmful form of gambling in Canada. </w:t>
      </w:r>
      <w:r w:rsidRPr="00664E64">
        <w:rPr>
          <w:i/>
        </w:rPr>
        <w:t>Journal of Gambling Studies</w:t>
      </w:r>
      <w:r w:rsidRPr="00664E64">
        <w:t xml:space="preserve">, </w:t>
      </w:r>
      <w:r w:rsidRPr="00664E64">
        <w:rPr>
          <w:i/>
        </w:rPr>
        <w:t>32</w:t>
      </w:r>
      <w:r w:rsidRPr="00664E64">
        <w:t xml:space="preserve">, 459–485. </w:t>
      </w:r>
    </w:p>
    <w:p w14:paraId="222485CD" w14:textId="77777777" w:rsidR="00EB7953" w:rsidRPr="00664E64" w:rsidRDefault="00EB7953" w:rsidP="00EB7953">
      <w:pPr>
        <w:pStyle w:val="References"/>
      </w:pPr>
      <w:r w:rsidRPr="00664E64">
        <w:t xml:space="preserve">Monaghan, S., &amp; Blaszczynski, A. (2010a). Electronic gaming machine warning messages: Information versus self-evaluation. </w:t>
      </w:r>
      <w:r w:rsidRPr="00664E64">
        <w:rPr>
          <w:i/>
        </w:rPr>
        <w:t>Journal of Psychology</w:t>
      </w:r>
      <w:r w:rsidRPr="00664E64">
        <w:t xml:space="preserve">, </w:t>
      </w:r>
      <w:r w:rsidRPr="00664E64">
        <w:rPr>
          <w:i/>
        </w:rPr>
        <w:t>144</w:t>
      </w:r>
      <w:r w:rsidRPr="00664E64">
        <w:t>(1), 83–96.</w:t>
      </w:r>
    </w:p>
    <w:p w14:paraId="6E2DDB97" w14:textId="77777777" w:rsidR="00EB7953" w:rsidRPr="00664E64" w:rsidRDefault="00EB7953" w:rsidP="00EB7953">
      <w:pPr>
        <w:pStyle w:val="References"/>
      </w:pPr>
      <w:r w:rsidRPr="00664E64">
        <w:t xml:space="preserve">Monaghan, S., &amp; Blaszczynski, A. (2010b). Impact of mode of display and message content of responsible gambling signs for electronic gaming machines on regular gamblers. </w:t>
      </w:r>
      <w:r w:rsidRPr="00664E64">
        <w:rPr>
          <w:i/>
        </w:rPr>
        <w:t>Journal of Gambling Studies</w:t>
      </w:r>
      <w:r w:rsidRPr="00664E64">
        <w:t xml:space="preserve">, </w:t>
      </w:r>
      <w:r w:rsidRPr="00664E64">
        <w:rPr>
          <w:i/>
        </w:rPr>
        <w:t>26</w:t>
      </w:r>
      <w:r w:rsidRPr="00664E64">
        <w:t>, 67–88.</w:t>
      </w:r>
    </w:p>
    <w:p w14:paraId="704E330D" w14:textId="77777777" w:rsidR="00EB7953" w:rsidRPr="00664E64" w:rsidRDefault="00EB7953" w:rsidP="00EB7953">
      <w:pPr>
        <w:pStyle w:val="References"/>
      </w:pPr>
      <w:r w:rsidRPr="00664E64">
        <w:t xml:space="preserve">Moore, S. M., Thomas, A. C., Kyrios, M., &amp; Bates, G. (2012). The self-regulation of gambling. </w:t>
      </w:r>
      <w:r w:rsidRPr="00664E64">
        <w:rPr>
          <w:i/>
        </w:rPr>
        <w:t>Journal of Gambling Studies</w:t>
      </w:r>
      <w:r w:rsidRPr="00664E64">
        <w:t xml:space="preserve">, </w:t>
      </w:r>
      <w:r w:rsidRPr="00664E64">
        <w:rPr>
          <w:i/>
        </w:rPr>
        <w:t>28</w:t>
      </w:r>
      <w:r w:rsidRPr="00664E64">
        <w:t xml:space="preserve">, 405–420. </w:t>
      </w:r>
    </w:p>
    <w:p w14:paraId="03097C07" w14:textId="77777777" w:rsidR="00EB7953" w:rsidRPr="00664E64" w:rsidRDefault="00EB7953" w:rsidP="00EB7953">
      <w:pPr>
        <w:pStyle w:val="References"/>
      </w:pPr>
      <w:r w:rsidRPr="00664E64">
        <w:t xml:space="preserve">O’Farrell, B. (2015). </w:t>
      </w:r>
      <w:r w:rsidRPr="00664E64">
        <w:rPr>
          <w:i/>
        </w:rPr>
        <w:t>Review of illegal offshore wagering. Report to the Ministers for Social Services and the Minister for Communications and the Arts</w:t>
      </w:r>
      <w:r w:rsidRPr="00664E64">
        <w:t xml:space="preserve">. Canberra: Commonwealth of Australia, Department of Social Services. </w:t>
      </w:r>
    </w:p>
    <w:p w14:paraId="17958B05" w14:textId="7032C700" w:rsidR="00EB7953" w:rsidRPr="00664E64" w:rsidRDefault="00EB7953" w:rsidP="00EB7953">
      <w:pPr>
        <w:pStyle w:val="References"/>
      </w:pPr>
      <w:r w:rsidRPr="00664E64">
        <w:t xml:space="preserve">Productivity Commission. (2010). </w:t>
      </w:r>
      <w:r w:rsidRPr="00664E64">
        <w:rPr>
          <w:i/>
        </w:rPr>
        <w:t xml:space="preserve">Gambling </w:t>
      </w:r>
      <w:r w:rsidR="002677DE" w:rsidRPr="00664E64">
        <w:rPr>
          <w:i/>
        </w:rPr>
        <w:t xml:space="preserve">Productivity Commission </w:t>
      </w:r>
      <w:r w:rsidRPr="00664E64">
        <w:rPr>
          <w:i/>
        </w:rPr>
        <w:t xml:space="preserve">inquiry report </w:t>
      </w:r>
      <w:r w:rsidRPr="00664E64">
        <w:t>(Report no. 50). Canberra: Productivity Commission.</w:t>
      </w:r>
    </w:p>
    <w:p w14:paraId="67093971" w14:textId="75C0217C" w:rsidR="00385553" w:rsidRPr="00664E64" w:rsidRDefault="0012045A" w:rsidP="0012045A">
      <w:pPr>
        <w:pStyle w:val="References"/>
      </w:pPr>
      <w:r w:rsidRPr="00664E64">
        <w:t xml:space="preserve">Queensland Government Statistician's Office (QGSO), Queensland Treasury. (2018). </w:t>
      </w:r>
      <w:r w:rsidRPr="00664E64">
        <w:rPr>
          <w:i/>
          <w:iCs/>
        </w:rPr>
        <w:t>Australian Gambling Statistics</w:t>
      </w:r>
      <w:r w:rsidRPr="00664E64">
        <w:t>, 34th edition. Brisbane: Queensland Government Statistician’s Office.</w:t>
      </w:r>
    </w:p>
    <w:p w14:paraId="1220F5E0" w14:textId="5B4EE7C7" w:rsidR="00EB7953" w:rsidRPr="00664E64" w:rsidRDefault="00EB7953" w:rsidP="00EB7953">
      <w:pPr>
        <w:pStyle w:val="References"/>
      </w:pPr>
      <w:r w:rsidRPr="00664E64">
        <w:t xml:space="preserve">Quilty, L. C., Robinson, J., &amp; Blaszczynski, A. (2015). Responsible gambling training in Ontario casinos: Employee attitudes and experience. </w:t>
      </w:r>
      <w:r w:rsidRPr="00664E64">
        <w:rPr>
          <w:i/>
        </w:rPr>
        <w:t>International Gambling Studies</w:t>
      </w:r>
      <w:r w:rsidRPr="00664E64">
        <w:t xml:space="preserve">, </w:t>
      </w:r>
      <w:r w:rsidRPr="00664E64">
        <w:rPr>
          <w:i/>
        </w:rPr>
        <w:t>15</w:t>
      </w:r>
      <w:r w:rsidRPr="00664E64">
        <w:t>, 361</w:t>
      </w:r>
      <w:r w:rsidRPr="00664E64">
        <w:rPr>
          <w:rFonts w:cs="Arial"/>
          <w:i/>
        </w:rPr>
        <w:t>–</w:t>
      </w:r>
      <w:r w:rsidRPr="00664E64">
        <w:t>376.</w:t>
      </w:r>
    </w:p>
    <w:p w14:paraId="34207604" w14:textId="77777777" w:rsidR="00EB7953" w:rsidRPr="00664E64" w:rsidRDefault="00EB7953" w:rsidP="00EB7953">
      <w:pPr>
        <w:pStyle w:val="References"/>
      </w:pPr>
      <w:r w:rsidRPr="00664E64">
        <w:lastRenderedPageBreak/>
        <w:t xml:space="preserve">Responsible Gambling Council (RGC). (2013). </w:t>
      </w:r>
      <w:r w:rsidRPr="00664E64">
        <w:rPr>
          <w:i/>
        </w:rPr>
        <w:t>Responsible gambling best practices for player incentives: Land-based venues</w:t>
      </w:r>
      <w:r w:rsidRPr="00664E64">
        <w:t>. Toronto: Responsible Gambling Council.</w:t>
      </w:r>
    </w:p>
    <w:p w14:paraId="5C5C47ED" w14:textId="77777777" w:rsidR="00EB7953" w:rsidRPr="00664E64" w:rsidRDefault="00EB7953" w:rsidP="00EB7953">
      <w:pPr>
        <w:pStyle w:val="References"/>
        <w:rPr>
          <w:noProof/>
        </w:rPr>
      </w:pPr>
      <w:r w:rsidRPr="00664E64">
        <w:t>Rintoul, A., &amp; Deblaquiere, J. (2017)</w:t>
      </w:r>
      <w:r w:rsidRPr="00664E64">
        <w:rPr>
          <w:noProof/>
        </w:rPr>
        <w:t xml:space="preserve">. Responsible gambling codes of conduct: lack of harm minimisation intervention in the context of venue self-regulation. </w:t>
      </w:r>
      <w:r w:rsidRPr="00664E64">
        <w:rPr>
          <w:rFonts w:eastAsia="Times"/>
          <w:i/>
        </w:rPr>
        <w:t>Addiction Research &amp; Theory</w:t>
      </w:r>
      <w:r w:rsidRPr="00664E64">
        <w:rPr>
          <w:noProof/>
        </w:rPr>
        <w:t xml:space="preserve">, 1–11. </w:t>
      </w:r>
    </w:p>
    <w:p w14:paraId="5B402C15" w14:textId="4A9E4F54" w:rsidR="00EB7953" w:rsidRPr="00664E64" w:rsidRDefault="00EB7953" w:rsidP="00EB7953">
      <w:pPr>
        <w:pStyle w:val="References"/>
      </w:pPr>
      <w:r w:rsidRPr="00664E64">
        <w:rPr>
          <w:noProof/>
        </w:rPr>
        <w:t xml:space="preserve">Rintoul, A., &amp; Deblaquiere, J. (2019). </w:t>
      </w:r>
      <w:r w:rsidRPr="00664E64">
        <w:rPr>
          <w:i/>
          <w:noProof/>
        </w:rPr>
        <w:t>Gambling in Suburban Australia</w:t>
      </w:r>
      <w:r w:rsidR="002677DE" w:rsidRPr="00664E64">
        <w:rPr>
          <w:noProof/>
        </w:rPr>
        <w:t xml:space="preserve">. </w:t>
      </w:r>
      <w:r w:rsidRPr="00664E64">
        <w:rPr>
          <w:noProof/>
        </w:rPr>
        <w:t>Melbourne: Australian Institute of Family Studies.</w:t>
      </w:r>
    </w:p>
    <w:p w14:paraId="47E80B6D" w14:textId="77777777" w:rsidR="00EB7953" w:rsidRPr="00664E64" w:rsidRDefault="00EB7953" w:rsidP="00EB7953">
      <w:pPr>
        <w:pStyle w:val="References"/>
      </w:pPr>
      <w:r w:rsidRPr="00664E64">
        <w:t>Rodda, S. N., Bagot, K., Cheetham, A., Hodgins, D. C., Hing, N., &amp; Lubman, D. I. (2018). Types of change strategies for limiting or reducing gambling behaviours and their perceived helpfulness: A factor analysis. </w:t>
      </w:r>
      <w:r w:rsidRPr="00664E64">
        <w:rPr>
          <w:i/>
        </w:rPr>
        <w:t>Psychology of Addictive Behaviors</w:t>
      </w:r>
      <w:r w:rsidRPr="00664E64">
        <w:t>, </w:t>
      </w:r>
      <w:r w:rsidRPr="00664E64">
        <w:rPr>
          <w:i/>
        </w:rPr>
        <w:t>32</w:t>
      </w:r>
      <w:r w:rsidRPr="00664E64">
        <w:t>(6), 679–688.</w:t>
      </w:r>
    </w:p>
    <w:p w14:paraId="2C0B40B9" w14:textId="77777777" w:rsidR="00EB7953" w:rsidRPr="00664E64" w:rsidRDefault="00EB7953" w:rsidP="00EB7953">
      <w:pPr>
        <w:pStyle w:val="References"/>
      </w:pPr>
      <w:r w:rsidRPr="00664E64">
        <w:t xml:space="preserve">Rodda, S. N., Dowling, N. A., &amp; Lubman, D. I. (2018). Gamblers seeking online help are active help-seekers: Time to support autonomy and competence. </w:t>
      </w:r>
      <w:r w:rsidRPr="00664E64">
        <w:rPr>
          <w:i/>
        </w:rPr>
        <w:t>Addictive Behaviors</w:t>
      </w:r>
      <w:r w:rsidRPr="00664E64">
        <w:t xml:space="preserve">. Advance online publication. dx .doi.org/10.1016/j.addbeh.2018.06.001 </w:t>
      </w:r>
    </w:p>
    <w:p w14:paraId="46BEB0CE" w14:textId="365618DE" w:rsidR="00EB7953" w:rsidRPr="00664E64" w:rsidRDefault="00EB7953" w:rsidP="00EB7953">
      <w:pPr>
        <w:pStyle w:val="References"/>
      </w:pPr>
      <w:r w:rsidRPr="00664E64">
        <w:t xml:space="preserve">Roy Morgan. (2018a). </w:t>
      </w:r>
      <w:r w:rsidRPr="00664E64">
        <w:rPr>
          <w:i/>
        </w:rPr>
        <w:t>Australian betting market dominated by racing</w:t>
      </w:r>
      <w:r w:rsidRPr="00664E64">
        <w:t xml:space="preserve">. Melbourne: </w:t>
      </w:r>
      <w:r w:rsidR="002677DE" w:rsidRPr="00664E64">
        <w:t>Roy Morgan.</w:t>
      </w:r>
    </w:p>
    <w:p w14:paraId="1C91A023" w14:textId="2004BDD7" w:rsidR="00EB7953" w:rsidRPr="00664E64" w:rsidRDefault="00EB7953" w:rsidP="00EB7953">
      <w:pPr>
        <w:pStyle w:val="References"/>
      </w:pPr>
      <w:r w:rsidRPr="00664E64">
        <w:t xml:space="preserve">Roy Morgan. (2018b). </w:t>
      </w:r>
      <w:r w:rsidRPr="00664E64">
        <w:rPr>
          <w:i/>
        </w:rPr>
        <w:t>Mobile betting drives growth in online wagering</w:t>
      </w:r>
      <w:r w:rsidRPr="00664E64">
        <w:t xml:space="preserve">. Melbourne: </w:t>
      </w:r>
      <w:r w:rsidR="002677DE" w:rsidRPr="00664E64">
        <w:t>Roy Morgan.</w:t>
      </w:r>
    </w:p>
    <w:p w14:paraId="5B67F7DD" w14:textId="77777777" w:rsidR="00EB7953" w:rsidRPr="00664E64" w:rsidRDefault="00EB7953" w:rsidP="00EB7953">
      <w:pPr>
        <w:pStyle w:val="References"/>
      </w:pPr>
      <w:r w:rsidRPr="00664E64">
        <w:t xml:space="preserve">Sproston, K., Hanley, C., Brook, K., Hing, N., &amp; Gainsbury, S. (2015). </w:t>
      </w:r>
      <w:r w:rsidRPr="00664E64">
        <w:rPr>
          <w:i/>
        </w:rPr>
        <w:t>Marketing of sports betting and racing</w:t>
      </w:r>
      <w:r w:rsidRPr="00664E64">
        <w:t>. Melbourne: Gambling Research Australia.</w:t>
      </w:r>
    </w:p>
    <w:p w14:paraId="5A495350" w14:textId="77777777" w:rsidR="00EB7953" w:rsidRPr="00664E64" w:rsidRDefault="00EB7953" w:rsidP="00EB7953">
      <w:pPr>
        <w:pStyle w:val="References"/>
      </w:pPr>
      <w:r w:rsidRPr="00664E64">
        <w:t xml:space="preserve">Tanner, J., Drawson, A., Mushquash, C., Mushquash, A., &amp; Mazmanian, D. (2017). Harm reduction in gambling: A systematic review of industry strategies. </w:t>
      </w:r>
      <w:r w:rsidRPr="00664E64">
        <w:rPr>
          <w:i/>
        </w:rPr>
        <w:t>Addiction Research &amp; Theory</w:t>
      </w:r>
      <w:r w:rsidRPr="00664E64">
        <w:t xml:space="preserve">, </w:t>
      </w:r>
      <w:r w:rsidRPr="00664E64">
        <w:rPr>
          <w:i/>
        </w:rPr>
        <w:t>25</w:t>
      </w:r>
      <w:r w:rsidRPr="00664E64">
        <w:t>(6), 485</w:t>
      </w:r>
      <w:r w:rsidRPr="00664E64">
        <w:rPr>
          <w:rFonts w:cs="Arial"/>
          <w:i/>
        </w:rPr>
        <w:t>–</w:t>
      </w:r>
      <w:r w:rsidRPr="00664E64">
        <w:t>494. doi: 10.1080/16066359.2017.1310204</w:t>
      </w:r>
    </w:p>
    <w:p w14:paraId="7C643972" w14:textId="77777777" w:rsidR="00DF2954" w:rsidRPr="00664E64" w:rsidRDefault="00DF2954" w:rsidP="00DF2954">
      <w:pPr>
        <w:pStyle w:val="References"/>
      </w:pPr>
      <w:r w:rsidRPr="00664E64">
        <w:t xml:space="preserve">Thomas, A., Carson, R., Deblaquiere, J., Armstrong, A., Moore, S., Christensen, D., &amp; Rintoul, A. (2016). </w:t>
      </w:r>
      <w:r w:rsidRPr="00664E64">
        <w:rPr>
          <w:i/>
          <w:iCs/>
        </w:rPr>
        <w:t>Review of electronic gaming machine pre-commitment features: Self-exclusion.</w:t>
      </w:r>
      <w:r w:rsidRPr="00664E64">
        <w:t xml:space="preserve"> Melbourne: Australian Institute of Family Studies.</w:t>
      </w:r>
    </w:p>
    <w:p w14:paraId="2A818E67" w14:textId="77777777" w:rsidR="00EB7953" w:rsidRPr="00664E64" w:rsidRDefault="00EB7953" w:rsidP="00EB7953">
      <w:pPr>
        <w:pStyle w:val="References"/>
      </w:pPr>
      <w:r w:rsidRPr="00664E64">
        <w:t xml:space="preserve">Tremblay N, Boutin C, &amp; Ladouceur R. (2008). Improved self-exclusion program: preliminary results. </w:t>
      </w:r>
      <w:r w:rsidRPr="00664E64">
        <w:rPr>
          <w:i/>
        </w:rPr>
        <w:t>Journal of Gambling Studies</w:t>
      </w:r>
      <w:r w:rsidRPr="00664E64">
        <w:t xml:space="preserve">, </w:t>
      </w:r>
      <w:r w:rsidRPr="00664E64">
        <w:rPr>
          <w:i/>
        </w:rPr>
        <w:t>24</w:t>
      </w:r>
      <w:r w:rsidRPr="00664E64">
        <w:t>, 505–518.</w:t>
      </w:r>
    </w:p>
    <w:p w14:paraId="1EBBF8E9" w14:textId="77777777" w:rsidR="00EB7953" w:rsidRPr="00664E64" w:rsidRDefault="00EB7953" w:rsidP="00EB7953">
      <w:pPr>
        <w:pStyle w:val="References"/>
      </w:pPr>
      <w:r w:rsidRPr="00664E64">
        <w:t xml:space="preserve">Wardle, H., Moody, A., Spence, S., Orford, J., Volberg, R., &amp; Jotangia, D. et al. (2011). </w:t>
      </w:r>
      <w:r w:rsidRPr="00664E64">
        <w:rPr>
          <w:i/>
        </w:rPr>
        <w:t>British gambling prevalence survey 2010</w:t>
      </w:r>
      <w:r w:rsidRPr="00664E64">
        <w:t xml:space="preserve"> London: National Centre for Social Research.</w:t>
      </w:r>
    </w:p>
    <w:p w14:paraId="2C48BDEA" w14:textId="77777777" w:rsidR="00EB7953" w:rsidRPr="00664E64" w:rsidRDefault="00EB7953" w:rsidP="00EB7953">
      <w:pPr>
        <w:pStyle w:val="References"/>
      </w:pPr>
      <w:r w:rsidRPr="00664E64">
        <w:t xml:space="preserve">Williams, R.J., West, B.L., &amp; Simpson, R.I. (2012). </w:t>
      </w:r>
      <w:r w:rsidRPr="00664E64">
        <w:rPr>
          <w:i/>
        </w:rPr>
        <w:t>Prevention of Problem Gambling: A Comprehensive Review of the Evidence, and Identified Best Practices</w:t>
      </w:r>
      <w:r w:rsidRPr="00664E64">
        <w:t>. Report prepared for the Ontario Problem Gambling Research Centre and the Ontario Ministry of Health and Long Term Care. Guelph: Ontario Problem Gambling Research Centre.</w:t>
      </w:r>
    </w:p>
    <w:p w14:paraId="7DAA877B" w14:textId="77777777" w:rsidR="00EB7953" w:rsidRPr="00664E64" w:rsidRDefault="00EB7953" w:rsidP="00EB7953">
      <w:pPr>
        <w:pStyle w:val="References"/>
      </w:pPr>
      <w:r w:rsidRPr="00664E64">
        <w:t xml:space="preserve">Wohl, M. J., Gainsbury, S., Stewart, M. J., &amp; Sztainert, T. (2013). Facilitating responsible gambling: The relative effectiveness of education-based animation and monetary limit setting pop-up messages among electronic gaming machine players. </w:t>
      </w:r>
      <w:r w:rsidRPr="00664E64">
        <w:rPr>
          <w:i/>
        </w:rPr>
        <w:t>Journal of Gambling Studies</w:t>
      </w:r>
      <w:r w:rsidRPr="00664E64">
        <w:t xml:space="preserve">, </w:t>
      </w:r>
      <w:r w:rsidRPr="00664E64">
        <w:rPr>
          <w:i/>
        </w:rPr>
        <w:t>29</w:t>
      </w:r>
      <w:r w:rsidRPr="00664E64">
        <w:t xml:space="preserve">(4), 703–717. </w:t>
      </w:r>
    </w:p>
    <w:p w14:paraId="686E975E" w14:textId="77777777" w:rsidR="00EB7953" w:rsidRPr="00664E64" w:rsidRDefault="00EB7953" w:rsidP="00EB7953">
      <w:pPr>
        <w:pStyle w:val="References"/>
      </w:pPr>
      <w:r w:rsidRPr="00664E64">
        <w:t xml:space="preserve">Wood, R. T., Shorter, G. W., &amp; Griffiths, M. D. (2014). Rating the suitability of responsible gambling features for specific game types: A resource for optimizing responsible gambling strategy. </w:t>
      </w:r>
      <w:r w:rsidRPr="00664E64">
        <w:rPr>
          <w:i/>
        </w:rPr>
        <w:t>International Journal of Mental Health and Addiction</w:t>
      </w:r>
      <w:r w:rsidRPr="00664E64">
        <w:t xml:space="preserve">, </w:t>
      </w:r>
      <w:r w:rsidRPr="00664E64">
        <w:rPr>
          <w:i/>
        </w:rPr>
        <w:t>12</w:t>
      </w:r>
      <w:r w:rsidRPr="00664E64">
        <w:t>, 94–112.</w:t>
      </w:r>
    </w:p>
    <w:p w14:paraId="1638EA24" w14:textId="332DF033" w:rsidR="00EB7953" w:rsidRPr="00664E64" w:rsidRDefault="00EB7953" w:rsidP="00EB7953">
      <w:pPr>
        <w:pStyle w:val="References"/>
      </w:pPr>
      <w:r w:rsidRPr="00664E64">
        <w:t xml:space="preserve">Xuan Z, Shaffer, H. J. (2009). How do gamblers end gambling: longitudinal analysis of Internet gambling behaviors prior to account closure due to gambling related problems. </w:t>
      </w:r>
      <w:r w:rsidRPr="00664E64">
        <w:rPr>
          <w:i/>
        </w:rPr>
        <w:t>Journal of Gambling Studies</w:t>
      </w:r>
      <w:r w:rsidRPr="00664E64">
        <w:t xml:space="preserve">, </w:t>
      </w:r>
      <w:r w:rsidRPr="00664E64">
        <w:rPr>
          <w:i/>
        </w:rPr>
        <w:t>25</w:t>
      </w:r>
      <w:r w:rsidRPr="00664E64">
        <w:t>, 239–252.</w:t>
      </w:r>
    </w:p>
    <w:p w14:paraId="60EBBE93" w14:textId="77777777" w:rsidR="00A41688" w:rsidRPr="00664E64" w:rsidRDefault="00A41688" w:rsidP="00A41688">
      <w:pPr>
        <w:pStyle w:val="BodyText"/>
        <w:rPr>
          <w:lang w:bidi="ar-SA"/>
        </w:rPr>
      </w:pPr>
    </w:p>
    <w:p w14:paraId="3262E949" w14:textId="11220378" w:rsidR="00A41688" w:rsidRPr="00664E64" w:rsidRDefault="00A41688" w:rsidP="00A41688">
      <w:pPr>
        <w:pStyle w:val="BodyText"/>
        <w:rPr>
          <w:lang w:bidi="ar-SA"/>
        </w:rPr>
        <w:sectPr w:rsidR="00A41688" w:rsidRPr="00664E64" w:rsidSect="004B331F">
          <w:headerReference w:type="first" r:id="rId17"/>
          <w:pgSz w:w="11901" w:h="16840"/>
          <w:pgMar w:top="1418" w:right="1701" w:bottom="1418" w:left="1701" w:header="680" w:footer="680" w:gutter="0"/>
          <w:cols w:space="708"/>
          <w:noEndnote/>
        </w:sectPr>
      </w:pPr>
    </w:p>
    <w:p w14:paraId="40829513" w14:textId="53C61DA0" w:rsidR="00EB561D" w:rsidRPr="00064814" w:rsidRDefault="006C6F6B" w:rsidP="00064814">
      <w:pPr>
        <w:pStyle w:val="AppendixHeading1"/>
        <w:rPr>
          <w:color w:val="auto"/>
        </w:rPr>
      </w:pPr>
      <w:bookmarkStart w:id="111" w:name="_Toc12022568"/>
      <w:r w:rsidRPr="00915C40">
        <w:rPr>
          <w:color w:val="auto"/>
        </w:rPr>
        <w:lastRenderedPageBreak/>
        <w:t xml:space="preserve">Appendix 2: </w:t>
      </w:r>
      <w:r w:rsidR="00076C32" w:rsidRPr="00915C40">
        <w:rPr>
          <w:color w:val="auto"/>
        </w:rPr>
        <w:t>Program logic and theory of change</w:t>
      </w:r>
      <w:bookmarkEnd w:id="111"/>
    </w:p>
    <w:p w14:paraId="4102B85C" w14:textId="726B7490" w:rsidR="00376963" w:rsidRPr="00EB561D" w:rsidRDefault="00064814" w:rsidP="006C6F6B">
      <w:pPr>
        <w:rPr>
          <w:rFonts w:ascii="Arial" w:hAnsi="Arial" w:cs="Arial"/>
          <w:sz w:val="18"/>
          <w:szCs w:val="18"/>
        </w:rPr>
      </w:pPr>
      <w:r w:rsidRPr="00064814">
        <w:rPr>
          <w:noProof/>
          <w:lang w:eastAsia="en-AU"/>
        </w:rPr>
        <w:drawing>
          <wp:anchor distT="0" distB="0" distL="114300" distR="114300" simplePos="0" relativeHeight="251658240" behindDoc="0" locked="0" layoutInCell="1" allowOverlap="1" wp14:anchorId="3FF4A7BC" wp14:editId="4951E471">
            <wp:simplePos x="0" y="0"/>
            <wp:positionH relativeFrom="margin">
              <wp:align>center</wp:align>
            </wp:positionH>
            <wp:positionV relativeFrom="margin">
              <wp:posOffset>599587</wp:posOffset>
            </wp:positionV>
            <wp:extent cx="11844655" cy="8372475"/>
            <wp:effectExtent l="0" t="0" r="4445" b="9525"/>
            <wp:wrapSquare wrapText="bothSides"/>
            <wp:docPr id="3" name="Picture 3" descr="More information on the Program Logic Model see page 11 of this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C0022\AppData\Local\Microsoft\Windows\INetCache\Content.Outlook\NIFOTAPU\Appendix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44655" cy="837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561D" w:rsidRPr="00EB561D">
        <w:rPr>
          <w:rFonts w:ascii="Arial" w:hAnsi="Arial" w:cs="Arial"/>
          <w:sz w:val="18"/>
          <w:szCs w:val="18"/>
        </w:rPr>
        <w:t>Source: Communio, 2018; page 19</w:t>
      </w:r>
    </w:p>
    <w:p w14:paraId="4E7C0CEC" w14:textId="53507BC2" w:rsidR="00376963" w:rsidRDefault="00376963" w:rsidP="006C6F6B"/>
    <w:p w14:paraId="5520D8C5" w14:textId="313B3736" w:rsidR="00B22429" w:rsidRDefault="00B22429" w:rsidP="006C6F6B"/>
    <w:p w14:paraId="24360266" w14:textId="647D1EAD" w:rsidR="00B22429" w:rsidRDefault="00B22429" w:rsidP="00B22429">
      <w:pPr>
        <w:jc w:val="center"/>
      </w:pPr>
      <w:r w:rsidRPr="001B7797">
        <w:rPr>
          <w:b/>
          <w:noProof/>
          <w:lang w:eastAsia="en-AU"/>
        </w:rPr>
        <w:lastRenderedPageBreak/>
        <w:drawing>
          <wp:inline distT="0" distB="0" distL="0" distR="0" wp14:anchorId="78F8BF0A" wp14:editId="4B7C833E">
            <wp:extent cx="11897832" cy="7322043"/>
            <wp:effectExtent l="0" t="0" r="8890" b="0"/>
            <wp:docPr id="11" name="Picture 11" descr="The theory of change is depicted here. The theory of change describes the linkages between the different components of the diagram.  &#10;&#10;The National Framework aims to deliver consistent protection mechanisms for online wagering in Australia to address the current regulatory fragmentation. This in turn, is expected to lead to reductions in risky gambling behaviours and minimisation of gambling related harms. The theory of change depicts the links between the activities that need to be undertaken, and the outcomes that will be achieved in order to meet the goal.&#10;&#10;The left-hand side of the figure lists the various activities that will be implemented as part of the National Framework. They include the National Framework and the approaches within it, the required enactment of legislation, regulations and licencing codes, communication and education to support the industry, consumers and the community, and monitoring activities by regulators.&#10;&#10;Each of the activities contribute to an outcome, which are the pre-conditions listed in the figure. All of the activities, apart from communication activities to inform and promote the National Framework to the community, contribute to the continued, consistent implementation of the National Framework approaches. This in turn, leads to the outcomes of consistent consumer protections for online wagering in Australia, and the uptake of the National Framework approaches.  The following section explains the arrows in the theory of change figure.&#10;&#10;1. Activities lead to Pre-conditions&#10;&#10;Arrow 1: There is a requirement for the Commonwealth, states and territories to enact required legislation, regulation and/or licensing changes in order for the approaches to be implemented. This is an essential requirement. (Please note that the term ‘legislation’ is intended as a proxy to include regulation and licensing changes). ‘Implementation of the approaches’ is an essential requirement to fulfil the pre-condition of ‘continued, consistent implementation of the approaches’. The term ‘continued’ is used to describe the situation that when an approach has been implemented, it remains in place and is not removed or changed independently at an operator or jurisdictional level. The term ‘consistent’ implies that the approaches are implemented in all jurisdictions and by all operators.&#10;&#10;Arrow 2: ‘Communication and education activities to support the industry’ are required in order to meet the pre-condition of ‘continued, consistent implementation of the approaches’. &#10;&#10;‘Communication and education activities to support the industry’ are defined as:&#10;1. Regular information to the industry about the progress of the National Framework&#10;2. Proposed timing of legislative changes to the extent possible&#10;3. Engagement with the industry to discuss:&#10;a) technical requirements, timeframes for implementation and resource implications&#10;b) implementation and rollout plans&#10;c) timeframes for monitoring and compliance activities&#10;d) proposed enforcement strategies&#10;e) consumer engagement requirements&#10;&#10;4. Active participation by industry with government initiatives and engagement activities. &#10;&#10;An assumption is that communication and education activities are effective; that is, the required information is presented in the appropriate mode to the right audience, in a timely manner, and in a manner that is beneficial for the audience. &#10;&#10;The evaluation activities include questions to industry stakeholders relating to communication and education to test this assumption.&#10;&#10;Arrow 3: ‘Operators make changes to meet the requirements of the National Framework and new legislation’ is an essential requirement to fulfil the pre-condition of ‘continued, consistent implementation of the approaches’. &#10;&#10;Arrow 4: ‘Commencement of monitoring compliance by regulators’ is required to ensure that ‘continued, consistent implementation of the approaches.’ In this theory of change the activities of compliance are considered separately from enforcement. There is a body of knowledge that demonstrates that compliance with government policies varies greatly across policies and in some cases is hardly observed at all, or sometimes compliance is high (Weaver, 2009). However, it is assumed that monitoring compliance by itself may not be sufficient to meet this pre-condition if there are no enforcement activities, or if there are barriers to compliance such as the cost of monitoring. The enforcement activities are indicated with Arrow 7. Data will be collected during the evaluation activities to measure compliance levels and identify potential barriers to compliance.&#10;&#10;Arrow 5: ‘Commencement of monitoring compliance by regulators’ is also an essential prerequisite for ‘compliance strengthened by enforcement by regulators’(O’Farrell, 2015). It is assumed that monitoring activities would start to be implemented during the implementation period for all of the approaches in the National Framework, and that enforcement activities would commence some time after implementation has been completed. The evaluation activities include the gathering of data to test this assumption.&#10;&#10;Arrow 6: ‘Communication activities to inform and promote the National Framework to the community’ is an essential requirement in order for ‘public and consumer awareness of the approaches’. &#10;&#10;“Communication activities to inform and promote the National Framework to the community” is defined as:&#10;1. General communication to the broader public about the approaches that are being implemented, when they are being implemented and the reasons for them&#10;2. Specific messages tailored to online wagering consumers about the individual approaches, the reasons they are being introduced and impact on consumers&#10;3. It is expected that communication activities would be provided in different modes of delivery (including available on websites, included in Codes of Practice, provision of online links, for example), at different times&#10;4. Communication messages are expected to be in the appropriate format for different types of users, from diverse cultural backgrounds, ages and technical abilities.&#10;&#10;It is proposed that this would be assessed by seeking feedback from consumers in relation to knowledge and information, as well as from operators and regulators to understand what communication activities have been undertaken. &#10;&#10;2. Pre-conditions lead to Conditions&#10;&#10;Arrow 7: ‘Compliance strengthened by enforcement by regulators’ is included as a reinforcement loop in order to achieve ‘continued, consistent implementation of the approaches’. The enforcement is not an essential requirement for this pre-condition to be met. However, enforcement makes it more likely that it will be achieved because it establishes consequences for the operators if they do not comply. Without enforcement of compliance there are no direct consequences for not complying. &#10;&#10;Arrow 8: ‘Continued consistent implementation of the approaches’ is an essential requirement to achieve ‘consistent consumer protections for online wagering in Australia. In other words, online wagering consumers will only be consistently protected (that is, protected every time they participate in online wagering activities), if the approaches remain in place and implemented as intended. For example, if an operator or jurisdiction does not implement agreed changes, then the consumers using that operator’s online wagering platform will not have the same type of experience and protection as other online wagering consumers.&#10;&#10;Arrow 9: ‘Continued, consistent implementation of the approaches’ will make it easier for consumers to engage and take up the approaches. Consistent implementation will make it easy for consumers to understand and interact with the approaches. &#10;&#10;Arrow 10: Public and consumer awareness of the approaches is an essential requirement in order for the public to have confidence in consumer protection approaches for online wagering. The public cannot have confidence in something that they are not aware of. Weed (2012) highlights the importance of making consumers aware of and understand the changes that are occurring as one of the requirements that leads to changes in consumer behaviour.&#10;&#10;Arrow 11: Consistent consumer protections for online wagering in Australia is an interdependency with the uptake of the approaches. That is, the uptake of the approaches will only occur if the approaches are consistently in place across Australia. If there is inconsistent implementation, then the uptake of the approaches is likely to be less than anticipated. Similarly, achieving consistent consumer protections for online wagering in Australia will only be achieved then there is an uptake of the approaches. The evaluation activities will gather data to quantify and examine the uptake of the approaches and the consistency of the approaches across Australia.&#10;&#10;Arrow 12: There is an interdependency between the uptake of the approaches and achieving a consistently improved public confidence of consumer protection approaches.  Jurisdictions with legalised and regulated online wagering are highly likely to increase participation rates for using online products (Gambling Commission, 2010; Sandven, 2007, May). It is assumed that the approaches will be used by consumers if they have some degree of confidence in the approach. If there is low public confidence in the approaches, it is likely that there will be limited uptake. Limited confidence in the approaches could occur if there was inconsistent implementation across operators and /or jurisdictions. This could then impact upon the public confidence in consumer protections. Similarly, it is anticipated that public confidence in the approaches will result in greater uptake of the approaches. This interdependency will be tested in the evaluation activities.&#10;&#10;3. Conditions lead to the Goal&#10;&#10;Arrow 13: It is assumed that uptake of the approaches will result in changes in gambling behaviour. The evidence relating to the impact of individual approaches is still evolving and is outlined below. The evaluation activities recommended in this PRES will gather data to explore the relationship between the approaches and the goal of achieving changes in gambling behaviour. The methodology needs to consider and explore the impact of the approaches on different cohorts of online wagering consumers.&#10;&#10;Arrow 14: Through regulating online wagering sites, governments would be able to offer a safer Internet gambling environment (Gainsbury and Wood, 2011). The implementation and uptake of the National Framework approaches are intended to provide a nationally consistent consumer protection mechanism. A reduction in risky gambling behaviour will minimise the level of gambling related harm for consumers using online wagering products. Changes in gambling related harm are long term outcomes requiring time to eventuat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C0022\AppData\Local\Microsoft\Windows\INetCache\Content.Outlook\NIFOTAPU\Appendix2-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06685" cy="7327491"/>
                    </a:xfrm>
                    <a:prstGeom prst="rect">
                      <a:avLst/>
                    </a:prstGeom>
                    <a:noFill/>
                    <a:ln>
                      <a:noFill/>
                    </a:ln>
                  </pic:spPr>
                </pic:pic>
              </a:graphicData>
            </a:graphic>
          </wp:inline>
        </w:drawing>
      </w:r>
    </w:p>
    <w:p w14:paraId="53E5268B" w14:textId="036ADF1A" w:rsidR="00B22429" w:rsidRDefault="00B22429" w:rsidP="006C6F6B"/>
    <w:p w14:paraId="35FDA909" w14:textId="338476FC" w:rsidR="00B22429" w:rsidRDefault="00B22429" w:rsidP="006C6F6B"/>
    <w:p w14:paraId="455CE756" w14:textId="7E33E591" w:rsidR="00B22429" w:rsidRPr="00014F4D" w:rsidRDefault="00B22429" w:rsidP="006C6F6B">
      <w:pPr>
        <w:rPr>
          <w:rFonts w:ascii="Arial" w:hAnsi="Arial" w:cs="Arial"/>
          <w:sz w:val="18"/>
          <w:szCs w:val="18"/>
        </w:rPr>
      </w:pPr>
      <w:r w:rsidRPr="00EB561D">
        <w:rPr>
          <w:rFonts w:ascii="Arial" w:hAnsi="Arial" w:cs="Arial"/>
          <w:sz w:val="18"/>
          <w:szCs w:val="18"/>
        </w:rPr>
        <w:t>Source: Communio, 2018, page 28</w:t>
      </w:r>
    </w:p>
    <w:p w14:paraId="27B4F0A0" w14:textId="38D900D0" w:rsidR="00376963" w:rsidRPr="00664E64" w:rsidRDefault="00376963" w:rsidP="00376963"/>
    <w:p w14:paraId="6669199A" w14:textId="77777777" w:rsidR="00376963" w:rsidRPr="00664E64" w:rsidRDefault="00376963" w:rsidP="00FC0B24">
      <w:pPr>
        <w:pStyle w:val="AppendixHeading1"/>
        <w:sectPr w:rsidR="00376963" w:rsidRPr="00664E64" w:rsidSect="00064814">
          <w:pgSz w:w="23811" w:h="16838" w:orient="landscape" w:code="8"/>
          <w:pgMar w:top="1701" w:right="1418" w:bottom="1701" w:left="1418" w:header="680" w:footer="680" w:gutter="0"/>
          <w:cols w:space="708"/>
          <w:noEndnote/>
          <w:docGrid w:linePitch="326"/>
        </w:sectPr>
      </w:pPr>
    </w:p>
    <w:p w14:paraId="1D417557" w14:textId="173BDE77" w:rsidR="006C6F6B" w:rsidRPr="00915C40" w:rsidRDefault="00FC0B24" w:rsidP="009B2A73">
      <w:pPr>
        <w:pStyle w:val="AppendixHeading1"/>
        <w:rPr>
          <w:color w:val="auto"/>
        </w:rPr>
      </w:pPr>
      <w:bookmarkStart w:id="112" w:name="_Toc12022569"/>
      <w:r w:rsidRPr="00915C40">
        <w:rPr>
          <w:color w:val="auto"/>
        </w:rPr>
        <w:lastRenderedPageBreak/>
        <w:t xml:space="preserve">Appendix </w:t>
      </w:r>
      <w:r w:rsidR="006C6F6B" w:rsidRPr="00915C40">
        <w:rPr>
          <w:color w:val="auto"/>
        </w:rPr>
        <w:t>3</w:t>
      </w:r>
      <w:r w:rsidRPr="00915C40">
        <w:rPr>
          <w:color w:val="auto"/>
        </w:rPr>
        <w:t xml:space="preserve">: </w:t>
      </w:r>
      <w:r w:rsidR="00076C32" w:rsidRPr="00915C40">
        <w:rPr>
          <w:color w:val="auto"/>
        </w:rPr>
        <w:t>Explanatory Statement</w:t>
      </w:r>
      <w:r w:rsidR="009B2A73" w:rsidRPr="00915C40">
        <w:rPr>
          <w:color w:val="auto"/>
        </w:rPr>
        <w:t>s</w:t>
      </w:r>
      <w:r w:rsidR="00076C32" w:rsidRPr="00915C40">
        <w:rPr>
          <w:color w:val="auto"/>
        </w:rPr>
        <w:t xml:space="preserve">: </w:t>
      </w:r>
      <w:r w:rsidR="009B2A73" w:rsidRPr="00915C40">
        <w:rPr>
          <w:color w:val="auto"/>
        </w:rPr>
        <w:t>Key stakeholders</w:t>
      </w:r>
      <w:bookmarkEnd w:id="112"/>
    </w:p>
    <w:p w14:paraId="64DB6D81" w14:textId="199C92E4" w:rsidR="006C6F6B" w:rsidRPr="00664E64" w:rsidRDefault="006C6F6B" w:rsidP="006C6F6B">
      <w:pPr>
        <w:pStyle w:val="BodyText"/>
        <w:rPr>
          <w:lang w:bidi="ar-SA"/>
        </w:rPr>
      </w:pPr>
    </w:p>
    <w:p w14:paraId="1D63B153" w14:textId="469C5A28" w:rsidR="005D6D6E" w:rsidRPr="0007515C" w:rsidRDefault="005D6D6E" w:rsidP="0007515C">
      <w:pPr>
        <w:autoSpaceDE w:val="0"/>
        <w:autoSpaceDN w:val="0"/>
        <w:adjustRightInd w:val="0"/>
        <w:jc w:val="center"/>
        <w:rPr>
          <w:rFonts w:ascii="Arial" w:hAnsi="Arial" w:cs="Arial"/>
          <w:b/>
          <w:bCs/>
          <w:color w:val="000000"/>
        </w:rPr>
      </w:pPr>
      <w:r w:rsidRPr="0007515C">
        <w:rPr>
          <w:rFonts w:ascii="Arial" w:hAnsi="Arial" w:cs="Arial"/>
          <w:b/>
          <w:bCs/>
          <w:color w:val="000000"/>
        </w:rPr>
        <w:t xml:space="preserve">National Consumer Protection Framework </w:t>
      </w:r>
      <w:r w:rsidR="0024278A" w:rsidRPr="0007515C">
        <w:rPr>
          <w:rFonts w:ascii="Arial" w:hAnsi="Arial" w:cs="Arial"/>
          <w:b/>
          <w:bCs/>
          <w:color w:val="000000"/>
        </w:rPr>
        <w:t>for</w:t>
      </w:r>
      <w:r w:rsidRPr="0007515C">
        <w:rPr>
          <w:rFonts w:ascii="Arial" w:hAnsi="Arial" w:cs="Arial"/>
          <w:b/>
          <w:bCs/>
          <w:color w:val="000000"/>
        </w:rPr>
        <w:t xml:space="preserve"> Online Wagering</w:t>
      </w:r>
    </w:p>
    <w:p w14:paraId="14967487" w14:textId="761DE694" w:rsidR="005D6D6E" w:rsidRPr="005D6D6E" w:rsidRDefault="005D6D6E" w:rsidP="0007515C">
      <w:pPr>
        <w:autoSpaceDE w:val="0"/>
        <w:autoSpaceDN w:val="0"/>
        <w:adjustRightInd w:val="0"/>
        <w:jc w:val="center"/>
        <w:rPr>
          <w:rFonts w:ascii="Arial" w:hAnsi="Arial" w:cs="Arial"/>
          <w:b/>
          <w:bCs/>
          <w:color w:val="000000"/>
          <w:sz w:val="20"/>
          <w:szCs w:val="20"/>
        </w:rPr>
      </w:pPr>
      <w:r w:rsidRPr="0007515C">
        <w:rPr>
          <w:rFonts w:ascii="Arial" w:hAnsi="Arial" w:cs="Arial"/>
          <w:b/>
          <w:bCs/>
          <w:color w:val="000000"/>
        </w:rPr>
        <w:t>Baseline Study</w:t>
      </w:r>
    </w:p>
    <w:p w14:paraId="7423C5DB" w14:textId="77777777" w:rsidR="005D6D6E" w:rsidRPr="005D6D6E" w:rsidRDefault="005D6D6E" w:rsidP="005D6D6E">
      <w:pPr>
        <w:autoSpaceDE w:val="0"/>
        <w:autoSpaceDN w:val="0"/>
        <w:adjustRightInd w:val="0"/>
        <w:rPr>
          <w:rFonts w:ascii="Arial" w:hAnsi="Arial" w:cs="Arial"/>
          <w:b/>
          <w:bCs/>
          <w:color w:val="000000"/>
          <w:sz w:val="20"/>
          <w:szCs w:val="20"/>
        </w:rPr>
      </w:pPr>
    </w:p>
    <w:p w14:paraId="6B011B6F" w14:textId="6547D494" w:rsidR="005D6D6E" w:rsidRPr="0007515C" w:rsidRDefault="005D6D6E" w:rsidP="0007515C">
      <w:pPr>
        <w:autoSpaceDE w:val="0"/>
        <w:autoSpaceDN w:val="0"/>
        <w:adjustRightInd w:val="0"/>
        <w:jc w:val="center"/>
        <w:rPr>
          <w:rFonts w:ascii="Arial" w:hAnsi="Arial" w:cs="Arial"/>
          <w:b/>
          <w:bCs/>
        </w:rPr>
      </w:pPr>
      <w:r w:rsidRPr="0007515C">
        <w:rPr>
          <w:rFonts w:ascii="Arial" w:hAnsi="Arial" w:cs="Arial"/>
          <w:b/>
          <w:bCs/>
        </w:rPr>
        <w:t>Information sheet for interviews with regulators</w:t>
      </w:r>
    </w:p>
    <w:p w14:paraId="0FB31C3E" w14:textId="77777777" w:rsidR="005D6D6E" w:rsidRPr="005D6D6E" w:rsidRDefault="005D6D6E" w:rsidP="005D6D6E">
      <w:pPr>
        <w:autoSpaceDE w:val="0"/>
        <w:autoSpaceDN w:val="0"/>
        <w:adjustRightInd w:val="0"/>
        <w:rPr>
          <w:rFonts w:ascii="Arial" w:hAnsi="Arial" w:cs="Arial"/>
          <w:b/>
          <w:bCs/>
          <w:color w:val="547892"/>
          <w:sz w:val="20"/>
          <w:szCs w:val="20"/>
        </w:rPr>
      </w:pPr>
    </w:p>
    <w:p w14:paraId="24865A9A" w14:textId="03A8D63B" w:rsidR="005D6D6E" w:rsidRPr="005D6D6E" w:rsidRDefault="005D6D6E" w:rsidP="0007515C">
      <w:pPr>
        <w:autoSpaceDE w:val="0"/>
        <w:autoSpaceDN w:val="0"/>
        <w:adjustRightInd w:val="0"/>
        <w:jc w:val="center"/>
        <w:rPr>
          <w:rFonts w:ascii="Arial" w:hAnsi="Arial" w:cs="Arial"/>
          <w:color w:val="000000"/>
          <w:sz w:val="20"/>
          <w:szCs w:val="20"/>
        </w:rPr>
      </w:pPr>
      <w:r w:rsidRPr="005D6D6E">
        <w:rPr>
          <w:rFonts w:ascii="Arial" w:hAnsi="Arial" w:cs="Arial"/>
          <w:color w:val="000000"/>
          <w:sz w:val="20"/>
          <w:szCs w:val="20"/>
        </w:rPr>
        <w:t>Principal researchers: Rebecca Jenkinson, Julie Deblaquiere, Uma Jatkar</w:t>
      </w:r>
    </w:p>
    <w:p w14:paraId="7F2F58A4" w14:textId="77777777" w:rsidR="005D6D6E" w:rsidRPr="005D6D6E" w:rsidRDefault="005D6D6E" w:rsidP="0007515C">
      <w:pPr>
        <w:autoSpaceDE w:val="0"/>
        <w:autoSpaceDN w:val="0"/>
        <w:adjustRightInd w:val="0"/>
        <w:jc w:val="center"/>
        <w:rPr>
          <w:rFonts w:ascii="Arial" w:hAnsi="Arial" w:cs="Arial"/>
          <w:color w:val="000000"/>
          <w:sz w:val="20"/>
          <w:szCs w:val="20"/>
        </w:rPr>
      </w:pPr>
    </w:p>
    <w:p w14:paraId="514E815D" w14:textId="0AF8156B"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About the study</w:t>
      </w:r>
    </w:p>
    <w:p w14:paraId="6A5A4F8F" w14:textId="77777777" w:rsidR="005D6D6E" w:rsidRPr="005D6D6E" w:rsidRDefault="005D6D6E" w:rsidP="005D6D6E">
      <w:pPr>
        <w:autoSpaceDE w:val="0"/>
        <w:autoSpaceDN w:val="0"/>
        <w:adjustRightInd w:val="0"/>
        <w:rPr>
          <w:rFonts w:ascii="Arial" w:hAnsi="Arial" w:cs="Arial"/>
          <w:b/>
          <w:bCs/>
          <w:sz w:val="20"/>
          <w:szCs w:val="20"/>
        </w:rPr>
      </w:pPr>
    </w:p>
    <w:p w14:paraId="56591122" w14:textId="7E1EFCBA"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A National Consumer Protection Framework for online wagering has been developed and agreed to by</w:t>
      </w:r>
      <w:r>
        <w:rPr>
          <w:rFonts w:ascii="Arial" w:hAnsi="Arial" w:cs="Arial"/>
          <w:color w:val="000000"/>
          <w:sz w:val="20"/>
          <w:szCs w:val="20"/>
        </w:rPr>
        <w:t xml:space="preserve"> </w:t>
      </w:r>
      <w:r w:rsidRPr="005D6D6E">
        <w:rPr>
          <w:rFonts w:ascii="Arial" w:hAnsi="Arial" w:cs="Arial"/>
          <w:color w:val="000000"/>
          <w:sz w:val="20"/>
          <w:szCs w:val="20"/>
        </w:rPr>
        <w:t>Australia’s Commonwealth and state and territory-based governments. The objective of the Framework</w:t>
      </w:r>
      <w:r>
        <w:rPr>
          <w:rFonts w:ascii="Arial" w:hAnsi="Arial" w:cs="Arial"/>
          <w:color w:val="000000"/>
          <w:sz w:val="20"/>
          <w:szCs w:val="20"/>
        </w:rPr>
        <w:t xml:space="preserve"> </w:t>
      </w:r>
      <w:r w:rsidRPr="005D6D6E">
        <w:rPr>
          <w:rFonts w:ascii="Arial" w:hAnsi="Arial" w:cs="Arial"/>
          <w:color w:val="000000"/>
          <w:sz w:val="20"/>
          <w:szCs w:val="20"/>
        </w:rPr>
        <w:t>is to minimise harm related to online wagering activity, with ten consumer protection measures to be</w:t>
      </w:r>
      <w:r>
        <w:rPr>
          <w:rFonts w:ascii="Arial" w:hAnsi="Arial" w:cs="Arial"/>
          <w:color w:val="000000"/>
          <w:sz w:val="20"/>
          <w:szCs w:val="20"/>
        </w:rPr>
        <w:t xml:space="preserve"> </w:t>
      </w:r>
      <w:r w:rsidRPr="005D6D6E">
        <w:rPr>
          <w:rFonts w:ascii="Arial" w:hAnsi="Arial" w:cs="Arial"/>
          <w:color w:val="000000"/>
          <w:sz w:val="20"/>
          <w:szCs w:val="20"/>
        </w:rPr>
        <w:t>implemented.</w:t>
      </w:r>
    </w:p>
    <w:p w14:paraId="05D25F6A" w14:textId="77777777" w:rsidR="005D6D6E" w:rsidRPr="005D6D6E" w:rsidRDefault="005D6D6E" w:rsidP="005D6D6E">
      <w:pPr>
        <w:autoSpaceDE w:val="0"/>
        <w:autoSpaceDN w:val="0"/>
        <w:adjustRightInd w:val="0"/>
        <w:rPr>
          <w:rFonts w:ascii="Arial" w:hAnsi="Arial" w:cs="Arial"/>
          <w:color w:val="000000"/>
          <w:sz w:val="20"/>
          <w:szCs w:val="20"/>
        </w:rPr>
      </w:pPr>
    </w:p>
    <w:p w14:paraId="31F321D0" w14:textId="77777777"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The Framework is intended to deliver a nationally consistent set of agreed minimum consumer</w:t>
      </w:r>
    </w:p>
    <w:p w14:paraId="59EEB185" w14:textId="6AB66453"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protection measures that apply to interactive/online wagering service providers across Australia. The</w:t>
      </w:r>
      <w:r>
        <w:rPr>
          <w:rFonts w:ascii="Arial" w:hAnsi="Arial" w:cs="Arial"/>
          <w:color w:val="000000"/>
          <w:sz w:val="20"/>
          <w:szCs w:val="20"/>
        </w:rPr>
        <w:t xml:space="preserve"> </w:t>
      </w:r>
      <w:r w:rsidRPr="005D6D6E">
        <w:rPr>
          <w:rFonts w:ascii="Arial" w:hAnsi="Arial" w:cs="Arial"/>
          <w:color w:val="000000"/>
          <w:sz w:val="20"/>
          <w:szCs w:val="20"/>
        </w:rPr>
        <w:t>roll-out, implementation and monitoring of the Framework will commence in 2019.</w:t>
      </w:r>
    </w:p>
    <w:p w14:paraId="7233B464" w14:textId="77777777" w:rsidR="005D6D6E" w:rsidRPr="005D6D6E" w:rsidRDefault="005D6D6E" w:rsidP="005D6D6E">
      <w:pPr>
        <w:autoSpaceDE w:val="0"/>
        <w:autoSpaceDN w:val="0"/>
        <w:adjustRightInd w:val="0"/>
        <w:rPr>
          <w:rFonts w:ascii="Arial" w:hAnsi="Arial" w:cs="Arial"/>
          <w:color w:val="000000"/>
          <w:sz w:val="20"/>
          <w:szCs w:val="20"/>
        </w:rPr>
      </w:pPr>
    </w:p>
    <w:p w14:paraId="351D16A8" w14:textId="77777777" w:rsidR="005D6D6E" w:rsidRPr="005D6D6E" w:rsidRDefault="005D6D6E" w:rsidP="005D6D6E">
      <w:pPr>
        <w:autoSpaceDE w:val="0"/>
        <w:autoSpaceDN w:val="0"/>
        <w:adjustRightInd w:val="0"/>
        <w:rPr>
          <w:rFonts w:ascii="Arial" w:hAnsi="Arial" w:cs="Arial"/>
          <w:b/>
          <w:bCs/>
          <w:sz w:val="20"/>
          <w:szCs w:val="20"/>
        </w:rPr>
      </w:pPr>
      <w:r w:rsidRPr="005D6D6E">
        <w:rPr>
          <w:rFonts w:ascii="Arial" w:hAnsi="Arial" w:cs="Arial"/>
          <w:b/>
          <w:bCs/>
          <w:sz w:val="20"/>
          <w:szCs w:val="20"/>
        </w:rPr>
        <w:t>We would like to hear your perspectives</w:t>
      </w:r>
    </w:p>
    <w:p w14:paraId="2A342970" w14:textId="5059C040"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We’d like to interview a sample of Australian online wagering regulators before the Framework is</w:t>
      </w:r>
      <w:r>
        <w:rPr>
          <w:rFonts w:ascii="Arial" w:hAnsi="Arial" w:cs="Arial"/>
          <w:color w:val="000000"/>
          <w:sz w:val="20"/>
          <w:szCs w:val="20"/>
        </w:rPr>
        <w:t xml:space="preserve"> </w:t>
      </w:r>
      <w:r w:rsidRPr="005D6D6E">
        <w:rPr>
          <w:rFonts w:ascii="Arial" w:hAnsi="Arial" w:cs="Arial"/>
          <w:color w:val="000000"/>
          <w:sz w:val="20"/>
          <w:szCs w:val="20"/>
        </w:rPr>
        <w:t>implemented and rolled out across all jurisdictions. We will also be interviewing a selection of Australian</w:t>
      </w:r>
      <w:r>
        <w:rPr>
          <w:rFonts w:ascii="Arial" w:hAnsi="Arial" w:cs="Arial"/>
          <w:color w:val="000000"/>
          <w:sz w:val="20"/>
          <w:szCs w:val="20"/>
        </w:rPr>
        <w:t xml:space="preserve"> </w:t>
      </w:r>
      <w:r w:rsidRPr="005D6D6E">
        <w:rPr>
          <w:rFonts w:ascii="Arial" w:hAnsi="Arial" w:cs="Arial"/>
          <w:color w:val="000000"/>
          <w:sz w:val="20"/>
          <w:szCs w:val="20"/>
        </w:rPr>
        <w:t>based</w:t>
      </w:r>
      <w:r>
        <w:rPr>
          <w:rFonts w:ascii="Arial" w:hAnsi="Arial" w:cs="Arial"/>
          <w:color w:val="000000"/>
          <w:sz w:val="20"/>
          <w:szCs w:val="20"/>
        </w:rPr>
        <w:t xml:space="preserve"> </w:t>
      </w:r>
      <w:r w:rsidRPr="005D6D6E">
        <w:rPr>
          <w:rFonts w:ascii="Arial" w:hAnsi="Arial" w:cs="Arial"/>
          <w:color w:val="000000"/>
          <w:sz w:val="20"/>
          <w:szCs w:val="20"/>
        </w:rPr>
        <w:t>online wagering service providers.</w:t>
      </w:r>
    </w:p>
    <w:p w14:paraId="1E3138CF" w14:textId="77777777" w:rsidR="005D6D6E" w:rsidRPr="005D6D6E" w:rsidRDefault="005D6D6E" w:rsidP="005D6D6E">
      <w:pPr>
        <w:autoSpaceDE w:val="0"/>
        <w:autoSpaceDN w:val="0"/>
        <w:adjustRightInd w:val="0"/>
        <w:rPr>
          <w:rFonts w:ascii="Arial" w:hAnsi="Arial" w:cs="Arial"/>
          <w:color w:val="000000"/>
          <w:sz w:val="20"/>
          <w:szCs w:val="20"/>
        </w:rPr>
      </w:pPr>
    </w:p>
    <w:p w14:paraId="2E267FBC" w14:textId="77777777"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The findings will provide a baseline measure of online wagering regulator and service provider</w:t>
      </w:r>
    </w:p>
    <w:p w14:paraId="15FF252B" w14:textId="77777777"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awareness and understanding of the Framework, readiness for implementation, and perceived</w:t>
      </w:r>
    </w:p>
    <w:p w14:paraId="78419C3D" w14:textId="4AC33E81"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opportunities and challenges.</w:t>
      </w:r>
    </w:p>
    <w:p w14:paraId="3F41C4BD" w14:textId="77777777" w:rsidR="005D6D6E" w:rsidRPr="005D6D6E" w:rsidRDefault="005D6D6E" w:rsidP="005D6D6E">
      <w:pPr>
        <w:autoSpaceDE w:val="0"/>
        <w:autoSpaceDN w:val="0"/>
        <w:adjustRightInd w:val="0"/>
        <w:rPr>
          <w:rFonts w:ascii="Arial" w:hAnsi="Arial" w:cs="Arial"/>
          <w:color w:val="000000"/>
          <w:sz w:val="20"/>
          <w:szCs w:val="20"/>
        </w:rPr>
      </w:pPr>
    </w:p>
    <w:p w14:paraId="0813C427" w14:textId="77777777"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How you can participate</w:t>
      </w:r>
    </w:p>
    <w:p w14:paraId="05B0AEF3" w14:textId="77777777" w:rsidR="0007515C" w:rsidRDefault="0007515C" w:rsidP="005D6D6E">
      <w:pPr>
        <w:autoSpaceDE w:val="0"/>
        <w:autoSpaceDN w:val="0"/>
        <w:adjustRightInd w:val="0"/>
        <w:rPr>
          <w:rFonts w:ascii="Arial" w:hAnsi="Arial" w:cs="Arial"/>
          <w:color w:val="000000"/>
          <w:sz w:val="20"/>
          <w:szCs w:val="20"/>
        </w:rPr>
      </w:pPr>
    </w:p>
    <w:p w14:paraId="5DC562B7" w14:textId="4D926EC7"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You can participate by taking part in a telephone interview. You are eligible to take part in an interview if</w:t>
      </w:r>
      <w:r w:rsidR="00E84F78">
        <w:rPr>
          <w:rFonts w:ascii="Arial" w:hAnsi="Arial" w:cs="Arial"/>
          <w:color w:val="000000"/>
          <w:sz w:val="20"/>
          <w:szCs w:val="20"/>
        </w:rPr>
        <w:t xml:space="preserve"> </w:t>
      </w:r>
      <w:r w:rsidRPr="005D6D6E">
        <w:rPr>
          <w:rFonts w:ascii="Arial" w:hAnsi="Arial" w:cs="Arial"/>
          <w:color w:val="000000"/>
          <w:sz w:val="20"/>
          <w:szCs w:val="20"/>
        </w:rPr>
        <w:t>you represent an Australian regulator.</w:t>
      </w:r>
    </w:p>
    <w:p w14:paraId="689865DB" w14:textId="77777777" w:rsidR="00E84F78" w:rsidRPr="005D6D6E" w:rsidRDefault="00E84F78" w:rsidP="005D6D6E">
      <w:pPr>
        <w:autoSpaceDE w:val="0"/>
        <w:autoSpaceDN w:val="0"/>
        <w:adjustRightInd w:val="0"/>
        <w:rPr>
          <w:rFonts w:ascii="Arial" w:hAnsi="Arial" w:cs="Arial"/>
          <w:color w:val="000000"/>
          <w:sz w:val="20"/>
          <w:szCs w:val="20"/>
        </w:rPr>
      </w:pPr>
    </w:p>
    <w:p w14:paraId="7868E483" w14:textId="77777777"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The interview</w:t>
      </w:r>
    </w:p>
    <w:p w14:paraId="425D0FEA" w14:textId="77777777" w:rsidR="0007515C" w:rsidRDefault="0007515C" w:rsidP="005D6D6E">
      <w:pPr>
        <w:autoSpaceDE w:val="0"/>
        <w:autoSpaceDN w:val="0"/>
        <w:adjustRightInd w:val="0"/>
        <w:rPr>
          <w:rFonts w:ascii="Arial" w:hAnsi="Arial" w:cs="Arial"/>
          <w:color w:val="000000"/>
          <w:sz w:val="20"/>
          <w:szCs w:val="20"/>
        </w:rPr>
      </w:pPr>
    </w:p>
    <w:p w14:paraId="645E6148" w14:textId="74A6E99D"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The interview will be a fairly informal chat over the telephone with one of our researchers at a time that</w:t>
      </w:r>
      <w:r w:rsidR="00E84F78">
        <w:rPr>
          <w:rFonts w:ascii="Arial" w:hAnsi="Arial" w:cs="Arial"/>
          <w:color w:val="000000"/>
          <w:sz w:val="20"/>
          <w:szCs w:val="20"/>
        </w:rPr>
        <w:t xml:space="preserve"> </w:t>
      </w:r>
      <w:r w:rsidRPr="005D6D6E">
        <w:rPr>
          <w:rFonts w:ascii="Arial" w:hAnsi="Arial" w:cs="Arial"/>
          <w:color w:val="000000"/>
          <w:sz w:val="20"/>
          <w:szCs w:val="20"/>
        </w:rPr>
        <w:t>suits you. We will be interested in hearing about:</w:t>
      </w:r>
    </w:p>
    <w:p w14:paraId="137C450A" w14:textId="77777777" w:rsidR="00E84F78" w:rsidRPr="005D6D6E" w:rsidRDefault="00E84F78" w:rsidP="005D6D6E">
      <w:pPr>
        <w:autoSpaceDE w:val="0"/>
        <w:autoSpaceDN w:val="0"/>
        <w:adjustRightInd w:val="0"/>
        <w:rPr>
          <w:rFonts w:ascii="Arial" w:hAnsi="Arial" w:cs="Arial"/>
          <w:color w:val="000000"/>
          <w:sz w:val="20"/>
          <w:szCs w:val="20"/>
        </w:rPr>
      </w:pPr>
    </w:p>
    <w:p w14:paraId="13C6F860" w14:textId="14A0EF94" w:rsidR="005D6D6E" w:rsidRPr="00371A15" w:rsidRDefault="005D6D6E" w:rsidP="006C0471">
      <w:pPr>
        <w:pStyle w:val="ListParagraph"/>
        <w:numPr>
          <w:ilvl w:val="0"/>
          <w:numId w:val="19"/>
        </w:numPr>
        <w:autoSpaceDE w:val="0"/>
        <w:autoSpaceDN w:val="0"/>
        <w:adjustRightInd w:val="0"/>
        <w:rPr>
          <w:rFonts w:cs="Arial"/>
          <w:color w:val="000000"/>
          <w:szCs w:val="20"/>
        </w:rPr>
      </w:pPr>
      <w:r w:rsidRPr="00371A15">
        <w:rPr>
          <w:rFonts w:cs="Arial"/>
          <w:color w:val="000000"/>
          <w:szCs w:val="20"/>
        </w:rPr>
        <w:t>your awareness and understanding of the Framework and your role in implementing or</w:t>
      </w:r>
    </w:p>
    <w:p w14:paraId="53333FF5" w14:textId="69BFAFA7" w:rsidR="005D6D6E" w:rsidRPr="00371A15" w:rsidRDefault="005D6D6E" w:rsidP="00371A15">
      <w:pPr>
        <w:autoSpaceDE w:val="0"/>
        <w:autoSpaceDN w:val="0"/>
        <w:adjustRightInd w:val="0"/>
        <w:ind w:left="266" w:firstLine="454"/>
        <w:rPr>
          <w:rFonts w:ascii="Arial" w:hAnsi="Arial" w:cs="Arial"/>
          <w:color w:val="000000"/>
          <w:sz w:val="20"/>
          <w:szCs w:val="20"/>
        </w:rPr>
      </w:pPr>
      <w:r w:rsidRPr="00371A15">
        <w:rPr>
          <w:rFonts w:ascii="Arial" w:hAnsi="Arial" w:cs="Arial"/>
          <w:color w:val="000000"/>
          <w:sz w:val="20"/>
          <w:szCs w:val="20"/>
        </w:rPr>
        <w:t>regulating it,</w:t>
      </w:r>
    </w:p>
    <w:p w14:paraId="659F1302" w14:textId="63BEB40B" w:rsidR="005D6D6E" w:rsidRPr="00371A15" w:rsidRDefault="005D6D6E" w:rsidP="006C0471">
      <w:pPr>
        <w:pStyle w:val="ListParagraph"/>
        <w:numPr>
          <w:ilvl w:val="0"/>
          <w:numId w:val="19"/>
        </w:numPr>
        <w:autoSpaceDE w:val="0"/>
        <w:autoSpaceDN w:val="0"/>
        <w:adjustRightInd w:val="0"/>
        <w:rPr>
          <w:rFonts w:cs="Arial"/>
          <w:color w:val="000000"/>
          <w:szCs w:val="20"/>
        </w:rPr>
      </w:pPr>
      <w:r w:rsidRPr="00371A15">
        <w:rPr>
          <w:rFonts w:cs="Arial"/>
          <w:color w:val="000000"/>
          <w:szCs w:val="20"/>
        </w:rPr>
        <w:t>your views on any existing consumer protection measures for online wagering (including their</w:t>
      </w:r>
      <w:r w:rsidR="00E84F78" w:rsidRPr="00371A15">
        <w:rPr>
          <w:rFonts w:cs="Arial"/>
          <w:color w:val="000000"/>
          <w:szCs w:val="20"/>
        </w:rPr>
        <w:t xml:space="preserve"> </w:t>
      </w:r>
      <w:r w:rsidRPr="00371A15">
        <w:rPr>
          <w:rFonts w:cs="Arial"/>
          <w:color w:val="000000"/>
          <w:szCs w:val="20"/>
        </w:rPr>
        <w:t>effectiveness and whether you see any changes to these with the roll-out and implementation of</w:t>
      </w:r>
      <w:r w:rsidR="00E84F78" w:rsidRPr="00371A15">
        <w:rPr>
          <w:rFonts w:cs="Arial"/>
          <w:color w:val="000000"/>
          <w:szCs w:val="20"/>
        </w:rPr>
        <w:t xml:space="preserve"> </w:t>
      </w:r>
      <w:r w:rsidRPr="00371A15">
        <w:rPr>
          <w:rFonts w:cs="Arial"/>
          <w:color w:val="000000"/>
          <w:szCs w:val="20"/>
        </w:rPr>
        <w:t>the Framework), and</w:t>
      </w:r>
    </w:p>
    <w:p w14:paraId="4AD36157" w14:textId="1E2F915C" w:rsidR="005D6D6E" w:rsidRPr="00371A15" w:rsidRDefault="005D6D6E" w:rsidP="006C0471">
      <w:pPr>
        <w:pStyle w:val="ListParagraph"/>
        <w:numPr>
          <w:ilvl w:val="0"/>
          <w:numId w:val="19"/>
        </w:numPr>
        <w:autoSpaceDE w:val="0"/>
        <w:autoSpaceDN w:val="0"/>
        <w:adjustRightInd w:val="0"/>
        <w:rPr>
          <w:rFonts w:cs="Arial"/>
          <w:color w:val="000000"/>
          <w:szCs w:val="20"/>
        </w:rPr>
      </w:pPr>
      <w:r w:rsidRPr="00371A15">
        <w:rPr>
          <w:rFonts w:cs="Arial"/>
          <w:color w:val="000000"/>
          <w:szCs w:val="20"/>
        </w:rPr>
        <w:t>your views on any opportunities and challenges that may lay ahead with the roll-out of the</w:t>
      </w:r>
      <w:r w:rsidR="00E84F78" w:rsidRPr="00371A15">
        <w:rPr>
          <w:rFonts w:cs="Arial"/>
          <w:color w:val="000000"/>
          <w:szCs w:val="20"/>
        </w:rPr>
        <w:t xml:space="preserve"> </w:t>
      </w:r>
      <w:r w:rsidRPr="00371A15">
        <w:rPr>
          <w:rFonts w:cs="Arial"/>
          <w:color w:val="000000"/>
          <w:szCs w:val="20"/>
        </w:rPr>
        <w:t>Framework or the specific measures that have been proposed.</w:t>
      </w:r>
    </w:p>
    <w:p w14:paraId="1FB753E7" w14:textId="77777777" w:rsidR="00E84F78" w:rsidRDefault="00E84F78" w:rsidP="005D6D6E">
      <w:pPr>
        <w:autoSpaceDE w:val="0"/>
        <w:autoSpaceDN w:val="0"/>
        <w:adjustRightInd w:val="0"/>
        <w:rPr>
          <w:rFonts w:ascii="Arial" w:hAnsi="Arial" w:cs="Arial"/>
          <w:color w:val="000000"/>
          <w:sz w:val="20"/>
          <w:szCs w:val="20"/>
        </w:rPr>
      </w:pPr>
    </w:p>
    <w:p w14:paraId="67C41A7E" w14:textId="3AF0E0DB" w:rsid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We expect the interview will last around 30 minutes. Your participation is voluntary, and you may choose</w:t>
      </w:r>
      <w:r w:rsidR="00E84F78">
        <w:rPr>
          <w:rFonts w:ascii="Arial" w:hAnsi="Arial" w:cs="Arial"/>
          <w:color w:val="000000"/>
          <w:sz w:val="20"/>
          <w:szCs w:val="20"/>
        </w:rPr>
        <w:t xml:space="preserve"> </w:t>
      </w:r>
      <w:r w:rsidRPr="005D6D6E">
        <w:rPr>
          <w:rFonts w:ascii="Arial" w:hAnsi="Arial" w:cs="Arial"/>
          <w:color w:val="000000"/>
          <w:sz w:val="20"/>
          <w:szCs w:val="20"/>
        </w:rPr>
        <w:t>to stop participating at any time or skip any questions you don’t want to answer. If you decide after the</w:t>
      </w:r>
      <w:r w:rsidR="00E84F78">
        <w:rPr>
          <w:rFonts w:ascii="Arial" w:hAnsi="Arial" w:cs="Arial"/>
          <w:color w:val="000000"/>
          <w:sz w:val="20"/>
          <w:szCs w:val="20"/>
        </w:rPr>
        <w:t xml:space="preserve"> </w:t>
      </w:r>
      <w:r w:rsidRPr="005D6D6E">
        <w:rPr>
          <w:rFonts w:ascii="Arial" w:hAnsi="Arial" w:cs="Arial"/>
          <w:color w:val="000000"/>
          <w:sz w:val="20"/>
          <w:szCs w:val="20"/>
        </w:rPr>
        <w:t>interview that you no longer want to take part, you can request we remove any information you have</w:t>
      </w:r>
      <w:r w:rsidR="00E84F78">
        <w:rPr>
          <w:rFonts w:ascii="Arial" w:hAnsi="Arial" w:cs="Arial"/>
          <w:color w:val="000000"/>
          <w:sz w:val="20"/>
          <w:szCs w:val="20"/>
        </w:rPr>
        <w:t xml:space="preserve"> </w:t>
      </w:r>
      <w:r w:rsidRPr="005D6D6E">
        <w:rPr>
          <w:rFonts w:ascii="Arial" w:hAnsi="Arial" w:cs="Arial"/>
          <w:color w:val="000000"/>
          <w:sz w:val="20"/>
          <w:szCs w:val="20"/>
        </w:rPr>
        <w:t>provided.</w:t>
      </w:r>
    </w:p>
    <w:p w14:paraId="24C7A8ED" w14:textId="5C8588DB" w:rsidR="00E84F78" w:rsidRDefault="00E84F78" w:rsidP="005D6D6E">
      <w:pPr>
        <w:autoSpaceDE w:val="0"/>
        <w:autoSpaceDN w:val="0"/>
        <w:adjustRightInd w:val="0"/>
        <w:rPr>
          <w:rFonts w:ascii="Arial" w:hAnsi="Arial" w:cs="Arial"/>
          <w:color w:val="000000"/>
          <w:sz w:val="20"/>
          <w:szCs w:val="20"/>
        </w:rPr>
      </w:pPr>
    </w:p>
    <w:p w14:paraId="09E02E86" w14:textId="77777777" w:rsidR="0007515C" w:rsidRPr="005D6D6E" w:rsidRDefault="0007515C" w:rsidP="005D6D6E">
      <w:pPr>
        <w:autoSpaceDE w:val="0"/>
        <w:autoSpaceDN w:val="0"/>
        <w:adjustRightInd w:val="0"/>
        <w:rPr>
          <w:rFonts w:ascii="Arial" w:hAnsi="Arial" w:cs="Arial"/>
          <w:color w:val="000000"/>
          <w:sz w:val="20"/>
          <w:szCs w:val="20"/>
        </w:rPr>
      </w:pPr>
    </w:p>
    <w:p w14:paraId="69392FEF" w14:textId="77777777"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lastRenderedPageBreak/>
        <w:t>Your privacy</w:t>
      </w:r>
    </w:p>
    <w:p w14:paraId="654F0D4D" w14:textId="77777777" w:rsidR="0007515C" w:rsidRDefault="0007515C" w:rsidP="005D6D6E">
      <w:pPr>
        <w:autoSpaceDE w:val="0"/>
        <w:autoSpaceDN w:val="0"/>
        <w:adjustRightInd w:val="0"/>
        <w:rPr>
          <w:rFonts w:ascii="Arial" w:hAnsi="Arial" w:cs="Arial"/>
          <w:color w:val="000000"/>
          <w:sz w:val="20"/>
          <w:szCs w:val="20"/>
        </w:rPr>
      </w:pPr>
    </w:p>
    <w:p w14:paraId="2B1A4EE7" w14:textId="0EAC418B"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Your privacy is really important to us and we will protect the confidentiality of your responses to the</w:t>
      </w:r>
      <w:r w:rsidR="0007515C">
        <w:rPr>
          <w:rFonts w:ascii="Arial" w:hAnsi="Arial" w:cs="Arial"/>
          <w:color w:val="000000"/>
          <w:sz w:val="20"/>
          <w:szCs w:val="20"/>
        </w:rPr>
        <w:t xml:space="preserve"> </w:t>
      </w:r>
      <w:r w:rsidRPr="005D6D6E">
        <w:rPr>
          <w:rFonts w:ascii="Arial" w:hAnsi="Arial" w:cs="Arial"/>
          <w:color w:val="000000"/>
          <w:sz w:val="20"/>
          <w:szCs w:val="20"/>
        </w:rPr>
        <w:t>fullest possible extent, within the limits of the law. With your permission, we will record and transcribe</w:t>
      </w:r>
      <w:r w:rsidR="0007515C">
        <w:rPr>
          <w:rFonts w:ascii="Arial" w:hAnsi="Arial" w:cs="Arial"/>
          <w:color w:val="000000"/>
          <w:sz w:val="20"/>
          <w:szCs w:val="20"/>
        </w:rPr>
        <w:t xml:space="preserve"> </w:t>
      </w:r>
      <w:r w:rsidRPr="005D6D6E">
        <w:rPr>
          <w:rFonts w:ascii="Arial" w:hAnsi="Arial" w:cs="Arial"/>
          <w:color w:val="000000"/>
          <w:sz w:val="20"/>
          <w:szCs w:val="20"/>
        </w:rPr>
        <w:t>this interview. Any quotes or accounts (given in the context of your participation) will be used</w:t>
      </w:r>
      <w:r w:rsidR="0007515C">
        <w:rPr>
          <w:rFonts w:ascii="Arial" w:hAnsi="Arial" w:cs="Arial"/>
          <w:color w:val="000000"/>
          <w:sz w:val="20"/>
          <w:szCs w:val="20"/>
        </w:rPr>
        <w:t xml:space="preserve"> </w:t>
      </w:r>
      <w:r w:rsidRPr="005D6D6E">
        <w:rPr>
          <w:rFonts w:ascii="Arial" w:hAnsi="Arial" w:cs="Arial"/>
          <w:color w:val="000000"/>
          <w:sz w:val="20"/>
          <w:szCs w:val="20"/>
        </w:rPr>
        <w:t>anonymously, or attributed to you under a pseudonym (i.e., a false name). The transcripts will be stored</w:t>
      </w:r>
      <w:r w:rsidR="0007515C">
        <w:rPr>
          <w:rFonts w:ascii="Arial" w:hAnsi="Arial" w:cs="Arial"/>
          <w:color w:val="000000"/>
          <w:sz w:val="20"/>
          <w:szCs w:val="20"/>
        </w:rPr>
        <w:t xml:space="preserve"> </w:t>
      </w:r>
      <w:r w:rsidRPr="005D6D6E">
        <w:rPr>
          <w:rFonts w:ascii="Arial" w:hAnsi="Arial" w:cs="Arial"/>
          <w:color w:val="000000"/>
          <w:sz w:val="20"/>
          <w:szCs w:val="20"/>
        </w:rPr>
        <w:t>securely for a minimum of seven years in accordance with the National Health and Medical Research</w:t>
      </w:r>
      <w:r w:rsidR="0007515C">
        <w:rPr>
          <w:rFonts w:ascii="Arial" w:hAnsi="Arial" w:cs="Arial"/>
          <w:color w:val="000000"/>
          <w:sz w:val="20"/>
          <w:szCs w:val="20"/>
        </w:rPr>
        <w:t xml:space="preserve"> </w:t>
      </w:r>
      <w:r w:rsidRPr="005D6D6E">
        <w:rPr>
          <w:rFonts w:ascii="Arial" w:hAnsi="Arial" w:cs="Arial"/>
          <w:color w:val="000000"/>
          <w:sz w:val="20"/>
          <w:szCs w:val="20"/>
        </w:rPr>
        <w:t>Council (NHMRC) research guidelines. The recordings will be destroyed by secure means once</w:t>
      </w:r>
      <w:r w:rsidR="0007515C">
        <w:rPr>
          <w:rFonts w:ascii="Arial" w:hAnsi="Arial" w:cs="Arial"/>
          <w:color w:val="000000"/>
          <w:sz w:val="20"/>
          <w:szCs w:val="20"/>
        </w:rPr>
        <w:t xml:space="preserve"> </w:t>
      </w:r>
      <w:r w:rsidRPr="005D6D6E">
        <w:rPr>
          <w:rFonts w:ascii="Arial" w:hAnsi="Arial" w:cs="Arial"/>
          <w:color w:val="000000"/>
          <w:sz w:val="20"/>
          <w:szCs w:val="20"/>
        </w:rPr>
        <w:t>processed. All files will be stored on a highly secure Commonwealth government server.</w:t>
      </w:r>
    </w:p>
    <w:p w14:paraId="42C9F41A" w14:textId="77777777" w:rsidR="0007515C" w:rsidRDefault="0007515C" w:rsidP="005D6D6E">
      <w:pPr>
        <w:autoSpaceDE w:val="0"/>
        <w:autoSpaceDN w:val="0"/>
        <w:adjustRightInd w:val="0"/>
        <w:rPr>
          <w:rFonts w:ascii="Arial" w:hAnsi="Arial" w:cs="Arial"/>
          <w:color w:val="000000"/>
          <w:sz w:val="20"/>
          <w:szCs w:val="20"/>
        </w:rPr>
      </w:pPr>
    </w:p>
    <w:p w14:paraId="55278FEA" w14:textId="10200CD1"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The findings from our interviews with regulators and service providers will be used as part of a larger</w:t>
      </w:r>
      <w:r w:rsidR="0007515C">
        <w:rPr>
          <w:rFonts w:ascii="Arial" w:hAnsi="Arial" w:cs="Arial"/>
          <w:color w:val="000000"/>
          <w:sz w:val="20"/>
          <w:szCs w:val="20"/>
        </w:rPr>
        <w:t xml:space="preserve"> </w:t>
      </w:r>
      <w:r w:rsidRPr="005D6D6E">
        <w:rPr>
          <w:rFonts w:ascii="Arial" w:hAnsi="Arial" w:cs="Arial"/>
          <w:color w:val="000000"/>
          <w:sz w:val="20"/>
          <w:szCs w:val="20"/>
        </w:rPr>
        <w:t>project to evaluate the implementation of the National Framework over the next five years. The results of</w:t>
      </w:r>
      <w:r w:rsidR="0007515C">
        <w:rPr>
          <w:rFonts w:ascii="Arial" w:hAnsi="Arial" w:cs="Arial"/>
          <w:color w:val="000000"/>
          <w:sz w:val="20"/>
          <w:szCs w:val="20"/>
        </w:rPr>
        <w:t xml:space="preserve"> </w:t>
      </w:r>
      <w:r w:rsidRPr="005D6D6E">
        <w:rPr>
          <w:rFonts w:ascii="Arial" w:hAnsi="Arial" w:cs="Arial"/>
          <w:color w:val="000000"/>
          <w:sz w:val="20"/>
          <w:szCs w:val="20"/>
        </w:rPr>
        <w:t>this project will appear in a project report, and may appear in presentations at conferences and in</w:t>
      </w:r>
      <w:r w:rsidR="0007515C">
        <w:rPr>
          <w:rFonts w:ascii="Arial" w:hAnsi="Arial" w:cs="Arial"/>
          <w:color w:val="000000"/>
          <w:sz w:val="20"/>
          <w:szCs w:val="20"/>
        </w:rPr>
        <w:t xml:space="preserve"> </w:t>
      </w:r>
      <w:r w:rsidRPr="005D6D6E">
        <w:rPr>
          <w:rFonts w:ascii="Arial" w:hAnsi="Arial" w:cs="Arial"/>
          <w:color w:val="000000"/>
          <w:sz w:val="20"/>
          <w:szCs w:val="20"/>
        </w:rPr>
        <w:t>journal articles, but as broad themes and grouped data only (i.e., no individual responses or specific</w:t>
      </w:r>
      <w:r w:rsidR="0007515C">
        <w:rPr>
          <w:rFonts w:ascii="Arial" w:hAnsi="Arial" w:cs="Arial"/>
          <w:color w:val="000000"/>
          <w:sz w:val="20"/>
          <w:szCs w:val="20"/>
        </w:rPr>
        <w:t xml:space="preserve"> </w:t>
      </w:r>
      <w:r w:rsidRPr="005D6D6E">
        <w:rPr>
          <w:rFonts w:ascii="Arial" w:hAnsi="Arial" w:cs="Arial"/>
          <w:color w:val="000000"/>
          <w:sz w:val="20"/>
          <w:szCs w:val="20"/>
        </w:rPr>
        <w:t>cases will be identifiable). If you have any specific state/territory or organisational questions or concerns,</w:t>
      </w:r>
      <w:r w:rsidR="0007515C">
        <w:rPr>
          <w:rFonts w:ascii="Arial" w:hAnsi="Arial" w:cs="Arial"/>
          <w:color w:val="000000"/>
          <w:sz w:val="20"/>
          <w:szCs w:val="20"/>
        </w:rPr>
        <w:t xml:space="preserve"> </w:t>
      </w:r>
      <w:r w:rsidRPr="005D6D6E">
        <w:rPr>
          <w:rFonts w:ascii="Arial" w:hAnsi="Arial" w:cs="Arial"/>
          <w:color w:val="000000"/>
          <w:sz w:val="20"/>
          <w:szCs w:val="20"/>
        </w:rPr>
        <w:t>we can refer you to the Framework Governance Committee for assistance.</w:t>
      </w:r>
    </w:p>
    <w:p w14:paraId="2CFCD104" w14:textId="77777777" w:rsidR="0007515C" w:rsidRPr="0007515C" w:rsidRDefault="0007515C" w:rsidP="005D6D6E">
      <w:pPr>
        <w:autoSpaceDE w:val="0"/>
        <w:autoSpaceDN w:val="0"/>
        <w:adjustRightInd w:val="0"/>
        <w:rPr>
          <w:rFonts w:ascii="Arial" w:hAnsi="Arial" w:cs="Arial"/>
          <w:b/>
          <w:bCs/>
          <w:sz w:val="22"/>
          <w:szCs w:val="22"/>
        </w:rPr>
      </w:pPr>
    </w:p>
    <w:p w14:paraId="69C8E39D" w14:textId="7FBA668B"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Funding and ethics</w:t>
      </w:r>
    </w:p>
    <w:p w14:paraId="4DC8D339" w14:textId="77777777" w:rsidR="0007515C" w:rsidRDefault="0007515C" w:rsidP="005D6D6E">
      <w:pPr>
        <w:autoSpaceDE w:val="0"/>
        <w:autoSpaceDN w:val="0"/>
        <w:adjustRightInd w:val="0"/>
        <w:rPr>
          <w:rFonts w:ascii="Arial" w:hAnsi="Arial" w:cs="Arial"/>
          <w:color w:val="000000"/>
          <w:sz w:val="20"/>
          <w:szCs w:val="20"/>
        </w:rPr>
      </w:pPr>
    </w:p>
    <w:p w14:paraId="67ABCE54" w14:textId="7DDCE3A6" w:rsidR="005D6D6E" w:rsidRPr="005D6D6E" w:rsidRDefault="005D6D6E" w:rsidP="005D6D6E">
      <w:pPr>
        <w:autoSpaceDE w:val="0"/>
        <w:autoSpaceDN w:val="0"/>
        <w:adjustRightInd w:val="0"/>
        <w:rPr>
          <w:rFonts w:ascii="Arial" w:hAnsi="Arial" w:cs="Arial"/>
          <w:color w:val="0000FF"/>
          <w:sz w:val="20"/>
          <w:szCs w:val="20"/>
        </w:rPr>
      </w:pPr>
      <w:r w:rsidRPr="005D6D6E">
        <w:rPr>
          <w:rFonts w:ascii="Arial" w:hAnsi="Arial" w:cs="Arial"/>
          <w:color w:val="000000"/>
          <w:sz w:val="20"/>
          <w:szCs w:val="20"/>
        </w:rPr>
        <w:t>The Australian Gambling Research Centre at the Australian Institute of Family Studies is conducting the</w:t>
      </w:r>
      <w:r w:rsidR="0007515C">
        <w:rPr>
          <w:rFonts w:ascii="Arial" w:hAnsi="Arial" w:cs="Arial"/>
          <w:color w:val="000000"/>
          <w:sz w:val="20"/>
          <w:szCs w:val="20"/>
        </w:rPr>
        <w:t xml:space="preserve"> </w:t>
      </w:r>
      <w:r w:rsidRPr="005D6D6E">
        <w:rPr>
          <w:rFonts w:ascii="Arial" w:hAnsi="Arial" w:cs="Arial"/>
          <w:color w:val="000000"/>
          <w:sz w:val="20"/>
          <w:szCs w:val="20"/>
        </w:rPr>
        <w:t>study on behalf of the Gambling Policy Section, Commonwealth Department of Social Services. The</w:t>
      </w:r>
      <w:r w:rsidR="0007515C">
        <w:rPr>
          <w:rFonts w:ascii="Arial" w:hAnsi="Arial" w:cs="Arial"/>
          <w:color w:val="000000"/>
          <w:sz w:val="20"/>
          <w:szCs w:val="20"/>
        </w:rPr>
        <w:t xml:space="preserve"> </w:t>
      </w:r>
      <w:r w:rsidRPr="005D6D6E">
        <w:rPr>
          <w:rFonts w:ascii="Arial" w:hAnsi="Arial" w:cs="Arial"/>
          <w:color w:val="000000"/>
          <w:sz w:val="20"/>
          <w:szCs w:val="20"/>
        </w:rPr>
        <w:t>study has received ethics approval from the Australian Institute of Family Studies Human Research</w:t>
      </w:r>
      <w:r w:rsidR="0007515C">
        <w:rPr>
          <w:rFonts w:ascii="Arial" w:hAnsi="Arial" w:cs="Arial"/>
          <w:color w:val="000000"/>
          <w:sz w:val="20"/>
          <w:szCs w:val="20"/>
        </w:rPr>
        <w:t xml:space="preserve"> </w:t>
      </w:r>
      <w:r w:rsidRPr="005D6D6E">
        <w:rPr>
          <w:rFonts w:ascii="Arial" w:hAnsi="Arial" w:cs="Arial"/>
          <w:color w:val="000000"/>
          <w:sz w:val="20"/>
          <w:szCs w:val="20"/>
        </w:rPr>
        <w:t>Ethics Committee (2018/12). If you would like to make a complaint about this research, please contact</w:t>
      </w:r>
      <w:r w:rsidR="0007515C">
        <w:rPr>
          <w:rFonts w:ascii="Arial" w:hAnsi="Arial" w:cs="Arial"/>
          <w:color w:val="000000"/>
          <w:sz w:val="20"/>
          <w:szCs w:val="20"/>
        </w:rPr>
        <w:t xml:space="preserve"> </w:t>
      </w:r>
      <w:r w:rsidRPr="005D6D6E">
        <w:rPr>
          <w:rFonts w:ascii="Arial" w:hAnsi="Arial" w:cs="Arial"/>
          <w:color w:val="000000"/>
          <w:sz w:val="20"/>
          <w:szCs w:val="20"/>
        </w:rPr>
        <w:t>the Australian Institute of Family Studies' ethics secretariat via telephone (03) 9214 7888 or email</w:t>
      </w:r>
      <w:r w:rsidR="0007515C">
        <w:rPr>
          <w:rFonts w:ascii="Arial" w:hAnsi="Arial" w:cs="Arial"/>
          <w:color w:val="000000"/>
          <w:sz w:val="20"/>
          <w:szCs w:val="20"/>
        </w:rPr>
        <w:t xml:space="preserve"> </w:t>
      </w:r>
      <w:r w:rsidRPr="005D6D6E">
        <w:rPr>
          <w:rFonts w:ascii="Arial" w:hAnsi="Arial" w:cs="Arial"/>
          <w:color w:val="0000FF"/>
          <w:sz w:val="20"/>
          <w:szCs w:val="20"/>
        </w:rPr>
        <w:t>ethics-secretariat@aifs.gov.au</w:t>
      </w:r>
    </w:p>
    <w:p w14:paraId="6A06A00B" w14:textId="77777777" w:rsidR="0007515C" w:rsidRPr="0007515C" w:rsidRDefault="0007515C" w:rsidP="005D6D6E">
      <w:pPr>
        <w:autoSpaceDE w:val="0"/>
        <w:autoSpaceDN w:val="0"/>
        <w:adjustRightInd w:val="0"/>
        <w:rPr>
          <w:rFonts w:ascii="Arial" w:hAnsi="Arial" w:cs="Arial"/>
          <w:b/>
          <w:bCs/>
          <w:sz w:val="20"/>
          <w:szCs w:val="20"/>
        </w:rPr>
      </w:pPr>
    </w:p>
    <w:p w14:paraId="45175A6F" w14:textId="6FDF7133"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Contact for further information and how you can take part</w:t>
      </w:r>
    </w:p>
    <w:p w14:paraId="6EA5B649" w14:textId="77777777" w:rsidR="0007515C" w:rsidRDefault="0007515C" w:rsidP="005D6D6E">
      <w:pPr>
        <w:autoSpaceDE w:val="0"/>
        <w:autoSpaceDN w:val="0"/>
        <w:adjustRightInd w:val="0"/>
        <w:rPr>
          <w:rFonts w:ascii="Arial" w:hAnsi="Arial" w:cs="Arial"/>
          <w:color w:val="000000"/>
          <w:sz w:val="20"/>
          <w:szCs w:val="20"/>
        </w:rPr>
      </w:pPr>
    </w:p>
    <w:p w14:paraId="7AA7D404" w14:textId="7720DEF8" w:rsidR="005D6D6E" w:rsidRPr="005D6D6E" w:rsidRDefault="005D6D6E" w:rsidP="005D6D6E">
      <w:pPr>
        <w:autoSpaceDE w:val="0"/>
        <w:autoSpaceDN w:val="0"/>
        <w:adjustRightInd w:val="0"/>
        <w:rPr>
          <w:rFonts w:ascii="Arial" w:hAnsi="Arial" w:cs="Arial"/>
          <w:color w:val="000000"/>
          <w:sz w:val="20"/>
          <w:szCs w:val="20"/>
        </w:rPr>
      </w:pPr>
      <w:r w:rsidRPr="005D6D6E">
        <w:rPr>
          <w:rFonts w:ascii="Arial" w:hAnsi="Arial" w:cs="Arial"/>
          <w:color w:val="000000"/>
          <w:sz w:val="20"/>
          <w:szCs w:val="20"/>
        </w:rPr>
        <w:t>If you would like further information about the project or are interested in taking part in an interview,</w:t>
      </w:r>
      <w:r w:rsidR="0007515C">
        <w:rPr>
          <w:rFonts w:ascii="Arial" w:hAnsi="Arial" w:cs="Arial"/>
          <w:color w:val="000000"/>
          <w:sz w:val="20"/>
          <w:szCs w:val="20"/>
        </w:rPr>
        <w:t xml:space="preserve"> </w:t>
      </w:r>
      <w:r w:rsidRPr="005D6D6E">
        <w:rPr>
          <w:rFonts w:ascii="Arial" w:hAnsi="Arial" w:cs="Arial"/>
          <w:color w:val="000000"/>
          <w:sz w:val="20"/>
          <w:szCs w:val="20"/>
        </w:rPr>
        <w:t>please contact the Principal Researcher Dr Rebecca Jenkinson on (03) 9214 7864 or</w:t>
      </w:r>
    </w:p>
    <w:p w14:paraId="137DA9B9" w14:textId="1CC8AA49" w:rsidR="005D6D6E" w:rsidRDefault="00014F4D" w:rsidP="005D6D6E">
      <w:pPr>
        <w:autoSpaceDE w:val="0"/>
        <w:autoSpaceDN w:val="0"/>
        <w:adjustRightInd w:val="0"/>
        <w:rPr>
          <w:rFonts w:ascii="Arial" w:hAnsi="Arial" w:cs="Arial"/>
          <w:color w:val="0000FF"/>
          <w:sz w:val="20"/>
          <w:szCs w:val="20"/>
        </w:rPr>
      </w:pPr>
      <w:hyperlink r:id="rId20" w:history="1">
        <w:r w:rsidR="0007515C" w:rsidRPr="0010076D">
          <w:rPr>
            <w:rStyle w:val="Hyperlink"/>
            <w:rFonts w:ascii="Arial" w:hAnsi="Arial" w:cs="Arial"/>
            <w:sz w:val="20"/>
            <w:szCs w:val="20"/>
          </w:rPr>
          <w:t>Rebecca.Jenkinson@aifs.gov.au</w:t>
        </w:r>
      </w:hyperlink>
    </w:p>
    <w:p w14:paraId="6D8C8229" w14:textId="77777777" w:rsidR="0007515C" w:rsidRPr="005D6D6E" w:rsidRDefault="0007515C" w:rsidP="005D6D6E">
      <w:pPr>
        <w:autoSpaceDE w:val="0"/>
        <w:autoSpaceDN w:val="0"/>
        <w:adjustRightInd w:val="0"/>
        <w:rPr>
          <w:rFonts w:ascii="Arial" w:hAnsi="Arial" w:cs="Arial"/>
          <w:color w:val="0000FF"/>
          <w:sz w:val="20"/>
          <w:szCs w:val="20"/>
        </w:rPr>
      </w:pPr>
    </w:p>
    <w:p w14:paraId="56E4D2E1" w14:textId="77777777" w:rsidR="005D6D6E" w:rsidRPr="0007515C" w:rsidRDefault="005D6D6E" w:rsidP="005D6D6E">
      <w:pPr>
        <w:autoSpaceDE w:val="0"/>
        <w:autoSpaceDN w:val="0"/>
        <w:adjustRightInd w:val="0"/>
        <w:rPr>
          <w:rFonts w:ascii="Arial" w:hAnsi="Arial" w:cs="Arial"/>
          <w:b/>
          <w:bCs/>
          <w:sz w:val="22"/>
          <w:szCs w:val="22"/>
        </w:rPr>
      </w:pPr>
      <w:r w:rsidRPr="0007515C">
        <w:rPr>
          <w:rFonts w:ascii="Arial" w:hAnsi="Arial" w:cs="Arial"/>
          <w:b/>
          <w:bCs/>
          <w:sz w:val="22"/>
          <w:szCs w:val="22"/>
        </w:rPr>
        <w:t>About the Australian Gambling Research Centre</w:t>
      </w:r>
    </w:p>
    <w:p w14:paraId="4552A56E" w14:textId="77777777" w:rsidR="0007515C" w:rsidRDefault="0007515C" w:rsidP="005D6D6E">
      <w:pPr>
        <w:autoSpaceDE w:val="0"/>
        <w:autoSpaceDN w:val="0"/>
        <w:adjustRightInd w:val="0"/>
        <w:rPr>
          <w:rFonts w:ascii="Arial" w:hAnsi="Arial" w:cs="Arial"/>
          <w:color w:val="000000"/>
          <w:sz w:val="20"/>
          <w:szCs w:val="20"/>
        </w:rPr>
      </w:pPr>
    </w:p>
    <w:p w14:paraId="27C0B4CF" w14:textId="65C086B0" w:rsidR="005D6D6E" w:rsidRPr="005D6D6E" w:rsidRDefault="005D6D6E" w:rsidP="0007515C">
      <w:pPr>
        <w:autoSpaceDE w:val="0"/>
        <w:autoSpaceDN w:val="0"/>
        <w:adjustRightInd w:val="0"/>
        <w:rPr>
          <w:rFonts w:ascii="Arial" w:hAnsi="Arial" w:cs="Arial"/>
          <w:color w:val="000000"/>
          <w:sz w:val="20"/>
          <w:szCs w:val="20"/>
        </w:rPr>
      </w:pPr>
      <w:r w:rsidRPr="005D6D6E">
        <w:rPr>
          <w:rFonts w:ascii="Arial" w:hAnsi="Arial" w:cs="Arial"/>
          <w:color w:val="000000"/>
          <w:sz w:val="20"/>
          <w:szCs w:val="20"/>
        </w:rPr>
        <w:t>The Australian Gambling Research Centre (AGRC) was established under the National Gambling Reform Act 2012</w:t>
      </w:r>
      <w:r w:rsidR="0007515C">
        <w:rPr>
          <w:rFonts w:ascii="Arial" w:hAnsi="Arial" w:cs="Arial"/>
          <w:color w:val="000000"/>
          <w:sz w:val="20"/>
          <w:szCs w:val="20"/>
        </w:rPr>
        <w:t xml:space="preserve"> </w:t>
      </w:r>
      <w:r w:rsidRPr="005D6D6E">
        <w:rPr>
          <w:rFonts w:ascii="Arial" w:hAnsi="Arial" w:cs="Arial"/>
          <w:color w:val="000000"/>
          <w:sz w:val="20"/>
          <w:szCs w:val="20"/>
        </w:rPr>
        <w:t>at the Australian Institute of Family Studies (AIFS). AIFS is an independent statutory authority established by the</w:t>
      </w:r>
      <w:r w:rsidR="0007515C">
        <w:rPr>
          <w:rFonts w:ascii="Arial" w:hAnsi="Arial" w:cs="Arial"/>
          <w:color w:val="000000"/>
          <w:sz w:val="20"/>
          <w:szCs w:val="20"/>
        </w:rPr>
        <w:t xml:space="preserve"> </w:t>
      </w:r>
      <w:r w:rsidRPr="005D6D6E">
        <w:rPr>
          <w:rFonts w:ascii="Arial" w:hAnsi="Arial" w:cs="Arial"/>
          <w:color w:val="000000"/>
          <w:sz w:val="20"/>
          <w:szCs w:val="20"/>
        </w:rPr>
        <w:t>Commonwealth Government in 1980 to undertake research into families and their wellbeing in Australia. The AGRC</w:t>
      </w:r>
      <w:r w:rsidR="0007515C">
        <w:rPr>
          <w:rFonts w:ascii="Arial" w:hAnsi="Arial" w:cs="Arial"/>
          <w:color w:val="000000"/>
          <w:sz w:val="20"/>
          <w:szCs w:val="20"/>
        </w:rPr>
        <w:t xml:space="preserve"> </w:t>
      </w:r>
      <w:r w:rsidRPr="005D6D6E">
        <w:rPr>
          <w:rFonts w:ascii="Arial" w:hAnsi="Arial" w:cs="Arial"/>
          <w:color w:val="000000"/>
          <w:sz w:val="20"/>
          <w:szCs w:val="20"/>
        </w:rPr>
        <w:t>aims to provide high-quality, evidence-based publications and resources to increase the capacity and capability of</w:t>
      </w:r>
      <w:r w:rsidR="0007515C">
        <w:rPr>
          <w:rFonts w:ascii="Arial" w:hAnsi="Arial" w:cs="Arial"/>
          <w:color w:val="000000"/>
          <w:sz w:val="20"/>
          <w:szCs w:val="20"/>
        </w:rPr>
        <w:t xml:space="preserve"> </w:t>
      </w:r>
      <w:r w:rsidRPr="005D6D6E">
        <w:rPr>
          <w:rFonts w:ascii="Arial" w:hAnsi="Arial" w:cs="Arial"/>
          <w:color w:val="000000"/>
          <w:sz w:val="20"/>
          <w:szCs w:val="20"/>
        </w:rPr>
        <w:t>policy-makers, researchers and professionals working in the area of gambling. More detailed information can be</w:t>
      </w:r>
      <w:r w:rsidR="0007515C">
        <w:rPr>
          <w:rFonts w:ascii="Arial" w:hAnsi="Arial" w:cs="Arial"/>
          <w:color w:val="000000"/>
          <w:sz w:val="20"/>
          <w:szCs w:val="20"/>
        </w:rPr>
        <w:t xml:space="preserve"> </w:t>
      </w:r>
      <w:r w:rsidRPr="005D6D6E">
        <w:rPr>
          <w:rFonts w:ascii="Arial" w:hAnsi="Arial" w:cs="Arial"/>
          <w:color w:val="000000"/>
          <w:sz w:val="20"/>
          <w:szCs w:val="20"/>
        </w:rPr>
        <w:t xml:space="preserve">obtained from our websites: </w:t>
      </w:r>
      <w:r w:rsidRPr="005D6D6E">
        <w:rPr>
          <w:rFonts w:ascii="Arial" w:hAnsi="Arial" w:cs="Arial"/>
          <w:color w:val="0000FF"/>
          <w:sz w:val="20"/>
          <w:szCs w:val="20"/>
        </w:rPr>
        <w:t xml:space="preserve">www.aifs.gov.au/agrc </w:t>
      </w:r>
      <w:r w:rsidRPr="005D6D6E">
        <w:rPr>
          <w:rFonts w:ascii="Arial" w:hAnsi="Arial" w:cs="Arial"/>
          <w:color w:val="000000"/>
          <w:sz w:val="20"/>
          <w:szCs w:val="20"/>
        </w:rPr>
        <w:t xml:space="preserve">and </w:t>
      </w:r>
      <w:hyperlink r:id="rId21" w:history="1">
        <w:r w:rsidRPr="005D6D6E">
          <w:rPr>
            <w:rStyle w:val="Hyperlink"/>
            <w:rFonts w:ascii="Arial" w:hAnsi="Arial" w:cs="Arial"/>
            <w:sz w:val="20"/>
            <w:szCs w:val="20"/>
          </w:rPr>
          <w:t>www.aifs.gov.au</w:t>
        </w:r>
      </w:hyperlink>
      <w:r w:rsidRPr="005D6D6E">
        <w:rPr>
          <w:rFonts w:ascii="Arial" w:hAnsi="Arial" w:cs="Arial"/>
          <w:color w:val="000000"/>
          <w:sz w:val="20"/>
          <w:szCs w:val="20"/>
        </w:rPr>
        <w:t>.</w:t>
      </w:r>
    </w:p>
    <w:p w14:paraId="0AB8DBC9" w14:textId="6EDA71CD" w:rsidR="007B5F7A" w:rsidRDefault="007B5F7A">
      <w:pPr>
        <w:rPr>
          <w:rFonts w:ascii="Arial" w:hAnsi="Arial" w:cs="Arial"/>
          <w:b/>
          <w:bCs/>
          <w:color w:val="000000"/>
          <w:sz w:val="20"/>
          <w:szCs w:val="20"/>
        </w:rPr>
      </w:pPr>
      <w:r>
        <w:rPr>
          <w:rFonts w:ascii="Arial" w:hAnsi="Arial" w:cs="Arial"/>
          <w:b/>
          <w:bCs/>
          <w:color w:val="000000"/>
          <w:sz w:val="20"/>
          <w:szCs w:val="20"/>
        </w:rPr>
        <w:br w:type="page"/>
      </w:r>
    </w:p>
    <w:p w14:paraId="4D4CAF32" w14:textId="77777777" w:rsidR="0007515C" w:rsidRDefault="0007515C" w:rsidP="005D6D6E">
      <w:pPr>
        <w:autoSpaceDE w:val="0"/>
        <w:autoSpaceDN w:val="0"/>
        <w:adjustRightInd w:val="0"/>
        <w:rPr>
          <w:rFonts w:ascii="Arial" w:hAnsi="Arial" w:cs="Arial"/>
          <w:b/>
          <w:bCs/>
          <w:color w:val="000000"/>
          <w:sz w:val="20"/>
          <w:szCs w:val="20"/>
        </w:rPr>
      </w:pPr>
    </w:p>
    <w:p w14:paraId="26E53BFF" w14:textId="66189AEA" w:rsidR="005D6D6E" w:rsidRPr="007B5F7A" w:rsidRDefault="005D6D6E" w:rsidP="007B5F7A">
      <w:pPr>
        <w:autoSpaceDE w:val="0"/>
        <w:autoSpaceDN w:val="0"/>
        <w:adjustRightInd w:val="0"/>
        <w:jc w:val="center"/>
        <w:rPr>
          <w:rFonts w:ascii="Arial" w:hAnsi="Arial" w:cs="Arial"/>
          <w:b/>
          <w:bCs/>
          <w:color w:val="000000"/>
        </w:rPr>
      </w:pPr>
      <w:r w:rsidRPr="007B5F7A">
        <w:rPr>
          <w:rFonts w:ascii="Arial" w:hAnsi="Arial" w:cs="Arial"/>
          <w:b/>
          <w:bCs/>
          <w:color w:val="000000"/>
        </w:rPr>
        <w:t>National</w:t>
      </w:r>
      <w:r w:rsidR="00E5566F">
        <w:rPr>
          <w:rFonts w:ascii="Arial" w:hAnsi="Arial" w:cs="Arial"/>
          <w:b/>
          <w:bCs/>
          <w:color w:val="000000"/>
        </w:rPr>
        <w:t xml:space="preserve"> Consumer Protection Framework f</w:t>
      </w:r>
      <w:r w:rsidRPr="007B5F7A">
        <w:rPr>
          <w:rFonts w:ascii="Arial" w:hAnsi="Arial" w:cs="Arial"/>
          <w:b/>
          <w:bCs/>
          <w:color w:val="000000"/>
        </w:rPr>
        <w:t>or Online Wagering</w:t>
      </w:r>
    </w:p>
    <w:p w14:paraId="433B7476" w14:textId="77777777" w:rsidR="005D6D6E" w:rsidRPr="007B5F7A" w:rsidRDefault="005D6D6E" w:rsidP="007B5F7A">
      <w:pPr>
        <w:autoSpaceDE w:val="0"/>
        <w:autoSpaceDN w:val="0"/>
        <w:adjustRightInd w:val="0"/>
        <w:jc w:val="center"/>
        <w:rPr>
          <w:rFonts w:ascii="Arial" w:hAnsi="Arial" w:cs="Arial"/>
          <w:b/>
          <w:bCs/>
          <w:color w:val="000000"/>
        </w:rPr>
      </w:pPr>
      <w:r w:rsidRPr="007B5F7A">
        <w:rPr>
          <w:rFonts w:ascii="Arial" w:hAnsi="Arial" w:cs="Arial"/>
          <w:b/>
          <w:bCs/>
          <w:color w:val="000000"/>
        </w:rPr>
        <w:t>Baseline Study</w:t>
      </w:r>
    </w:p>
    <w:p w14:paraId="5AEFB000" w14:textId="77777777" w:rsidR="005D6D6E" w:rsidRPr="007B5F7A" w:rsidRDefault="005D6D6E" w:rsidP="007B5F7A">
      <w:pPr>
        <w:autoSpaceDE w:val="0"/>
        <w:autoSpaceDN w:val="0"/>
        <w:adjustRightInd w:val="0"/>
        <w:jc w:val="center"/>
        <w:rPr>
          <w:rFonts w:ascii="Arial" w:hAnsi="Arial" w:cs="Arial"/>
          <w:b/>
          <w:bCs/>
          <w:color w:val="000000"/>
        </w:rPr>
      </w:pPr>
      <w:r w:rsidRPr="007B5F7A">
        <w:rPr>
          <w:rFonts w:ascii="Arial" w:hAnsi="Arial" w:cs="Arial"/>
          <w:b/>
          <w:bCs/>
          <w:color w:val="000000"/>
        </w:rPr>
        <w:t>Information sheet for interviews with online wagering providers</w:t>
      </w:r>
    </w:p>
    <w:p w14:paraId="1BBF0B68" w14:textId="77777777" w:rsidR="007B5F7A" w:rsidRDefault="007B5F7A" w:rsidP="005D6D6E">
      <w:pPr>
        <w:autoSpaceDE w:val="0"/>
        <w:autoSpaceDN w:val="0"/>
        <w:adjustRightInd w:val="0"/>
        <w:rPr>
          <w:rFonts w:ascii="Arial" w:hAnsi="Arial" w:cs="Arial"/>
          <w:color w:val="000000"/>
          <w:sz w:val="20"/>
          <w:szCs w:val="20"/>
        </w:rPr>
      </w:pPr>
    </w:p>
    <w:p w14:paraId="383FE7BC" w14:textId="7AE76FF5" w:rsidR="005D6D6E" w:rsidRPr="005D6D6E" w:rsidRDefault="005D6D6E" w:rsidP="007B5F7A">
      <w:pPr>
        <w:autoSpaceDE w:val="0"/>
        <w:autoSpaceDN w:val="0"/>
        <w:adjustRightInd w:val="0"/>
        <w:jc w:val="center"/>
        <w:rPr>
          <w:rFonts w:ascii="Arial" w:hAnsi="Arial" w:cs="Arial"/>
          <w:color w:val="000000"/>
          <w:sz w:val="20"/>
          <w:szCs w:val="20"/>
        </w:rPr>
      </w:pPr>
      <w:r w:rsidRPr="005D6D6E">
        <w:rPr>
          <w:rFonts w:ascii="Arial" w:hAnsi="Arial" w:cs="Arial"/>
          <w:color w:val="000000"/>
          <w:sz w:val="20"/>
          <w:szCs w:val="20"/>
        </w:rPr>
        <w:t>Principal researchers: Rebecca Jenkinson, Julie Deblaquiere, Uma Jatkar</w:t>
      </w:r>
    </w:p>
    <w:p w14:paraId="3EB1D866" w14:textId="77777777" w:rsidR="007B5F7A" w:rsidRDefault="007B5F7A" w:rsidP="005D6D6E">
      <w:pPr>
        <w:autoSpaceDE w:val="0"/>
        <w:autoSpaceDN w:val="0"/>
        <w:adjustRightInd w:val="0"/>
        <w:rPr>
          <w:rFonts w:ascii="Arial" w:hAnsi="Arial" w:cs="Arial"/>
          <w:b/>
          <w:bCs/>
          <w:color w:val="534B7D"/>
          <w:sz w:val="20"/>
          <w:szCs w:val="20"/>
        </w:rPr>
      </w:pPr>
    </w:p>
    <w:p w14:paraId="06A9FB2E" w14:textId="2C7C7C1B" w:rsidR="005D6D6E" w:rsidRPr="007B5F7A" w:rsidRDefault="005D6D6E" w:rsidP="005D6D6E">
      <w:pPr>
        <w:autoSpaceDE w:val="0"/>
        <w:autoSpaceDN w:val="0"/>
        <w:adjustRightInd w:val="0"/>
        <w:rPr>
          <w:rFonts w:ascii="Arial" w:hAnsi="Arial" w:cs="Arial"/>
          <w:b/>
          <w:bCs/>
          <w:sz w:val="22"/>
          <w:szCs w:val="22"/>
        </w:rPr>
      </w:pPr>
      <w:r w:rsidRPr="007B5F7A">
        <w:rPr>
          <w:rFonts w:ascii="Arial" w:hAnsi="Arial" w:cs="Arial"/>
          <w:b/>
          <w:bCs/>
          <w:sz w:val="22"/>
          <w:szCs w:val="22"/>
        </w:rPr>
        <w:t>About the study</w:t>
      </w:r>
    </w:p>
    <w:p w14:paraId="6727FCB7" w14:textId="02F2BEF6" w:rsidR="005D6D6E"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A National Consumer Protection Framework for online wagering has been developed and agreed to by</w:t>
      </w:r>
      <w:r w:rsidR="00371A15">
        <w:rPr>
          <w:rFonts w:ascii="Arial" w:hAnsi="Arial" w:cs="Arial"/>
          <w:color w:val="000000"/>
          <w:sz w:val="20"/>
          <w:szCs w:val="20"/>
        </w:rPr>
        <w:t xml:space="preserve"> </w:t>
      </w:r>
      <w:r w:rsidRPr="007B5F7A">
        <w:rPr>
          <w:rFonts w:ascii="Arial" w:hAnsi="Arial" w:cs="Arial"/>
          <w:color w:val="000000"/>
          <w:sz w:val="20"/>
          <w:szCs w:val="20"/>
        </w:rPr>
        <w:t>Australia’s Commonwealth and state and territory-based governments. The objective of the Framework</w:t>
      </w:r>
      <w:r w:rsidR="00371A15">
        <w:rPr>
          <w:rFonts w:ascii="Arial" w:hAnsi="Arial" w:cs="Arial"/>
          <w:color w:val="000000"/>
          <w:sz w:val="20"/>
          <w:szCs w:val="20"/>
        </w:rPr>
        <w:t xml:space="preserve"> </w:t>
      </w:r>
      <w:r w:rsidRPr="007B5F7A">
        <w:rPr>
          <w:rFonts w:ascii="Arial" w:hAnsi="Arial" w:cs="Arial"/>
          <w:color w:val="000000"/>
          <w:sz w:val="20"/>
          <w:szCs w:val="20"/>
        </w:rPr>
        <w:t>is to minimise harm related to online wagering activity, with ten consumer protection measures to be</w:t>
      </w:r>
      <w:r w:rsidR="00371A15">
        <w:rPr>
          <w:rFonts w:ascii="Arial" w:hAnsi="Arial" w:cs="Arial"/>
          <w:color w:val="000000"/>
          <w:sz w:val="20"/>
          <w:szCs w:val="20"/>
        </w:rPr>
        <w:t xml:space="preserve"> </w:t>
      </w:r>
      <w:r w:rsidRPr="007B5F7A">
        <w:rPr>
          <w:rFonts w:ascii="Arial" w:hAnsi="Arial" w:cs="Arial"/>
          <w:color w:val="000000"/>
          <w:sz w:val="20"/>
          <w:szCs w:val="20"/>
        </w:rPr>
        <w:t>implemented.</w:t>
      </w:r>
    </w:p>
    <w:p w14:paraId="3594872F" w14:textId="77777777" w:rsidR="00371A15" w:rsidRPr="007B5F7A" w:rsidRDefault="00371A15" w:rsidP="005D6D6E">
      <w:pPr>
        <w:autoSpaceDE w:val="0"/>
        <w:autoSpaceDN w:val="0"/>
        <w:adjustRightInd w:val="0"/>
        <w:rPr>
          <w:rFonts w:ascii="Arial" w:hAnsi="Arial" w:cs="Arial"/>
          <w:color w:val="000000"/>
          <w:sz w:val="20"/>
          <w:szCs w:val="20"/>
        </w:rPr>
      </w:pPr>
    </w:p>
    <w:p w14:paraId="0416EBE0" w14:textId="77777777"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The Framework is intended to deliver a nationally consistent set of agreed minimum consumer</w:t>
      </w:r>
    </w:p>
    <w:p w14:paraId="4DFF45F9" w14:textId="79597015"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protection measures that apply to interactive/online wagering service providers across Australia. The</w:t>
      </w:r>
      <w:r w:rsidR="00371A15">
        <w:rPr>
          <w:rFonts w:ascii="Arial" w:hAnsi="Arial" w:cs="Arial"/>
          <w:color w:val="000000"/>
          <w:sz w:val="20"/>
          <w:szCs w:val="20"/>
        </w:rPr>
        <w:t xml:space="preserve"> </w:t>
      </w:r>
      <w:r w:rsidRPr="007B5F7A">
        <w:rPr>
          <w:rFonts w:ascii="Arial" w:hAnsi="Arial" w:cs="Arial"/>
          <w:color w:val="000000"/>
          <w:sz w:val="20"/>
          <w:szCs w:val="20"/>
        </w:rPr>
        <w:t>roll-out, implementation and monitoring of the Framework will commence in 2019.</w:t>
      </w:r>
    </w:p>
    <w:p w14:paraId="484C7E1A" w14:textId="77777777" w:rsidR="00371A15" w:rsidRDefault="00371A15" w:rsidP="005D6D6E">
      <w:pPr>
        <w:autoSpaceDE w:val="0"/>
        <w:autoSpaceDN w:val="0"/>
        <w:adjustRightInd w:val="0"/>
        <w:rPr>
          <w:rFonts w:ascii="Arial" w:hAnsi="Arial" w:cs="Arial"/>
          <w:b/>
          <w:bCs/>
          <w:sz w:val="22"/>
          <w:szCs w:val="22"/>
        </w:rPr>
      </w:pPr>
    </w:p>
    <w:p w14:paraId="552C3C7E" w14:textId="1B34812E" w:rsidR="005D6D6E" w:rsidRPr="007B5F7A" w:rsidRDefault="005D6D6E" w:rsidP="005D6D6E">
      <w:pPr>
        <w:autoSpaceDE w:val="0"/>
        <w:autoSpaceDN w:val="0"/>
        <w:adjustRightInd w:val="0"/>
        <w:rPr>
          <w:rFonts w:ascii="Arial" w:hAnsi="Arial" w:cs="Arial"/>
          <w:b/>
          <w:bCs/>
          <w:sz w:val="22"/>
          <w:szCs w:val="22"/>
        </w:rPr>
      </w:pPr>
      <w:r w:rsidRPr="007B5F7A">
        <w:rPr>
          <w:rFonts w:ascii="Arial" w:hAnsi="Arial" w:cs="Arial"/>
          <w:b/>
          <w:bCs/>
          <w:sz w:val="22"/>
          <w:szCs w:val="22"/>
        </w:rPr>
        <w:t>We would like to hear your perspectives</w:t>
      </w:r>
    </w:p>
    <w:p w14:paraId="027BCF5C" w14:textId="77777777" w:rsidR="00371A15" w:rsidRDefault="00371A15" w:rsidP="005D6D6E">
      <w:pPr>
        <w:autoSpaceDE w:val="0"/>
        <w:autoSpaceDN w:val="0"/>
        <w:adjustRightInd w:val="0"/>
        <w:rPr>
          <w:rFonts w:ascii="Arial" w:hAnsi="Arial" w:cs="Arial"/>
          <w:color w:val="000000"/>
          <w:sz w:val="20"/>
          <w:szCs w:val="20"/>
        </w:rPr>
      </w:pPr>
    </w:p>
    <w:p w14:paraId="32C6C754" w14:textId="1F96FB31" w:rsidR="005D6D6E"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We’d like to interview a sample of Australian-based online wagering service providers before the</w:t>
      </w:r>
      <w:r w:rsidR="00371A15">
        <w:rPr>
          <w:rFonts w:ascii="Arial" w:hAnsi="Arial" w:cs="Arial"/>
          <w:color w:val="000000"/>
          <w:sz w:val="20"/>
          <w:szCs w:val="20"/>
        </w:rPr>
        <w:t xml:space="preserve"> </w:t>
      </w:r>
      <w:r w:rsidRPr="007B5F7A">
        <w:rPr>
          <w:rFonts w:ascii="Arial" w:hAnsi="Arial" w:cs="Arial"/>
          <w:color w:val="000000"/>
          <w:sz w:val="20"/>
          <w:szCs w:val="20"/>
        </w:rPr>
        <w:t>Framework is implemented and rolled out across all jurisdictions. We will also be interviewing online</w:t>
      </w:r>
      <w:r w:rsidR="00371A15">
        <w:rPr>
          <w:rFonts w:ascii="Arial" w:hAnsi="Arial" w:cs="Arial"/>
          <w:color w:val="000000"/>
          <w:sz w:val="20"/>
          <w:szCs w:val="20"/>
        </w:rPr>
        <w:t xml:space="preserve"> </w:t>
      </w:r>
      <w:r w:rsidRPr="007B5F7A">
        <w:rPr>
          <w:rFonts w:ascii="Arial" w:hAnsi="Arial" w:cs="Arial"/>
          <w:color w:val="000000"/>
          <w:sz w:val="20"/>
          <w:szCs w:val="20"/>
        </w:rPr>
        <w:t>wagering regulators in Australia.</w:t>
      </w:r>
    </w:p>
    <w:p w14:paraId="7E2F576C" w14:textId="77777777" w:rsidR="00371A15" w:rsidRPr="007B5F7A" w:rsidRDefault="00371A15" w:rsidP="005D6D6E">
      <w:pPr>
        <w:autoSpaceDE w:val="0"/>
        <w:autoSpaceDN w:val="0"/>
        <w:adjustRightInd w:val="0"/>
        <w:rPr>
          <w:rFonts w:ascii="Arial" w:hAnsi="Arial" w:cs="Arial"/>
          <w:color w:val="000000"/>
          <w:sz w:val="20"/>
          <w:szCs w:val="20"/>
        </w:rPr>
      </w:pPr>
    </w:p>
    <w:p w14:paraId="0ED9C1A7" w14:textId="77777777"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The findings will provide a baseline measure of online wagering service provider and regulator</w:t>
      </w:r>
    </w:p>
    <w:p w14:paraId="52E6D8DE" w14:textId="77777777"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awareness and understanding of the Framework, readiness for implementation, and perceived</w:t>
      </w:r>
    </w:p>
    <w:p w14:paraId="7D1A9523" w14:textId="6332D77B" w:rsidR="005D6D6E"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opportunities and challenges.</w:t>
      </w:r>
    </w:p>
    <w:p w14:paraId="30817894" w14:textId="77777777" w:rsidR="00371A15" w:rsidRPr="007B5F7A" w:rsidRDefault="00371A15" w:rsidP="005D6D6E">
      <w:pPr>
        <w:autoSpaceDE w:val="0"/>
        <w:autoSpaceDN w:val="0"/>
        <w:adjustRightInd w:val="0"/>
        <w:rPr>
          <w:rFonts w:ascii="Arial" w:hAnsi="Arial" w:cs="Arial"/>
          <w:color w:val="000000"/>
          <w:sz w:val="20"/>
          <w:szCs w:val="20"/>
        </w:rPr>
      </w:pPr>
    </w:p>
    <w:p w14:paraId="7FD84D68" w14:textId="77777777" w:rsidR="005D6D6E" w:rsidRPr="007B5F7A" w:rsidRDefault="005D6D6E" w:rsidP="005D6D6E">
      <w:pPr>
        <w:autoSpaceDE w:val="0"/>
        <w:autoSpaceDN w:val="0"/>
        <w:adjustRightInd w:val="0"/>
        <w:rPr>
          <w:rFonts w:ascii="Arial" w:hAnsi="Arial" w:cs="Arial"/>
          <w:b/>
          <w:bCs/>
          <w:sz w:val="22"/>
          <w:szCs w:val="22"/>
        </w:rPr>
      </w:pPr>
      <w:r w:rsidRPr="007B5F7A">
        <w:rPr>
          <w:rFonts w:ascii="Arial" w:hAnsi="Arial" w:cs="Arial"/>
          <w:b/>
          <w:bCs/>
          <w:sz w:val="22"/>
          <w:szCs w:val="22"/>
        </w:rPr>
        <w:t>How you can participate</w:t>
      </w:r>
    </w:p>
    <w:p w14:paraId="44BA170F" w14:textId="77777777" w:rsidR="00371A15" w:rsidRDefault="00371A15" w:rsidP="005D6D6E">
      <w:pPr>
        <w:autoSpaceDE w:val="0"/>
        <w:autoSpaceDN w:val="0"/>
        <w:adjustRightInd w:val="0"/>
        <w:rPr>
          <w:rFonts w:ascii="Arial" w:hAnsi="Arial" w:cs="Arial"/>
          <w:color w:val="000000"/>
          <w:sz w:val="20"/>
          <w:szCs w:val="20"/>
        </w:rPr>
      </w:pPr>
    </w:p>
    <w:p w14:paraId="36ED3078" w14:textId="0A9718A1"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You can participate by taking part in a telephone interview. You are eligible to take part in an interview if</w:t>
      </w:r>
      <w:r w:rsidR="00371A15">
        <w:rPr>
          <w:rFonts w:ascii="Arial" w:hAnsi="Arial" w:cs="Arial"/>
          <w:color w:val="000000"/>
          <w:sz w:val="20"/>
          <w:szCs w:val="20"/>
        </w:rPr>
        <w:t xml:space="preserve"> </w:t>
      </w:r>
      <w:r w:rsidRPr="007B5F7A">
        <w:rPr>
          <w:rFonts w:ascii="Arial" w:hAnsi="Arial" w:cs="Arial"/>
          <w:color w:val="000000"/>
          <w:sz w:val="20"/>
          <w:szCs w:val="20"/>
        </w:rPr>
        <w:t>you represent an Australian-based online wagering service provider.</w:t>
      </w:r>
    </w:p>
    <w:p w14:paraId="0007BFFF" w14:textId="77777777" w:rsidR="00371A15" w:rsidRDefault="00371A15" w:rsidP="005D6D6E">
      <w:pPr>
        <w:autoSpaceDE w:val="0"/>
        <w:autoSpaceDN w:val="0"/>
        <w:adjustRightInd w:val="0"/>
        <w:rPr>
          <w:rFonts w:ascii="Arial" w:hAnsi="Arial" w:cs="Arial"/>
          <w:b/>
          <w:bCs/>
          <w:sz w:val="22"/>
          <w:szCs w:val="22"/>
        </w:rPr>
      </w:pPr>
    </w:p>
    <w:p w14:paraId="446930FA" w14:textId="2FAFA2DD" w:rsidR="005D6D6E" w:rsidRPr="007B5F7A" w:rsidRDefault="005D6D6E" w:rsidP="005D6D6E">
      <w:pPr>
        <w:autoSpaceDE w:val="0"/>
        <w:autoSpaceDN w:val="0"/>
        <w:adjustRightInd w:val="0"/>
        <w:rPr>
          <w:rFonts w:ascii="Arial" w:hAnsi="Arial" w:cs="Arial"/>
          <w:b/>
          <w:bCs/>
          <w:sz w:val="22"/>
          <w:szCs w:val="22"/>
        </w:rPr>
      </w:pPr>
      <w:r w:rsidRPr="007B5F7A">
        <w:rPr>
          <w:rFonts w:ascii="Arial" w:hAnsi="Arial" w:cs="Arial"/>
          <w:b/>
          <w:bCs/>
          <w:sz w:val="22"/>
          <w:szCs w:val="22"/>
        </w:rPr>
        <w:t>The interview</w:t>
      </w:r>
    </w:p>
    <w:p w14:paraId="5C741AC7" w14:textId="77777777" w:rsidR="00371A15" w:rsidRDefault="00371A15" w:rsidP="005D6D6E">
      <w:pPr>
        <w:autoSpaceDE w:val="0"/>
        <w:autoSpaceDN w:val="0"/>
        <w:adjustRightInd w:val="0"/>
        <w:rPr>
          <w:rFonts w:ascii="Arial" w:hAnsi="Arial" w:cs="Arial"/>
          <w:color w:val="000000"/>
          <w:sz w:val="20"/>
          <w:szCs w:val="20"/>
        </w:rPr>
      </w:pPr>
    </w:p>
    <w:p w14:paraId="247917E1" w14:textId="7DA4B62F" w:rsidR="005D6D6E"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The interview will be a fairly informal chat over the telephone with one of our researchers at a time that</w:t>
      </w:r>
      <w:r w:rsidR="00371A15">
        <w:rPr>
          <w:rFonts w:ascii="Arial" w:hAnsi="Arial" w:cs="Arial"/>
          <w:color w:val="000000"/>
          <w:sz w:val="20"/>
          <w:szCs w:val="20"/>
        </w:rPr>
        <w:t xml:space="preserve"> </w:t>
      </w:r>
      <w:r w:rsidRPr="007B5F7A">
        <w:rPr>
          <w:rFonts w:ascii="Arial" w:hAnsi="Arial" w:cs="Arial"/>
          <w:color w:val="000000"/>
          <w:sz w:val="20"/>
          <w:szCs w:val="20"/>
        </w:rPr>
        <w:t>suits you. We will be interested in hearing about:</w:t>
      </w:r>
    </w:p>
    <w:p w14:paraId="32EE30B2" w14:textId="77777777" w:rsidR="00371A15" w:rsidRPr="007B5F7A" w:rsidRDefault="00371A15" w:rsidP="005D6D6E">
      <w:pPr>
        <w:autoSpaceDE w:val="0"/>
        <w:autoSpaceDN w:val="0"/>
        <w:adjustRightInd w:val="0"/>
        <w:rPr>
          <w:rFonts w:ascii="Arial" w:hAnsi="Arial" w:cs="Arial"/>
          <w:color w:val="000000"/>
          <w:sz w:val="20"/>
          <w:szCs w:val="20"/>
        </w:rPr>
      </w:pPr>
    </w:p>
    <w:p w14:paraId="5495C769" w14:textId="65D1C735" w:rsidR="005D6D6E" w:rsidRPr="007B5F7A" w:rsidRDefault="005D6D6E" w:rsidP="006C0471">
      <w:pPr>
        <w:pStyle w:val="ListParagraph"/>
        <w:numPr>
          <w:ilvl w:val="0"/>
          <w:numId w:val="19"/>
        </w:numPr>
        <w:autoSpaceDE w:val="0"/>
        <w:autoSpaceDN w:val="0"/>
        <w:adjustRightInd w:val="0"/>
        <w:rPr>
          <w:rFonts w:cs="Arial"/>
          <w:color w:val="000000"/>
          <w:szCs w:val="20"/>
        </w:rPr>
      </w:pPr>
      <w:r w:rsidRPr="007B5F7A">
        <w:rPr>
          <w:rFonts w:cs="Arial"/>
          <w:color w:val="000000"/>
          <w:szCs w:val="20"/>
        </w:rPr>
        <w:t>your awareness and understanding of the Framework and company’s role in implementing it,</w:t>
      </w:r>
    </w:p>
    <w:p w14:paraId="280F15EC" w14:textId="65B5FC5E" w:rsidR="005D6D6E" w:rsidRPr="00371A15" w:rsidRDefault="005D6D6E" w:rsidP="006C0471">
      <w:pPr>
        <w:pStyle w:val="ListParagraph"/>
        <w:numPr>
          <w:ilvl w:val="0"/>
          <w:numId w:val="19"/>
        </w:numPr>
        <w:autoSpaceDE w:val="0"/>
        <w:autoSpaceDN w:val="0"/>
        <w:adjustRightInd w:val="0"/>
        <w:rPr>
          <w:rFonts w:cs="Arial"/>
          <w:color w:val="000000"/>
          <w:szCs w:val="20"/>
        </w:rPr>
      </w:pPr>
      <w:r w:rsidRPr="00371A15">
        <w:rPr>
          <w:rFonts w:cs="Arial"/>
          <w:color w:val="000000"/>
          <w:szCs w:val="20"/>
        </w:rPr>
        <w:t>your views on any existing consumer protection measures for online wagering (including their</w:t>
      </w:r>
      <w:r w:rsidR="00371A15" w:rsidRPr="00371A15">
        <w:rPr>
          <w:rFonts w:cs="Arial"/>
          <w:color w:val="000000"/>
          <w:szCs w:val="20"/>
        </w:rPr>
        <w:t xml:space="preserve"> </w:t>
      </w:r>
      <w:r w:rsidRPr="00371A15">
        <w:rPr>
          <w:rFonts w:cs="Arial"/>
          <w:color w:val="000000"/>
          <w:szCs w:val="20"/>
        </w:rPr>
        <w:t>effectiveness and whether you see any changes to these with the roll-out and implementation of</w:t>
      </w:r>
      <w:r w:rsidR="00371A15" w:rsidRPr="00371A15">
        <w:rPr>
          <w:rFonts w:cs="Arial"/>
          <w:color w:val="000000"/>
          <w:szCs w:val="20"/>
        </w:rPr>
        <w:t xml:space="preserve"> </w:t>
      </w:r>
      <w:r w:rsidRPr="00371A15">
        <w:rPr>
          <w:rFonts w:cs="Arial"/>
          <w:color w:val="000000"/>
          <w:szCs w:val="20"/>
        </w:rPr>
        <w:t>the Framework), and</w:t>
      </w:r>
    </w:p>
    <w:p w14:paraId="605B086D" w14:textId="1631D88F" w:rsidR="005D6D6E" w:rsidRPr="00371A15" w:rsidRDefault="005D6D6E" w:rsidP="006C0471">
      <w:pPr>
        <w:pStyle w:val="ListParagraph"/>
        <w:numPr>
          <w:ilvl w:val="0"/>
          <w:numId w:val="19"/>
        </w:numPr>
        <w:autoSpaceDE w:val="0"/>
        <w:autoSpaceDN w:val="0"/>
        <w:adjustRightInd w:val="0"/>
        <w:rPr>
          <w:rFonts w:cs="Arial"/>
          <w:color w:val="000000"/>
          <w:szCs w:val="20"/>
        </w:rPr>
      </w:pPr>
      <w:r w:rsidRPr="00371A15">
        <w:rPr>
          <w:rFonts w:cs="Arial"/>
          <w:color w:val="000000"/>
          <w:szCs w:val="20"/>
        </w:rPr>
        <w:t>your views on any opportunities and challenges that may lay ahead with the roll-out of the</w:t>
      </w:r>
      <w:r w:rsidR="00371A15" w:rsidRPr="00371A15">
        <w:rPr>
          <w:rFonts w:cs="Arial"/>
          <w:color w:val="000000"/>
          <w:szCs w:val="20"/>
        </w:rPr>
        <w:t xml:space="preserve"> </w:t>
      </w:r>
      <w:r w:rsidRPr="00371A15">
        <w:rPr>
          <w:rFonts w:cs="Arial"/>
          <w:color w:val="000000"/>
          <w:szCs w:val="20"/>
        </w:rPr>
        <w:t>Framework or the specific measures that have been proposed.</w:t>
      </w:r>
    </w:p>
    <w:p w14:paraId="01BC4ED5" w14:textId="77777777" w:rsidR="00371A15" w:rsidRDefault="00371A15" w:rsidP="00371A15">
      <w:pPr>
        <w:pStyle w:val="ListParagraph"/>
        <w:autoSpaceDE w:val="0"/>
        <w:autoSpaceDN w:val="0"/>
        <w:adjustRightInd w:val="0"/>
        <w:ind w:left="720"/>
        <w:rPr>
          <w:rFonts w:cs="Arial"/>
          <w:color w:val="000000"/>
          <w:szCs w:val="20"/>
        </w:rPr>
      </w:pPr>
    </w:p>
    <w:p w14:paraId="134A8D24" w14:textId="7B58337D"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We expect the interview will last around 30 minutes. Your participation is voluntary, and you may choose</w:t>
      </w:r>
      <w:r w:rsidR="00371A15">
        <w:rPr>
          <w:rFonts w:ascii="Arial" w:hAnsi="Arial" w:cs="Arial"/>
          <w:color w:val="000000"/>
          <w:sz w:val="20"/>
          <w:szCs w:val="20"/>
        </w:rPr>
        <w:t xml:space="preserve"> </w:t>
      </w:r>
      <w:r w:rsidRPr="007B5F7A">
        <w:rPr>
          <w:rFonts w:ascii="Arial" w:hAnsi="Arial" w:cs="Arial"/>
          <w:color w:val="000000"/>
          <w:sz w:val="20"/>
          <w:szCs w:val="20"/>
        </w:rPr>
        <w:t>to stop participating at any time or skip any questions you don’t want to answer. If you decide after the</w:t>
      </w:r>
      <w:r w:rsidR="00371A15">
        <w:rPr>
          <w:rFonts w:ascii="Arial" w:hAnsi="Arial" w:cs="Arial"/>
          <w:color w:val="000000"/>
          <w:sz w:val="20"/>
          <w:szCs w:val="20"/>
        </w:rPr>
        <w:t xml:space="preserve"> </w:t>
      </w:r>
      <w:r w:rsidRPr="007B5F7A">
        <w:rPr>
          <w:rFonts w:ascii="Arial" w:hAnsi="Arial" w:cs="Arial"/>
          <w:color w:val="000000"/>
          <w:sz w:val="20"/>
          <w:szCs w:val="20"/>
        </w:rPr>
        <w:t>interview that you no longer want to take part, you can request we remove any information you have</w:t>
      </w:r>
      <w:r w:rsidR="00371A15">
        <w:rPr>
          <w:rFonts w:ascii="Arial" w:hAnsi="Arial" w:cs="Arial"/>
          <w:color w:val="000000"/>
          <w:sz w:val="20"/>
          <w:szCs w:val="20"/>
        </w:rPr>
        <w:t xml:space="preserve"> </w:t>
      </w:r>
      <w:r w:rsidRPr="007B5F7A">
        <w:rPr>
          <w:rFonts w:ascii="Arial" w:hAnsi="Arial" w:cs="Arial"/>
          <w:color w:val="000000"/>
          <w:sz w:val="20"/>
          <w:szCs w:val="20"/>
        </w:rPr>
        <w:t>provided.</w:t>
      </w:r>
    </w:p>
    <w:p w14:paraId="20B79CC6" w14:textId="77777777" w:rsidR="00371A15" w:rsidRDefault="00371A15" w:rsidP="005D6D6E">
      <w:pPr>
        <w:autoSpaceDE w:val="0"/>
        <w:autoSpaceDN w:val="0"/>
        <w:adjustRightInd w:val="0"/>
        <w:rPr>
          <w:rFonts w:ascii="Arial" w:hAnsi="Arial" w:cs="Arial"/>
          <w:b/>
          <w:bCs/>
          <w:sz w:val="22"/>
          <w:szCs w:val="22"/>
        </w:rPr>
      </w:pPr>
    </w:p>
    <w:p w14:paraId="2E155C7F" w14:textId="6EBB40F3" w:rsidR="005D6D6E" w:rsidRPr="007B5F7A" w:rsidRDefault="005D6D6E" w:rsidP="005D6D6E">
      <w:pPr>
        <w:autoSpaceDE w:val="0"/>
        <w:autoSpaceDN w:val="0"/>
        <w:adjustRightInd w:val="0"/>
        <w:rPr>
          <w:rFonts w:ascii="Arial" w:hAnsi="Arial" w:cs="Arial"/>
          <w:b/>
          <w:bCs/>
          <w:sz w:val="22"/>
          <w:szCs w:val="22"/>
        </w:rPr>
      </w:pPr>
      <w:r w:rsidRPr="007B5F7A">
        <w:rPr>
          <w:rFonts w:ascii="Arial" w:hAnsi="Arial" w:cs="Arial"/>
          <w:b/>
          <w:bCs/>
          <w:sz w:val="22"/>
          <w:szCs w:val="22"/>
        </w:rPr>
        <w:t>Your privacy</w:t>
      </w:r>
    </w:p>
    <w:p w14:paraId="3DA7D3CC" w14:textId="77777777" w:rsidR="00371A15" w:rsidRDefault="00371A15" w:rsidP="005D6D6E">
      <w:pPr>
        <w:autoSpaceDE w:val="0"/>
        <w:autoSpaceDN w:val="0"/>
        <w:adjustRightInd w:val="0"/>
        <w:rPr>
          <w:rFonts w:ascii="Arial" w:hAnsi="Arial" w:cs="Arial"/>
          <w:color w:val="000000"/>
          <w:sz w:val="20"/>
          <w:szCs w:val="20"/>
        </w:rPr>
      </w:pPr>
    </w:p>
    <w:p w14:paraId="09CB4EE8" w14:textId="59FC16A4"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Your privacy is really important to us and we will protect the confidentiality of your responses to the</w:t>
      </w:r>
      <w:r w:rsidR="00371A15">
        <w:rPr>
          <w:rFonts w:ascii="Arial" w:hAnsi="Arial" w:cs="Arial"/>
          <w:color w:val="000000"/>
          <w:sz w:val="20"/>
          <w:szCs w:val="20"/>
        </w:rPr>
        <w:t xml:space="preserve"> </w:t>
      </w:r>
      <w:r w:rsidRPr="007B5F7A">
        <w:rPr>
          <w:rFonts w:ascii="Arial" w:hAnsi="Arial" w:cs="Arial"/>
          <w:color w:val="000000"/>
          <w:sz w:val="20"/>
          <w:szCs w:val="20"/>
        </w:rPr>
        <w:t>fullest possible extent, within the limits of the law. With your permission, we will record and transcribe</w:t>
      </w:r>
      <w:r w:rsidR="00371A15">
        <w:rPr>
          <w:rFonts w:ascii="Arial" w:hAnsi="Arial" w:cs="Arial"/>
          <w:color w:val="000000"/>
          <w:sz w:val="20"/>
          <w:szCs w:val="20"/>
        </w:rPr>
        <w:t xml:space="preserve"> </w:t>
      </w:r>
      <w:r w:rsidRPr="007B5F7A">
        <w:rPr>
          <w:rFonts w:ascii="Arial" w:hAnsi="Arial" w:cs="Arial"/>
          <w:color w:val="000000"/>
          <w:sz w:val="20"/>
          <w:szCs w:val="20"/>
        </w:rPr>
        <w:t>this interview. Any quotes or accounts (given in the context of your participation) will be used</w:t>
      </w:r>
      <w:r w:rsidR="00371A15">
        <w:rPr>
          <w:rFonts w:ascii="Arial" w:hAnsi="Arial" w:cs="Arial"/>
          <w:color w:val="000000"/>
          <w:sz w:val="20"/>
          <w:szCs w:val="20"/>
        </w:rPr>
        <w:t xml:space="preserve"> </w:t>
      </w:r>
      <w:r w:rsidRPr="007B5F7A">
        <w:rPr>
          <w:rFonts w:ascii="Arial" w:hAnsi="Arial" w:cs="Arial"/>
          <w:color w:val="000000"/>
          <w:sz w:val="20"/>
          <w:szCs w:val="20"/>
        </w:rPr>
        <w:t>anonymously, or attributed to you under a pseudonym (i.e., a false name). The transcripts will be stored</w:t>
      </w:r>
      <w:r w:rsidR="00371A15">
        <w:rPr>
          <w:rFonts w:ascii="Arial" w:hAnsi="Arial" w:cs="Arial"/>
          <w:color w:val="000000"/>
          <w:sz w:val="20"/>
          <w:szCs w:val="20"/>
        </w:rPr>
        <w:t xml:space="preserve"> </w:t>
      </w:r>
      <w:r w:rsidRPr="007B5F7A">
        <w:rPr>
          <w:rFonts w:ascii="Arial" w:hAnsi="Arial" w:cs="Arial"/>
          <w:color w:val="000000"/>
          <w:sz w:val="20"/>
          <w:szCs w:val="20"/>
        </w:rPr>
        <w:t xml:space="preserve">securely for a minimum of seven years in accordance with the National </w:t>
      </w:r>
      <w:r w:rsidRPr="007B5F7A">
        <w:rPr>
          <w:rFonts w:ascii="Arial" w:hAnsi="Arial" w:cs="Arial"/>
          <w:color w:val="000000"/>
          <w:sz w:val="20"/>
          <w:szCs w:val="20"/>
        </w:rPr>
        <w:lastRenderedPageBreak/>
        <w:t>Health and Medical Research</w:t>
      </w:r>
      <w:r w:rsidR="00371A15">
        <w:rPr>
          <w:rFonts w:ascii="Arial" w:hAnsi="Arial" w:cs="Arial"/>
          <w:color w:val="000000"/>
          <w:sz w:val="20"/>
          <w:szCs w:val="20"/>
        </w:rPr>
        <w:t xml:space="preserve"> </w:t>
      </w:r>
      <w:r w:rsidRPr="007B5F7A">
        <w:rPr>
          <w:rFonts w:ascii="Arial" w:hAnsi="Arial" w:cs="Arial"/>
          <w:color w:val="000000"/>
          <w:sz w:val="20"/>
          <w:szCs w:val="20"/>
        </w:rPr>
        <w:t>Council (NHMRC) research guidelines. The recordings will be destroyed by secure means once</w:t>
      </w:r>
      <w:r w:rsidR="007A46A6">
        <w:rPr>
          <w:rFonts w:ascii="Arial" w:hAnsi="Arial" w:cs="Arial"/>
          <w:color w:val="000000"/>
          <w:sz w:val="20"/>
          <w:szCs w:val="20"/>
        </w:rPr>
        <w:t xml:space="preserve"> </w:t>
      </w:r>
      <w:r w:rsidRPr="007B5F7A">
        <w:rPr>
          <w:rFonts w:ascii="Arial" w:hAnsi="Arial" w:cs="Arial"/>
          <w:color w:val="000000"/>
          <w:sz w:val="20"/>
          <w:szCs w:val="20"/>
        </w:rPr>
        <w:t>processed. All files will be stored on a highly secure Commonwealth government server.</w:t>
      </w:r>
    </w:p>
    <w:p w14:paraId="2ACBA85B" w14:textId="77777777" w:rsidR="007A46A6" w:rsidRDefault="007A46A6" w:rsidP="005D6D6E">
      <w:pPr>
        <w:autoSpaceDE w:val="0"/>
        <w:autoSpaceDN w:val="0"/>
        <w:adjustRightInd w:val="0"/>
        <w:rPr>
          <w:rFonts w:ascii="Arial" w:hAnsi="Arial" w:cs="Arial"/>
          <w:color w:val="000000"/>
          <w:sz w:val="20"/>
          <w:szCs w:val="20"/>
        </w:rPr>
      </w:pPr>
    </w:p>
    <w:p w14:paraId="2E3107BF" w14:textId="328BC6BF"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The findings from our interviews with regulators and service providers will be used as part of a larger</w:t>
      </w:r>
      <w:r w:rsidR="007A46A6">
        <w:rPr>
          <w:rFonts w:ascii="Arial" w:hAnsi="Arial" w:cs="Arial"/>
          <w:color w:val="000000"/>
          <w:sz w:val="20"/>
          <w:szCs w:val="20"/>
        </w:rPr>
        <w:t xml:space="preserve"> </w:t>
      </w:r>
      <w:r w:rsidRPr="007B5F7A">
        <w:rPr>
          <w:rFonts w:ascii="Arial" w:hAnsi="Arial" w:cs="Arial"/>
          <w:color w:val="000000"/>
          <w:sz w:val="20"/>
          <w:szCs w:val="20"/>
        </w:rPr>
        <w:t>project to evaluate the implementation of the National Framework over the next five years. The results of</w:t>
      </w:r>
      <w:r w:rsidR="007A46A6">
        <w:rPr>
          <w:rFonts w:ascii="Arial" w:hAnsi="Arial" w:cs="Arial"/>
          <w:color w:val="000000"/>
          <w:sz w:val="20"/>
          <w:szCs w:val="20"/>
        </w:rPr>
        <w:t xml:space="preserve"> </w:t>
      </w:r>
      <w:r w:rsidRPr="007B5F7A">
        <w:rPr>
          <w:rFonts w:ascii="Arial" w:hAnsi="Arial" w:cs="Arial"/>
          <w:color w:val="000000"/>
          <w:sz w:val="20"/>
          <w:szCs w:val="20"/>
        </w:rPr>
        <w:t>this project will appear in a project report, and may appear in presentations at conferences and in</w:t>
      </w:r>
      <w:r w:rsidR="007A46A6">
        <w:rPr>
          <w:rFonts w:ascii="Arial" w:hAnsi="Arial" w:cs="Arial"/>
          <w:color w:val="000000"/>
          <w:sz w:val="20"/>
          <w:szCs w:val="20"/>
        </w:rPr>
        <w:t xml:space="preserve"> </w:t>
      </w:r>
      <w:r w:rsidRPr="007B5F7A">
        <w:rPr>
          <w:rFonts w:ascii="Arial" w:hAnsi="Arial" w:cs="Arial"/>
          <w:color w:val="000000"/>
          <w:sz w:val="20"/>
          <w:szCs w:val="20"/>
        </w:rPr>
        <w:t>journal articles, but as broad themes and grouped data only (i.e., no individual responses or specific</w:t>
      </w:r>
      <w:r w:rsidR="007A46A6">
        <w:rPr>
          <w:rFonts w:ascii="Arial" w:hAnsi="Arial" w:cs="Arial"/>
          <w:color w:val="000000"/>
          <w:sz w:val="20"/>
          <w:szCs w:val="20"/>
        </w:rPr>
        <w:t xml:space="preserve"> </w:t>
      </w:r>
      <w:r w:rsidRPr="007B5F7A">
        <w:rPr>
          <w:rFonts w:ascii="Arial" w:hAnsi="Arial" w:cs="Arial"/>
          <w:color w:val="000000"/>
          <w:sz w:val="20"/>
          <w:szCs w:val="20"/>
        </w:rPr>
        <w:t>cases will be identifiable). If you have any specific state/territory or organisational questions or concerns,</w:t>
      </w:r>
      <w:r w:rsidR="007A46A6">
        <w:rPr>
          <w:rFonts w:ascii="Arial" w:hAnsi="Arial" w:cs="Arial"/>
          <w:color w:val="000000"/>
          <w:sz w:val="20"/>
          <w:szCs w:val="20"/>
        </w:rPr>
        <w:t xml:space="preserve"> </w:t>
      </w:r>
      <w:r w:rsidRPr="007B5F7A">
        <w:rPr>
          <w:rFonts w:ascii="Arial" w:hAnsi="Arial" w:cs="Arial"/>
          <w:color w:val="000000"/>
          <w:sz w:val="20"/>
          <w:szCs w:val="20"/>
        </w:rPr>
        <w:t>we can refer you to the Framework Governance Committee for assistance.</w:t>
      </w:r>
    </w:p>
    <w:p w14:paraId="15A87667" w14:textId="77777777" w:rsidR="0074183D" w:rsidRPr="007A46A6" w:rsidRDefault="0074183D" w:rsidP="005D6D6E">
      <w:pPr>
        <w:autoSpaceDE w:val="0"/>
        <w:autoSpaceDN w:val="0"/>
        <w:adjustRightInd w:val="0"/>
        <w:rPr>
          <w:rFonts w:ascii="Arial" w:hAnsi="Arial" w:cs="Arial"/>
          <w:b/>
          <w:bCs/>
          <w:sz w:val="20"/>
          <w:szCs w:val="20"/>
        </w:rPr>
      </w:pPr>
    </w:p>
    <w:p w14:paraId="2A02FB3C" w14:textId="04D44CA7" w:rsidR="005D6D6E" w:rsidRDefault="005D6D6E" w:rsidP="005D6D6E">
      <w:pPr>
        <w:autoSpaceDE w:val="0"/>
        <w:autoSpaceDN w:val="0"/>
        <w:adjustRightInd w:val="0"/>
        <w:rPr>
          <w:rFonts w:ascii="Arial" w:hAnsi="Arial" w:cs="Arial"/>
          <w:b/>
          <w:bCs/>
          <w:sz w:val="22"/>
          <w:szCs w:val="22"/>
        </w:rPr>
      </w:pPr>
      <w:r w:rsidRPr="0074183D">
        <w:rPr>
          <w:rFonts w:ascii="Arial" w:hAnsi="Arial" w:cs="Arial"/>
          <w:b/>
          <w:bCs/>
          <w:sz w:val="22"/>
          <w:szCs w:val="22"/>
        </w:rPr>
        <w:t>Funding and ethics</w:t>
      </w:r>
    </w:p>
    <w:p w14:paraId="5F8D43DC" w14:textId="77777777" w:rsidR="007A46A6" w:rsidRPr="0074183D" w:rsidRDefault="007A46A6" w:rsidP="005D6D6E">
      <w:pPr>
        <w:autoSpaceDE w:val="0"/>
        <w:autoSpaceDN w:val="0"/>
        <w:adjustRightInd w:val="0"/>
        <w:rPr>
          <w:rFonts w:ascii="Arial" w:hAnsi="Arial" w:cs="Arial"/>
          <w:b/>
          <w:bCs/>
          <w:sz w:val="22"/>
          <w:szCs w:val="22"/>
        </w:rPr>
      </w:pPr>
    </w:p>
    <w:p w14:paraId="71F57F5F" w14:textId="3B76DFB2" w:rsidR="005D6D6E" w:rsidRPr="007B5F7A" w:rsidRDefault="005D6D6E" w:rsidP="005D6D6E">
      <w:pPr>
        <w:autoSpaceDE w:val="0"/>
        <w:autoSpaceDN w:val="0"/>
        <w:adjustRightInd w:val="0"/>
        <w:rPr>
          <w:rFonts w:ascii="Arial" w:hAnsi="Arial" w:cs="Arial"/>
          <w:color w:val="0000FF"/>
          <w:sz w:val="20"/>
          <w:szCs w:val="20"/>
        </w:rPr>
      </w:pPr>
      <w:r w:rsidRPr="007B5F7A">
        <w:rPr>
          <w:rFonts w:ascii="Arial" w:hAnsi="Arial" w:cs="Arial"/>
          <w:color w:val="000000"/>
          <w:sz w:val="20"/>
          <w:szCs w:val="20"/>
        </w:rPr>
        <w:t>The Australian Gambling Research Centre at the Australian Institute of Family Studies is conducting the</w:t>
      </w:r>
      <w:r w:rsidR="0074183D">
        <w:rPr>
          <w:rFonts w:ascii="Arial" w:hAnsi="Arial" w:cs="Arial"/>
          <w:color w:val="000000"/>
          <w:sz w:val="20"/>
          <w:szCs w:val="20"/>
        </w:rPr>
        <w:t xml:space="preserve"> </w:t>
      </w:r>
      <w:r w:rsidRPr="007B5F7A">
        <w:rPr>
          <w:rFonts w:ascii="Arial" w:hAnsi="Arial" w:cs="Arial"/>
          <w:color w:val="000000"/>
          <w:sz w:val="20"/>
          <w:szCs w:val="20"/>
        </w:rPr>
        <w:t>study on behalf of the Gambling Policy Section, Commonwealth Department of Social Services. The</w:t>
      </w:r>
      <w:r w:rsidR="0074183D">
        <w:rPr>
          <w:rFonts w:ascii="Arial" w:hAnsi="Arial" w:cs="Arial"/>
          <w:color w:val="000000"/>
          <w:sz w:val="20"/>
          <w:szCs w:val="20"/>
        </w:rPr>
        <w:t xml:space="preserve"> </w:t>
      </w:r>
      <w:r w:rsidRPr="007B5F7A">
        <w:rPr>
          <w:rFonts w:ascii="Arial" w:hAnsi="Arial" w:cs="Arial"/>
          <w:color w:val="000000"/>
          <w:sz w:val="20"/>
          <w:szCs w:val="20"/>
        </w:rPr>
        <w:t>study has received ethics approval from the Australian Institute of Family Studies Human Research</w:t>
      </w:r>
      <w:r w:rsidR="0074183D">
        <w:rPr>
          <w:rFonts w:ascii="Arial" w:hAnsi="Arial" w:cs="Arial"/>
          <w:color w:val="000000"/>
          <w:sz w:val="20"/>
          <w:szCs w:val="20"/>
        </w:rPr>
        <w:t xml:space="preserve"> </w:t>
      </w:r>
      <w:r w:rsidRPr="007B5F7A">
        <w:rPr>
          <w:rFonts w:ascii="Arial" w:hAnsi="Arial" w:cs="Arial"/>
          <w:color w:val="000000"/>
          <w:sz w:val="20"/>
          <w:szCs w:val="20"/>
        </w:rPr>
        <w:t>Ethics Committee (2018/12). If you would like to make a complaint about this research, please contact</w:t>
      </w:r>
      <w:r w:rsidR="0074183D">
        <w:rPr>
          <w:rFonts w:ascii="Arial" w:hAnsi="Arial" w:cs="Arial"/>
          <w:color w:val="000000"/>
          <w:sz w:val="20"/>
          <w:szCs w:val="20"/>
        </w:rPr>
        <w:t xml:space="preserve"> </w:t>
      </w:r>
      <w:r w:rsidRPr="007B5F7A">
        <w:rPr>
          <w:rFonts w:ascii="Arial" w:hAnsi="Arial" w:cs="Arial"/>
          <w:color w:val="000000"/>
          <w:sz w:val="20"/>
          <w:szCs w:val="20"/>
        </w:rPr>
        <w:t>the Australian Institute of Family Studies' ethics secretariat via telephone (03) 9214 7888 or email</w:t>
      </w:r>
      <w:r w:rsidR="0074183D">
        <w:rPr>
          <w:rFonts w:ascii="Arial" w:hAnsi="Arial" w:cs="Arial"/>
          <w:color w:val="000000"/>
          <w:sz w:val="20"/>
          <w:szCs w:val="20"/>
        </w:rPr>
        <w:t xml:space="preserve"> </w:t>
      </w:r>
      <w:r w:rsidRPr="007B5F7A">
        <w:rPr>
          <w:rFonts w:ascii="Arial" w:hAnsi="Arial" w:cs="Arial"/>
          <w:color w:val="0000FF"/>
          <w:sz w:val="20"/>
          <w:szCs w:val="20"/>
        </w:rPr>
        <w:t>ethics-secretariat@aifs.gov.au</w:t>
      </w:r>
    </w:p>
    <w:p w14:paraId="3BE942A7" w14:textId="77777777" w:rsidR="0074183D" w:rsidRDefault="0074183D" w:rsidP="005D6D6E">
      <w:pPr>
        <w:autoSpaceDE w:val="0"/>
        <w:autoSpaceDN w:val="0"/>
        <w:adjustRightInd w:val="0"/>
        <w:rPr>
          <w:rFonts w:ascii="Arial" w:hAnsi="Arial" w:cs="Arial"/>
          <w:b/>
          <w:bCs/>
          <w:sz w:val="22"/>
          <w:szCs w:val="22"/>
        </w:rPr>
      </w:pPr>
    </w:p>
    <w:p w14:paraId="72245D63" w14:textId="2511EE22" w:rsidR="005D6D6E" w:rsidRPr="00371A15" w:rsidRDefault="005D6D6E" w:rsidP="005D6D6E">
      <w:pPr>
        <w:autoSpaceDE w:val="0"/>
        <w:autoSpaceDN w:val="0"/>
        <w:adjustRightInd w:val="0"/>
        <w:rPr>
          <w:rFonts w:ascii="Arial" w:hAnsi="Arial" w:cs="Arial"/>
          <w:b/>
          <w:bCs/>
          <w:sz w:val="22"/>
          <w:szCs w:val="22"/>
        </w:rPr>
      </w:pPr>
      <w:r w:rsidRPr="00371A15">
        <w:rPr>
          <w:rFonts w:ascii="Arial" w:hAnsi="Arial" w:cs="Arial"/>
          <w:b/>
          <w:bCs/>
          <w:sz w:val="22"/>
          <w:szCs w:val="22"/>
        </w:rPr>
        <w:t>Contact for further information and how you can take part</w:t>
      </w:r>
    </w:p>
    <w:p w14:paraId="797BED68" w14:textId="77777777" w:rsidR="007A46A6" w:rsidRDefault="007A46A6" w:rsidP="005D6D6E">
      <w:pPr>
        <w:autoSpaceDE w:val="0"/>
        <w:autoSpaceDN w:val="0"/>
        <w:adjustRightInd w:val="0"/>
        <w:rPr>
          <w:rFonts w:ascii="Arial" w:hAnsi="Arial" w:cs="Arial"/>
          <w:color w:val="000000"/>
          <w:sz w:val="20"/>
          <w:szCs w:val="20"/>
        </w:rPr>
      </w:pPr>
    </w:p>
    <w:p w14:paraId="710FFC05" w14:textId="6F826C26" w:rsidR="005D6D6E" w:rsidRPr="007B5F7A" w:rsidRDefault="005D6D6E" w:rsidP="005D6D6E">
      <w:pPr>
        <w:autoSpaceDE w:val="0"/>
        <w:autoSpaceDN w:val="0"/>
        <w:adjustRightInd w:val="0"/>
        <w:rPr>
          <w:rFonts w:ascii="Arial" w:hAnsi="Arial" w:cs="Arial"/>
          <w:color w:val="000000"/>
          <w:sz w:val="20"/>
          <w:szCs w:val="20"/>
        </w:rPr>
      </w:pPr>
      <w:r w:rsidRPr="007B5F7A">
        <w:rPr>
          <w:rFonts w:ascii="Arial" w:hAnsi="Arial" w:cs="Arial"/>
          <w:color w:val="000000"/>
          <w:sz w:val="20"/>
          <w:szCs w:val="20"/>
        </w:rPr>
        <w:t>If you would like further information about the project or are interested in taking part in an interview,</w:t>
      </w:r>
      <w:r w:rsidR="0074183D">
        <w:rPr>
          <w:rFonts w:ascii="Arial" w:hAnsi="Arial" w:cs="Arial"/>
          <w:color w:val="000000"/>
          <w:sz w:val="20"/>
          <w:szCs w:val="20"/>
        </w:rPr>
        <w:t xml:space="preserve"> </w:t>
      </w:r>
      <w:r w:rsidRPr="007B5F7A">
        <w:rPr>
          <w:rFonts w:ascii="Arial" w:hAnsi="Arial" w:cs="Arial"/>
          <w:color w:val="000000"/>
          <w:sz w:val="20"/>
          <w:szCs w:val="20"/>
        </w:rPr>
        <w:t>please contact the Principal Researcher Dr Rebecca Jenkinson on (03) 9214 7864 or</w:t>
      </w:r>
    </w:p>
    <w:p w14:paraId="0D443BD6" w14:textId="77777777" w:rsidR="005D6D6E" w:rsidRPr="007B5F7A" w:rsidRDefault="005D6D6E" w:rsidP="005D6D6E">
      <w:pPr>
        <w:autoSpaceDE w:val="0"/>
        <w:autoSpaceDN w:val="0"/>
        <w:adjustRightInd w:val="0"/>
        <w:rPr>
          <w:rFonts w:ascii="Arial" w:hAnsi="Arial" w:cs="Arial"/>
          <w:color w:val="0000FF"/>
          <w:sz w:val="20"/>
          <w:szCs w:val="20"/>
        </w:rPr>
      </w:pPr>
      <w:r w:rsidRPr="007B5F7A">
        <w:rPr>
          <w:rFonts w:ascii="Arial" w:hAnsi="Arial" w:cs="Arial"/>
          <w:color w:val="0000FF"/>
          <w:sz w:val="20"/>
          <w:szCs w:val="20"/>
        </w:rPr>
        <w:t>Rebecca.Jenkinson@aifs.gov.au</w:t>
      </w:r>
    </w:p>
    <w:p w14:paraId="4B460D9E" w14:textId="77777777" w:rsidR="0074183D" w:rsidRDefault="0074183D" w:rsidP="005D6D6E">
      <w:pPr>
        <w:autoSpaceDE w:val="0"/>
        <w:autoSpaceDN w:val="0"/>
        <w:adjustRightInd w:val="0"/>
        <w:rPr>
          <w:rFonts w:ascii="Arial" w:hAnsi="Arial" w:cs="Arial"/>
          <w:b/>
          <w:bCs/>
          <w:sz w:val="22"/>
          <w:szCs w:val="22"/>
        </w:rPr>
      </w:pPr>
    </w:p>
    <w:p w14:paraId="0DB84980" w14:textId="7B74CF6A" w:rsidR="005D6D6E" w:rsidRPr="00371A15" w:rsidRDefault="005D6D6E" w:rsidP="005D6D6E">
      <w:pPr>
        <w:autoSpaceDE w:val="0"/>
        <w:autoSpaceDN w:val="0"/>
        <w:adjustRightInd w:val="0"/>
        <w:rPr>
          <w:rFonts w:ascii="Arial" w:hAnsi="Arial" w:cs="Arial"/>
          <w:b/>
          <w:bCs/>
          <w:sz w:val="22"/>
          <w:szCs w:val="22"/>
        </w:rPr>
      </w:pPr>
      <w:r w:rsidRPr="00371A15">
        <w:rPr>
          <w:rFonts w:ascii="Arial" w:hAnsi="Arial" w:cs="Arial"/>
          <w:b/>
          <w:bCs/>
          <w:sz w:val="22"/>
          <w:szCs w:val="22"/>
        </w:rPr>
        <w:t>About the Australian Gambling Research Centre</w:t>
      </w:r>
    </w:p>
    <w:p w14:paraId="3F19A4D5" w14:textId="77777777" w:rsidR="007A46A6" w:rsidRDefault="007A46A6" w:rsidP="005D6D6E">
      <w:pPr>
        <w:autoSpaceDE w:val="0"/>
        <w:autoSpaceDN w:val="0"/>
        <w:adjustRightInd w:val="0"/>
        <w:rPr>
          <w:rFonts w:ascii="Arial" w:hAnsi="Arial" w:cs="Arial"/>
          <w:color w:val="000000"/>
          <w:sz w:val="20"/>
          <w:szCs w:val="20"/>
        </w:rPr>
      </w:pPr>
    </w:p>
    <w:p w14:paraId="6AED87AC" w14:textId="1DD609A8" w:rsidR="005D6D6E" w:rsidRPr="007B5F7A" w:rsidRDefault="005D6D6E" w:rsidP="007A46A6">
      <w:pPr>
        <w:autoSpaceDE w:val="0"/>
        <w:autoSpaceDN w:val="0"/>
        <w:adjustRightInd w:val="0"/>
        <w:rPr>
          <w:rFonts w:ascii="Arial" w:hAnsi="Arial" w:cs="Arial"/>
          <w:sz w:val="20"/>
          <w:szCs w:val="20"/>
        </w:rPr>
      </w:pPr>
      <w:r w:rsidRPr="007B5F7A">
        <w:rPr>
          <w:rFonts w:ascii="Arial" w:hAnsi="Arial" w:cs="Arial"/>
          <w:color w:val="000000"/>
          <w:sz w:val="20"/>
          <w:szCs w:val="20"/>
        </w:rPr>
        <w:t>The Australian Gambling Research Centre (AGRC) was established under the National Gambling Reform Act 2012</w:t>
      </w:r>
      <w:r w:rsidR="007A46A6">
        <w:rPr>
          <w:rFonts w:ascii="Arial" w:hAnsi="Arial" w:cs="Arial"/>
          <w:color w:val="000000"/>
          <w:sz w:val="20"/>
          <w:szCs w:val="20"/>
        </w:rPr>
        <w:t xml:space="preserve"> </w:t>
      </w:r>
      <w:r w:rsidRPr="007B5F7A">
        <w:rPr>
          <w:rFonts w:ascii="Arial" w:hAnsi="Arial" w:cs="Arial"/>
          <w:color w:val="000000"/>
          <w:sz w:val="20"/>
          <w:szCs w:val="20"/>
        </w:rPr>
        <w:t>at the Australian Institute of Family Studies (AIFS). AIFS is an independent statutory authority established by the</w:t>
      </w:r>
      <w:r w:rsidR="007A46A6">
        <w:rPr>
          <w:rFonts w:ascii="Arial" w:hAnsi="Arial" w:cs="Arial"/>
          <w:color w:val="000000"/>
          <w:sz w:val="20"/>
          <w:szCs w:val="20"/>
        </w:rPr>
        <w:t xml:space="preserve"> </w:t>
      </w:r>
      <w:r w:rsidRPr="007B5F7A">
        <w:rPr>
          <w:rFonts w:ascii="Arial" w:hAnsi="Arial" w:cs="Arial"/>
          <w:color w:val="000000"/>
          <w:sz w:val="20"/>
          <w:szCs w:val="20"/>
        </w:rPr>
        <w:t>Commonwealth Government in 1980 to undertake research into families and their wellbeing in Australia. The AGRC</w:t>
      </w:r>
      <w:r w:rsidR="007A46A6">
        <w:rPr>
          <w:rFonts w:ascii="Arial" w:hAnsi="Arial" w:cs="Arial"/>
          <w:color w:val="000000"/>
          <w:sz w:val="20"/>
          <w:szCs w:val="20"/>
        </w:rPr>
        <w:t xml:space="preserve"> </w:t>
      </w:r>
      <w:r w:rsidRPr="007B5F7A">
        <w:rPr>
          <w:rFonts w:ascii="Arial" w:hAnsi="Arial" w:cs="Arial"/>
          <w:color w:val="000000"/>
          <w:sz w:val="20"/>
          <w:szCs w:val="20"/>
        </w:rPr>
        <w:t>aims to provide high-quality, evidence-based publications and resources to increase the capacity and capability of</w:t>
      </w:r>
      <w:r w:rsidR="007A46A6">
        <w:rPr>
          <w:rFonts w:ascii="Arial" w:hAnsi="Arial" w:cs="Arial"/>
          <w:color w:val="000000"/>
          <w:sz w:val="20"/>
          <w:szCs w:val="20"/>
        </w:rPr>
        <w:t xml:space="preserve"> </w:t>
      </w:r>
      <w:r w:rsidRPr="007B5F7A">
        <w:rPr>
          <w:rFonts w:ascii="Arial" w:hAnsi="Arial" w:cs="Arial"/>
          <w:color w:val="000000"/>
          <w:sz w:val="20"/>
          <w:szCs w:val="20"/>
        </w:rPr>
        <w:t>policy-makers, researchers and professionals working in the area of gambling. More detailed information can be</w:t>
      </w:r>
      <w:r w:rsidR="007A46A6">
        <w:rPr>
          <w:rFonts w:ascii="Arial" w:hAnsi="Arial" w:cs="Arial"/>
          <w:color w:val="000000"/>
          <w:sz w:val="20"/>
          <w:szCs w:val="20"/>
        </w:rPr>
        <w:t xml:space="preserve"> </w:t>
      </w:r>
      <w:r w:rsidRPr="007B5F7A">
        <w:rPr>
          <w:rFonts w:ascii="Arial" w:hAnsi="Arial" w:cs="Arial"/>
          <w:color w:val="000000"/>
          <w:sz w:val="20"/>
          <w:szCs w:val="20"/>
        </w:rPr>
        <w:t xml:space="preserve">obtained from our websites: </w:t>
      </w:r>
      <w:r w:rsidRPr="007B5F7A">
        <w:rPr>
          <w:rFonts w:ascii="Arial" w:hAnsi="Arial" w:cs="Arial"/>
          <w:color w:val="0000FF"/>
          <w:sz w:val="20"/>
          <w:szCs w:val="20"/>
        </w:rPr>
        <w:t xml:space="preserve">www.aifs.gov.au/agrc </w:t>
      </w:r>
      <w:r w:rsidRPr="007B5F7A">
        <w:rPr>
          <w:rFonts w:ascii="Arial" w:hAnsi="Arial" w:cs="Arial"/>
          <w:color w:val="000000"/>
          <w:sz w:val="20"/>
          <w:szCs w:val="20"/>
        </w:rPr>
        <w:t xml:space="preserve">and </w:t>
      </w:r>
      <w:r w:rsidRPr="007B5F7A">
        <w:rPr>
          <w:rFonts w:ascii="Arial" w:hAnsi="Arial" w:cs="Arial"/>
          <w:color w:val="0000FF"/>
          <w:sz w:val="20"/>
          <w:szCs w:val="20"/>
        </w:rPr>
        <w:t>www.aifs.gov.au</w:t>
      </w:r>
      <w:r w:rsidRPr="007B5F7A">
        <w:rPr>
          <w:rFonts w:ascii="Arial" w:hAnsi="Arial" w:cs="Arial"/>
          <w:color w:val="000000"/>
          <w:sz w:val="20"/>
          <w:szCs w:val="20"/>
        </w:rPr>
        <w:t>.</w:t>
      </w:r>
    </w:p>
    <w:p w14:paraId="2E846C4E" w14:textId="5060A278" w:rsidR="00076C32" w:rsidRPr="00664E64" w:rsidRDefault="00076C32" w:rsidP="00076C32"/>
    <w:p w14:paraId="6B7F1E49" w14:textId="7085C0EB" w:rsidR="00076C32" w:rsidRPr="00915C40" w:rsidRDefault="00076C32" w:rsidP="00076C32">
      <w:pPr>
        <w:pStyle w:val="AppendixHeading1"/>
        <w:rPr>
          <w:color w:val="auto"/>
        </w:rPr>
      </w:pPr>
      <w:bookmarkStart w:id="113" w:name="_Toc12022570"/>
      <w:r w:rsidRPr="00915C40">
        <w:rPr>
          <w:color w:val="auto"/>
        </w:rPr>
        <w:lastRenderedPageBreak/>
        <w:t>Appendix 4: Online consumer survey</w:t>
      </w:r>
      <w:bookmarkEnd w:id="113"/>
    </w:p>
    <w:p w14:paraId="7A5E221D" w14:textId="1B3C3BB8" w:rsidR="00732C96" w:rsidRPr="00664E64" w:rsidRDefault="00732C96" w:rsidP="00732C96">
      <w:bookmarkStart w:id="114" w:name="_GoBack"/>
      <w:r w:rsidRPr="00664E64">
        <w:rPr>
          <w:noProof/>
          <w:lang w:eastAsia="en-AU"/>
        </w:rPr>
        <w:drawing>
          <wp:inline distT="0" distB="0" distL="0" distR="0" wp14:anchorId="67E0B8CD" wp14:editId="1FC74DFF">
            <wp:extent cx="5723255" cy="8085455"/>
            <wp:effectExtent l="0" t="0" r="0" b="0"/>
            <wp:docPr id="5" name="Picture 1" descr="Copy of the cover page for the online consumer survey which provides  participants with information about the survery, including privacy, funding, ethics and support services." title="Online consumer surv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Volumes/AIFS_Shared-1/Projects/AGRC - NCPF Baseline Study/Research Communication/Publication/4 Draft Project Report to DSS/CurrentWorkingVersions/Appendicies/ConsumerSurvey.pdf"/>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3255" cy="8085455"/>
                    </a:xfrm>
                    <a:prstGeom prst="rect">
                      <a:avLst/>
                    </a:prstGeom>
                    <a:noFill/>
                    <a:ln>
                      <a:noFill/>
                    </a:ln>
                  </pic:spPr>
                </pic:pic>
              </a:graphicData>
            </a:graphic>
          </wp:inline>
        </w:drawing>
      </w:r>
      <w:bookmarkEnd w:id="114"/>
    </w:p>
    <w:p w14:paraId="70CBB252" w14:textId="5184E1A2" w:rsidR="00F76EB0" w:rsidRPr="00664E64" w:rsidRDefault="00F76EB0" w:rsidP="00732C96"/>
    <w:p w14:paraId="4DD791A1" w14:textId="1CB1F678" w:rsidR="00F76EB0" w:rsidRPr="00664E64" w:rsidRDefault="00F76EB0" w:rsidP="00F76EB0"/>
    <w:p w14:paraId="61FAB6C3" w14:textId="77777777" w:rsidR="00F76EB0" w:rsidRPr="00664E64" w:rsidRDefault="00F76EB0" w:rsidP="00F76EB0">
      <w:r w:rsidRPr="00664E64">
        <w:rPr>
          <w:noProof/>
          <w:lang w:eastAsia="en-AU"/>
        </w:rPr>
        <w:lastRenderedPageBreak/>
        <w:drawing>
          <wp:inline distT="0" distB="0" distL="0" distR="0" wp14:anchorId="4CBD269C" wp14:editId="58DA8AD8">
            <wp:extent cx="5727700" cy="8091805"/>
            <wp:effectExtent l="0" t="0" r="0" b="0"/>
            <wp:docPr id="1" name="Picture 1" descr="Second page of Online wagering and use of consumer protection features: Survey information 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8091805"/>
                    </a:xfrm>
                    <a:prstGeom prst="rect">
                      <a:avLst/>
                    </a:prstGeom>
                  </pic:spPr>
                </pic:pic>
              </a:graphicData>
            </a:graphic>
          </wp:inline>
        </w:drawing>
      </w:r>
    </w:p>
    <w:p w14:paraId="6A42388B" w14:textId="77777777" w:rsidR="00F76EB0" w:rsidRPr="00664E64" w:rsidRDefault="00F76EB0" w:rsidP="00F76EB0">
      <w:r w:rsidRPr="00664E64">
        <w:rPr>
          <w:noProof/>
          <w:lang w:eastAsia="en-AU"/>
        </w:rPr>
        <w:lastRenderedPageBreak/>
        <w:drawing>
          <wp:inline distT="0" distB="0" distL="0" distR="0" wp14:anchorId="164888D8" wp14:editId="0C38DC0A">
            <wp:extent cx="5727700" cy="8091805"/>
            <wp:effectExtent l="0" t="0" r="0" b="0"/>
            <wp:docPr id="10" name="Picture 10" descr="Section A of online survey. Screening questions include if respondents have placed a bet in the past 12 months, if over 18 years of age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7700" cy="8091805"/>
                    </a:xfrm>
                    <a:prstGeom prst="rect">
                      <a:avLst/>
                    </a:prstGeom>
                  </pic:spPr>
                </pic:pic>
              </a:graphicData>
            </a:graphic>
          </wp:inline>
        </w:drawing>
      </w:r>
    </w:p>
    <w:p w14:paraId="0980274F" w14:textId="77777777" w:rsidR="00F76EB0" w:rsidRPr="00664E64" w:rsidRDefault="00F76EB0" w:rsidP="00F76EB0">
      <w:r w:rsidRPr="00664E64">
        <w:rPr>
          <w:noProof/>
          <w:lang w:eastAsia="en-AU"/>
        </w:rPr>
        <w:lastRenderedPageBreak/>
        <w:drawing>
          <wp:inline distT="0" distB="0" distL="0" distR="0" wp14:anchorId="2FFAD8DF" wp14:editId="01FC2E1C">
            <wp:extent cx="5727700" cy="8091805"/>
            <wp:effectExtent l="0" t="0" r="0" b="0"/>
            <wp:docPr id="13" name="Picture 13" descr="Screening questions A4-A5 are about geographic residence for example do they live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27700" cy="8091805"/>
                    </a:xfrm>
                    <a:prstGeom prst="rect">
                      <a:avLst/>
                    </a:prstGeom>
                  </pic:spPr>
                </pic:pic>
              </a:graphicData>
            </a:graphic>
          </wp:inline>
        </w:drawing>
      </w:r>
    </w:p>
    <w:p w14:paraId="1470AA03" w14:textId="77777777" w:rsidR="00F76EB0" w:rsidRPr="00664E64" w:rsidRDefault="00F76EB0" w:rsidP="00F76EB0">
      <w:r w:rsidRPr="00664E64">
        <w:rPr>
          <w:noProof/>
          <w:lang w:eastAsia="en-AU"/>
        </w:rPr>
        <w:lastRenderedPageBreak/>
        <w:drawing>
          <wp:inline distT="0" distB="0" distL="0" distR="0" wp14:anchorId="5A5278FA" wp14:editId="5C6A9578">
            <wp:extent cx="5727700" cy="8091805"/>
            <wp:effectExtent l="0" t="0" r="0" b="0"/>
            <wp:docPr id="15" name="Picture 15" descr="Section B Wagering participation questions B1 and B2 ask respondents about the types of betting activity they bet on ie sports, horse racing, current affairs etc and how often bets were placed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8091805"/>
                    </a:xfrm>
                    <a:prstGeom prst="rect">
                      <a:avLst/>
                    </a:prstGeom>
                  </pic:spPr>
                </pic:pic>
              </a:graphicData>
            </a:graphic>
          </wp:inline>
        </w:drawing>
      </w:r>
    </w:p>
    <w:p w14:paraId="4137044A" w14:textId="77777777" w:rsidR="00F76EB0" w:rsidRPr="00664E64" w:rsidRDefault="00F76EB0" w:rsidP="00F76EB0">
      <w:r w:rsidRPr="00664E64">
        <w:rPr>
          <w:noProof/>
          <w:lang w:eastAsia="en-AU"/>
        </w:rPr>
        <w:lastRenderedPageBreak/>
        <w:drawing>
          <wp:inline distT="0" distB="0" distL="0" distR="0" wp14:anchorId="495AB06E" wp14:editId="12001C48">
            <wp:extent cx="5727700" cy="8091805"/>
            <wp:effectExtent l="0" t="0" r="0" b="0"/>
            <wp:docPr id="17" name="Picture 17" descr="Online survey section B Wagering participation question B3 asks respondents about their location when they  placed bets by activities in the past 12 months eg at home, at a friends/ at school/university, at a licenced 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27700" cy="8091805"/>
                    </a:xfrm>
                    <a:prstGeom prst="rect">
                      <a:avLst/>
                    </a:prstGeom>
                  </pic:spPr>
                </pic:pic>
              </a:graphicData>
            </a:graphic>
          </wp:inline>
        </w:drawing>
      </w:r>
    </w:p>
    <w:p w14:paraId="76AC647E" w14:textId="77777777" w:rsidR="00F76EB0" w:rsidRPr="00664E64" w:rsidRDefault="00F76EB0" w:rsidP="00F76EB0">
      <w:r w:rsidRPr="00664E64">
        <w:rPr>
          <w:noProof/>
          <w:lang w:eastAsia="en-AU"/>
        </w:rPr>
        <w:lastRenderedPageBreak/>
        <w:drawing>
          <wp:inline distT="0" distB="0" distL="0" distR="0" wp14:anchorId="2A53A9A1" wp14:editId="54557253">
            <wp:extent cx="5727700" cy="8091805"/>
            <wp:effectExtent l="0" t="0" r="0" b="0"/>
            <wp:docPr id="24" name="Picture 24" descr="Online survey Section B Wagering participation question B4 asks respondents which methods they use to place bets eg online using mobile/smartphone, online using computer, online using internet enabled TV, in person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27700" cy="8091805"/>
                    </a:xfrm>
                    <a:prstGeom prst="rect">
                      <a:avLst/>
                    </a:prstGeom>
                  </pic:spPr>
                </pic:pic>
              </a:graphicData>
            </a:graphic>
          </wp:inline>
        </w:drawing>
      </w:r>
    </w:p>
    <w:p w14:paraId="4E983F44" w14:textId="77777777" w:rsidR="00F76EB0" w:rsidRPr="00664E64" w:rsidRDefault="00F76EB0" w:rsidP="00F76EB0">
      <w:r w:rsidRPr="00664E64">
        <w:rPr>
          <w:noProof/>
          <w:lang w:eastAsia="en-AU"/>
        </w:rPr>
        <w:lastRenderedPageBreak/>
        <w:drawing>
          <wp:inline distT="0" distB="0" distL="0" distR="0" wp14:anchorId="0B35A9E6" wp14:editId="5E94E300">
            <wp:extent cx="5727700" cy="8091805"/>
            <wp:effectExtent l="0" t="0" r="0" b="0"/>
            <wp:docPr id="25" name="Picture 25" descr="online survey Section B Wagering participation question B5 asks respondents about how much money they placed on bets on a  typical day of betting by activities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27700" cy="8091805"/>
                    </a:xfrm>
                    <a:prstGeom prst="rect">
                      <a:avLst/>
                    </a:prstGeom>
                  </pic:spPr>
                </pic:pic>
              </a:graphicData>
            </a:graphic>
          </wp:inline>
        </w:drawing>
      </w:r>
    </w:p>
    <w:p w14:paraId="41BFF988" w14:textId="77777777" w:rsidR="00F76EB0" w:rsidRPr="00664E64" w:rsidRDefault="00F76EB0" w:rsidP="00F76EB0">
      <w:r w:rsidRPr="00664E64">
        <w:rPr>
          <w:noProof/>
          <w:lang w:eastAsia="en-AU"/>
        </w:rPr>
        <w:lastRenderedPageBreak/>
        <w:drawing>
          <wp:inline distT="0" distB="0" distL="0" distR="0" wp14:anchorId="7CFADA44" wp14:editId="68E85C08">
            <wp:extent cx="5727700" cy="8091805"/>
            <wp:effectExtent l="0" t="0" r="0" b="0"/>
            <wp:docPr id="28" name="Picture 28" descr="Online survey Section C Online wagering  questions C1-C4.  These questions ask respondents what percentage of all bets in the past 12 months were placed using different methods ie online, telephone call, self-service terminal or in person and the number of online betting accounts respondents h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8091805"/>
                    </a:xfrm>
                    <a:prstGeom prst="rect">
                      <a:avLst/>
                    </a:prstGeom>
                  </pic:spPr>
                </pic:pic>
              </a:graphicData>
            </a:graphic>
          </wp:inline>
        </w:drawing>
      </w:r>
    </w:p>
    <w:p w14:paraId="7CD4AA79" w14:textId="77777777" w:rsidR="00F76EB0" w:rsidRPr="00664E64" w:rsidRDefault="00F76EB0" w:rsidP="00F76EB0">
      <w:r w:rsidRPr="00664E64">
        <w:rPr>
          <w:noProof/>
          <w:lang w:eastAsia="en-AU"/>
        </w:rPr>
        <w:lastRenderedPageBreak/>
        <w:drawing>
          <wp:inline distT="0" distB="0" distL="0" distR="0" wp14:anchorId="5BFF82E9" wp14:editId="07306A2D">
            <wp:extent cx="5727700" cy="8091805"/>
            <wp:effectExtent l="0" t="0" r="0" b="0"/>
            <wp:docPr id="29" name="Picture 29" descr="Section C Online wagering  questions C5-C9 are around closure of betting accounts.  Questions ask respondents if they have close their betting account/s, how long ago did they close their betting accounts.  Question C9 aks respondents how old they were when they first signed up for an online betting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8091805"/>
                    </a:xfrm>
                    <a:prstGeom prst="rect">
                      <a:avLst/>
                    </a:prstGeom>
                  </pic:spPr>
                </pic:pic>
              </a:graphicData>
            </a:graphic>
          </wp:inline>
        </w:drawing>
      </w:r>
    </w:p>
    <w:p w14:paraId="059CDC85" w14:textId="77777777" w:rsidR="00F76EB0" w:rsidRPr="00664E64" w:rsidRDefault="00F76EB0" w:rsidP="00F76EB0">
      <w:r w:rsidRPr="00664E64">
        <w:rPr>
          <w:noProof/>
          <w:lang w:eastAsia="en-AU"/>
        </w:rPr>
        <w:lastRenderedPageBreak/>
        <w:drawing>
          <wp:inline distT="0" distB="0" distL="0" distR="0" wp14:anchorId="6E51166A" wp14:editId="19B24C64">
            <wp:extent cx="5727700" cy="8091805"/>
            <wp:effectExtent l="0" t="0" r="0" b="0"/>
            <wp:docPr id="30" name="Picture 30" descr="Section C Online wagering  questions C12-C13 asks respondents about thier offshore betting, how their online spending on sports/racing/other events compare now with 12 months ago and what motivated respondents to bet online on sports/racing/other events in the l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27700" cy="8091805"/>
                    </a:xfrm>
                    <a:prstGeom prst="rect">
                      <a:avLst/>
                    </a:prstGeom>
                  </pic:spPr>
                </pic:pic>
              </a:graphicData>
            </a:graphic>
          </wp:inline>
        </w:drawing>
      </w:r>
    </w:p>
    <w:p w14:paraId="6DC497D4" w14:textId="77777777" w:rsidR="00F76EB0" w:rsidRPr="00664E64" w:rsidRDefault="00F76EB0" w:rsidP="00F76EB0">
      <w:r w:rsidRPr="00664E64">
        <w:rPr>
          <w:noProof/>
          <w:lang w:eastAsia="en-AU"/>
        </w:rPr>
        <w:lastRenderedPageBreak/>
        <w:drawing>
          <wp:inline distT="0" distB="0" distL="0" distR="0" wp14:anchorId="235F74C3" wp14:editId="760DFCD2">
            <wp:extent cx="5727700" cy="8091805"/>
            <wp:effectExtent l="0" t="0" r="0" b="0"/>
            <wp:docPr id="31" name="Picture 31" descr="Online survey Section C, question C13 asks respondents if there was anything they could have done to control the amount of money or time they spend betting online ie monitor how much money they spend betting on sports/races/ set limits for how much they can spend each week, set limits for whcih days of the week they bet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27700" cy="8091805"/>
                    </a:xfrm>
                    <a:prstGeom prst="rect">
                      <a:avLst/>
                    </a:prstGeom>
                  </pic:spPr>
                </pic:pic>
              </a:graphicData>
            </a:graphic>
          </wp:inline>
        </w:drawing>
      </w:r>
    </w:p>
    <w:p w14:paraId="2A01A517" w14:textId="77777777" w:rsidR="00F76EB0" w:rsidRPr="00664E64" w:rsidRDefault="00F76EB0" w:rsidP="00F76EB0">
      <w:r w:rsidRPr="00664E64">
        <w:rPr>
          <w:noProof/>
          <w:lang w:eastAsia="en-AU"/>
        </w:rPr>
        <w:lastRenderedPageBreak/>
        <w:drawing>
          <wp:inline distT="0" distB="0" distL="0" distR="0" wp14:anchorId="0058BDEB" wp14:editId="79B78A29">
            <wp:extent cx="5727700" cy="8091805"/>
            <wp:effectExtent l="0" t="0" r="0" b="0"/>
            <wp:docPr id="32" name="Picture 32" descr="Online survey Section D Other gambling question D1 asks about other forms of gambling they spend money on during the past 12 monts ie poke machines online, poker machines licensed venue, casino table games etc.  Question D2 asks respondents how often they spend money by gambling activity in the past 12 mon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8091805"/>
                    </a:xfrm>
                    <a:prstGeom prst="rect">
                      <a:avLst/>
                    </a:prstGeom>
                  </pic:spPr>
                </pic:pic>
              </a:graphicData>
            </a:graphic>
          </wp:inline>
        </w:drawing>
      </w:r>
    </w:p>
    <w:p w14:paraId="1C272D9D" w14:textId="77777777" w:rsidR="00F76EB0" w:rsidRPr="00664E64" w:rsidRDefault="00F76EB0" w:rsidP="00F76EB0">
      <w:r w:rsidRPr="00664E64">
        <w:rPr>
          <w:noProof/>
          <w:lang w:eastAsia="en-AU"/>
        </w:rPr>
        <w:lastRenderedPageBreak/>
        <w:drawing>
          <wp:inline distT="0" distB="0" distL="0" distR="0" wp14:anchorId="614DC29F" wp14:editId="58CCB4E4">
            <wp:extent cx="5727700" cy="8091805"/>
            <wp:effectExtent l="0" t="0" r="0" b="0"/>
            <wp:docPr id="33" name="Picture 33" descr="Online survey Section E - Effects of gambling on health and wellbeing.&#10;&#10;Question E1 asks respondents to self assess against the Problem Gambling Severity Index (reduce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7700" cy="8091805"/>
                    </a:xfrm>
                    <a:prstGeom prst="rect">
                      <a:avLst/>
                    </a:prstGeom>
                  </pic:spPr>
                </pic:pic>
              </a:graphicData>
            </a:graphic>
          </wp:inline>
        </w:drawing>
      </w:r>
    </w:p>
    <w:p w14:paraId="260D93BD" w14:textId="77777777" w:rsidR="00F76EB0" w:rsidRPr="00664E64" w:rsidRDefault="00F76EB0" w:rsidP="00F76EB0">
      <w:r w:rsidRPr="00664E64">
        <w:rPr>
          <w:noProof/>
          <w:lang w:eastAsia="en-AU"/>
        </w:rPr>
        <w:lastRenderedPageBreak/>
        <w:drawing>
          <wp:inline distT="0" distB="0" distL="0" distR="0" wp14:anchorId="7688A3D0" wp14:editId="60FDFCE7">
            <wp:extent cx="5727700" cy="8091805"/>
            <wp:effectExtent l="0" t="0" r="0" b="0"/>
            <wp:docPr id="34" name="Picture 34" descr="Online survey Section E - Effects of gambling on health and wellbeing.&#10;&#10;Question E2  asks about experiences as a result of betting online on sports/racing/other events in the last 12 months eg reduction of available spending money, reduction of savings, late payment on bill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8091805"/>
                    </a:xfrm>
                    <a:prstGeom prst="rect">
                      <a:avLst/>
                    </a:prstGeom>
                  </pic:spPr>
                </pic:pic>
              </a:graphicData>
            </a:graphic>
          </wp:inline>
        </w:drawing>
      </w:r>
    </w:p>
    <w:p w14:paraId="71E979DF" w14:textId="77777777" w:rsidR="00F76EB0" w:rsidRPr="00664E64" w:rsidRDefault="00F76EB0" w:rsidP="00F76EB0">
      <w:r w:rsidRPr="00664E64">
        <w:rPr>
          <w:noProof/>
          <w:lang w:eastAsia="en-AU"/>
        </w:rPr>
        <w:lastRenderedPageBreak/>
        <w:drawing>
          <wp:inline distT="0" distB="0" distL="0" distR="0" wp14:anchorId="138235A1" wp14:editId="1CC23EBF">
            <wp:extent cx="5727700" cy="8091805"/>
            <wp:effectExtent l="0" t="0" r="0" b="0"/>
            <wp:docPr id="35" name="Picture 35" descr="Question E2 questions continues on thi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27700" cy="8091805"/>
                    </a:xfrm>
                    <a:prstGeom prst="rect">
                      <a:avLst/>
                    </a:prstGeom>
                  </pic:spPr>
                </pic:pic>
              </a:graphicData>
            </a:graphic>
          </wp:inline>
        </w:drawing>
      </w:r>
    </w:p>
    <w:p w14:paraId="24F55367" w14:textId="77777777" w:rsidR="00F76EB0" w:rsidRPr="00664E64" w:rsidRDefault="00F76EB0" w:rsidP="00F76EB0">
      <w:r w:rsidRPr="00664E64">
        <w:rPr>
          <w:noProof/>
          <w:lang w:eastAsia="en-AU"/>
        </w:rPr>
        <w:lastRenderedPageBreak/>
        <w:drawing>
          <wp:inline distT="0" distB="0" distL="0" distR="0" wp14:anchorId="6FD33046" wp14:editId="61158AA8">
            <wp:extent cx="5727700" cy="8091805"/>
            <wp:effectExtent l="0" t="0" r="0" b="0"/>
            <wp:docPr id="36" name="Picture 36" descr="Online survey Question E3 asks respondents about how satisfied they feel  with their health and wellbeing eg thinking about your own life and personal circumstance, how satisfied are you with your life as a whole? How satisfied are you with your standard of living? How satisifed are you with your heath?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27700" cy="8091805"/>
                    </a:xfrm>
                    <a:prstGeom prst="rect">
                      <a:avLst/>
                    </a:prstGeom>
                  </pic:spPr>
                </pic:pic>
              </a:graphicData>
            </a:graphic>
          </wp:inline>
        </w:drawing>
      </w:r>
    </w:p>
    <w:p w14:paraId="728D65C4" w14:textId="77777777" w:rsidR="00F76EB0" w:rsidRPr="00664E64" w:rsidRDefault="00F76EB0" w:rsidP="00F76EB0">
      <w:r w:rsidRPr="00664E64">
        <w:rPr>
          <w:noProof/>
          <w:lang w:eastAsia="en-AU"/>
        </w:rPr>
        <w:lastRenderedPageBreak/>
        <w:drawing>
          <wp:inline distT="0" distB="0" distL="0" distR="0" wp14:anchorId="757F3CFA" wp14:editId="7F2ED871">
            <wp:extent cx="5727700" cy="8091805"/>
            <wp:effectExtent l="0" t="0" r="0" b="0"/>
            <wp:docPr id="37" name="Picture 37" descr="online survey Section F asks respondents questions about their experiences with Consumer protection measures &#10;&#10;Questions F1 asks respondents if they have been offered lines of credit from a betting company to make online bets.  Question F2 asks respondents if they have been offered credit contracts or referrals to a payday or short-term lender.  Question F3 asks respondents which consumer protection features they have 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7700" cy="8091805"/>
                    </a:xfrm>
                    <a:prstGeom prst="rect">
                      <a:avLst/>
                    </a:prstGeom>
                  </pic:spPr>
                </pic:pic>
              </a:graphicData>
            </a:graphic>
          </wp:inline>
        </w:drawing>
      </w:r>
    </w:p>
    <w:p w14:paraId="3585F7C1" w14:textId="77777777" w:rsidR="00F76EB0" w:rsidRPr="00664E64" w:rsidRDefault="00F76EB0" w:rsidP="00F76EB0">
      <w:r w:rsidRPr="00664E64">
        <w:rPr>
          <w:noProof/>
          <w:lang w:eastAsia="en-AU"/>
        </w:rPr>
        <w:lastRenderedPageBreak/>
        <w:drawing>
          <wp:inline distT="0" distB="0" distL="0" distR="0" wp14:anchorId="6C1447F5" wp14:editId="41FF78C3">
            <wp:extent cx="5727700" cy="8091805"/>
            <wp:effectExtent l="0" t="0" r="0" b="0"/>
            <wp:docPr id="38" name="Picture 38" descr="Questions F4 asks respondents about the which consumer protection they have used.&#10;&#10;Questions F5 asks respondents if the features they have used were useful to manage the time and money spent on bett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27700" cy="8091805"/>
                    </a:xfrm>
                    <a:prstGeom prst="rect">
                      <a:avLst/>
                    </a:prstGeom>
                  </pic:spPr>
                </pic:pic>
              </a:graphicData>
            </a:graphic>
          </wp:inline>
        </w:drawing>
      </w:r>
    </w:p>
    <w:p w14:paraId="6F7E8226" w14:textId="77777777" w:rsidR="00F76EB0" w:rsidRPr="00664E64" w:rsidRDefault="00F76EB0" w:rsidP="00F76EB0">
      <w:r w:rsidRPr="00664E64">
        <w:rPr>
          <w:noProof/>
          <w:lang w:eastAsia="en-AU"/>
        </w:rPr>
        <w:lastRenderedPageBreak/>
        <w:drawing>
          <wp:inline distT="0" distB="0" distL="0" distR="0" wp14:anchorId="2B209784" wp14:editId="744B77D4">
            <wp:extent cx="5727700" cy="8091805"/>
            <wp:effectExtent l="0" t="0" r="0" b="0"/>
            <wp:docPr id="39" name="Picture 39" descr="Question  F5 is continued on this page.&#10;&#10;Question F6 asks respondents about the main reasons they have the consumer protection features useful eg features to set limits on how much to deposit in their acc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7700" cy="8091805"/>
                    </a:xfrm>
                    <a:prstGeom prst="rect">
                      <a:avLst/>
                    </a:prstGeom>
                  </pic:spPr>
                </pic:pic>
              </a:graphicData>
            </a:graphic>
          </wp:inline>
        </w:drawing>
      </w:r>
    </w:p>
    <w:p w14:paraId="6353E03E" w14:textId="77777777" w:rsidR="00F76EB0" w:rsidRPr="00664E64" w:rsidRDefault="00F76EB0" w:rsidP="00F76EB0">
      <w:r w:rsidRPr="00664E64">
        <w:rPr>
          <w:noProof/>
          <w:lang w:eastAsia="en-AU"/>
        </w:rPr>
        <w:lastRenderedPageBreak/>
        <w:drawing>
          <wp:inline distT="0" distB="0" distL="0" distR="0" wp14:anchorId="61737B22" wp14:editId="104FCEDF">
            <wp:extent cx="5727700" cy="8091805"/>
            <wp:effectExtent l="0" t="0" r="0" b="0"/>
            <wp:docPr id="40" name="Picture 40" descr="Question F6 continued on thi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27700" cy="8091805"/>
                    </a:xfrm>
                    <a:prstGeom prst="rect">
                      <a:avLst/>
                    </a:prstGeom>
                  </pic:spPr>
                </pic:pic>
              </a:graphicData>
            </a:graphic>
          </wp:inline>
        </w:drawing>
      </w:r>
    </w:p>
    <w:p w14:paraId="23CE8EDB" w14:textId="77777777" w:rsidR="00F76EB0" w:rsidRPr="00664E64" w:rsidRDefault="00F76EB0" w:rsidP="00F76EB0">
      <w:r w:rsidRPr="00664E64">
        <w:rPr>
          <w:noProof/>
          <w:lang w:eastAsia="en-AU"/>
        </w:rPr>
        <w:lastRenderedPageBreak/>
        <w:drawing>
          <wp:inline distT="0" distB="0" distL="0" distR="0" wp14:anchorId="290D57CA" wp14:editId="7E644B54">
            <wp:extent cx="5727700" cy="8091805"/>
            <wp:effectExtent l="0" t="0" r="0" b="0"/>
            <wp:docPr id="41" name="Picture 41" descr="Question 6 continues on this page.&#10;&#10;Section G - Demographics&#10;Questions G1 - postcode&#10;Question G2 - which country were you 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27700" cy="8091805"/>
                    </a:xfrm>
                    <a:prstGeom prst="rect">
                      <a:avLst/>
                    </a:prstGeom>
                  </pic:spPr>
                </pic:pic>
              </a:graphicData>
            </a:graphic>
          </wp:inline>
        </w:drawing>
      </w:r>
    </w:p>
    <w:p w14:paraId="464B235A" w14:textId="77777777" w:rsidR="00F76EB0" w:rsidRPr="00664E64" w:rsidRDefault="00F76EB0" w:rsidP="00F76EB0">
      <w:r w:rsidRPr="00664E64">
        <w:rPr>
          <w:noProof/>
          <w:lang w:eastAsia="en-AU"/>
        </w:rPr>
        <w:lastRenderedPageBreak/>
        <w:drawing>
          <wp:inline distT="0" distB="0" distL="0" distR="0" wp14:anchorId="5981C2C1" wp14:editId="631947EB">
            <wp:extent cx="5727700" cy="8091805"/>
            <wp:effectExtent l="0" t="0" r="0" b="0"/>
            <wp:docPr id="42" name="Picture 42" descr="Demographics  questions G3-G5 .  Questions asks respondents if they identify as Aboriginal or Torres Strait Islander, what languages they speak at home and their usual living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27700" cy="8091805"/>
                    </a:xfrm>
                    <a:prstGeom prst="rect">
                      <a:avLst/>
                    </a:prstGeom>
                  </pic:spPr>
                </pic:pic>
              </a:graphicData>
            </a:graphic>
          </wp:inline>
        </w:drawing>
      </w:r>
    </w:p>
    <w:p w14:paraId="4B980B96" w14:textId="77777777" w:rsidR="00F76EB0" w:rsidRPr="00664E64" w:rsidRDefault="00F76EB0" w:rsidP="00F76EB0">
      <w:r w:rsidRPr="00664E64">
        <w:rPr>
          <w:noProof/>
          <w:lang w:eastAsia="en-AU"/>
        </w:rPr>
        <w:lastRenderedPageBreak/>
        <w:drawing>
          <wp:inline distT="0" distB="0" distL="0" distR="0" wp14:anchorId="00916478" wp14:editId="462987AA">
            <wp:extent cx="5727700" cy="8091805"/>
            <wp:effectExtent l="0" t="0" r="0" b="0"/>
            <wp:docPr id="43" name="Picture 43" descr="Demographics G6-G8.  Ask respondents about relationship, employment and study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27700" cy="8091805"/>
                    </a:xfrm>
                    <a:prstGeom prst="rect">
                      <a:avLst/>
                    </a:prstGeom>
                  </pic:spPr>
                </pic:pic>
              </a:graphicData>
            </a:graphic>
          </wp:inline>
        </w:drawing>
      </w:r>
    </w:p>
    <w:p w14:paraId="230155CE" w14:textId="77777777" w:rsidR="00F76EB0" w:rsidRPr="00664E64" w:rsidRDefault="00F76EB0" w:rsidP="00F76EB0">
      <w:r w:rsidRPr="00664E64">
        <w:rPr>
          <w:noProof/>
          <w:lang w:eastAsia="en-AU"/>
        </w:rPr>
        <w:lastRenderedPageBreak/>
        <w:drawing>
          <wp:inline distT="0" distB="0" distL="0" distR="0" wp14:anchorId="6675AEDE" wp14:editId="770680B5">
            <wp:extent cx="5727700" cy="8091805"/>
            <wp:effectExtent l="0" t="0" r="0" b="0"/>
            <wp:docPr id="44" name="Picture 44" descr="Demographics G9-G11.  Ask respondents about education level, year of birth and inc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27700" cy="8091805"/>
                    </a:xfrm>
                    <a:prstGeom prst="rect">
                      <a:avLst/>
                    </a:prstGeom>
                  </pic:spPr>
                </pic:pic>
              </a:graphicData>
            </a:graphic>
          </wp:inline>
        </w:drawing>
      </w:r>
    </w:p>
    <w:p w14:paraId="05459149" w14:textId="77777777" w:rsidR="00F76EB0" w:rsidRPr="00664E64" w:rsidRDefault="00F76EB0" w:rsidP="00F76EB0">
      <w:r w:rsidRPr="00664E64">
        <w:rPr>
          <w:noProof/>
          <w:lang w:eastAsia="en-AU"/>
        </w:rPr>
        <w:lastRenderedPageBreak/>
        <w:drawing>
          <wp:inline distT="0" distB="0" distL="0" distR="0" wp14:anchorId="7CB98857" wp14:editId="04AA3EE0">
            <wp:extent cx="5727700" cy="8091805"/>
            <wp:effectExtent l="0" t="0" r="0" b="0"/>
            <wp:docPr id="45" name="Picture 45" descr="Demographics G11 question continues.&#10;&#10;Demographics G12 question asks respondents if there is anything else they would like to add about their experience betting online or other gambling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27700" cy="8091805"/>
                    </a:xfrm>
                    <a:prstGeom prst="rect">
                      <a:avLst/>
                    </a:prstGeom>
                  </pic:spPr>
                </pic:pic>
              </a:graphicData>
            </a:graphic>
          </wp:inline>
        </w:drawing>
      </w:r>
    </w:p>
    <w:p w14:paraId="084FA9F9" w14:textId="7A4F0522" w:rsidR="00732C96" w:rsidRPr="00664E64" w:rsidRDefault="00F76EB0" w:rsidP="00732C96">
      <w:r w:rsidRPr="00664E64">
        <w:rPr>
          <w:noProof/>
          <w:lang w:eastAsia="en-AU"/>
        </w:rPr>
        <w:lastRenderedPageBreak/>
        <w:drawing>
          <wp:inline distT="0" distB="0" distL="0" distR="0" wp14:anchorId="30E839EA" wp14:editId="3DD7B8AC">
            <wp:extent cx="5727700" cy="8091805"/>
            <wp:effectExtent l="0" t="0" r="0" b="0"/>
            <wp:docPr id="46" name="Picture 46" descr="Section H - Prize draw .  five randomly selected participants will be awarded with a $200 eGift card to thank them for their time in completing the survey.&#10;&#10;Support service contact information is provided for Gambling Help Online phone 1800 858 858 or email www.gamblinghelponline.org.au and Lifeline phone 13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27700" cy="8091805"/>
                    </a:xfrm>
                    <a:prstGeom prst="rect">
                      <a:avLst/>
                    </a:prstGeom>
                  </pic:spPr>
                </pic:pic>
              </a:graphicData>
            </a:graphic>
          </wp:inline>
        </w:drawing>
      </w:r>
    </w:p>
    <w:p w14:paraId="0BDA51B5" w14:textId="77777777" w:rsidR="00CD2FCD" w:rsidRPr="00664E64" w:rsidRDefault="00CD2FCD" w:rsidP="009B2A73"/>
    <w:sectPr w:rsidR="00CD2FCD" w:rsidRPr="00664E64" w:rsidSect="004B331F">
      <w:pgSz w:w="11901" w:h="16840"/>
      <w:pgMar w:top="1418" w:right="1701" w:bottom="1418" w:left="1701" w:header="680" w:footer="68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877DE2" w14:textId="77777777" w:rsidR="0018194E" w:rsidRDefault="0018194E" w:rsidP="008C3543">
      <w:r>
        <w:separator/>
      </w:r>
    </w:p>
  </w:endnote>
  <w:endnote w:type="continuationSeparator" w:id="0">
    <w:p w14:paraId="3AA7D5A2" w14:textId="77777777" w:rsidR="0018194E" w:rsidRDefault="0018194E" w:rsidP="008C3543">
      <w:r>
        <w:continuationSeparator/>
      </w:r>
    </w:p>
  </w:endnote>
  <w:endnote w:type="continuationNotice" w:id="1">
    <w:p w14:paraId="5ACD1C16" w14:textId="77777777" w:rsidR="0018194E" w:rsidRDefault="0018194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Microsoft Sans Serif"/>
    <w:charset w:val="00"/>
    <w:family w:val="swiss"/>
    <w:pitch w:val="variable"/>
    <w:sig w:usb0="E1000AEF"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STZhongsong">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HelveticaNeueLT Pro 45 Lt">
    <w:altName w:val="Arial"/>
    <w:charset w:val="00"/>
    <w:family w:val="swiss"/>
    <w:pitch w:val="variable"/>
    <w:sig w:usb0="00000001" w:usb1="5000205B" w:usb2="00000000" w:usb3="00000000" w:csb0="0000009B" w:csb1="00000000"/>
  </w:font>
  <w:font w:name="Minion Pro">
    <w:altName w:val="Cambria"/>
    <w:charset w:val="00"/>
    <w:family w:val="roman"/>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297B5" w14:textId="10BD881B" w:rsidR="00812FF9" w:rsidRPr="00526EC6" w:rsidRDefault="00812FF9" w:rsidP="00526EC6">
    <w:pPr>
      <w:pStyle w:val="Footer"/>
    </w:pPr>
    <w:r>
      <w:t>Australian Institute of Family Studies</w:t>
    </w:r>
    <w:r w:rsidRPr="00526EC6">
      <w:tab/>
    </w:r>
    <w:r w:rsidRPr="00526EC6">
      <w:rPr>
        <w:rStyle w:val="PageNumber"/>
      </w:rPr>
      <w:fldChar w:fldCharType="begin"/>
    </w:r>
    <w:r w:rsidRPr="00526EC6">
      <w:rPr>
        <w:rStyle w:val="PageNumber"/>
      </w:rPr>
      <w:instrText xml:space="preserve"> PAGE </w:instrText>
    </w:r>
    <w:r w:rsidRPr="00526EC6">
      <w:rPr>
        <w:rStyle w:val="PageNumber"/>
      </w:rPr>
      <w:fldChar w:fldCharType="separate"/>
    </w:r>
    <w:r>
      <w:rPr>
        <w:rStyle w:val="PageNumber"/>
        <w:noProof/>
      </w:rPr>
      <w:t>2</w:t>
    </w:r>
    <w:r w:rsidRPr="00526EC6">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981460576"/>
      <w:docPartObj>
        <w:docPartGallery w:val="Page Numbers (Bottom of Page)"/>
        <w:docPartUnique/>
      </w:docPartObj>
    </w:sdtPr>
    <w:sdtEndPr>
      <w:rPr>
        <w:rStyle w:val="PageNumber"/>
      </w:rPr>
    </w:sdtEndPr>
    <w:sdtContent>
      <w:p w14:paraId="140C5D7C" w14:textId="77777777" w:rsidR="00812FF9" w:rsidRDefault="00812FF9" w:rsidP="001422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96B2A53" w14:textId="77777777" w:rsidR="00812FF9" w:rsidRDefault="00812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764028262"/>
      <w:docPartObj>
        <w:docPartGallery w:val="Page Numbers (Bottom of Page)"/>
        <w:docPartUnique/>
      </w:docPartObj>
    </w:sdtPr>
    <w:sdtEndPr>
      <w:rPr>
        <w:rStyle w:val="PageNumber"/>
        <w:sz w:val="20"/>
      </w:rPr>
    </w:sdtEndPr>
    <w:sdtContent>
      <w:p w14:paraId="3CDA26E5" w14:textId="3C88CC8B" w:rsidR="00812FF9" w:rsidRDefault="00812FF9" w:rsidP="001422D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014F4D">
          <w:rPr>
            <w:rStyle w:val="PageNumber"/>
            <w:noProof/>
          </w:rPr>
          <w:t>113</w:t>
        </w:r>
        <w:r>
          <w:rPr>
            <w:rStyle w:val="PageNumber"/>
          </w:rPr>
          <w:fldChar w:fldCharType="end"/>
        </w:r>
      </w:p>
    </w:sdtContent>
  </w:sdt>
  <w:p w14:paraId="1812F656" w14:textId="77777777" w:rsidR="00812FF9" w:rsidRDefault="00812F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22A84D" w14:textId="77777777" w:rsidR="0018194E" w:rsidRDefault="0018194E" w:rsidP="008C3543">
      <w:r>
        <w:separator/>
      </w:r>
    </w:p>
  </w:footnote>
  <w:footnote w:type="continuationSeparator" w:id="0">
    <w:p w14:paraId="570E2D3C" w14:textId="77777777" w:rsidR="0018194E" w:rsidRDefault="0018194E" w:rsidP="008C3543">
      <w:r>
        <w:continuationSeparator/>
      </w:r>
    </w:p>
  </w:footnote>
  <w:footnote w:type="continuationNotice" w:id="1">
    <w:p w14:paraId="14BD4A5D" w14:textId="77777777" w:rsidR="0018194E" w:rsidRDefault="0018194E"/>
  </w:footnote>
  <w:footnote w:id="2">
    <w:p w14:paraId="5818DE26" w14:textId="5CB97B0D" w:rsidR="00812FF9" w:rsidRPr="006F1A19" w:rsidRDefault="00812FF9" w:rsidP="006F1A19">
      <w:pPr>
        <w:pStyle w:val="FootnoteText"/>
        <w:ind w:left="0" w:firstLine="0"/>
      </w:pPr>
      <w:r>
        <w:rPr>
          <w:rStyle w:val="FootnoteReference"/>
        </w:rPr>
        <w:footnoteRef/>
      </w:r>
      <w:r>
        <w:t xml:space="preserve"> </w:t>
      </w:r>
      <w:r w:rsidRPr="006F1A19">
        <w:t>The Department defines wagering as an activity where a person gambles on the outcome of racing, sporting and other events, or on contingencies within an event. Interactive or online wagering refers to these forms of activity where the internet, or any other telecommunication method (such as telephone), is the mechanism for placing the wager</w:t>
      </w:r>
      <w:r w:rsidRPr="006F1A19">
        <w:rPr>
          <w:vertAlign w:val="superscript"/>
        </w:rPr>
        <w:footnoteRef/>
      </w:r>
      <w:r w:rsidRPr="006F1A19">
        <w:t xml:space="preserve"> (DSS, 2017).</w:t>
      </w:r>
    </w:p>
    <w:p w14:paraId="4B6CA602" w14:textId="226E751D" w:rsidR="00812FF9" w:rsidRPr="006F1A19" w:rsidRDefault="00812FF9" w:rsidP="006F1A19">
      <w:pPr>
        <w:pStyle w:val="FootnoteText"/>
        <w:ind w:left="0" w:firstLine="0"/>
        <w:rPr>
          <w:lang w:val="en-US"/>
        </w:rPr>
      </w:pPr>
    </w:p>
  </w:footnote>
  <w:footnote w:id="3">
    <w:p w14:paraId="0538397F" w14:textId="5F9726E2" w:rsidR="00812FF9" w:rsidRPr="00CD7564" w:rsidRDefault="00812FF9" w:rsidP="00E47A70">
      <w:pPr>
        <w:pStyle w:val="FootnoteText"/>
        <w:rPr>
          <w:lang w:val="en-US"/>
        </w:rPr>
      </w:pPr>
      <w:r>
        <w:rPr>
          <w:rStyle w:val="FootnoteReference"/>
        </w:rPr>
        <w:footnoteRef/>
      </w:r>
      <w:r>
        <w:t xml:space="preserve"> </w:t>
      </w:r>
      <w:r>
        <w:tab/>
        <w:t>As reflected on the Australian Communications and Media Authority’s (ACMA) list of regulated providers.</w:t>
      </w:r>
    </w:p>
  </w:footnote>
  <w:footnote w:id="4">
    <w:p w14:paraId="590267EB" w14:textId="7A000425" w:rsidR="00812FF9" w:rsidRPr="00ED216D" w:rsidRDefault="00812FF9" w:rsidP="00E47A70">
      <w:pPr>
        <w:pStyle w:val="FootnoteText"/>
        <w:rPr>
          <w:lang w:val="en-US"/>
        </w:rPr>
      </w:pPr>
      <w:r w:rsidRPr="0000417E">
        <w:rPr>
          <w:rStyle w:val="FootnoteTextChar"/>
        </w:rPr>
        <w:footnoteRef/>
      </w:r>
      <w:r w:rsidRPr="0000417E">
        <w:rPr>
          <w:rStyle w:val="FootnoteTextChar"/>
        </w:rPr>
        <w:t xml:space="preserve"> </w:t>
      </w:r>
      <w:r>
        <w:rPr>
          <w:rStyle w:val="FootnoteTextChar"/>
        </w:rPr>
        <w:tab/>
      </w:r>
      <w:r w:rsidRPr="0000417E">
        <w:rPr>
          <w:rStyle w:val="FootnoteTextChar"/>
        </w:rPr>
        <w:t xml:space="preserve">HILDA Survey participants </w:t>
      </w:r>
      <w:r>
        <w:rPr>
          <w:rStyle w:val="FootnoteTextChar"/>
        </w:rPr>
        <w:t>completed</w:t>
      </w:r>
      <w:r w:rsidRPr="0000417E">
        <w:rPr>
          <w:rStyle w:val="FootnoteTextChar"/>
        </w:rPr>
        <w:t xml:space="preserve"> the</w:t>
      </w:r>
      <w:r>
        <w:rPr>
          <w:rStyle w:val="FootnoteTextChar"/>
        </w:rPr>
        <w:t xml:space="preserve"> </w:t>
      </w:r>
      <w:r w:rsidRPr="0000417E">
        <w:rPr>
          <w:rStyle w:val="FootnoteTextChar"/>
        </w:rPr>
        <w:t>Problem Gambling Severity Index (PGSI; Ferris &amp; Wynne, 2001</w:t>
      </w:r>
      <w:r>
        <w:rPr>
          <w:rStyle w:val="FootnoteTextChar"/>
        </w:rPr>
        <w:t>, a commonly used scale</w:t>
      </w:r>
      <w:r w:rsidRPr="0000417E">
        <w:rPr>
          <w:rStyle w:val="FootnoteTextChar"/>
        </w:rPr>
        <w:t xml:space="preserve"> consist</w:t>
      </w:r>
      <w:r>
        <w:rPr>
          <w:rStyle w:val="FootnoteTextChar"/>
        </w:rPr>
        <w:t>ing</w:t>
      </w:r>
      <w:r w:rsidRPr="0000417E">
        <w:rPr>
          <w:rStyle w:val="FootnoteTextChar"/>
        </w:rPr>
        <w:t xml:space="preserve"> of nine items that capture</w:t>
      </w:r>
      <w:r>
        <w:rPr>
          <w:rStyle w:val="FootnoteTextChar"/>
        </w:rPr>
        <w:t>s</w:t>
      </w:r>
      <w:r w:rsidRPr="00ED216D">
        <w:rPr>
          <w:szCs w:val="20"/>
        </w:rPr>
        <w:t xml:space="preserve"> </w:t>
      </w:r>
      <w:r w:rsidRPr="0000417E">
        <w:rPr>
          <w:rStyle w:val="FootnoteTextChar"/>
        </w:rPr>
        <w:t>problematic behaviour</w:t>
      </w:r>
      <w:r>
        <w:rPr>
          <w:rStyle w:val="FootnoteTextChar"/>
        </w:rPr>
        <w:t>s</w:t>
      </w:r>
      <w:r w:rsidRPr="0000417E">
        <w:rPr>
          <w:rStyle w:val="FootnoteTextChar"/>
        </w:rPr>
        <w:t xml:space="preserve"> and harm</w:t>
      </w:r>
      <w:r>
        <w:rPr>
          <w:rStyle w:val="FootnoteTextChar"/>
        </w:rPr>
        <w:t>s</w:t>
      </w:r>
      <w:r w:rsidRPr="0000417E">
        <w:rPr>
          <w:rStyle w:val="FootnoteTextChar"/>
        </w:rPr>
        <w:t xml:space="preserve"> caused by</w:t>
      </w:r>
      <w:r w:rsidRPr="00ED216D">
        <w:rPr>
          <w:szCs w:val="20"/>
        </w:rPr>
        <w:t xml:space="preserve"> </w:t>
      </w:r>
      <w:r w:rsidRPr="0000417E">
        <w:rPr>
          <w:rStyle w:val="FootnoteTextChar"/>
        </w:rPr>
        <w:t xml:space="preserve">gambling in the past 12 months. The higher the score, the greater the gambling-related </w:t>
      </w:r>
      <w:r>
        <w:rPr>
          <w:rStyle w:val="FootnoteTextChar"/>
        </w:rPr>
        <w:t>harm</w:t>
      </w:r>
      <w:r w:rsidRPr="0000417E">
        <w:rPr>
          <w:rStyle w:val="FootnoteTextChar"/>
        </w:rPr>
        <w:t xml:space="preserve">s. </w:t>
      </w:r>
      <w:r>
        <w:rPr>
          <w:rStyle w:val="FootnoteTextChar"/>
        </w:rPr>
        <w:t>G</w:t>
      </w:r>
      <w:r w:rsidRPr="0000417E">
        <w:rPr>
          <w:rStyle w:val="FootnoteTextChar"/>
        </w:rPr>
        <w:t xml:space="preserve">amblers </w:t>
      </w:r>
      <w:r>
        <w:rPr>
          <w:rStyle w:val="FootnoteTextChar"/>
        </w:rPr>
        <w:t xml:space="preserve">classified as with ‘No problems’ </w:t>
      </w:r>
      <w:r w:rsidRPr="0000417E">
        <w:rPr>
          <w:rStyle w:val="FootnoteTextChar"/>
        </w:rPr>
        <w:t>report no problematic gambling behaviour or harm</w:t>
      </w:r>
      <w:r>
        <w:rPr>
          <w:rStyle w:val="FootnoteTextChar"/>
        </w:rPr>
        <w:t xml:space="preserve"> on this scale.</w:t>
      </w:r>
      <w:r w:rsidRPr="0000417E">
        <w:rPr>
          <w:rStyle w:val="FootnoteTextChar"/>
        </w:rPr>
        <w:t xml:space="preserve"> Low-risk and moderate-risk gamblers </w:t>
      </w:r>
      <w:r>
        <w:rPr>
          <w:rStyle w:val="FootnoteTextChar"/>
        </w:rPr>
        <w:t xml:space="preserve">score between 1 to 7 and </w:t>
      </w:r>
      <w:r w:rsidRPr="0000417E">
        <w:rPr>
          <w:rStyle w:val="FootnoteTextChar"/>
        </w:rPr>
        <w:t xml:space="preserve">report </w:t>
      </w:r>
      <w:r>
        <w:rPr>
          <w:rStyle w:val="FootnoteTextChar"/>
        </w:rPr>
        <w:t xml:space="preserve">a </w:t>
      </w:r>
      <w:r w:rsidRPr="0000417E">
        <w:rPr>
          <w:rStyle w:val="FootnoteTextChar"/>
        </w:rPr>
        <w:t xml:space="preserve">low or moderate </w:t>
      </w:r>
      <w:r>
        <w:rPr>
          <w:rStyle w:val="FootnoteTextChar"/>
        </w:rPr>
        <w:t xml:space="preserve">number of </w:t>
      </w:r>
      <w:r w:rsidRPr="0000417E">
        <w:rPr>
          <w:rStyle w:val="FootnoteTextChar"/>
        </w:rPr>
        <w:t>problematic behaviour</w:t>
      </w:r>
      <w:r>
        <w:rPr>
          <w:rStyle w:val="FootnoteTextChar"/>
        </w:rPr>
        <w:t>s</w:t>
      </w:r>
      <w:r w:rsidRPr="0000417E">
        <w:rPr>
          <w:rStyle w:val="FootnoteTextChar"/>
        </w:rPr>
        <w:t xml:space="preserve"> and/or </w:t>
      </w:r>
      <w:r>
        <w:rPr>
          <w:rStyle w:val="FootnoteTextChar"/>
        </w:rPr>
        <w:t>harms, which may however lead to significant harms</w:t>
      </w:r>
      <w:r w:rsidRPr="0000417E">
        <w:rPr>
          <w:rStyle w:val="FootnoteTextChar"/>
        </w:rPr>
        <w:t xml:space="preserve">. They are considered as being at low to moderate risk of becoming problem gamblers. Problem gamblers report severe problematic behaviour and/or </w:t>
      </w:r>
      <w:r>
        <w:rPr>
          <w:rStyle w:val="FootnoteTextChar"/>
        </w:rPr>
        <w:t>harms</w:t>
      </w:r>
      <w:r w:rsidRPr="0000417E">
        <w:rPr>
          <w:rStyle w:val="FootnoteTextCha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24ED1" w14:textId="509F41BE" w:rsidR="00812FF9" w:rsidRPr="00526EC6" w:rsidRDefault="00812FF9" w:rsidP="00526EC6">
    <w:pPr>
      <w:pStyle w:val="Header"/>
    </w:pPr>
    <w:r>
      <w:rPr>
        <w:lang w:val="en-GB" w:eastAsia="en-GB"/>
      </w:rPr>
      <w:t>National Consumer Protection Framework for Online Wagering: Baseline Study Report</w:t>
    </w:r>
    <w:r w:rsidRPr="00526EC6">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31506" w14:textId="77777777" w:rsidR="00812FF9" w:rsidRDefault="00812FF9" w:rsidP="00526EC6">
    <w:pPr>
      <w:pStyle w:val="Header"/>
    </w:pPr>
    <w:r>
      <w:rPr>
        <w:lang w:val="en-AU" w:eastAsia="en-AU"/>
      </w:rPr>
      <w:drawing>
        <wp:anchor distT="0" distB="0" distL="114300" distR="114300" simplePos="0" relativeHeight="251666432" behindDoc="1" locked="0" layoutInCell="1" allowOverlap="1" wp14:anchorId="639CBAC0" wp14:editId="61A2D98C">
          <wp:simplePos x="0" y="0"/>
          <wp:positionH relativeFrom="column">
            <wp:posOffset>-1080135</wp:posOffset>
          </wp:positionH>
          <wp:positionV relativeFrom="paragraph">
            <wp:posOffset>-1080135</wp:posOffset>
          </wp:positionV>
          <wp:extent cx="7579360" cy="1148080"/>
          <wp:effectExtent l="0" t="0" r="2540" b="0"/>
          <wp:wrapNone/>
          <wp:docPr id="12" name="Picture 12" descr="Macintosh HD:Users:hcwang:Documents:My Documents:Current jobs:AIFS:Templates:Style Guide:Revised graphic elements:Graphic-elements-Letterhead.png" title="Letterhead Australian Institute of Family Studies">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cwang:Documents:My Documents:Current jobs:AIFS:Templates:Style Guide:Revised graphic elements:Graphic-elements-Letter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6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59264" behindDoc="1" locked="0" layoutInCell="1" allowOverlap="1" wp14:anchorId="639CBAC0" wp14:editId="2FE894B5">
          <wp:simplePos x="0" y="0"/>
          <wp:positionH relativeFrom="column">
            <wp:posOffset>-1080135</wp:posOffset>
          </wp:positionH>
          <wp:positionV relativeFrom="paragraph">
            <wp:posOffset>-1080135</wp:posOffset>
          </wp:positionV>
          <wp:extent cx="7579360" cy="1148080"/>
          <wp:effectExtent l="0" t="0" r="2540" b="0"/>
          <wp:wrapNone/>
          <wp:docPr id="4" name="Picture 4" descr="Macintosh HD:Users:hcwang:Documents:My Documents:Current jobs:AIFS:Templates:Style Guide:Revised graphic elements:Graphic-elements-Letterhead.png" title="Letterhead - Australian Institute of Famil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cwang:Documents:My Documents:Current jobs:AIFS:Templates:Style Guide:Revised graphic elements:Graphic-elements-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936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CA2DD" w14:textId="77777777" w:rsidR="00812FF9" w:rsidRDefault="00812FF9" w:rsidP="00526EC6">
    <w:pPr>
      <w:pStyle w:val="Header"/>
    </w:pPr>
    <w:r>
      <w:rPr>
        <w:lang w:val="en-AU" w:eastAsia="en-AU"/>
      </w:rPr>
      <w:drawing>
        <wp:anchor distT="0" distB="0" distL="114300" distR="114300" simplePos="0" relativeHeight="251668480" behindDoc="1" locked="0" layoutInCell="1" allowOverlap="1" wp14:anchorId="5C60EFCE" wp14:editId="2A19A781">
          <wp:simplePos x="0" y="0"/>
          <wp:positionH relativeFrom="column">
            <wp:posOffset>-1080135</wp:posOffset>
          </wp:positionH>
          <wp:positionV relativeFrom="paragraph">
            <wp:posOffset>-1080135</wp:posOffset>
          </wp:positionV>
          <wp:extent cx="7579360" cy="1148080"/>
          <wp:effectExtent l="0" t="0" r="2540" b="0"/>
          <wp:wrapNone/>
          <wp:docPr id="26" name="Picture 26" descr="Macintosh HD:Users:hcwang:Documents:My Documents:Current jobs:AIFS:Templates:Style Guide:Revised graphic elements:Graphic-elements-Letterhead.png" title="Australian Institute of Family Studie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cwang:Documents:My Documents:Current jobs:AIFS:Templates:Style Guide:Revised graphic elements:Graphic-elements-Letterhead.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36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r>
      <w:rPr>
        <w:lang w:val="en-AU" w:eastAsia="en-AU"/>
      </w:rPr>
      <w:drawing>
        <wp:anchor distT="0" distB="0" distL="114300" distR="114300" simplePos="0" relativeHeight="251662336" behindDoc="1" locked="0" layoutInCell="1" allowOverlap="1" wp14:anchorId="5C60EFCE" wp14:editId="1E27F02C">
          <wp:simplePos x="0" y="0"/>
          <wp:positionH relativeFrom="column">
            <wp:posOffset>-1080135</wp:posOffset>
          </wp:positionH>
          <wp:positionV relativeFrom="paragraph">
            <wp:posOffset>-1080135</wp:posOffset>
          </wp:positionV>
          <wp:extent cx="7579360" cy="1148080"/>
          <wp:effectExtent l="0" t="0" r="2540" b="0"/>
          <wp:wrapNone/>
          <wp:docPr id="27" name="Picture 27" descr="Macintosh HD:Users:hcwang:Documents:My Documents:Current jobs:AIFS:Templates:Style Guide:Revised graphic elements:Graphic-elements-Letterhead.png" title="Australian Institute of Family Studies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hcwang:Documents:My Documents:Current jobs:AIFS:Templates:Style Guide:Revised graphic elements:Graphic-elements-Letterhead.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79360" cy="114808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C040E604"/>
    <w:lvl w:ilvl="0">
      <w:start w:val="1"/>
      <w:numFmt w:val="bullet"/>
      <w:pStyle w:val="ListBullet2"/>
      <w:lvlText w:val="–"/>
      <w:lvlJc w:val="left"/>
      <w:pPr>
        <w:tabs>
          <w:tab w:val="num" w:pos="851"/>
        </w:tabs>
        <w:ind w:left="851" w:hanging="426"/>
      </w:pPr>
      <w:rPr>
        <w:rFonts w:ascii="Times New Roman" w:hAnsi="Times New Roman" w:cs="Times New Roman" w:hint="default"/>
        <w:color w:val="62136D"/>
      </w:rPr>
    </w:lvl>
  </w:abstractNum>
  <w:abstractNum w:abstractNumId="1" w15:restartNumberingAfterBreak="0">
    <w:nsid w:val="FFFFFF89"/>
    <w:multiLevelType w:val="singleLevel"/>
    <w:tmpl w:val="85C8CEF8"/>
    <w:lvl w:ilvl="0">
      <w:start w:val="1"/>
      <w:numFmt w:val="bullet"/>
      <w:pStyle w:val="ListBullet"/>
      <w:lvlText w:val=""/>
      <w:lvlJc w:val="left"/>
      <w:pPr>
        <w:tabs>
          <w:tab w:val="num" w:pos="425"/>
        </w:tabs>
        <w:ind w:left="425" w:hanging="425"/>
      </w:pPr>
      <w:rPr>
        <w:rFonts w:ascii="Wingdings" w:hAnsi="Wingdings" w:hint="default"/>
        <w:color w:val="62136D"/>
      </w:rPr>
    </w:lvl>
  </w:abstractNum>
  <w:abstractNum w:abstractNumId="2" w15:restartNumberingAfterBreak="0">
    <w:nsid w:val="01276C5F"/>
    <w:multiLevelType w:val="hybridMultilevel"/>
    <w:tmpl w:val="D8B40070"/>
    <w:lvl w:ilvl="0" w:tplc="197E73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172EDD"/>
    <w:multiLevelType w:val="hybridMultilevel"/>
    <w:tmpl w:val="7390D7FC"/>
    <w:lvl w:ilvl="0" w:tplc="99E2ED8A">
      <w:start w:val="1"/>
      <w:numFmt w:val="lowerLetter"/>
      <w:pStyle w:val="ListNumber2"/>
      <w:lvlText w:val="%1."/>
      <w:lvlJc w:val="left"/>
      <w:pPr>
        <w:tabs>
          <w:tab w:val="num" w:pos="851"/>
        </w:tabs>
        <w:ind w:left="851" w:hanging="426"/>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D43A49"/>
    <w:multiLevelType w:val="hybridMultilevel"/>
    <w:tmpl w:val="58345870"/>
    <w:lvl w:ilvl="0" w:tplc="53E00DDC">
      <w:start w:val="1"/>
      <w:numFmt w:val="upperLetter"/>
      <w:pStyle w:val="Heading1Part"/>
      <w:lvlText w:val="Part %1. "/>
      <w:lvlJc w:val="left"/>
      <w:pPr>
        <w:ind w:left="1134" w:hanging="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75D2A98"/>
    <w:multiLevelType w:val="hybridMultilevel"/>
    <w:tmpl w:val="471EC786"/>
    <w:lvl w:ilvl="0" w:tplc="9D30D62E">
      <w:start w:val="1"/>
      <w:numFmt w:val="bullet"/>
      <w:pStyle w:val="TableBullet2"/>
      <w:lvlText w:val="–"/>
      <w:lvlJc w:val="left"/>
      <w:pPr>
        <w:tabs>
          <w:tab w:val="num" w:pos="454"/>
        </w:tabs>
        <w:ind w:left="454" w:hanging="227"/>
      </w:pPr>
      <w:rPr>
        <w:rFonts w:ascii="Times New Roman" w:hAnsi="Times New Roman" w:cs="Times New Roman"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4C508C"/>
    <w:multiLevelType w:val="hybridMultilevel"/>
    <w:tmpl w:val="DFB009DC"/>
    <w:lvl w:ilvl="0" w:tplc="A28410F0">
      <w:start w:val="1"/>
      <w:numFmt w:val="decimal"/>
      <w:pStyle w:val="Heading1Outline"/>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482E27"/>
    <w:multiLevelType w:val="multilevel"/>
    <w:tmpl w:val="7B04B2A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1.%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8" w15:restartNumberingAfterBreak="0">
    <w:nsid w:val="1CF106F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A9E6E83"/>
    <w:multiLevelType w:val="hybridMultilevel"/>
    <w:tmpl w:val="E0DCE402"/>
    <w:lvl w:ilvl="0" w:tplc="BE6A8310">
      <w:start w:val="1"/>
      <w:numFmt w:val="decimal"/>
      <w:pStyle w:val="ListNumber"/>
      <w:lvlText w:val="%1."/>
      <w:lvlJc w:val="left"/>
      <w:pPr>
        <w:tabs>
          <w:tab w:val="num" w:pos="425"/>
        </w:tabs>
        <w:ind w:left="425" w:hanging="425"/>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971636"/>
    <w:multiLevelType w:val="hybridMultilevel"/>
    <w:tmpl w:val="4F943828"/>
    <w:lvl w:ilvl="0" w:tplc="FFD41796">
      <w:start w:val="1"/>
      <w:numFmt w:val="lowerLetter"/>
      <w:pStyle w:val="TableNumber2"/>
      <w:lvlText w:val="%1."/>
      <w:lvlJc w:val="left"/>
      <w:pPr>
        <w:tabs>
          <w:tab w:val="num" w:pos="454"/>
        </w:tabs>
        <w:ind w:left="454" w:hanging="227"/>
      </w:pPr>
      <w:rPr>
        <w:rFonts w:hint="default"/>
        <w:color w:val="62136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9F72F1"/>
    <w:multiLevelType w:val="hybridMultilevel"/>
    <w:tmpl w:val="C714C43C"/>
    <w:lvl w:ilvl="0" w:tplc="9C82C462">
      <w:start w:val="1"/>
      <w:numFmt w:val="decimal"/>
      <w:pStyle w:val="TableNumber1"/>
      <w:lvlText w:val="%1."/>
      <w:lvlJc w:val="left"/>
      <w:pPr>
        <w:tabs>
          <w:tab w:val="num" w:pos="227"/>
        </w:tabs>
        <w:ind w:left="227" w:hanging="227"/>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AA3248"/>
    <w:multiLevelType w:val="hybridMultilevel"/>
    <w:tmpl w:val="119CD3C0"/>
    <w:lvl w:ilvl="0" w:tplc="28BC35F0">
      <w:start w:val="1"/>
      <w:numFmt w:val="bullet"/>
      <w:pStyle w:val="Box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AF7279"/>
    <w:multiLevelType w:val="hybridMultilevel"/>
    <w:tmpl w:val="8378FFC0"/>
    <w:lvl w:ilvl="0" w:tplc="17F09F4C">
      <w:start w:val="1"/>
      <w:numFmt w:val="bullet"/>
      <w:pStyle w:val="CommentTextBullet"/>
      <w:lvlText w:val=""/>
      <w:lvlJc w:val="left"/>
      <w:pPr>
        <w:tabs>
          <w:tab w:val="num" w:pos="227"/>
        </w:tabs>
        <w:ind w:left="227" w:hanging="227"/>
      </w:pPr>
      <w:rPr>
        <w:rFonts w:ascii="Wingdings" w:hAnsi="Wingdings"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F0DBB"/>
    <w:multiLevelType w:val="multilevel"/>
    <w:tmpl w:val="BA56FD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Heading3outline"/>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6C606BDC"/>
    <w:multiLevelType w:val="hybridMultilevel"/>
    <w:tmpl w:val="4FB8C234"/>
    <w:lvl w:ilvl="0" w:tplc="66205060">
      <w:start w:val="1"/>
      <w:numFmt w:val="bullet"/>
      <w:pStyle w:val="TableBullet1"/>
      <w:lvlText w:val=""/>
      <w:lvlJc w:val="left"/>
      <w:pPr>
        <w:tabs>
          <w:tab w:val="num" w:pos="227"/>
        </w:tabs>
        <w:ind w:left="227" w:hanging="227"/>
      </w:pPr>
      <w:rPr>
        <w:rFonts w:ascii="Wingdings" w:hAnsi="Wingdings" w:hint="default"/>
        <w:color w:val="62136D"/>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174EB1"/>
    <w:multiLevelType w:val="hybridMultilevel"/>
    <w:tmpl w:val="E8FC9F34"/>
    <w:lvl w:ilvl="0" w:tplc="3F224BDC">
      <w:start w:val="1"/>
      <w:numFmt w:val="decimal"/>
      <w:pStyle w:val="Box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782EBF"/>
    <w:multiLevelType w:val="multilevel"/>
    <w:tmpl w:val="2716BFA2"/>
    <w:lvl w:ilvl="0">
      <w:start w:val="1"/>
      <w:numFmt w:val="decimal"/>
      <w:lvlText w:val="%1"/>
      <w:lvlJc w:val="left"/>
      <w:pPr>
        <w:ind w:left="432" w:hanging="432"/>
      </w:pPr>
      <w:rPr>
        <w:rFonts w:hint="default"/>
      </w:rPr>
    </w:lvl>
    <w:lvl w:ilvl="1">
      <w:start w:val="1"/>
      <w:numFmt w:val="decimal"/>
      <w:pStyle w:val="Heading2Outline"/>
      <w:lvlText w:val="%1.%2"/>
      <w:lvlJc w:val="left"/>
      <w:pPr>
        <w:ind w:left="576" w:hanging="576"/>
      </w:pPr>
      <w:rPr>
        <w:rFonts w:hint="default"/>
      </w:rPr>
    </w:lvl>
    <w:lvl w:ilvl="2">
      <w:start w:val="1"/>
      <w:numFmt w:val="decimal"/>
      <w:pStyle w:val="heading3outline0"/>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922622C"/>
    <w:multiLevelType w:val="hybridMultilevel"/>
    <w:tmpl w:val="05D86AE2"/>
    <w:lvl w:ilvl="0" w:tplc="83B2BEF2">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9"/>
  </w:num>
  <w:num w:numId="5">
    <w:abstractNumId w:val="5"/>
  </w:num>
  <w:num w:numId="6">
    <w:abstractNumId w:val="15"/>
  </w:num>
  <w:num w:numId="7">
    <w:abstractNumId w:val="13"/>
  </w:num>
  <w:num w:numId="8">
    <w:abstractNumId w:val="10"/>
  </w:num>
  <w:num w:numId="9">
    <w:abstractNumId w:val="11"/>
  </w:num>
  <w:num w:numId="10">
    <w:abstractNumId w:val="4"/>
  </w:num>
  <w:num w:numId="11">
    <w:abstractNumId w:val="2"/>
  </w:num>
  <w:num w:numId="12">
    <w:abstractNumId w:val="8"/>
  </w:num>
  <w:num w:numId="13">
    <w:abstractNumId w:val="7"/>
  </w:num>
  <w:num w:numId="14">
    <w:abstractNumId w:val="14"/>
  </w:num>
  <w:num w:numId="15">
    <w:abstractNumId w:val="17"/>
  </w:num>
  <w:num w:numId="16">
    <w:abstractNumId w:val="6"/>
  </w:num>
  <w:num w:numId="17">
    <w:abstractNumId w:val="12"/>
  </w:num>
  <w:num w:numId="18">
    <w:abstractNumId w:val="16"/>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454"/>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3B2"/>
    <w:rsid w:val="00000025"/>
    <w:rsid w:val="00007576"/>
    <w:rsid w:val="0001407E"/>
    <w:rsid w:val="00014A0D"/>
    <w:rsid w:val="00014F4D"/>
    <w:rsid w:val="000234B2"/>
    <w:rsid w:val="00027138"/>
    <w:rsid w:val="000323CF"/>
    <w:rsid w:val="00034106"/>
    <w:rsid w:val="00036D29"/>
    <w:rsid w:val="000419B9"/>
    <w:rsid w:val="00042702"/>
    <w:rsid w:val="0004334E"/>
    <w:rsid w:val="000436A3"/>
    <w:rsid w:val="000437E6"/>
    <w:rsid w:val="00044B95"/>
    <w:rsid w:val="00051D6C"/>
    <w:rsid w:val="00052A93"/>
    <w:rsid w:val="00054BD7"/>
    <w:rsid w:val="00054FB4"/>
    <w:rsid w:val="000603C2"/>
    <w:rsid w:val="0006109E"/>
    <w:rsid w:val="00061676"/>
    <w:rsid w:val="00064814"/>
    <w:rsid w:val="000728D3"/>
    <w:rsid w:val="00072B11"/>
    <w:rsid w:val="00074BC2"/>
    <w:rsid w:val="0007515C"/>
    <w:rsid w:val="000759F1"/>
    <w:rsid w:val="00076C32"/>
    <w:rsid w:val="00076E29"/>
    <w:rsid w:val="000774F2"/>
    <w:rsid w:val="0008080D"/>
    <w:rsid w:val="00081A76"/>
    <w:rsid w:val="0008586E"/>
    <w:rsid w:val="00085B1A"/>
    <w:rsid w:val="00085D1A"/>
    <w:rsid w:val="0008644A"/>
    <w:rsid w:val="00087218"/>
    <w:rsid w:val="0008793B"/>
    <w:rsid w:val="0009372B"/>
    <w:rsid w:val="00094192"/>
    <w:rsid w:val="000949A9"/>
    <w:rsid w:val="00094E7D"/>
    <w:rsid w:val="00094F4C"/>
    <w:rsid w:val="000A13D8"/>
    <w:rsid w:val="000A387C"/>
    <w:rsid w:val="000A44A1"/>
    <w:rsid w:val="000A5781"/>
    <w:rsid w:val="000A6D01"/>
    <w:rsid w:val="000A7A76"/>
    <w:rsid w:val="000B08C6"/>
    <w:rsid w:val="000B5128"/>
    <w:rsid w:val="000C5D8B"/>
    <w:rsid w:val="000C61BD"/>
    <w:rsid w:val="000C7EA3"/>
    <w:rsid w:val="000D0E7C"/>
    <w:rsid w:val="000D0E99"/>
    <w:rsid w:val="000D12D9"/>
    <w:rsid w:val="000D358F"/>
    <w:rsid w:val="000D48CF"/>
    <w:rsid w:val="000D58EC"/>
    <w:rsid w:val="000E1FF8"/>
    <w:rsid w:val="000E2A77"/>
    <w:rsid w:val="000E52A7"/>
    <w:rsid w:val="000E632D"/>
    <w:rsid w:val="000F03A5"/>
    <w:rsid w:val="000F0972"/>
    <w:rsid w:val="000F1288"/>
    <w:rsid w:val="000F207C"/>
    <w:rsid w:val="000F40D6"/>
    <w:rsid w:val="000F5EC7"/>
    <w:rsid w:val="000F707E"/>
    <w:rsid w:val="001012B2"/>
    <w:rsid w:val="00104A0A"/>
    <w:rsid w:val="0011084D"/>
    <w:rsid w:val="0011139C"/>
    <w:rsid w:val="00113D8C"/>
    <w:rsid w:val="00115CBA"/>
    <w:rsid w:val="001202FA"/>
    <w:rsid w:val="0012045A"/>
    <w:rsid w:val="00120D66"/>
    <w:rsid w:val="00127131"/>
    <w:rsid w:val="00130336"/>
    <w:rsid w:val="001309D1"/>
    <w:rsid w:val="00130D27"/>
    <w:rsid w:val="001312C2"/>
    <w:rsid w:val="00131FDE"/>
    <w:rsid w:val="0013246B"/>
    <w:rsid w:val="00133A81"/>
    <w:rsid w:val="0013519D"/>
    <w:rsid w:val="00135FC2"/>
    <w:rsid w:val="001400BA"/>
    <w:rsid w:val="001405A9"/>
    <w:rsid w:val="001422DD"/>
    <w:rsid w:val="00142F03"/>
    <w:rsid w:val="00143AE3"/>
    <w:rsid w:val="0014636E"/>
    <w:rsid w:val="0014668B"/>
    <w:rsid w:val="00151D81"/>
    <w:rsid w:val="00154AF8"/>
    <w:rsid w:val="001551F3"/>
    <w:rsid w:val="0015699E"/>
    <w:rsid w:val="001578D8"/>
    <w:rsid w:val="00163608"/>
    <w:rsid w:val="00163B5C"/>
    <w:rsid w:val="001647BF"/>
    <w:rsid w:val="00171233"/>
    <w:rsid w:val="0017205F"/>
    <w:rsid w:val="00172C89"/>
    <w:rsid w:val="00172CC9"/>
    <w:rsid w:val="00172CDF"/>
    <w:rsid w:val="00173436"/>
    <w:rsid w:val="00173CA3"/>
    <w:rsid w:val="00176339"/>
    <w:rsid w:val="00180989"/>
    <w:rsid w:val="00181407"/>
    <w:rsid w:val="0018194E"/>
    <w:rsid w:val="00182F4E"/>
    <w:rsid w:val="00182F73"/>
    <w:rsid w:val="0018344E"/>
    <w:rsid w:val="00183C3F"/>
    <w:rsid w:val="00184107"/>
    <w:rsid w:val="00184EE8"/>
    <w:rsid w:val="00185259"/>
    <w:rsid w:val="0019049F"/>
    <w:rsid w:val="001952D2"/>
    <w:rsid w:val="0019749C"/>
    <w:rsid w:val="001A1097"/>
    <w:rsid w:val="001A1BE6"/>
    <w:rsid w:val="001A1EFF"/>
    <w:rsid w:val="001A2A21"/>
    <w:rsid w:val="001A4439"/>
    <w:rsid w:val="001A4A3D"/>
    <w:rsid w:val="001A6FFF"/>
    <w:rsid w:val="001B33F5"/>
    <w:rsid w:val="001B3CF9"/>
    <w:rsid w:val="001B4317"/>
    <w:rsid w:val="001B4334"/>
    <w:rsid w:val="001B4A4B"/>
    <w:rsid w:val="001B5DB9"/>
    <w:rsid w:val="001B6654"/>
    <w:rsid w:val="001B6902"/>
    <w:rsid w:val="001B6BBE"/>
    <w:rsid w:val="001B74BE"/>
    <w:rsid w:val="001B7797"/>
    <w:rsid w:val="001C6065"/>
    <w:rsid w:val="001C69A9"/>
    <w:rsid w:val="001D041B"/>
    <w:rsid w:val="001D176F"/>
    <w:rsid w:val="001D564F"/>
    <w:rsid w:val="001D59FD"/>
    <w:rsid w:val="001D5DA9"/>
    <w:rsid w:val="001D62E1"/>
    <w:rsid w:val="001D7226"/>
    <w:rsid w:val="001E1ECD"/>
    <w:rsid w:val="001E2FE3"/>
    <w:rsid w:val="001E38EF"/>
    <w:rsid w:val="001E3A70"/>
    <w:rsid w:val="001E3FEE"/>
    <w:rsid w:val="001E49A5"/>
    <w:rsid w:val="001E556A"/>
    <w:rsid w:val="001E5903"/>
    <w:rsid w:val="001E778D"/>
    <w:rsid w:val="001F09CB"/>
    <w:rsid w:val="001F2934"/>
    <w:rsid w:val="001F451E"/>
    <w:rsid w:val="001F4D06"/>
    <w:rsid w:val="001F5C06"/>
    <w:rsid w:val="001F6743"/>
    <w:rsid w:val="001F74D3"/>
    <w:rsid w:val="00200CAF"/>
    <w:rsid w:val="00202207"/>
    <w:rsid w:val="0020389F"/>
    <w:rsid w:val="00214DB0"/>
    <w:rsid w:val="0021672E"/>
    <w:rsid w:val="00216D6D"/>
    <w:rsid w:val="00222EB5"/>
    <w:rsid w:val="002240B6"/>
    <w:rsid w:val="00230ADC"/>
    <w:rsid w:val="00230C71"/>
    <w:rsid w:val="00230CA1"/>
    <w:rsid w:val="00231D1F"/>
    <w:rsid w:val="00232F81"/>
    <w:rsid w:val="0023391C"/>
    <w:rsid w:val="00236C9E"/>
    <w:rsid w:val="0024278A"/>
    <w:rsid w:val="0024290F"/>
    <w:rsid w:val="00242A7E"/>
    <w:rsid w:val="00242D33"/>
    <w:rsid w:val="00244776"/>
    <w:rsid w:val="0024538A"/>
    <w:rsid w:val="0025063F"/>
    <w:rsid w:val="00252337"/>
    <w:rsid w:val="00252F37"/>
    <w:rsid w:val="00254353"/>
    <w:rsid w:val="00255C54"/>
    <w:rsid w:val="00256217"/>
    <w:rsid w:val="0025682D"/>
    <w:rsid w:val="002677DE"/>
    <w:rsid w:val="00267939"/>
    <w:rsid w:val="00267E2C"/>
    <w:rsid w:val="002723EF"/>
    <w:rsid w:val="00272A73"/>
    <w:rsid w:val="002741E3"/>
    <w:rsid w:val="00274DE2"/>
    <w:rsid w:val="00275782"/>
    <w:rsid w:val="002777A6"/>
    <w:rsid w:val="00277983"/>
    <w:rsid w:val="002805D2"/>
    <w:rsid w:val="002810FA"/>
    <w:rsid w:val="002819CE"/>
    <w:rsid w:val="00281CC3"/>
    <w:rsid w:val="0028357E"/>
    <w:rsid w:val="00283E5E"/>
    <w:rsid w:val="002842C0"/>
    <w:rsid w:val="00284712"/>
    <w:rsid w:val="00284ECF"/>
    <w:rsid w:val="00285C34"/>
    <w:rsid w:val="00287332"/>
    <w:rsid w:val="00290852"/>
    <w:rsid w:val="0029193B"/>
    <w:rsid w:val="00293EA0"/>
    <w:rsid w:val="00294AEF"/>
    <w:rsid w:val="00294E3F"/>
    <w:rsid w:val="0029508F"/>
    <w:rsid w:val="002A177C"/>
    <w:rsid w:val="002A32C7"/>
    <w:rsid w:val="002A6314"/>
    <w:rsid w:val="002A7720"/>
    <w:rsid w:val="002B2446"/>
    <w:rsid w:val="002B264F"/>
    <w:rsid w:val="002B7A44"/>
    <w:rsid w:val="002C1978"/>
    <w:rsid w:val="002C204E"/>
    <w:rsid w:val="002C3A2F"/>
    <w:rsid w:val="002C4DE5"/>
    <w:rsid w:val="002C4FC0"/>
    <w:rsid w:val="002D1848"/>
    <w:rsid w:val="002D25D6"/>
    <w:rsid w:val="002D48EC"/>
    <w:rsid w:val="002D52A7"/>
    <w:rsid w:val="002D55E6"/>
    <w:rsid w:val="002D5C2B"/>
    <w:rsid w:val="002D76CD"/>
    <w:rsid w:val="002D7C4A"/>
    <w:rsid w:val="002E036C"/>
    <w:rsid w:val="002E2F31"/>
    <w:rsid w:val="002E4590"/>
    <w:rsid w:val="002E4700"/>
    <w:rsid w:val="002E4AEA"/>
    <w:rsid w:val="002E5089"/>
    <w:rsid w:val="002E5626"/>
    <w:rsid w:val="002E68FB"/>
    <w:rsid w:val="002E7564"/>
    <w:rsid w:val="002E7579"/>
    <w:rsid w:val="002F02D6"/>
    <w:rsid w:val="002F1970"/>
    <w:rsid w:val="002F2343"/>
    <w:rsid w:val="002F2B11"/>
    <w:rsid w:val="002F3693"/>
    <w:rsid w:val="002F38A6"/>
    <w:rsid w:val="002F44CC"/>
    <w:rsid w:val="002F567A"/>
    <w:rsid w:val="002F618C"/>
    <w:rsid w:val="002F774A"/>
    <w:rsid w:val="002F7C97"/>
    <w:rsid w:val="0030056F"/>
    <w:rsid w:val="0030560E"/>
    <w:rsid w:val="003063D0"/>
    <w:rsid w:val="00310121"/>
    <w:rsid w:val="003156C3"/>
    <w:rsid w:val="00316E14"/>
    <w:rsid w:val="00321EBD"/>
    <w:rsid w:val="003235C8"/>
    <w:rsid w:val="00325F1E"/>
    <w:rsid w:val="00326AC1"/>
    <w:rsid w:val="003274AD"/>
    <w:rsid w:val="00327C66"/>
    <w:rsid w:val="00333D37"/>
    <w:rsid w:val="0033489D"/>
    <w:rsid w:val="0033667F"/>
    <w:rsid w:val="0034454A"/>
    <w:rsid w:val="003505D5"/>
    <w:rsid w:val="00350B03"/>
    <w:rsid w:val="0035155C"/>
    <w:rsid w:val="0035277B"/>
    <w:rsid w:val="00352887"/>
    <w:rsid w:val="00354BBD"/>
    <w:rsid w:val="00354C58"/>
    <w:rsid w:val="00356855"/>
    <w:rsid w:val="00356CE2"/>
    <w:rsid w:val="00356F0E"/>
    <w:rsid w:val="00357014"/>
    <w:rsid w:val="00357A3C"/>
    <w:rsid w:val="00360068"/>
    <w:rsid w:val="0036418A"/>
    <w:rsid w:val="00365053"/>
    <w:rsid w:val="00366D89"/>
    <w:rsid w:val="00367838"/>
    <w:rsid w:val="003709EA"/>
    <w:rsid w:val="00370F6B"/>
    <w:rsid w:val="00371A15"/>
    <w:rsid w:val="00376963"/>
    <w:rsid w:val="00377857"/>
    <w:rsid w:val="0038038C"/>
    <w:rsid w:val="00380FCF"/>
    <w:rsid w:val="00384490"/>
    <w:rsid w:val="00385553"/>
    <w:rsid w:val="00385D1F"/>
    <w:rsid w:val="00387F86"/>
    <w:rsid w:val="00390FF0"/>
    <w:rsid w:val="0039355C"/>
    <w:rsid w:val="00395628"/>
    <w:rsid w:val="00396F15"/>
    <w:rsid w:val="003A2A5D"/>
    <w:rsid w:val="003A2FE4"/>
    <w:rsid w:val="003A7986"/>
    <w:rsid w:val="003A7C9F"/>
    <w:rsid w:val="003B09C2"/>
    <w:rsid w:val="003B0E13"/>
    <w:rsid w:val="003B2D9A"/>
    <w:rsid w:val="003B36FC"/>
    <w:rsid w:val="003B4E97"/>
    <w:rsid w:val="003B567D"/>
    <w:rsid w:val="003B7BFC"/>
    <w:rsid w:val="003C37C3"/>
    <w:rsid w:val="003C46A4"/>
    <w:rsid w:val="003C72B5"/>
    <w:rsid w:val="003D095D"/>
    <w:rsid w:val="003D4139"/>
    <w:rsid w:val="003D78A2"/>
    <w:rsid w:val="003D7DBC"/>
    <w:rsid w:val="003E0113"/>
    <w:rsid w:val="003E0927"/>
    <w:rsid w:val="003E18DF"/>
    <w:rsid w:val="003E49EB"/>
    <w:rsid w:val="003E6463"/>
    <w:rsid w:val="003E7056"/>
    <w:rsid w:val="003E77DF"/>
    <w:rsid w:val="00400DDD"/>
    <w:rsid w:val="00401D4E"/>
    <w:rsid w:val="004025F6"/>
    <w:rsid w:val="00403DC1"/>
    <w:rsid w:val="00406A44"/>
    <w:rsid w:val="00407CC7"/>
    <w:rsid w:val="00411111"/>
    <w:rsid w:val="00411267"/>
    <w:rsid w:val="00411915"/>
    <w:rsid w:val="00411D27"/>
    <w:rsid w:val="00411FD9"/>
    <w:rsid w:val="004130FD"/>
    <w:rsid w:val="00414658"/>
    <w:rsid w:val="00414E77"/>
    <w:rsid w:val="004156F9"/>
    <w:rsid w:val="00415989"/>
    <w:rsid w:val="00415C73"/>
    <w:rsid w:val="00420E70"/>
    <w:rsid w:val="00422E22"/>
    <w:rsid w:val="0042429E"/>
    <w:rsid w:val="00424E08"/>
    <w:rsid w:val="00426BD3"/>
    <w:rsid w:val="00431CA5"/>
    <w:rsid w:val="004321BD"/>
    <w:rsid w:val="00434C19"/>
    <w:rsid w:val="00435456"/>
    <w:rsid w:val="00435CD4"/>
    <w:rsid w:val="00435DF7"/>
    <w:rsid w:val="00436358"/>
    <w:rsid w:val="0043636E"/>
    <w:rsid w:val="004364F5"/>
    <w:rsid w:val="00437E24"/>
    <w:rsid w:val="00440B03"/>
    <w:rsid w:val="004447AC"/>
    <w:rsid w:val="004503A2"/>
    <w:rsid w:val="0045401A"/>
    <w:rsid w:val="00454A33"/>
    <w:rsid w:val="00455333"/>
    <w:rsid w:val="004566A3"/>
    <w:rsid w:val="004567D0"/>
    <w:rsid w:val="0045701C"/>
    <w:rsid w:val="00460A92"/>
    <w:rsid w:val="004615BB"/>
    <w:rsid w:val="00461C0B"/>
    <w:rsid w:val="004634D3"/>
    <w:rsid w:val="004643E0"/>
    <w:rsid w:val="004659A5"/>
    <w:rsid w:val="00465FFA"/>
    <w:rsid w:val="00466A7F"/>
    <w:rsid w:val="00466D76"/>
    <w:rsid w:val="00467692"/>
    <w:rsid w:val="0046796C"/>
    <w:rsid w:val="00472679"/>
    <w:rsid w:val="0047548F"/>
    <w:rsid w:val="0048131F"/>
    <w:rsid w:val="004813E9"/>
    <w:rsid w:val="00481ECC"/>
    <w:rsid w:val="00482E94"/>
    <w:rsid w:val="0048571F"/>
    <w:rsid w:val="004868D4"/>
    <w:rsid w:val="00486C97"/>
    <w:rsid w:val="00491590"/>
    <w:rsid w:val="004919B6"/>
    <w:rsid w:val="00492367"/>
    <w:rsid w:val="0049287F"/>
    <w:rsid w:val="00492E21"/>
    <w:rsid w:val="004A3103"/>
    <w:rsid w:val="004A4812"/>
    <w:rsid w:val="004A704D"/>
    <w:rsid w:val="004A715A"/>
    <w:rsid w:val="004B0678"/>
    <w:rsid w:val="004B1437"/>
    <w:rsid w:val="004B26AC"/>
    <w:rsid w:val="004B331F"/>
    <w:rsid w:val="004B3D64"/>
    <w:rsid w:val="004B78E0"/>
    <w:rsid w:val="004C10BD"/>
    <w:rsid w:val="004C4B91"/>
    <w:rsid w:val="004C4DDD"/>
    <w:rsid w:val="004C7517"/>
    <w:rsid w:val="004D024D"/>
    <w:rsid w:val="004D1910"/>
    <w:rsid w:val="004D4B2C"/>
    <w:rsid w:val="004D6142"/>
    <w:rsid w:val="004E3A24"/>
    <w:rsid w:val="004E5151"/>
    <w:rsid w:val="004F1D88"/>
    <w:rsid w:val="004F27B4"/>
    <w:rsid w:val="004F349D"/>
    <w:rsid w:val="004F3852"/>
    <w:rsid w:val="004F49B4"/>
    <w:rsid w:val="004F4C2A"/>
    <w:rsid w:val="004F6E2C"/>
    <w:rsid w:val="0050178D"/>
    <w:rsid w:val="00501BF5"/>
    <w:rsid w:val="00502BDF"/>
    <w:rsid w:val="00505E38"/>
    <w:rsid w:val="00506A7A"/>
    <w:rsid w:val="0051108C"/>
    <w:rsid w:val="00511782"/>
    <w:rsid w:val="00513734"/>
    <w:rsid w:val="00513B1A"/>
    <w:rsid w:val="00514012"/>
    <w:rsid w:val="00514E0C"/>
    <w:rsid w:val="00515508"/>
    <w:rsid w:val="005166E5"/>
    <w:rsid w:val="00516D33"/>
    <w:rsid w:val="0052122C"/>
    <w:rsid w:val="00523E84"/>
    <w:rsid w:val="00523E94"/>
    <w:rsid w:val="0052552F"/>
    <w:rsid w:val="00526710"/>
    <w:rsid w:val="00526EC6"/>
    <w:rsid w:val="00531293"/>
    <w:rsid w:val="00532372"/>
    <w:rsid w:val="00533534"/>
    <w:rsid w:val="0053447A"/>
    <w:rsid w:val="005403FA"/>
    <w:rsid w:val="0054088A"/>
    <w:rsid w:val="00544902"/>
    <w:rsid w:val="00545404"/>
    <w:rsid w:val="00547C1F"/>
    <w:rsid w:val="005501B1"/>
    <w:rsid w:val="00550B2E"/>
    <w:rsid w:val="00552DA7"/>
    <w:rsid w:val="00552FEC"/>
    <w:rsid w:val="005545FD"/>
    <w:rsid w:val="00556897"/>
    <w:rsid w:val="0055735D"/>
    <w:rsid w:val="00560F63"/>
    <w:rsid w:val="005620D6"/>
    <w:rsid w:val="00562107"/>
    <w:rsid w:val="00566303"/>
    <w:rsid w:val="0057013A"/>
    <w:rsid w:val="00570E68"/>
    <w:rsid w:val="00573E07"/>
    <w:rsid w:val="00580B70"/>
    <w:rsid w:val="00582D82"/>
    <w:rsid w:val="005841F1"/>
    <w:rsid w:val="0059063A"/>
    <w:rsid w:val="00591CC2"/>
    <w:rsid w:val="0059266E"/>
    <w:rsid w:val="005931CC"/>
    <w:rsid w:val="00594394"/>
    <w:rsid w:val="00596E84"/>
    <w:rsid w:val="00597222"/>
    <w:rsid w:val="005A1A29"/>
    <w:rsid w:val="005A1CDE"/>
    <w:rsid w:val="005A66D3"/>
    <w:rsid w:val="005A7CEE"/>
    <w:rsid w:val="005B243B"/>
    <w:rsid w:val="005B45EE"/>
    <w:rsid w:val="005B5FAF"/>
    <w:rsid w:val="005B7DDB"/>
    <w:rsid w:val="005C0939"/>
    <w:rsid w:val="005C5559"/>
    <w:rsid w:val="005C55A9"/>
    <w:rsid w:val="005C5D13"/>
    <w:rsid w:val="005C6A03"/>
    <w:rsid w:val="005D05BC"/>
    <w:rsid w:val="005D0819"/>
    <w:rsid w:val="005D239F"/>
    <w:rsid w:val="005D2799"/>
    <w:rsid w:val="005D3C49"/>
    <w:rsid w:val="005D45EF"/>
    <w:rsid w:val="005D6D6E"/>
    <w:rsid w:val="005D6FE8"/>
    <w:rsid w:val="005E127C"/>
    <w:rsid w:val="005E1C8B"/>
    <w:rsid w:val="005E2895"/>
    <w:rsid w:val="005F2DB7"/>
    <w:rsid w:val="005F3B55"/>
    <w:rsid w:val="005F6CBA"/>
    <w:rsid w:val="005F7557"/>
    <w:rsid w:val="0060053F"/>
    <w:rsid w:val="0060169D"/>
    <w:rsid w:val="00602652"/>
    <w:rsid w:val="00602D3C"/>
    <w:rsid w:val="006042B2"/>
    <w:rsid w:val="0060563C"/>
    <w:rsid w:val="00606139"/>
    <w:rsid w:val="00614398"/>
    <w:rsid w:val="0061562B"/>
    <w:rsid w:val="006209D9"/>
    <w:rsid w:val="00623446"/>
    <w:rsid w:val="00624A1F"/>
    <w:rsid w:val="00625D03"/>
    <w:rsid w:val="00626CB5"/>
    <w:rsid w:val="006324F8"/>
    <w:rsid w:val="00634949"/>
    <w:rsid w:val="00636093"/>
    <w:rsid w:val="0063712E"/>
    <w:rsid w:val="00637C93"/>
    <w:rsid w:val="006406AA"/>
    <w:rsid w:val="006426E0"/>
    <w:rsid w:val="00643186"/>
    <w:rsid w:val="00643578"/>
    <w:rsid w:val="00643658"/>
    <w:rsid w:val="00645CEE"/>
    <w:rsid w:val="00645DD5"/>
    <w:rsid w:val="006532A2"/>
    <w:rsid w:val="00654B97"/>
    <w:rsid w:val="00660D00"/>
    <w:rsid w:val="0066247E"/>
    <w:rsid w:val="006625CF"/>
    <w:rsid w:val="00662706"/>
    <w:rsid w:val="00662CE2"/>
    <w:rsid w:val="00664E64"/>
    <w:rsid w:val="006665A8"/>
    <w:rsid w:val="00671CA9"/>
    <w:rsid w:val="00673790"/>
    <w:rsid w:val="006740D5"/>
    <w:rsid w:val="0067455F"/>
    <w:rsid w:val="006764C7"/>
    <w:rsid w:val="006819D7"/>
    <w:rsid w:val="00681EBC"/>
    <w:rsid w:val="0068295D"/>
    <w:rsid w:val="006830ED"/>
    <w:rsid w:val="00683DC2"/>
    <w:rsid w:val="00687049"/>
    <w:rsid w:val="00687EB5"/>
    <w:rsid w:val="006922B3"/>
    <w:rsid w:val="00693052"/>
    <w:rsid w:val="006953CA"/>
    <w:rsid w:val="00695A11"/>
    <w:rsid w:val="006A535F"/>
    <w:rsid w:val="006A58B5"/>
    <w:rsid w:val="006A6F4F"/>
    <w:rsid w:val="006A73E4"/>
    <w:rsid w:val="006A7ADA"/>
    <w:rsid w:val="006B1160"/>
    <w:rsid w:val="006B4625"/>
    <w:rsid w:val="006B486B"/>
    <w:rsid w:val="006B55C4"/>
    <w:rsid w:val="006B60B2"/>
    <w:rsid w:val="006B6D15"/>
    <w:rsid w:val="006B6F31"/>
    <w:rsid w:val="006B7DE7"/>
    <w:rsid w:val="006C0471"/>
    <w:rsid w:val="006C04B8"/>
    <w:rsid w:val="006C1748"/>
    <w:rsid w:val="006C19C7"/>
    <w:rsid w:val="006C1D0B"/>
    <w:rsid w:val="006C1F42"/>
    <w:rsid w:val="006C27C9"/>
    <w:rsid w:val="006C6F6B"/>
    <w:rsid w:val="006D0E8E"/>
    <w:rsid w:val="006D1139"/>
    <w:rsid w:val="006D2BE4"/>
    <w:rsid w:val="006D4EB2"/>
    <w:rsid w:val="006D5DD0"/>
    <w:rsid w:val="006D6E51"/>
    <w:rsid w:val="006D7B1A"/>
    <w:rsid w:val="006E7D47"/>
    <w:rsid w:val="006F1A19"/>
    <w:rsid w:val="006F4038"/>
    <w:rsid w:val="006F5BB1"/>
    <w:rsid w:val="006F5F49"/>
    <w:rsid w:val="007009BD"/>
    <w:rsid w:val="00701E45"/>
    <w:rsid w:val="00702A72"/>
    <w:rsid w:val="007063C6"/>
    <w:rsid w:val="007076D9"/>
    <w:rsid w:val="00707BD9"/>
    <w:rsid w:val="007129BA"/>
    <w:rsid w:val="00713EAB"/>
    <w:rsid w:val="0071411A"/>
    <w:rsid w:val="00720B8F"/>
    <w:rsid w:val="00721D8A"/>
    <w:rsid w:val="00724107"/>
    <w:rsid w:val="00724244"/>
    <w:rsid w:val="00726FB5"/>
    <w:rsid w:val="00730D5A"/>
    <w:rsid w:val="00732C96"/>
    <w:rsid w:val="0073428C"/>
    <w:rsid w:val="00734A41"/>
    <w:rsid w:val="0074168E"/>
    <w:rsid w:val="0074183D"/>
    <w:rsid w:val="0074290C"/>
    <w:rsid w:val="0074304D"/>
    <w:rsid w:val="00744912"/>
    <w:rsid w:val="00745019"/>
    <w:rsid w:val="00745C56"/>
    <w:rsid w:val="00745E8F"/>
    <w:rsid w:val="007470F5"/>
    <w:rsid w:val="00747ADB"/>
    <w:rsid w:val="00750CDE"/>
    <w:rsid w:val="007519BD"/>
    <w:rsid w:val="00754F58"/>
    <w:rsid w:val="007552FD"/>
    <w:rsid w:val="0075534F"/>
    <w:rsid w:val="00757BC6"/>
    <w:rsid w:val="00760B30"/>
    <w:rsid w:val="00762A4C"/>
    <w:rsid w:val="0076308F"/>
    <w:rsid w:val="007649F2"/>
    <w:rsid w:val="0077252E"/>
    <w:rsid w:val="00774D3B"/>
    <w:rsid w:val="007771AA"/>
    <w:rsid w:val="00777624"/>
    <w:rsid w:val="00777971"/>
    <w:rsid w:val="00777996"/>
    <w:rsid w:val="00780A41"/>
    <w:rsid w:val="00780AD3"/>
    <w:rsid w:val="00781244"/>
    <w:rsid w:val="00782ED0"/>
    <w:rsid w:val="00784A9B"/>
    <w:rsid w:val="007873DB"/>
    <w:rsid w:val="00790E98"/>
    <w:rsid w:val="00790F99"/>
    <w:rsid w:val="007918AD"/>
    <w:rsid w:val="00791E8B"/>
    <w:rsid w:val="007929DD"/>
    <w:rsid w:val="0079372B"/>
    <w:rsid w:val="007960FA"/>
    <w:rsid w:val="007971B1"/>
    <w:rsid w:val="007A46A6"/>
    <w:rsid w:val="007A4DAA"/>
    <w:rsid w:val="007A76C5"/>
    <w:rsid w:val="007B2CEE"/>
    <w:rsid w:val="007B4502"/>
    <w:rsid w:val="007B4819"/>
    <w:rsid w:val="007B5F7A"/>
    <w:rsid w:val="007B710B"/>
    <w:rsid w:val="007C06BD"/>
    <w:rsid w:val="007C2327"/>
    <w:rsid w:val="007C44EA"/>
    <w:rsid w:val="007C61E2"/>
    <w:rsid w:val="007D267C"/>
    <w:rsid w:val="007D3D04"/>
    <w:rsid w:val="007D50DB"/>
    <w:rsid w:val="007D624D"/>
    <w:rsid w:val="007E0B73"/>
    <w:rsid w:val="007E3921"/>
    <w:rsid w:val="007E439A"/>
    <w:rsid w:val="007E4D5B"/>
    <w:rsid w:val="007E6CF2"/>
    <w:rsid w:val="007F05A9"/>
    <w:rsid w:val="00802EA0"/>
    <w:rsid w:val="00807641"/>
    <w:rsid w:val="008103E0"/>
    <w:rsid w:val="0081108A"/>
    <w:rsid w:val="00811855"/>
    <w:rsid w:val="0081200B"/>
    <w:rsid w:val="008128E5"/>
    <w:rsid w:val="00812FF9"/>
    <w:rsid w:val="008138F0"/>
    <w:rsid w:val="00817361"/>
    <w:rsid w:val="008178EB"/>
    <w:rsid w:val="00817B59"/>
    <w:rsid w:val="00821340"/>
    <w:rsid w:val="00827A8C"/>
    <w:rsid w:val="00830E46"/>
    <w:rsid w:val="00830FB1"/>
    <w:rsid w:val="0083280D"/>
    <w:rsid w:val="00832DD4"/>
    <w:rsid w:val="008331D0"/>
    <w:rsid w:val="00834CB4"/>
    <w:rsid w:val="008373CC"/>
    <w:rsid w:val="00841155"/>
    <w:rsid w:val="0084251B"/>
    <w:rsid w:val="008457B8"/>
    <w:rsid w:val="00854714"/>
    <w:rsid w:val="00854CDC"/>
    <w:rsid w:val="00862306"/>
    <w:rsid w:val="008627D2"/>
    <w:rsid w:val="0086307A"/>
    <w:rsid w:val="008651C4"/>
    <w:rsid w:val="00865C89"/>
    <w:rsid w:val="008660BE"/>
    <w:rsid w:val="00874A80"/>
    <w:rsid w:val="00875195"/>
    <w:rsid w:val="00875862"/>
    <w:rsid w:val="00876C3A"/>
    <w:rsid w:val="00882E15"/>
    <w:rsid w:val="0088391F"/>
    <w:rsid w:val="00883CA4"/>
    <w:rsid w:val="00885EDB"/>
    <w:rsid w:val="00891F38"/>
    <w:rsid w:val="008928F8"/>
    <w:rsid w:val="008939E6"/>
    <w:rsid w:val="00895076"/>
    <w:rsid w:val="00896080"/>
    <w:rsid w:val="00896CC0"/>
    <w:rsid w:val="008A0860"/>
    <w:rsid w:val="008A2CBD"/>
    <w:rsid w:val="008A368C"/>
    <w:rsid w:val="008A7C2E"/>
    <w:rsid w:val="008B37CC"/>
    <w:rsid w:val="008C0120"/>
    <w:rsid w:val="008C0FF9"/>
    <w:rsid w:val="008C2060"/>
    <w:rsid w:val="008C20B5"/>
    <w:rsid w:val="008C220B"/>
    <w:rsid w:val="008C3543"/>
    <w:rsid w:val="008C3BA2"/>
    <w:rsid w:val="008C765D"/>
    <w:rsid w:val="008D14DD"/>
    <w:rsid w:val="008D178F"/>
    <w:rsid w:val="008D1E16"/>
    <w:rsid w:val="008D5256"/>
    <w:rsid w:val="008D5DEF"/>
    <w:rsid w:val="008D7F6A"/>
    <w:rsid w:val="008E07A0"/>
    <w:rsid w:val="008E07B7"/>
    <w:rsid w:val="008E2313"/>
    <w:rsid w:val="008E244D"/>
    <w:rsid w:val="008E4D76"/>
    <w:rsid w:val="008E4F00"/>
    <w:rsid w:val="008E6D01"/>
    <w:rsid w:val="009004EA"/>
    <w:rsid w:val="00900A21"/>
    <w:rsid w:val="009029FF"/>
    <w:rsid w:val="00902D66"/>
    <w:rsid w:val="009033B5"/>
    <w:rsid w:val="00903AE5"/>
    <w:rsid w:val="00903BCE"/>
    <w:rsid w:val="0090491B"/>
    <w:rsid w:val="00905C97"/>
    <w:rsid w:val="009060FA"/>
    <w:rsid w:val="0090617A"/>
    <w:rsid w:val="009063C9"/>
    <w:rsid w:val="00906917"/>
    <w:rsid w:val="00907197"/>
    <w:rsid w:val="009103F5"/>
    <w:rsid w:val="00910643"/>
    <w:rsid w:val="00911089"/>
    <w:rsid w:val="009117A7"/>
    <w:rsid w:val="00912622"/>
    <w:rsid w:val="00912846"/>
    <w:rsid w:val="00912EFE"/>
    <w:rsid w:val="009142C7"/>
    <w:rsid w:val="00914774"/>
    <w:rsid w:val="00914CEA"/>
    <w:rsid w:val="00915A4C"/>
    <w:rsid w:val="00915C40"/>
    <w:rsid w:val="00915D1F"/>
    <w:rsid w:val="00921D75"/>
    <w:rsid w:val="00923B08"/>
    <w:rsid w:val="009306A7"/>
    <w:rsid w:val="0093104D"/>
    <w:rsid w:val="009336C8"/>
    <w:rsid w:val="0093544A"/>
    <w:rsid w:val="009416E4"/>
    <w:rsid w:val="00941C0B"/>
    <w:rsid w:val="00942808"/>
    <w:rsid w:val="00945C64"/>
    <w:rsid w:val="00951341"/>
    <w:rsid w:val="0095146B"/>
    <w:rsid w:val="00953293"/>
    <w:rsid w:val="009564F6"/>
    <w:rsid w:val="00960885"/>
    <w:rsid w:val="00963B75"/>
    <w:rsid w:val="00966F43"/>
    <w:rsid w:val="0096700D"/>
    <w:rsid w:val="00967D8D"/>
    <w:rsid w:val="00967DBA"/>
    <w:rsid w:val="009704D9"/>
    <w:rsid w:val="00971F93"/>
    <w:rsid w:val="00972234"/>
    <w:rsid w:val="00973C72"/>
    <w:rsid w:val="00975305"/>
    <w:rsid w:val="00980811"/>
    <w:rsid w:val="00981FA7"/>
    <w:rsid w:val="0098265E"/>
    <w:rsid w:val="00984B6C"/>
    <w:rsid w:val="0098551B"/>
    <w:rsid w:val="0098649F"/>
    <w:rsid w:val="00990353"/>
    <w:rsid w:val="00994670"/>
    <w:rsid w:val="00995836"/>
    <w:rsid w:val="009963A6"/>
    <w:rsid w:val="009A18A3"/>
    <w:rsid w:val="009A1EDB"/>
    <w:rsid w:val="009A4480"/>
    <w:rsid w:val="009A5906"/>
    <w:rsid w:val="009B02AD"/>
    <w:rsid w:val="009B24C5"/>
    <w:rsid w:val="009B2A73"/>
    <w:rsid w:val="009B2E8B"/>
    <w:rsid w:val="009B316A"/>
    <w:rsid w:val="009B31A0"/>
    <w:rsid w:val="009B3CFB"/>
    <w:rsid w:val="009B7635"/>
    <w:rsid w:val="009C2638"/>
    <w:rsid w:val="009C3874"/>
    <w:rsid w:val="009C39C7"/>
    <w:rsid w:val="009C4A9C"/>
    <w:rsid w:val="009C557F"/>
    <w:rsid w:val="009C666A"/>
    <w:rsid w:val="009C7511"/>
    <w:rsid w:val="009D0710"/>
    <w:rsid w:val="009D2670"/>
    <w:rsid w:val="009D37F2"/>
    <w:rsid w:val="009D4A5B"/>
    <w:rsid w:val="009E1B57"/>
    <w:rsid w:val="009E3003"/>
    <w:rsid w:val="009E4988"/>
    <w:rsid w:val="009E6AD1"/>
    <w:rsid w:val="009E6EDB"/>
    <w:rsid w:val="009E725D"/>
    <w:rsid w:val="009E7752"/>
    <w:rsid w:val="00A016DA"/>
    <w:rsid w:val="00A03488"/>
    <w:rsid w:val="00A051C3"/>
    <w:rsid w:val="00A05461"/>
    <w:rsid w:val="00A07D05"/>
    <w:rsid w:val="00A1005A"/>
    <w:rsid w:val="00A1071B"/>
    <w:rsid w:val="00A1131D"/>
    <w:rsid w:val="00A1141E"/>
    <w:rsid w:val="00A13E36"/>
    <w:rsid w:val="00A163E1"/>
    <w:rsid w:val="00A21A9B"/>
    <w:rsid w:val="00A2330F"/>
    <w:rsid w:val="00A26D88"/>
    <w:rsid w:val="00A303C7"/>
    <w:rsid w:val="00A31FF9"/>
    <w:rsid w:val="00A35876"/>
    <w:rsid w:val="00A37701"/>
    <w:rsid w:val="00A37CBD"/>
    <w:rsid w:val="00A41202"/>
    <w:rsid w:val="00A41688"/>
    <w:rsid w:val="00A42EDA"/>
    <w:rsid w:val="00A43925"/>
    <w:rsid w:val="00A43D95"/>
    <w:rsid w:val="00A473FE"/>
    <w:rsid w:val="00A52872"/>
    <w:rsid w:val="00A55CD9"/>
    <w:rsid w:val="00A6004B"/>
    <w:rsid w:val="00A60A19"/>
    <w:rsid w:val="00A6211D"/>
    <w:rsid w:val="00A711D4"/>
    <w:rsid w:val="00A724F7"/>
    <w:rsid w:val="00A749FD"/>
    <w:rsid w:val="00A761A3"/>
    <w:rsid w:val="00A808F9"/>
    <w:rsid w:val="00A80E18"/>
    <w:rsid w:val="00A81432"/>
    <w:rsid w:val="00A8161C"/>
    <w:rsid w:val="00A81BD5"/>
    <w:rsid w:val="00A8523D"/>
    <w:rsid w:val="00A860C3"/>
    <w:rsid w:val="00A86494"/>
    <w:rsid w:val="00A91ED6"/>
    <w:rsid w:val="00A97A28"/>
    <w:rsid w:val="00A97D3A"/>
    <w:rsid w:val="00AA086E"/>
    <w:rsid w:val="00AA093D"/>
    <w:rsid w:val="00AA505D"/>
    <w:rsid w:val="00AA77C9"/>
    <w:rsid w:val="00AB0143"/>
    <w:rsid w:val="00AB0940"/>
    <w:rsid w:val="00AB1EE4"/>
    <w:rsid w:val="00AB2782"/>
    <w:rsid w:val="00AB386B"/>
    <w:rsid w:val="00AB566E"/>
    <w:rsid w:val="00AB6493"/>
    <w:rsid w:val="00AB6BBD"/>
    <w:rsid w:val="00AC0AB8"/>
    <w:rsid w:val="00AC2020"/>
    <w:rsid w:val="00AC2167"/>
    <w:rsid w:val="00AC240C"/>
    <w:rsid w:val="00AC365C"/>
    <w:rsid w:val="00AC684F"/>
    <w:rsid w:val="00AC7837"/>
    <w:rsid w:val="00AD05B9"/>
    <w:rsid w:val="00AD1610"/>
    <w:rsid w:val="00AD1DEF"/>
    <w:rsid w:val="00AD2B47"/>
    <w:rsid w:val="00AD2C7B"/>
    <w:rsid w:val="00AD3717"/>
    <w:rsid w:val="00AD499F"/>
    <w:rsid w:val="00AD5FEC"/>
    <w:rsid w:val="00AD6894"/>
    <w:rsid w:val="00AE0711"/>
    <w:rsid w:val="00AE07A1"/>
    <w:rsid w:val="00AE094D"/>
    <w:rsid w:val="00AE1CD2"/>
    <w:rsid w:val="00AE22B6"/>
    <w:rsid w:val="00AE462F"/>
    <w:rsid w:val="00AE6F3A"/>
    <w:rsid w:val="00AE72B6"/>
    <w:rsid w:val="00AF1A52"/>
    <w:rsid w:val="00AF3F65"/>
    <w:rsid w:val="00AF45A9"/>
    <w:rsid w:val="00AF4B36"/>
    <w:rsid w:val="00AF6162"/>
    <w:rsid w:val="00AF649D"/>
    <w:rsid w:val="00B04FE8"/>
    <w:rsid w:val="00B05718"/>
    <w:rsid w:val="00B07582"/>
    <w:rsid w:val="00B110C0"/>
    <w:rsid w:val="00B13C1A"/>
    <w:rsid w:val="00B178B5"/>
    <w:rsid w:val="00B20B80"/>
    <w:rsid w:val="00B22429"/>
    <w:rsid w:val="00B23E4D"/>
    <w:rsid w:val="00B2787D"/>
    <w:rsid w:val="00B300E7"/>
    <w:rsid w:val="00B31881"/>
    <w:rsid w:val="00B31B52"/>
    <w:rsid w:val="00B333AB"/>
    <w:rsid w:val="00B33BCE"/>
    <w:rsid w:val="00B33DF6"/>
    <w:rsid w:val="00B4118F"/>
    <w:rsid w:val="00B411A3"/>
    <w:rsid w:val="00B44E9B"/>
    <w:rsid w:val="00B46848"/>
    <w:rsid w:val="00B47D9E"/>
    <w:rsid w:val="00B537B4"/>
    <w:rsid w:val="00B56148"/>
    <w:rsid w:val="00B60064"/>
    <w:rsid w:val="00B6195A"/>
    <w:rsid w:val="00B62227"/>
    <w:rsid w:val="00B63F54"/>
    <w:rsid w:val="00B650B4"/>
    <w:rsid w:val="00B66604"/>
    <w:rsid w:val="00B7153F"/>
    <w:rsid w:val="00B7198E"/>
    <w:rsid w:val="00B76827"/>
    <w:rsid w:val="00B80401"/>
    <w:rsid w:val="00B811D3"/>
    <w:rsid w:val="00B82574"/>
    <w:rsid w:val="00B82C10"/>
    <w:rsid w:val="00B84BBA"/>
    <w:rsid w:val="00B84BE2"/>
    <w:rsid w:val="00B86526"/>
    <w:rsid w:val="00B875E2"/>
    <w:rsid w:val="00B87ACD"/>
    <w:rsid w:val="00B907E9"/>
    <w:rsid w:val="00B929C8"/>
    <w:rsid w:val="00B93395"/>
    <w:rsid w:val="00B93726"/>
    <w:rsid w:val="00B93E63"/>
    <w:rsid w:val="00B94256"/>
    <w:rsid w:val="00B94629"/>
    <w:rsid w:val="00B94981"/>
    <w:rsid w:val="00B96C70"/>
    <w:rsid w:val="00BA2C8B"/>
    <w:rsid w:val="00BA32DD"/>
    <w:rsid w:val="00BA4257"/>
    <w:rsid w:val="00BA6623"/>
    <w:rsid w:val="00BA7E23"/>
    <w:rsid w:val="00BB12E2"/>
    <w:rsid w:val="00BB4D78"/>
    <w:rsid w:val="00BB6043"/>
    <w:rsid w:val="00BB7986"/>
    <w:rsid w:val="00BC1D19"/>
    <w:rsid w:val="00BC2BDE"/>
    <w:rsid w:val="00BC2D09"/>
    <w:rsid w:val="00BC2F3A"/>
    <w:rsid w:val="00BC3005"/>
    <w:rsid w:val="00BC5D02"/>
    <w:rsid w:val="00BD2D88"/>
    <w:rsid w:val="00BD3F64"/>
    <w:rsid w:val="00BD5322"/>
    <w:rsid w:val="00BD6608"/>
    <w:rsid w:val="00BE0DB5"/>
    <w:rsid w:val="00BE141E"/>
    <w:rsid w:val="00BE3CD8"/>
    <w:rsid w:val="00BE40B6"/>
    <w:rsid w:val="00BE4731"/>
    <w:rsid w:val="00BE6B3C"/>
    <w:rsid w:val="00BF01EE"/>
    <w:rsid w:val="00BF156A"/>
    <w:rsid w:val="00BF1C95"/>
    <w:rsid w:val="00BF23C9"/>
    <w:rsid w:val="00BF4127"/>
    <w:rsid w:val="00BF64D8"/>
    <w:rsid w:val="00BF6B9A"/>
    <w:rsid w:val="00BF6E60"/>
    <w:rsid w:val="00BF75AB"/>
    <w:rsid w:val="00C01138"/>
    <w:rsid w:val="00C04EB1"/>
    <w:rsid w:val="00C056F3"/>
    <w:rsid w:val="00C06930"/>
    <w:rsid w:val="00C1101C"/>
    <w:rsid w:val="00C121E4"/>
    <w:rsid w:val="00C13C5F"/>
    <w:rsid w:val="00C14587"/>
    <w:rsid w:val="00C15D19"/>
    <w:rsid w:val="00C16130"/>
    <w:rsid w:val="00C203FA"/>
    <w:rsid w:val="00C21DD8"/>
    <w:rsid w:val="00C23431"/>
    <w:rsid w:val="00C237E1"/>
    <w:rsid w:val="00C24A65"/>
    <w:rsid w:val="00C27989"/>
    <w:rsid w:val="00C31450"/>
    <w:rsid w:val="00C32616"/>
    <w:rsid w:val="00C32E73"/>
    <w:rsid w:val="00C34691"/>
    <w:rsid w:val="00C3597E"/>
    <w:rsid w:val="00C3633D"/>
    <w:rsid w:val="00C36A46"/>
    <w:rsid w:val="00C36D20"/>
    <w:rsid w:val="00C37309"/>
    <w:rsid w:val="00C42305"/>
    <w:rsid w:val="00C42467"/>
    <w:rsid w:val="00C447A6"/>
    <w:rsid w:val="00C454D7"/>
    <w:rsid w:val="00C46A9D"/>
    <w:rsid w:val="00C50476"/>
    <w:rsid w:val="00C513BC"/>
    <w:rsid w:val="00C51FBB"/>
    <w:rsid w:val="00C5318D"/>
    <w:rsid w:val="00C547B3"/>
    <w:rsid w:val="00C5502B"/>
    <w:rsid w:val="00C566BA"/>
    <w:rsid w:val="00C6086A"/>
    <w:rsid w:val="00C615AE"/>
    <w:rsid w:val="00C6618E"/>
    <w:rsid w:val="00C666DC"/>
    <w:rsid w:val="00C67887"/>
    <w:rsid w:val="00C703CD"/>
    <w:rsid w:val="00C71E83"/>
    <w:rsid w:val="00C74B30"/>
    <w:rsid w:val="00C752E5"/>
    <w:rsid w:val="00C76401"/>
    <w:rsid w:val="00C76F69"/>
    <w:rsid w:val="00C77B59"/>
    <w:rsid w:val="00C808A3"/>
    <w:rsid w:val="00C818BA"/>
    <w:rsid w:val="00C82A2E"/>
    <w:rsid w:val="00C83517"/>
    <w:rsid w:val="00C83926"/>
    <w:rsid w:val="00C8633F"/>
    <w:rsid w:val="00C86E3A"/>
    <w:rsid w:val="00C8701F"/>
    <w:rsid w:val="00C92CD2"/>
    <w:rsid w:val="00C95531"/>
    <w:rsid w:val="00C9659C"/>
    <w:rsid w:val="00C96FF3"/>
    <w:rsid w:val="00CA3331"/>
    <w:rsid w:val="00CA4413"/>
    <w:rsid w:val="00CA4960"/>
    <w:rsid w:val="00CA6B81"/>
    <w:rsid w:val="00CA7574"/>
    <w:rsid w:val="00CB24C8"/>
    <w:rsid w:val="00CB3838"/>
    <w:rsid w:val="00CB3F34"/>
    <w:rsid w:val="00CB52F7"/>
    <w:rsid w:val="00CC32DC"/>
    <w:rsid w:val="00CC40E3"/>
    <w:rsid w:val="00CC4816"/>
    <w:rsid w:val="00CC4BD7"/>
    <w:rsid w:val="00CC7EFF"/>
    <w:rsid w:val="00CD295A"/>
    <w:rsid w:val="00CD2FCD"/>
    <w:rsid w:val="00CD344F"/>
    <w:rsid w:val="00CD7564"/>
    <w:rsid w:val="00CE0793"/>
    <w:rsid w:val="00CE0E67"/>
    <w:rsid w:val="00CE0F11"/>
    <w:rsid w:val="00CE1785"/>
    <w:rsid w:val="00CE20BC"/>
    <w:rsid w:val="00CE278F"/>
    <w:rsid w:val="00CE2EAE"/>
    <w:rsid w:val="00CF2F58"/>
    <w:rsid w:val="00CF472B"/>
    <w:rsid w:val="00CF55E8"/>
    <w:rsid w:val="00CF6703"/>
    <w:rsid w:val="00D00AB6"/>
    <w:rsid w:val="00D00E07"/>
    <w:rsid w:val="00D01572"/>
    <w:rsid w:val="00D01E3A"/>
    <w:rsid w:val="00D064D0"/>
    <w:rsid w:val="00D07A07"/>
    <w:rsid w:val="00D12CC9"/>
    <w:rsid w:val="00D13179"/>
    <w:rsid w:val="00D13FEB"/>
    <w:rsid w:val="00D14429"/>
    <w:rsid w:val="00D14B5A"/>
    <w:rsid w:val="00D15105"/>
    <w:rsid w:val="00D161F4"/>
    <w:rsid w:val="00D170A3"/>
    <w:rsid w:val="00D207EE"/>
    <w:rsid w:val="00D20E0E"/>
    <w:rsid w:val="00D212C3"/>
    <w:rsid w:val="00D2137F"/>
    <w:rsid w:val="00D2186E"/>
    <w:rsid w:val="00D21C1F"/>
    <w:rsid w:val="00D22333"/>
    <w:rsid w:val="00D24EBC"/>
    <w:rsid w:val="00D259BA"/>
    <w:rsid w:val="00D3013D"/>
    <w:rsid w:val="00D3067B"/>
    <w:rsid w:val="00D313DA"/>
    <w:rsid w:val="00D31CA4"/>
    <w:rsid w:val="00D3468D"/>
    <w:rsid w:val="00D35E26"/>
    <w:rsid w:val="00D36108"/>
    <w:rsid w:val="00D443D3"/>
    <w:rsid w:val="00D526ED"/>
    <w:rsid w:val="00D572A4"/>
    <w:rsid w:val="00D6099F"/>
    <w:rsid w:val="00D61E62"/>
    <w:rsid w:val="00D6300E"/>
    <w:rsid w:val="00D6327D"/>
    <w:rsid w:val="00D633C6"/>
    <w:rsid w:val="00D64709"/>
    <w:rsid w:val="00D66F29"/>
    <w:rsid w:val="00D670D4"/>
    <w:rsid w:val="00D67277"/>
    <w:rsid w:val="00D718FB"/>
    <w:rsid w:val="00D75A10"/>
    <w:rsid w:val="00D77F55"/>
    <w:rsid w:val="00D80CD2"/>
    <w:rsid w:val="00D814E2"/>
    <w:rsid w:val="00D8442B"/>
    <w:rsid w:val="00D84B3E"/>
    <w:rsid w:val="00D912F8"/>
    <w:rsid w:val="00D94075"/>
    <w:rsid w:val="00D95938"/>
    <w:rsid w:val="00DA0362"/>
    <w:rsid w:val="00DA06C7"/>
    <w:rsid w:val="00DA4EF0"/>
    <w:rsid w:val="00DA4F8F"/>
    <w:rsid w:val="00DA5781"/>
    <w:rsid w:val="00DA7AFD"/>
    <w:rsid w:val="00DB1ED3"/>
    <w:rsid w:val="00DB2613"/>
    <w:rsid w:val="00DB29FE"/>
    <w:rsid w:val="00DB2B9E"/>
    <w:rsid w:val="00DB60C5"/>
    <w:rsid w:val="00DC4BDE"/>
    <w:rsid w:val="00DC4EDC"/>
    <w:rsid w:val="00DC689F"/>
    <w:rsid w:val="00DC7423"/>
    <w:rsid w:val="00DD226E"/>
    <w:rsid w:val="00DD2AD0"/>
    <w:rsid w:val="00DD374B"/>
    <w:rsid w:val="00DD3EEA"/>
    <w:rsid w:val="00DD4AA4"/>
    <w:rsid w:val="00DD5644"/>
    <w:rsid w:val="00DD6F3C"/>
    <w:rsid w:val="00DD7D27"/>
    <w:rsid w:val="00DE016A"/>
    <w:rsid w:val="00DE10FB"/>
    <w:rsid w:val="00DE2456"/>
    <w:rsid w:val="00DE4180"/>
    <w:rsid w:val="00DE58AC"/>
    <w:rsid w:val="00DE5CEB"/>
    <w:rsid w:val="00DF1526"/>
    <w:rsid w:val="00DF1AB6"/>
    <w:rsid w:val="00DF2954"/>
    <w:rsid w:val="00DF3A0E"/>
    <w:rsid w:val="00DF3E6A"/>
    <w:rsid w:val="00DF52A4"/>
    <w:rsid w:val="00DF6249"/>
    <w:rsid w:val="00DF6AD2"/>
    <w:rsid w:val="00DF7214"/>
    <w:rsid w:val="00E00619"/>
    <w:rsid w:val="00E0461F"/>
    <w:rsid w:val="00E10160"/>
    <w:rsid w:val="00E1043A"/>
    <w:rsid w:val="00E1075C"/>
    <w:rsid w:val="00E1337D"/>
    <w:rsid w:val="00E13773"/>
    <w:rsid w:val="00E145CB"/>
    <w:rsid w:val="00E16E93"/>
    <w:rsid w:val="00E203B2"/>
    <w:rsid w:val="00E2394D"/>
    <w:rsid w:val="00E23A7F"/>
    <w:rsid w:val="00E23FB8"/>
    <w:rsid w:val="00E24D5D"/>
    <w:rsid w:val="00E24E8F"/>
    <w:rsid w:val="00E2628D"/>
    <w:rsid w:val="00E2637B"/>
    <w:rsid w:val="00E27255"/>
    <w:rsid w:val="00E2770A"/>
    <w:rsid w:val="00E27ABA"/>
    <w:rsid w:val="00E30B20"/>
    <w:rsid w:val="00E31040"/>
    <w:rsid w:val="00E358CE"/>
    <w:rsid w:val="00E37105"/>
    <w:rsid w:val="00E37FE6"/>
    <w:rsid w:val="00E43015"/>
    <w:rsid w:val="00E43E8D"/>
    <w:rsid w:val="00E44E8E"/>
    <w:rsid w:val="00E4671A"/>
    <w:rsid w:val="00E47A70"/>
    <w:rsid w:val="00E50312"/>
    <w:rsid w:val="00E50A94"/>
    <w:rsid w:val="00E50EF3"/>
    <w:rsid w:val="00E51DBF"/>
    <w:rsid w:val="00E54CDC"/>
    <w:rsid w:val="00E54D9F"/>
    <w:rsid w:val="00E55060"/>
    <w:rsid w:val="00E553F4"/>
    <w:rsid w:val="00E5566F"/>
    <w:rsid w:val="00E56652"/>
    <w:rsid w:val="00E57CC2"/>
    <w:rsid w:val="00E6067B"/>
    <w:rsid w:val="00E62596"/>
    <w:rsid w:val="00E63A68"/>
    <w:rsid w:val="00E666EA"/>
    <w:rsid w:val="00E67E90"/>
    <w:rsid w:val="00E7046B"/>
    <w:rsid w:val="00E73282"/>
    <w:rsid w:val="00E7490F"/>
    <w:rsid w:val="00E74A9A"/>
    <w:rsid w:val="00E77355"/>
    <w:rsid w:val="00E8141D"/>
    <w:rsid w:val="00E82367"/>
    <w:rsid w:val="00E84F78"/>
    <w:rsid w:val="00E86854"/>
    <w:rsid w:val="00E87618"/>
    <w:rsid w:val="00E87A41"/>
    <w:rsid w:val="00E94055"/>
    <w:rsid w:val="00E955D1"/>
    <w:rsid w:val="00E95A98"/>
    <w:rsid w:val="00EA10D8"/>
    <w:rsid w:val="00EA29C3"/>
    <w:rsid w:val="00EA7215"/>
    <w:rsid w:val="00EB30C4"/>
    <w:rsid w:val="00EB4191"/>
    <w:rsid w:val="00EB561D"/>
    <w:rsid w:val="00EB5E36"/>
    <w:rsid w:val="00EB6F31"/>
    <w:rsid w:val="00EB7953"/>
    <w:rsid w:val="00EC08CC"/>
    <w:rsid w:val="00EC24BB"/>
    <w:rsid w:val="00EC4E79"/>
    <w:rsid w:val="00EC56BF"/>
    <w:rsid w:val="00EC576B"/>
    <w:rsid w:val="00EC7537"/>
    <w:rsid w:val="00EC7C61"/>
    <w:rsid w:val="00ED04E3"/>
    <w:rsid w:val="00ED0AEE"/>
    <w:rsid w:val="00ED0DF3"/>
    <w:rsid w:val="00ED1FD7"/>
    <w:rsid w:val="00ED2A90"/>
    <w:rsid w:val="00ED57F9"/>
    <w:rsid w:val="00ED67A6"/>
    <w:rsid w:val="00ED6AFA"/>
    <w:rsid w:val="00ED7677"/>
    <w:rsid w:val="00EE17CA"/>
    <w:rsid w:val="00EE4DB6"/>
    <w:rsid w:val="00EF11BB"/>
    <w:rsid w:val="00EF6288"/>
    <w:rsid w:val="00F01CB0"/>
    <w:rsid w:val="00F039AC"/>
    <w:rsid w:val="00F064E3"/>
    <w:rsid w:val="00F06DB0"/>
    <w:rsid w:val="00F077D8"/>
    <w:rsid w:val="00F10B4B"/>
    <w:rsid w:val="00F10ED9"/>
    <w:rsid w:val="00F12CD7"/>
    <w:rsid w:val="00F14CD5"/>
    <w:rsid w:val="00F20B3A"/>
    <w:rsid w:val="00F25B91"/>
    <w:rsid w:val="00F26197"/>
    <w:rsid w:val="00F32214"/>
    <w:rsid w:val="00F35577"/>
    <w:rsid w:val="00F40714"/>
    <w:rsid w:val="00F42548"/>
    <w:rsid w:val="00F45C10"/>
    <w:rsid w:val="00F47CA5"/>
    <w:rsid w:val="00F5045F"/>
    <w:rsid w:val="00F516FA"/>
    <w:rsid w:val="00F52B1E"/>
    <w:rsid w:val="00F52D09"/>
    <w:rsid w:val="00F53CAF"/>
    <w:rsid w:val="00F54111"/>
    <w:rsid w:val="00F553C3"/>
    <w:rsid w:val="00F55B7A"/>
    <w:rsid w:val="00F57245"/>
    <w:rsid w:val="00F62916"/>
    <w:rsid w:val="00F652A8"/>
    <w:rsid w:val="00F6568A"/>
    <w:rsid w:val="00F65855"/>
    <w:rsid w:val="00F66248"/>
    <w:rsid w:val="00F66319"/>
    <w:rsid w:val="00F66D07"/>
    <w:rsid w:val="00F708FD"/>
    <w:rsid w:val="00F71E09"/>
    <w:rsid w:val="00F76CBE"/>
    <w:rsid w:val="00F76EB0"/>
    <w:rsid w:val="00F77D55"/>
    <w:rsid w:val="00F8322B"/>
    <w:rsid w:val="00F90103"/>
    <w:rsid w:val="00F91C42"/>
    <w:rsid w:val="00F92894"/>
    <w:rsid w:val="00F94EAB"/>
    <w:rsid w:val="00F94ECE"/>
    <w:rsid w:val="00F95E28"/>
    <w:rsid w:val="00F975C5"/>
    <w:rsid w:val="00FA12D1"/>
    <w:rsid w:val="00FA25CE"/>
    <w:rsid w:val="00FA335D"/>
    <w:rsid w:val="00FA363C"/>
    <w:rsid w:val="00FA5AFA"/>
    <w:rsid w:val="00FB0893"/>
    <w:rsid w:val="00FB08F1"/>
    <w:rsid w:val="00FB0DCF"/>
    <w:rsid w:val="00FB291A"/>
    <w:rsid w:val="00FC0B24"/>
    <w:rsid w:val="00FC3DE6"/>
    <w:rsid w:val="00FD0118"/>
    <w:rsid w:val="00FD3172"/>
    <w:rsid w:val="00FD5B17"/>
    <w:rsid w:val="00FD6765"/>
    <w:rsid w:val="00FD730E"/>
    <w:rsid w:val="00FE118E"/>
    <w:rsid w:val="00FE2C9C"/>
    <w:rsid w:val="00FE56A8"/>
    <w:rsid w:val="00FE60DC"/>
    <w:rsid w:val="00FF0153"/>
    <w:rsid w:val="00FF2C5D"/>
    <w:rsid w:val="00FF3D08"/>
    <w:rsid w:val="00FF44F4"/>
    <w:rsid w:val="00FF4B80"/>
    <w:rsid w:val="00FF669B"/>
    <w:rsid w:val="00FF75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ocId w14:val="542B88FC"/>
  <w14:defaultImageDpi w14:val="330"/>
  <w15:docId w15:val="{3F608295-1337-444F-B79E-89EA6B584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2954"/>
    <w:rPr>
      <w:rFonts w:eastAsia="Times New Roman"/>
      <w:lang w:val="en-AU" w:eastAsia="en-US"/>
    </w:rPr>
  </w:style>
  <w:style w:type="paragraph" w:styleId="Heading1">
    <w:name w:val="heading 1"/>
    <w:next w:val="BodyText"/>
    <w:link w:val="Heading1Char"/>
    <w:qFormat/>
    <w:rsid w:val="00D35E26"/>
    <w:pPr>
      <w:keepNext/>
      <w:keepLines/>
      <w:spacing w:before="360" w:after="120"/>
      <w:outlineLvl w:val="0"/>
    </w:pPr>
    <w:rPr>
      <w:rFonts w:ascii="Arial" w:hAnsi="Arial" w:cs="Arial"/>
      <w:color w:val="ED0C64"/>
      <w:kern w:val="32"/>
      <w:sz w:val="44"/>
      <w:lang w:val="en-AU" w:eastAsia="en-US"/>
    </w:rPr>
  </w:style>
  <w:style w:type="paragraph" w:styleId="Heading2">
    <w:name w:val="heading 2"/>
    <w:basedOn w:val="Heading1"/>
    <w:next w:val="BodyText"/>
    <w:link w:val="Heading2Char"/>
    <w:qFormat/>
    <w:rsid w:val="000D58EC"/>
    <w:pPr>
      <w:suppressAutoHyphens/>
      <w:spacing w:before="240"/>
      <w:jc w:val="both"/>
      <w:outlineLvl w:val="1"/>
    </w:pPr>
    <w:rPr>
      <w:color w:val="62136D"/>
      <w:sz w:val="38"/>
      <w:szCs w:val="38"/>
    </w:rPr>
  </w:style>
  <w:style w:type="paragraph" w:styleId="Heading3">
    <w:name w:val="heading 3"/>
    <w:basedOn w:val="Heading2"/>
    <w:next w:val="BodyText"/>
    <w:link w:val="Heading3Char"/>
    <w:qFormat/>
    <w:rsid w:val="004B78E0"/>
    <w:pPr>
      <w:outlineLvl w:val="2"/>
    </w:pPr>
    <w:rPr>
      <w:color w:val="8064A2" w:themeColor="accent4"/>
      <w:sz w:val="32"/>
      <w:szCs w:val="32"/>
    </w:rPr>
  </w:style>
  <w:style w:type="paragraph" w:styleId="Heading4">
    <w:name w:val="heading 4"/>
    <w:basedOn w:val="Heading3"/>
    <w:next w:val="BodyText"/>
    <w:qFormat/>
    <w:rsid w:val="004B78E0"/>
    <w:pPr>
      <w:outlineLvl w:val="3"/>
    </w:pPr>
    <w:rPr>
      <w:color w:val="241C44"/>
      <w:sz w:val="26"/>
      <w:szCs w:val="26"/>
    </w:rPr>
  </w:style>
  <w:style w:type="paragraph" w:styleId="Heading5">
    <w:name w:val="heading 5"/>
    <w:basedOn w:val="Normal"/>
    <w:next w:val="Normal"/>
    <w:link w:val="Heading5Char"/>
    <w:uiPriority w:val="9"/>
    <w:rsid w:val="00D75A10"/>
    <w:pPr>
      <w:keepNext/>
      <w:keepLines/>
      <w:numPr>
        <w:ilvl w:val="4"/>
        <w:numId w:val="13"/>
      </w:numPr>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rsid w:val="00D75A10"/>
    <w:pPr>
      <w:keepNext/>
      <w:keepLines/>
      <w:numPr>
        <w:ilvl w:val="5"/>
        <w:numId w:val="13"/>
      </w:numPr>
      <w:suppressAutoHyphens/>
      <w:spacing w:before="40" w:line="280" w:lineRule="atLeast"/>
      <w:jc w:val="both"/>
      <w:outlineLvl w:val="5"/>
    </w:pPr>
    <w:rPr>
      <w:rFonts w:asciiTheme="majorHAnsi" w:eastAsiaTheme="majorEastAsia" w:hAnsiTheme="majorHAnsi" w:cstheme="majorBidi"/>
      <w:color w:val="243F60" w:themeColor="accent1" w:themeShade="7F"/>
      <w:sz w:val="20"/>
    </w:rPr>
  </w:style>
  <w:style w:type="paragraph" w:styleId="Heading7">
    <w:name w:val="heading 7"/>
    <w:basedOn w:val="Normal"/>
    <w:next w:val="Normal"/>
    <w:link w:val="Heading7Char"/>
    <w:uiPriority w:val="9"/>
    <w:semiHidden/>
    <w:unhideWhenUsed/>
    <w:qFormat/>
    <w:rsid w:val="00D75A10"/>
    <w:pPr>
      <w:keepNext/>
      <w:keepLines/>
      <w:numPr>
        <w:ilvl w:val="6"/>
        <w:numId w:val="1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D75A10"/>
    <w:pPr>
      <w:keepNext/>
      <w:keepLines/>
      <w:numPr>
        <w:ilvl w:val="7"/>
        <w:numId w:val="1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75A10"/>
    <w:pPr>
      <w:keepNext/>
      <w:keepLines/>
      <w:numPr>
        <w:ilvl w:val="8"/>
        <w:numId w:val="1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4D3B"/>
    <w:pPr>
      <w:spacing w:before="120"/>
    </w:pPr>
    <w:rPr>
      <w:rFonts w:ascii="Arial" w:hAnsi="Arial"/>
      <w:color w:val="2C2624"/>
      <w:sz w:val="18"/>
      <w:szCs w:val="18"/>
    </w:rPr>
    <w:tblPr>
      <w:tblBorders>
        <w:top w:val="single" w:sz="2" w:space="0" w:color="auto"/>
        <w:bottom w:val="single" w:sz="2" w:space="0" w:color="auto"/>
        <w:insideH w:val="single" w:sz="2" w:space="0" w:color="auto"/>
      </w:tblBorders>
    </w:tblPr>
    <w:trPr>
      <w:cantSplit/>
    </w:trPr>
    <w:tblStylePr w:type="firstRow">
      <w:rPr>
        <w:rFonts w:ascii="Arial" w:hAnsi="Arial"/>
        <w:b w:val="0"/>
        <w:bCs w:val="0"/>
        <w:i w:val="0"/>
        <w:iCs w:val="0"/>
        <w:color w:val="2C2624"/>
        <w:sz w:val="18"/>
        <w:szCs w:val="18"/>
      </w:rPr>
      <w:tblPr/>
      <w:tcPr>
        <w:shd w:val="clear" w:color="auto" w:fill="62136D"/>
      </w:tcPr>
    </w:tblStylePr>
  </w:style>
  <w:style w:type="paragraph" w:styleId="ListBullet">
    <w:name w:val="List Bullet"/>
    <w:basedOn w:val="BodyText"/>
    <w:uiPriority w:val="1"/>
    <w:qFormat/>
    <w:rsid w:val="00834CB4"/>
    <w:pPr>
      <w:numPr>
        <w:numId w:val="1"/>
      </w:numPr>
      <w:spacing w:before="60"/>
    </w:pPr>
  </w:style>
  <w:style w:type="paragraph" w:styleId="ListNumber">
    <w:name w:val="List Number"/>
    <w:basedOn w:val="BodyText"/>
    <w:uiPriority w:val="99"/>
    <w:rsid w:val="002805D2"/>
    <w:pPr>
      <w:numPr>
        <w:numId w:val="4"/>
      </w:numPr>
      <w:spacing w:before="60"/>
    </w:pPr>
  </w:style>
  <w:style w:type="paragraph" w:styleId="ListBullet2">
    <w:name w:val="List Bullet 2"/>
    <w:basedOn w:val="ListBullet"/>
    <w:qFormat/>
    <w:rsid w:val="00834CB4"/>
    <w:pPr>
      <w:numPr>
        <w:numId w:val="2"/>
      </w:numPr>
    </w:pPr>
  </w:style>
  <w:style w:type="paragraph" w:styleId="ListNumber2">
    <w:name w:val="List Number 2"/>
    <w:basedOn w:val="ListNumber"/>
    <w:rsid w:val="002805D2"/>
    <w:pPr>
      <w:numPr>
        <w:numId w:val="3"/>
      </w:numPr>
    </w:pPr>
  </w:style>
  <w:style w:type="paragraph" w:styleId="BodyText">
    <w:name w:val="Body Text"/>
    <w:basedOn w:val="Normal"/>
    <w:link w:val="BodyTextChar"/>
    <w:uiPriority w:val="99"/>
    <w:qFormat/>
    <w:rsid w:val="00DC4EDC"/>
    <w:pPr>
      <w:suppressAutoHyphens/>
      <w:spacing w:before="120" w:line="280" w:lineRule="atLeast"/>
      <w:jc w:val="both"/>
    </w:pPr>
    <w:rPr>
      <w:rFonts w:ascii="Arial" w:hAnsi="Arial"/>
      <w:color w:val="2C2624"/>
      <w:sz w:val="20"/>
      <w:lang w:bidi="en-US"/>
    </w:rPr>
  </w:style>
  <w:style w:type="paragraph" w:styleId="Footer">
    <w:name w:val="footer"/>
    <w:basedOn w:val="Normal"/>
    <w:link w:val="FooterChar"/>
    <w:uiPriority w:val="99"/>
    <w:rsid w:val="00526EC6"/>
    <w:pPr>
      <w:tabs>
        <w:tab w:val="right" w:pos="8505"/>
      </w:tabs>
      <w:suppressAutoHyphens/>
      <w:spacing w:before="120" w:line="280" w:lineRule="atLeast"/>
      <w:jc w:val="both"/>
    </w:pPr>
    <w:rPr>
      <w:rFonts w:ascii="Arial" w:eastAsiaTheme="minorEastAsia" w:hAnsi="Arial"/>
      <w:color w:val="241C44"/>
      <w:sz w:val="16"/>
      <w:szCs w:val="16"/>
    </w:rPr>
  </w:style>
  <w:style w:type="paragraph" w:styleId="Header">
    <w:name w:val="header"/>
    <w:basedOn w:val="Normal"/>
    <w:link w:val="HeaderChar"/>
    <w:rsid w:val="00526EC6"/>
    <w:pPr>
      <w:suppressAutoHyphens/>
      <w:jc w:val="both"/>
    </w:pPr>
    <w:rPr>
      <w:rFonts w:ascii="Arial" w:eastAsiaTheme="minorEastAsia" w:hAnsi="Arial"/>
      <w:noProof/>
      <w:color w:val="241C44"/>
      <w:sz w:val="16"/>
      <w:szCs w:val="16"/>
      <w:lang w:val="en-US"/>
    </w:rPr>
  </w:style>
  <w:style w:type="paragraph" w:customStyle="1" w:styleId="TableText">
    <w:name w:val="Table Text"/>
    <w:basedOn w:val="BodyText"/>
    <w:link w:val="TableTextChar"/>
    <w:qFormat/>
    <w:rsid w:val="00422E22"/>
    <w:pPr>
      <w:keepNext/>
      <w:spacing w:before="60" w:after="60" w:line="240" w:lineRule="auto"/>
      <w:jc w:val="left"/>
    </w:pPr>
    <w:rPr>
      <w:szCs w:val="20"/>
      <w:lang w:val="en-US" w:eastAsia="en-AU"/>
    </w:rPr>
  </w:style>
  <w:style w:type="paragraph" w:styleId="BalloonText">
    <w:name w:val="Balloon Text"/>
    <w:basedOn w:val="Normal"/>
    <w:link w:val="BalloonTextChar"/>
    <w:uiPriority w:val="99"/>
    <w:semiHidden/>
    <w:rsid w:val="000B343E"/>
    <w:pPr>
      <w:suppressAutoHyphens/>
      <w:spacing w:before="120" w:line="280" w:lineRule="atLeast"/>
      <w:jc w:val="both"/>
    </w:pPr>
    <w:rPr>
      <w:rFonts w:ascii="Lucida Grande" w:eastAsiaTheme="minorEastAsia" w:hAnsi="Lucida Grande"/>
      <w:color w:val="2C2624"/>
      <w:sz w:val="18"/>
      <w:szCs w:val="18"/>
    </w:rPr>
  </w:style>
  <w:style w:type="paragraph" w:customStyle="1" w:styleId="FigureCaption">
    <w:name w:val="Figure Caption"/>
    <w:basedOn w:val="BodyText"/>
    <w:next w:val="BodyText"/>
    <w:qFormat/>
    <w:rsid w:val="00415C73"/>
    <w:pPr>
      <w:spacing w:before="360" w:after="120"/>
      <w:jc w:val="left"/>
    </w:pPr>
    <w:rPr>
      <w:rFonts w:cs="Arial"/>
      <w:b/>
      <w:color w:val="ED0C64"/>
      <w:lang w:val="en-US" w:eastAsia="ja-JP"/>
    </w:rPr>
  </w:style>
  <w:style w:type="paragraph" w:customStyle="1" w:styleId="HeaderCover">
    <w:name w:val="Header Cover"/>
    <w:basedOn w:val="Header"/>
    <w:rsid w:val="008C3543"/>
    <w:pPr>
      <w:ind w:left="-1701" w:right="-1701"/>
      <w:jc w:val="center"/>
    </w:pPr>
  </w:style>
  <w:style w:type="paragraph" w:customStyle="1" w:styleId="BoxHeading1">
    <w:name w:val="Box Heading 1"/>
    <w:basedOn w:val="Normal"/>
    <w:rsid w:val="00A35876"/>
    <w:pPr>
      <w:keepNext/>
      <w:keepLines/>
      <w:shd w:val="pct5" w:color="auto" w:fill="auto"/>
      <w:suppressAutoHyphens/>
      <w:spacing w:after="240"/>
    </w:pPr>
    <w:rPr>
      <w:rFonts w:ascii="Arial" w:eastAsiaTheme="minorEastAsia" w:hAnsi="Arial" w:cs="Arial"/>
      <w:color w:val="ED0C64"/>
      <w:kern w:val="32"/>
      <w:sz w:val="32"/>
      <w:szCs w:val="32"/>
    </w:rPr>
  </w:style>
  <w:style w:type="paragraph" w:customStyle="1" w:styleId="ReportTitle">
    <w:name w:val="Report Title"/>
    <w:rsid w:val="001D176F"/>
    <w:pPr>
      <w:keepLines/>
      <w:suppressAutoHyphens/>
      <w:spacing w:before="1680" w:after="240"/>
      <w:jc w:val="center"/>
    </w:pPr>
    <w:rPr>
      <w:rFonts w:ascii="Arial" w:eastAsia="Times New Roman" w:hAnsi="Arial"/>
      <w:color w:val="ED0C64"/>
      <w:sz w:val="56"/>
      <w:szCs w:val="56"/>
      <w:lang w:val="en-AU" w:eastAsia="en-US" w:bidi="en-US"/>
    </w:rPr>
  </w:style>
  <w:style w:type="paragraph" w:customStyle="1" w:styleId="ReportSubtitle">
    <w:name w:val="Report Subtitle"/>
    <w:rsid w:val="005D0819"/>
    <w:pPr>
      <w:spacing w:before="240"/>
      <w:jc w:val="center"/>
    </w:pPr>
    <w:rPr>
      <w:rFonts w:ascii="Arial" w:eastAsia="Times New Roman" w:hAnsi="Arial"/>
      <w:color w:val="241C44"/>
      <w:sz w:val="36"/>
      <w:szCs w:val="28"/>
      <w:lang w:val="en-AU" w:eastAsia="en-US" w:bidi="en-US"/>
    </w:rPr>
  </w:style>
  <w:style w:type="paragraph" w:customStyle="1" w:styleId="PlaceholderImage">
    <w:name w:val="Placeholder Image"/>
    <w:basedOn w:val="BodyText"/>
    <w:rsid w:val="00D718FB"/>
    <w:pPr>
      <w:spacing w:before="360" w:after="360"/>
      <w:jc w:val="center"/>
    </w:pPr>
  </w:style>
  <w:style w:type="paragraph" w:customStyle="1" w:styleId="CoverDetails">
    <w:name w:val="Cover Details"/>
    <w:basedOn w:val="BodyText"/>
    <w:rsid w:val="00B05718"/>
    <w:pPr>
      <w:spacing w:before="240"/>
      <w:jc w:val="center"/>
    </w:pPr>
    <w:rPr>
      <w:color w:val="241C44"/>
      <w:sz w:val="22"/>
      <w:szCs w:val="22"/>
    </w:rPr>
  </w:style>
  <w:style w:type="character" w:styleId="PageNumber">
    <w:name w:val="page number"/>
    <w:basedOn w:val="DefaultParagraphFont"/>
    <w:uiPriority w:val="99"/>
    <w:semiHidden/>
    <w:unhideWhenUsed/>
    <w:rsid w:val="00034106"/>
  </w:style>
  <w:style w:type="paragraph" w:customStyle="1" w:styleId="Heading1Outline">
    <w:name w:val="Heading 1 Outline"/>
    <w:basedOn w:val="Heading1"/>
    <w:next w:val="BodyText"/>
    <w:autoRedefine/>
    <w:rsid w:val="00BE3CD8"/>
    <w:pPr>
      <w:numPr>
        <w:numId w:val="16"/>
      </w:numPr>
    </w:pPr>
    <w:rPr>
      <w:color w:val="auto"/>
    </w:rPr>
  </w:style>
  <w:style w:type="paragraph" w:customStyle="1" w:styleId="Heading2Outline">
    <w:name w:val="Heading 2 Outline"/>
    <w:basedOn w:val="Heading2"/>
    <w:next w:val="BodyText"/>
    <w:link w:val="Heading2OutlineChar"/>
    <w:autoRedefine/>
    <w:qFormat/>
    <w:rsid w:val="00891F38"/>
    <w:pPr>
      <w:numPr>
        <w:ilvl w:val="1"/>
        <w:numId w:val="15"/>
      </w:numPr>
      <w:suppressAutoHyphens w:val="0"/>
      <w:jc w:val="left"/>
    </w:pPr>
  </w:style>
  <w:style w:type="paragraph" w:styleId="ListParagraph">
    <w:name w:val="List Paragraph"/>
    <w:aliases w:val="List Paragraph1,Recommendation,List Paragraph11,L,bullet point list,Key Message Bullets,Bullet List,Bullet list,Bulletr List Paragraph,FooterText,List Paragraph2,List Paragraph21,Listeafsnit1,Listenabsatz,Paragraphe de liste1,numbered"/>
    <w:basedOn w:val="BodyText"/>
    <w:link w:val="ListParagraphChar"/>
    <w:uiPriority w:val="34"/>
    <w:qFormat/>
    <w:rsid w:val="00E77355"/>
    <w:pPr>
      <w:spacing w:before="60"/>
      <w:ind w:left="425"/>
      <w:contextualSpacing/>
    </w:pPr>
  </w:style>
  <w:style w:type="paragraph" w:customStyle="1" w:styleId="Acknowledgments">
    <w:name w:val="Acknowledgments"/>
    <w:basedOn w:val="Heading1"/>
    <w:qFormat/>
    <w:rsid w:val="003A2FE4"/>
  </w:style>
  <w:style w:type="paragraph" w:customStyle="1" w:styleId="TableCaption">
    <w:name w:val="Table Caption"/>
    <w:basedOn w:val="BodyText"/>
    <w:rsid w:val="00E27255"/>
    <w:pPr>
      <w:keepNext/>
      <w:spacing w:before="240" w:after="120"/>
      <w:jc w:val="left"/>
    </w:pPr>
    <w:rPr>
      <w:b/>
      <w:color w:val="ED0C64"/>
    </w:rPr>
  </w:style>
  <w:style w:type="paragraph" w:customStyle="1" w:styleId="TableTextCentre">
    <w:name w:val="Table Text Centre"/>
    <w:basedOn w:val="TableText"/>
    <w:rsid w:val="00896080"/>
    <w:pPr>
      <w:jc w:val="center"/>
    </w:pPr>
  </w:style>
  <w:style w:type="paragraph" w:customStyle="1" w:styleId="TableHeading">
    <w:name w:val="Table Heading"/>
    <w:basedOn w:val="TableText"/>
    <w:rsid w:val="00854714"/>
    <w:rPr>
      <w:color w:val="62136D"/>
      <w:szCs w:val="18"/>
    </w:rPr>
  </w:style>
  <w:style w:type="paragraph" w:customStyle="1" w:styleId="TableColHeadLeft">
    <w:name w:val="Table Col Head Left"/>
    <w:basedOn w:val="TableText"/>
    <w:rsid w:val="00AE22B6"/>
    <w:rPr>
      <w:color w:val="FFFFFF" w:themeColor="background1"/>
      <w:szCs w:val="18"/>
    </w:rPr>
  </w:style>
  <w:style w:type="paragraph" w:customStyle="1" w:styleId="TableColHeadCentre">
    <w:name w:val="Table Col Head Centre"/>
    <w:basedOn w:val="TableColHeadLeft"/>
    <w:rsid w:val="00AE22B6"/>
    <w:pPr>
      <w:jc w:val="center"/>
    </w:pPr>
  </w:style>
  <w:style w:type="paragraph" w:customStyle="1" w:styleId="TableTextIndent">
    <w:name w:val="Table Text Indent"/>
    <w:basedOn w:val="TableText"/>
    <w:rsid w:val="00EB5E36"/>
    <w:pPr>
      <w:ind w:left="227"/>
    </w:pPr>
    <w:rPr>
      <w:szCs w:val="18"/>
    </w:rPr>
  </w:style>
  <w:style w:type="paragraph" w:customStyle="1" w:styleId="TableBullet1">
    <w:name w:val="Table Bullet 1"/>
    <w:basedOn w:val="TableText"/>
    <w:rsid w:val="001B6BBE"/>
    <w:pPr>
      <w:numPr>
        <w:numId w:val="6"/>
      </w:numPr>
    </w:pPr>
    <w:rPr>
      <w:szCs w:val="18"/>
    </w:rPr>
  </w:style>
  <w:style w:type="paragraph" w:customStyle="1" w:styleId="TableBullet2">
    <w:name w:val="Table Bullet 2"/>
    <w:basedOn w:val="TableBullet1"/>
    <w:rsid w:val="001B6BBE"/>
    <w:pPr>
      <w:numPr>
        <w:numId w:val="5"/>
      </w:numPr>
    </w:pPr>
  </w:style>
  <w:style w:type="paragraph" w:customStyle="1" w:styleId="FigureNotes">
    <w:name w:val="Figure Notes"/>
    <w:basedOn w:val="BodyText"/>
    <w:qFormat/>
    <w:rsid w:val="00E27255"/>
    <w:pPr>
      <w:keepNext/>
      <w:spacing w:before="240" w:line="240" w:lineRule="auto"/>
      <w:contextualSpacing/>
      <w:jc w:val="left"/>
    </w:pPr>
    <w:rPr>
      <w:rFonts w:cs="Arial"/>
      <w:sz w:val="16"/>
      <w:szCs w:val="16"/>
      <w:lang w:val="en-US" w:eastAsia="ja-JP"/>
    </w:rPr>
  </w:style>
  <w:style w:type="paragraph" w:customStyle="1" w:styleId="FigurePlaceholder">
    <w:name w:val="Figure Placeholder"/>
    <w:basedOn w:val="BodyText"/>
    <w:qFormat/>
    <w:rsid w:val="005F6CBA"/>
    <w:pPr>
      <w:keepNext/>
      <w:spacing w:before="240" w:after="240" w:line="240" w:lineRule="auto"/>
      <w:jc w:val="center"/>
    </w:pPr>
    <w:rPr>
      <w:lang w:val="en-US" w:eastAsia="ja-JP"/>
    </w:rPr>
  </w:style>
  <w:style w:type="character" w:styleId="CommentReference">
    <w:name w:val="annotation reference"/>
    <w:basedOn w:val="DefaultParagraphFont"/>
    <w:uiPriority w:val="99"/>
    <w:semiHidden/>
    <w:unhideWhenUsed/>
    <w:rsid w:val="00BF1C95"/>
    <w:rPr>
      <w:sz w:val="18"/>
      <w:szCs w:val="18"/>
    </w:rPr>
  </w:style>
  <w:style w:type="paragraph" w:styleId="CommentText">
    <w:name w:val="annotation text"/>
    <w:link w:val="CommentTextChar"/>
    <w:uiPriority w:val="99"/>
    <w:unhideWhenUsed/>
    <w:rsid w:val="001A2A21"/>
    <w:rPr>
      <w:rFonts w:ascii="Arial Narrow" w:hAnsi="Arial Narrow"/>
      <w:color w:val="FF0000"/>
      <w:sz w:val="16"/>
      <w:lang w:val="en-AU" w:eastAsia="en-US"/>
    </w:rPr>
  </w:style>
  <w:style w:type="character" w:customStyle="1" w:styleId="CommentTextChar">
    <w:name w:val="Comment Text Char"/>
    <w:basedOn w:val="DefaultParagraphFont"/>
    <w:link w:val="CommentText"/>
    <w:uiPriority w:val="99"/>
    <w:rsid w:val="001A2A21"/>
    <w:rPr>
      <w:rFonts w:ascii="Arial Narrow" w:hAnsi="Arial Narrow"/>
      <w:color w:val="FF0000"/>
      <w:sz w:val="16"/>
      <w:lang w:val="en-AU" w:eastAsia="en-US"/>
    </w:rPr>
  </w:style>
  <w:style w:type="paragraph" w:styleId="CommentSubject">
    <w:name w:val="annotation subject"/>
    <w:basedOn w:val="CommentText"/>
    <w:next w:val="CommentText"/>
    <w:link w:val="CommentSubjectChar"/>
    <w:uiPriority w:val="99"/>
    <w:semiHidden/>
    <w:unhideWhenUsed/>
    <w:rsid w:val="00BF1C95"/>
    <w:rPr>
      <w:b/>
      <w:bCs/>
      <w:sz w:val="20"/>
      <w:szCs w:val="20"/>
    </w:rPr>
  </w:style>
  <w:style w:type="character" w:customStyle="1" w:styleId="CommentSubjectChar">
    <w:name w:val="Comment Subject Char"/>
    <w:basedOn w:val="CommentTextChar"/>
    <w:link w:val="CommentSubject"/>
    <w:uiPriority w:val="99"/>
    <w:semiHidden/>
    <w:rsid w:val="00BF1C95"/>
    <w:rPr>
      <w:rFonts w:ascii="Arial Narrow" w:hAnsi="Arial Narrow"/>
      <w:b/>
      <w:bCs/>
      <w:color w:val="FF0000"/>
      <w:sz w:val="20"/>
      <w:szCs w:val="20"/>
      <w:lang w:val="en-AU" w:eastAsia="en-US"/>
    </w:rPr>
  </w:style>
  <w:style w:type="paragraph" w:customStyle="1" w:styleId="CommentTextBullet">
    <w:name w:val="Comment Text Bullet"/>
    <w:basedOn w:val="CommentText"/>
    <w:rsid w:val="0014636E"/>
    <w:pPr>
      <w:numPr>
        <w:numId w:val="7"/>
      </w:numPr>
    </w:pPr>
  </w:style>
  <w:style w:type="paragraph" w:customStyle="1" w:styleId="ListParagraph2">
    <w:name w:val="List Paragraph 2"/>
    <w:basedOn w:val="ListParagraph"/>
    <w:rsid w:val="00DF52A4"/>
    <w:pPr>
      <w:ind w:left="851"/>
    </w:pPr>
  </w:style>
  <w:style w:type="table" w:customStyle="1" w:styleId="TableBox">
    <w:name w:val="Table Box"/>
    <w:basedOn w:val="TableNormal"/>
    <w:uiPriority w:val="99"/>
    <w:rsid w:val="00DD374B"/>
    <w:rPr>
      <w:rFonts w:ascii="Arial" w:hAnsi="Arial"/>
      <w:sz w:val="20"/>
    </w:rPr>
    <w:tblPr>
      <w:tblBorders>
        <w:top w:val="single" w:sz="4" w:space="0" w:color="auto"/>
        <w:left w:val="single" w:sz="4" w:space="0" w:color="auto"/>
        <w:bottom w:val="single" w:sz="4" w:space="0" w:color="auto"/>
        <w:right w:val="single" w:sz="4" w:space="0" w:color="auto"/>
      </w:tblBorders>
      <w:tblCellMar>
        <w:top w:w="113" w:type="dxa"/>
        <w:bottom w:w="113" w:type="dxa"/>
      </w:tblCellMar>
    </w:tblPr>
  </w:style>
  <w:style w:type="paragraph" w:customStyle="1" w:styleId="BoxText">
    <w:name w:val="Box Text"/>
    <w:basedOn w:val="Normal"/>
    <w:rsid w:val="00A35876"/>
    <w:pPr>
      <w:shd w:val="pct5" w:color="auto" w:fill="auto"/>
      <w:suppressAutoHyphens/>
      <w:spacing w:before="120" w:line="280" w:lineRule="atLeast"/>
    </w:pPr>
    <w:rPr>
      <w:rFonts w:ascii="Arial" w:hAnsi="Arial"/>
      <w:color w:val="2C2624"/>
      <w:sz w:val="20"/>
      <w:lang w:bidi="en-US"/>
    </w:rPr>
  </w:style>
  <w:style w:type="paragraph" w:customStyle="1" w:styleId="BoxNotesandSource">
    <w:name w:val="Box Notes and Source"/>
    <w:basedOn w:val="Normal"/>
    <w:rsid w:val="00A35876"/>
    <w:pPr>
      <w:shd w:val="pct5" w:color="auto" w:fill="auto"/>
      <w:suppressAutoHyphens/>
      <w:spacing w:before="120" w:line="280" w:lineRule="atLeast"/>
      <w:ind w:left="709" w:hanging="709"/>
    </w:pPr>
    <w:rPr>
      <w:rFonts w:ascii="Arial" w:hAnsi="Arial"/>
      <w:color w:val="2C2624"/>
      <w:sz w:val="16"/>
      <w:szCs w:val="16"/>
      <w:lang w:bidi="en-US"/>
    </w:rPr>
  </w:style>
  <w:style w:type="paragraph" w:customStyle="1" w:styleId="BoxHeading2">
    <w:name w:val="Box Heading 2"/>
    <w:basedOn w:val="Normal"/>
    <w:rsid w:val="00A35876"/>
    <w:pPr>
      <w:keepNext/>
      <w:keepLines/>
      <w:shd w:val="pct5" w:color="auto" w:fill="auto"/>
      <w:suppressAutoHyphens/>
      <w:spacing w:before="240" w:after="120"/>
    </w:pPr>
    <w:rPr>
      <w:rFonts w:ascii="Arial" w:eastAsiaTheme="minorEastAsia" w:hAnsi="Arial" w:cs="Arial"/>
      <w:color w:val="62136D"/>
      <w:kern w:val="32"/>
      <w:sz w:val="26"/>
      <w:szCs w:val="26"/>
    </w:rPr>
  </w:style>
  <w:style w:type="paragraph" w:customStyle="1" w:styleId="PrelimHeading1">
    <w:name w:val="Prelim Heading 1"/>
    <w:basedOn w:val="Heading1"/>
    <w:next w:val="BodyText"/>
    <w:rsid w:val="00180989"/>
  </w:style>
  <w:style w:type="paragraph" w:styleId="TOC1">
    <w:name w:val="toc 1"/>
    <w:basedOn w:val="Normal"/>
    <w:next w:val="Normal"/>
    <w:autoRedefine/>
    <w:uiPriority w:val="39"/>
    <w:unhideWhenUsed/>
    <w:rsid w:val="00415C73"/>
    <w:pPr>
      <w:tabs>
        <w:tab w:val="left" w:pos="600"/>
        <w:tab w:val="right" w:leader="dot" w:pos="9350"/>
      </w:tabs>
      <w:suppressAutoHyphens/>
      <w:spacing w:before="120" w:line="280" w:lineRule="atLeast"/>
    </w:pPr>
    <w:rPr>
      <w:rFonts w:ascii="Arial" w:eastAsiaTheme="minorEastAsia" w:hAnsi="Arial"/>
      <w:bCs/>
      <w:color w:val="2C2624"/>
      <w:sz w:val="20"/>
      <w:szCs w:val="22"/>
    </w:rPr>
  </w:style>
  <w:style w:type="paragraph" w:styleId="TOC2">
    <w:name w:val="toc 2"/>
    <w:basedOn w:val="Normal"/>
    <w:next w:val="Normal"/>
    <w:autoRedefine/>
    <w:uiPriority w:val="39"/>
    <w:unhideWhenUsed/>
    <w:rsid w:val="00366D89"/>
    <w:pPr>
      <w:tabs>
        <w:tab w:val="right" w:leader="dot" w:pos="9350"/>
      </w:tabs>
      <w:suppressAutoHyphens/>
      <w:spacing w:line="280" w:lineRule="atLeast"/>
      <w:ind w:left="200"/>
    </w:pPr>
    <w:rPr>
      <w:rFonts w:ascii="Arial" w:eastAsiaTheme="minorEastAsia" w:hAnsi="Arial"/>
      <w:iCs/>
      <w:color w:val="2C2624"/>
      <w:sz w:val="20"/>
      <w:szCs w:val="22"/>
    </w:rPr>
  </w:style>
  <w:style w:type="paragraph" w:styleId="TOC3">
    <w:name w:val="toc 3"/>
    <w:basedOn w:val="Normal"/>
    <w:next w:val="Normal"/>
    <w:autoRedefine/>
    <w:uiPriority w:val="39"/>
    <w:unhideWhenUsed/>
    <w:rsid w:val="00545404"/>
    <w:pPr>
      <w:suppressAutoHyphens/>
      <w:spacing w:line="280" w:lineRule="atLeast"/>
      <w:ind w:left="400"/>
    </w:pPr>
    <w:rPr>
      <w:rFonts w:ascii="Arial" w:eastAsiaTheme="minorEastAsia" w:hAnsi="Arial"/>
      <w:color w:val="2C2624"/>
      <w:sz w:val="20"/>
      <w:szCs w:val="22"/>
    </w:rPr>
  </w:style>
  <w:style w:type="paragraph" w:styleId="TOC4">
    <w:name w:val="toc 4"/>
    <w:basedOn w:val="Normal"/>
    <w:next w:val="Normal"/>
    <w:autoRedefine/>
    <w:uiPriority w:val="39"/>
    <w:unhideWhenUsed/>
    <w:rsid w:val="00B44E9B"/>
    <w:pPr>
      <w:suppressAutoHyphens/>
      <w:spacing w:before="120" w:line="280" w:lineRule="atLeast"/>
      <w:ind w:left="600"/>
      <w:jc w:val="both"/>
    </w:pPr>
    <w:rPr>
      <w:rFonts w:ascii="Arial" w:eastAsiaTheme="minorEastAsia" w:hAnsi="Arial"/>
      <w:color w:val="2C2624"/>
      <w:sz w:val="20"/>
    </w:rPr>
  </w:style>
  <w:style w:type="paragraph" w:styleId="TOC5">
    <w:name w:val="toc 5"/>
    <w:basedOn w:val="Normal"/>
    <w:next w:val="Normal"/>
    <w:autoRedefine/>
    <w:uiPriority w:val="39"/>
    <w:unhideWhenUsed/>
    <w:rsid w:val="00B44E9B"/>
    <w:pPr>
      <w:suppressAutoHyphens/>
      <w:spacing w:before="120" w:line="280" w:lineRule="atLeast"/>
      <w:ind w:left="800"/>
      <w:jc w:val="both"/>
    </w:pPr>
    <w:rPr>
      <w:rFonts w:ascii="Arial" w:eastAsiaTheme="minorEastAsia" w:hAnsi="Arial"/>
      <w:color w:val="2C2624"/>
      <w:sz w:val="20"/>
    </w:rPr>
  </w:style>
  <w:style w:type="paragraph" w:styleId="TOC6">
    <w:name w:val="toc 6"/>
    <w:basedOn w:val="Normal"/>
    <w:next w:val="Normal"/>
    <w:autoRedefine/>
    <w:uiPriority w:val="39"/>
    <w:unhideWhenUsed/>
    <w:rsid w:val="00B44E9B"/>
    <w:pPr>
      <w:suppressAutoHyphens/>
      <w:spacing w:before="120" w:line="280" w:lineRule="atLeast"/>
      <w:ind w:left="1000"/>
      <w:jc w:val="both"/>
    </w:pPr>
    <w:rPr>
      <w:rFonts w:ascii="Arial" w:eastAsiaTheme="minorEastAsia" w:hAnsi="Arial"/>
      <w:color w:val="2C2624"/>
      <w:sz w:val="20"/>
    </w:rPr>
  </w:style>
  <w:style w:type="paragraph" w:styleId="TOC7">
    <w:name w:val="toc 7"/>
    <w:basedOn w:val="Normal"/>
    <w:next w:val="Normal"/>
    <w:autoRedefine/>
    <w:uiPriority w:val="39"/>
    <w:unhideWhenUsed/>
    <w:rsid w:val="00B44E9B"/>
    <w:pPr>
      <w:suppressAutoHyphens/>
      <w:spacing w:before="120" w:line="280" w:lineRule="atLeast"/>
      <w:ind w:left="1200"/>
      <w:jc w:val="both"/>
    </w:pPr>
    <w:rPr>
      <w:rFonts w:ascii="Arial" w:eastAsiaTheme="minorEastAsia" w:hAnsi="Arial"/>
      <w:color w:val="2C2624"/>
      <w:sz w:val="20"/>
    </w:rPr>
  </w:style>
  <w:style w:type="paragraph" w:styleId="TOC8">
    <w:name w:val="toc 8"/>
    <w:basedOn w:val="Normal"/>
    <w:next w:val="Normal"/>
    <w:autoRedefine/>
    <w:uiPriority w:val="39"/>
    <w:unhideWhenUsed/>
    <w:rsid w:val="00B44E9B"/>
    <w:pPr>
      <w:suppressAutoHyphens/>
      <w:spacing w:before="120" w:line="280" w:lineRule="atLeast"/>
      <w:ind w:left="1400"/>
      <w:jc w:val="both"/>
    </w:pPr>
    <w:rPr>
      <w:rFonts w:ascii="Arial" w:eastAsiaTheme="minorEastAsia" w:hAnsi="Arial"/>
      <w:color w:val="2C2624"/>
      <w:sz w:val="20"/>
    </w:rPr>
  </w:style>
  <w:style w:type="paragraph" w:styleId="TOC9">
    <w:name w:val="toc 9"/>
    <w:basedOn w:val="Normal"/>
    <w:next w:val="Normal"/>
    <w:autoRedefine/>
    <w:uiPriority w:val="39"/>
    <w:unhideWhenUsed/>
    <w:rsid w:val="00B44E9B"/>
    <w:pPr>
      <w:suppressAutoHyphens/>
      <w:spacing w:before="120" w:line="280" w:lineRule="atLeast"/>
      <w:ind w:left="1600"/>
      <w:jc w:val="both"/>
    </w:pPr>
    <w:rPr>
      <w:rFonts w:ascii="Arial" w:eastAsiaTheme="minorEastAsia" w:hAnsi="Arial"/>
      <w:color w:val="2C2624"/>
      <w:sz w:val="20"/>
    </w:rPr>
  </w:style>
  <w:style w:type="paragraph" w:customStyle="1" w:styleId="TableNumber1">
    <w:name w:val="Table Number 1"/>
    <w:basedOn w:val="TableText"/>
    <w:rsid w:val="00E54D9F"/>
    <w:pPr>
      <w:numPr>
        <w:numId w:val="9"/>
      </w:numPr>
    </w:pPr>
  </w:style>
  <w:style w:type="paragraph" w:customStyle="1" w:styleId="TableNumber2">
    <w:name w:val="Table Number 2"/>
    <w:basedOn w:val="TableNumber1"/>
    <w:rsid w:val="00E54D9F"/>
    <w:pPr>
      <w:numPr>
        <w:numId w:val="8"/>
      </w:numPr>
    </w:pPr>
  </w:style>
  <w:style w:type="paragraph" w:styleId="FootnoteText">
    <w:name w:val="footnote text"/>
    <w:basedOn w:val="Normal"/>
    <w:link w:val="FootnoteTextChar"/>
    <w:uiPriority w:val="99"/>
    <w:unhideWhenUsed/>
    <w:rsid w:val="006C1D0B"/>
    <w:pPr>
      <w:suppressAutoHyphens/>
      <w:ind w:left="284" w:hanging="284"/>
      <w:jc w:val="both"/>
    </w:pPr>
    <w:rPr>
      <w:rFonts w:ascii="Arial" w:eastAsiaTheme="minorEastAsia" w:hAnsi="Arial"/>
      <w:color w:val="2C2624"/>
      <w:sz w:val="16"/>
      <w:szCs w:val="16"/>
    </w:rPr>
  </w:style>
  <w:style w:type="character" w:customStyle="1" w:styleId="FootnoteTextChar">
    <w:name w:val="Footnote Text Char"/>
    <w:basedOn w:val="DefaultParagraphFont"/>
    <w:link w:val="FootnoteText"/>
    <w:uiPriority w:val="99"/>
    <w:rsid w:val="006C1D0B"/>
    <w:rPr>
      <w:rFonts w:ascii="Arial" w:hAnsi="Arial"/>
      <w:color w:val="2C2624"/>
      <w:sz w:val="16"/>
      <w:szCs w:val="16"/>
      <w:lang w:val="en-AU" w:eastAsia="en-US"/>
    </w:rPr>
  </w:style>
  <w:style w:type="character" w:styleId="FootnoteReference">
    <w:name w:val="footnote reference"/>
    <w:basedOn w:val="DefaultParagraphFont"/>
    <w:uiPriority w:val="99"/>
    <w:unhideWhenUsed/>
    <w:rsid w:val="006C1D0B"/>
    <w:rPr>
      <w:vertAlign w:val="superscript"/>
    </w:rPr>
  </w:style>
  <w:style w:type="paragraph" w:customStyle="1" w:styleId="AppendixHeading1">
    <w:name w:val="Appendix Heading 1"/>
    <w:basedOn w:val="Heading1"/>
    <w:next w:val="BodyText"/>
    <w:qFormat/>
    <w:rsid w:val="00C34691"/>
    <w:pPr>
      <w:pageBreakBefore/>
      <w:spacing w:before="0"/>
    </w:pPr>
  </w:style>
  <w:style w:type="paragraph" w:customStyle="1" w:styleId="AppendixHeading2">
    <w:name w:val="Appendix Heading 2"/>
    <w:basedOn w:val="Heading2"/>
    <w:next w:val="BodyText"/>
    <w:qFormat/>
    <w:rsid w:val="00DF6249"/>
  </w:style>
  <w:style w:type="paragraph" w:customStyle="1" w:styleId="AppendixHeading3">
    <w:name w:val="Appendix Heading 3"/>
    <w:basedOn w:val="Heading3"/>
    <w:next w:val="BodyText"/>
    <w:rsid w:val="00DF6249"/>
  </w:style>
  <w:style w:type="paragraph" w:customStyle="1" w:styleId="Reportauthors">
    <w:name w:val="Report authors"/>
    <w:basedOn w:val="AppendixHeading2"/>
    <w:next w:val="Authoraffiliation"/>
    <w:rsid w:val="005D0819"/>
    <w:pPr>
      <w:spacing w:after="0"/>
      <w:jc w:val="center"/>
      <w:outlineLvl w:val="9"/>
    </w:pPr>
    <w:rPr>
      <w:sz w:val="28"/>
    </w:rPr>
  </w:style>
  <w:style w:type="paragraph" w:customStyle="1" w:styleId="Authoraffiliation">
    <w:name w:val="Author affiliation"/>
    <w:basedOn w:val="BodyText"/>
    <w:next w:val="StaffInfoHeading"/>
    <w:rsid w:val="00C5318D"/>
    <w:pPr>
      <w:keepNext/>
      <w:keepLines/>
      <w:spacing w:before="0"/>
      <w:jc w:val="center"/>
    </w:pPr>
    <w:rPr>
      <w:i/>
      <w:color w:val="241C44"/>
      <w:sz w:val="24"/>
      <w:szCs w:val="26"/>
    </w:rPr>
  </w:style>
  <w:style w:type="paragraph" w:customStyle="1" w:styleId="StaffInfoHeading">
    <w:name w:val="Staff Info Heading"/>
    <w:basedOn w:val="Authoraffiliation"/>
    <w:next w:val="BodyText"/>
    <w:rsid w:val="00636093"/>
    <w:pPr>
      <w:spacing w:before="240" w:after="120"/>
    </w:pPr>
    <w:rPr>
      <w:i w:val="0"/>
      <w:sz w:val="32"/>
    </w:rPr>
  </w:style>
  <w:style w:type="paragraph" w:customStyle="1" w:styleId="ContentsHeading">
    <w:name w:val="Contents Heading"/>
    <w:basedOn w:val="PrelimHeading1"/>
    <w:next w:val="TOC1"/>
    <w:rsid w:val="00180989"/>
    <w:pPr>
      <w:outlineLvl w:val="9"/>
    </w:pPr>
  </w:style>
  <w:style w:type="paragraph" w:customStyle="1" w:styleId="References">
    <w:name w:val="References"/>
    <w:basedOn w:val="BodyText"/>
    <w:uiPriority w:val="99"/>
    <w:qFormat/>
    <w:rsid w:val="00C16130"/>
    <w:pPr>
      <w:spacing w:before="60" w:line="240" w:lineRule="auto"/>
      <w:ind w:left="284" w:hanging="284"/>
      <w:jc w:val="left"/>
    </w:pPr>
    <w:rPr>
      <w:sz w:val="18"/>
      <w:szCs w:val="18"/>
    </w:rPr>
  </w:style>
  <w:style w:type="paragraph" w:customStyle="1" w:styleId="Heading1Part">
    <w:name w:val="Heading 1 Part"/>
    <w:basedOn w:val="Heading1"/>
    <w:rsid w:val="00252337"/>
    <w:pPr>
      <w:numPr>
        <w:numId w:val="10"/>
      </w:numPr>
      <w:ind w:left="1560" w:hanging="1560"/>
    </w:pPr>
  </w:style>
  <w:style w:type="paragraph" w:styleId="NoSpacing">
    <w:name w:val="No Spacing"/>
    <w:uiPriority w:val="1"/>
    <w:rsid w:val="00C51FBB"/>
    <w:pPr>
      <w:suppressAutoHyphens/>
      <w:jc w:val="both"/>
    </w:pPr>
    <w:rPr>
      <w:rFonts w:ascii="Arial" w:hAnsi="Arial"/>
      <w:color w:val="2C2624"/>
      <w:sz w:val="20"/>
      <w:lang w:val="en-AU" w:eastAsia="en-US"/>
    </w:rPr>
  </w:style>
  <w:style w:type="paragraph" w:styleId="Title">
    <w:name w:val="Title"/>
    <w:basedOn w:val="Normal"/>
    <w:next w:val="Normal"/>
    <w:link w:val="TitleChar"/>
    <w:uiPriority w:val="10"/>
    <w:rsid w:val="00C51FBB"/>
    <w:pPr>
      <w:pBdr>
        <w:bottom w:val="single" w:sz="8" w:space="4" w:color="4F81BD" w:themeColor="accent1"/>
      </w:pBdr>
      <w:suppressAutoHyphens/>
      <w:spacing w:after="300"/>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51FBB"/>
    <w:rPr>
      <w:rFonts w:asciiTheme="majorHAnsi" w:eastAsiaTheme="majorEastAsia" w:hAnsiTheme="majorHAnsi" w:cstheme="majorBidi"/>
      <w:color w:val="17365D" w:themeColor="text2" w:themeShade="BF"/>
      <w:spacing w:val="5"/>
      <w:kern w:val="28"/>
      <w:sz w:val="52"/>
      <w:szCs w:val="52"/>
      <w:lang w:val="en-AU" w:eastAsia="en-US"/>
    </w:rPr>
  </w:style>
  <w:style w:type="paragraph" w:styleId="Subtitle">
    <w:name w:val="Subtitle"/>
    <w:basedOn w:val="Normal"/>
    <w:next w:val="Normal"/>
    <w:link w:val="SubtitleChar"/>
    <w:uiPriority w:val="11"/>
    <w:rsid w:val="00C51FBB"/>
    <w:pPr>
      <w:numPr>
        <w:ilvl w:val="1"/>
      </w:numPr>
      <w:suppressAutoHyphens/>
      <w:spacing w:before="120" w:line="280" w:lineRule="atLeast"/>
      <w:jc w:val="both"/>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C51FBB"/>
    <w:rPr>
      <w:rFonts w:asciiTheme="majorHAnsi" w:eastAsiaTheme="majorEastAsia" w:hAnsiTheme="majorHAnsi" w:cstheme="majorBidi"/>
      <w:i/>
      <w:iCs/>
      <w:color w:val="4F81BD" w:themeColor="accent1"/>
      <w:spacing w:val="15"/>
      <w:lang w:val="en-AU" w:eastAsia="en-US"/>
    </w:rPr>
  </w:style>
  <w:style w:type="character" w:styleId="SubtleEmphasis">
    <w:name w:val="Subtle Emphasis"/>
    <w:basedOn w:val="DefaultParagraphFont"/>
    <w:uiPriority w:val="19"/>
    <w:rsid w:val="00C51FBB"/>
    <w:rPr>
      <w:i/>
      <w:iCs/>
      <w:color w:val="808080" w:themeColor="text1" w:themeTint="7F"/>
    </w:rPr>
  </w:style>
  <w:style w:type="character" w:styleId="Emphasis">
    <w:name w:val="Emphasis"/>
    <w:basedOn w:val="DefaultParagraphFont"/>
    <w:uiPriority w:val="20"/>
    <w:rsid w:val="00C51FBB"/>
    <w:rPr>
      <w:i/>
      <w:iCs/>
    </w:rPr>
  </w:style>
  <w:style w:type="character" w:styleId="IntenseEmphasis">
    <w:name w:val="Intense Emphasis"/>
    <w:basedOn w:val="DefaultParagraphFont"/>
    <w:uiPriority w:val="21"/>
    <w:rsid w:val="00C51FBB"/>
    <w:rPr>
      <w:b/>
      <w:bCs/>
      <w:i/>
      <w:iCs/>
      <w:color w:val="4F81BD" w:themeColor="accent1"/>
    </w:rPr>
  </w:style>
  <w:style w:type="character" w:styleId="Strong">
    <w:name w:val="Strong"/>
    <w:basedOn w:val="DefaultParagraphFont"/>
    <w:uiPriority w:val="22"/>
    <w:rsid w:val="00C51FBB"/>
    <w:rPr>
      <w:b/>
      <w:bCs/>
    </w:rPr>
  </w:style>
  <w:style w:type="paragraph" w:styleId="Quote">
    <w:name w:val="Quote"/>
    <w:basedOn w:val="Normal"/>
    <w:next w:val="Normal"/>
    <w:link w:val="QuoteChar"/>
    <w:uiPriority w:val="29"/>
    <w:qFormat/>
    <w:rsid w:val="00C51FBB"/>
    <w:pPr>
      <w:suppressAutoHyphens/>
      <w:spacing w:before="240" w:after="240" w:line="280" w:lineRule="atLeast"/>
      <w:ind w:left="567" w:right="567"/>
      <w:jc w:val="both"/>
    </w:pPr>
    <w:rPr>
      <w:rFonts w:ascii="Arial" w:eastAsiaTheme="minorEastAsia" w:hAnsi="Arial"/>
      <w:iCs/>
      <w:color w:val="ED0C64"/>
      <w:sz w:val="20"/>
    </w:rPr>
  </w:style>
  <w:style w:type="character" w:customStyle="1" w:styleId="QuoteChar">
    <w:name w:val="Quote Char"/>
    <w:basedOn w:val="DefaultParagraphFont"/>
    <w:link w:val="Quote"/>
    <w:uiPriority w:val="29"/>
    <w:rsid w:val="00C51FBB"/>
    <w:rPr>
      <w:rFonts w:ascii="Arial" w:hAnsi="Arial"/>
      <w:iCs/>
      <w:color w:val="ED0C64"/>
      <w:sz w:val="20"/>
      <w:lang w:val="en-AU" w:eastAsia="en-US"/>
    </w:rPr>
  </w:style>
  <w:style w:type="paragraph" w:styleId="IntenseQuote">
    <w:name w:val="Intense Quote"/>
    <w:basedOn w:val="Normal"/>
    <w:next w:val="Normal"/>
    <w:link w:val="IntenseQuoteChar"/>
    <w:uiPriority w:val="30"/>
    <w:rsid w:val="00C51FBB"/>
    <w:pPr>
      <w:pBdr>
        <w:bottom w:val="single" w:sz="4" w:space="4" w:color="4F81BD" w:themeColor="accent1"/>
      </w:pBdr>
      <w:suppressAutoHyphens/>
      <w:spacing w:before="200" w:after="280" w:line="280" w:lineRule="atLeast"/>
      <w:ind w:left="936" w:right="936"/>
      <w:jc w:val="both"/>
    </w:pPr>
    <w:rPr>
      <w:rFonts w:ascii="Arial" w:eastAsiaTheme="minorEastAsia" w:hAnsi="Arial"/>
      <w:b/>
      <w:bCs/>
      <w:i/>
      <w:iCs/>
      <w:color w:val="4F81BD" w:themeColor="accent1"/>
      <w:sz w:val="20"/>
    </w:rPr>
  </w:style>
  <w:style w:type="character" w:customStyle="1" w:styleId="IntenseQuoteChar">
    <w:name w:val="Intense Quote Char"/>
    <w:basedOn w:val="DefaultParagraphFont"/>
    <w:link w:val="IntenseQuote"/>
    <w:uiPriority w:val="30"/>
    <w:rsid w:val="00C51FBB"/>
    <w:rPr>
      <w:rFonts w:ascii="Arial" w:hAnsi="Arial"/>
      <w:b/>
      <w:bCs/>
      <w:i/>
      <w:iCs/>
      <w:color w:val="4F81BD" w:themeColor="accent1"/>
      <w:sz w:val="20"/>
      <w:lang w:val="en-AU" w:eastAsia="en-US"/>
    </w:rPr>
  </w:style>
  <w:style w:type="character" w:styleId="SubtleReference">
    <w:name w:val="Subtle Reference"/>
    <w:basedOn w:val="DefaultParagraphFont"/>
    <w:uiPriority w:val="31"/>
    <w:rsid w:val="00C51FBB"/>
    <w:rPr>
      <w:smallCaps/>
      <w:color w:val="C0504D" w:themeColor="accent2"/>
      <w:u w:val="single"/>
    </w:rPr>
  </w:style>
  <w:style w:type="character" w:styleId="IntenseReference">
    <w:name w:val="Intense Reference"/>
    <w:basedOn w:val="DefaultParagraphFont"/>
    <w:uiPriority w:val="32"/>
    <w:rsid w:val="00C51FBB"/>
    <w:rPr>
      <w:b/>
      <w:bCs/>
      <w:smallCaps/>
      <w:color w:val="C0504D" w:themeColor="accent2"/>
      <w:spacing w:val="5"/>
      <w:u w:val="single"/>
    </w:rPr>
  </w:style>
  <w:style w:type="character" w:styleId="BookTitle">
    <w:name w:val="Book Title"/>
    <w:basedOn w:val="DefaultParagraphFont"/>
    <w:uiPriority w:val="33"/>
    <w:rsid w:val="00C51FBB"/>
    <w:rPr>
      <w:b/>
      <w:bCs/>
      <w:smallCaps/>
      <w:spacing w:val="5"/>
    </w:rPr>
  </w:style>
  <w:style w:type="paragraph" w:customStyle="1" w:styleId="Comment">
    <w:name w:val="Comment"/>
    <w:basedOn w:val="CommentTextBullet"/>
    <w:rsid w:val="00C51FBB"/>
  </w:style>
  <w:style w:type="paragraph" w:styleId="Revision">
    <w:name w:val="Revision"/>
    <w:hidden/>
    <w:uiPriority w:val="99"/>
    <w:semiHidden/>
    <w:rsid w:val="000D0E99"/>
    <w:rPr>
      <w:rFonts w:ascii="Arial" w:hAnsi="Arial"/>
      <w:color w:val="2C2624"/>
      <w:sz w:val="20"/>
      <w:lang w:val="en-AU" w:eastAsia="en-US"/>
    </w:rPr>
  </w:style>
  <w:style w:type="table" w:styleId="TableClassic1">
    <w:name w:val="Table Classic 1"/>
    <w:basedOn w:val="TableNormal"/>
    <w:uiPriority w:val="99"/>
    <w:semiHidden/>
    <w:unhideWhenUsed/>
    <w:rsid w:val="000D0E99"/>
    <w:pPr>
      <w:suppressAutoHyphens/>
      <w:spacing w:before="120" w:line="280" w:lineRule="atLeast"/>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LightShading">
    <w:name w:val="Light Shading"/>
    <w:basedOn w:val="TableNormal"/>
    <w:uiPriority w:val="60"/>
    <w:rsid w:val="000D0E9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Aligned">
    <w:name w:val="Table Text Aligned"/>
    <w:basedOn w:val="TableTextCentre"/>
    <w:rsid w:val="00D66F29"/>
    <w:pPr>
      <w:tabs>
        <w:tab w:val="decimal" w:pos="1038"/>
      </w:tabs>
      <w:jc w:val="left"/>
    </w:pPr>
  </w:style>
  <w:style w:type="paragraph" w:customStyle="1" w:styleId="BoxBulletList">
    <w:name w:val="Box Bullet List"/>
    <w:basedOn w:val="Normal"/>
    <w:rsid w:val="00A35876"/>
    <w:pPr>
      <w:numPr>
        <w:numId w:val="17"/>
      </w:numPr>
      <w:shd w:val="pct5" w:color="auto" w:fill="auto"/>
      <w:suppressAutoHyphens/>
      <w:spacing w:before="120" w:line="280" w:lineRule="atLeast"/>
      <w:ind w:left="360"/>
    </w:pPr>
    <w:rPr>
      <w:rFonts w:ascii="Arial" w:hAnsi="Arial"/>
      <w:color w:val="2C2624"/>
      <w:sz w:val="20"/>
      <w:lang w:bidi="en-US"/>
    </w:rPr>
  </w:style>
  <w:style w:type="paragraph" w:customStyle="1" w:styleId="BoxNumberedList">
    <w:name w:val="Box Numbered List"/>
    <w:basedOn w:val="Normal"/>
    <w:rsid w:val="00A35876"/>
    <w:pPr>
      <w:numPr>
        <w:numId w:val="18"/>
      </w:numPr>
      <w:shd w:val="pct5" w:color="auto" w:fill="auto"/>
      <w:suppressAutoHyphens/>
      <w:spacing w:before="120" w:line="280" w:lineRule="atLeast"/>
    </w:pPr>
    <w:rPr>
      <w:rFonts w:ascii="Arial" w:hAnsi="Arial"/>
      <w:color w:val="2C2624"/>
      <w:sz w:val="20"/>
      <w:lang w:bidi="en-US"/>
    </w:rPr>
  </w:style>
  <w:style w:type="paragraph" w:customStyle="1" w:styleId="OverviewText">
    <w:name w:val="Overview Text"/>
    <w:basedOn w:val="BodyText"/>
    <w:rsid w:val="002C204E"/>
    <w:rPr>
      <w:color w:val="7030A0"/>
      <w:sz w:val="24"/>
    </w:rPr>
  </w:style>
  <w:style w:type="paragraph" w:customStyle="1" w:styleId="KeyMessagesHeading">
    <w:name w:val="Key Messages Heading"/>
    <w:basedOn w:val="Heading1"/>
    <w:rsid w:val="002C204E"/>
    <w:rPr>
      <w:sz w:val="38"/>
    </w:rPr>
  </w:style>
  <w:style w:type="paragraph" w:customStyle="1" w:styleId="KeyMessageslistbullet">
    <w:name w:val="Key Messages list bullet"/>
    <w:basedOn w:val="ListBullet"/>
    <w:uiPriority w:val="99"/>
    <w:rsid w:val="002C204E"/>
    <w:rPr>
      <w:color w:val="7030A0"/>
      <w:sz w:val="24"/>
    </w:rPr>
  </w:style>
  <w:style w:type="paragraph" w:customStyle="1" w:styleId="Overview">
    <w:name w:val="Overview"/>
    <w:basedOn w:val="KeyMessagesHeading"/>
    <w:qFormat/>
    <w:rsid w:val="002F774A"/>
  </w:style>
  <w:style w:type="paragraph" w:customStyle="1" w:styleId="TableNotes">
    <w:name w:val="Table Notes"/>
    <w:basedOn w:val="FigureNotes"/>
    <w:autoRedefine/>
    <w:qFormat/>
    <w:rsid w:val="00F94EAB"/>
    <w:pPr>
      <w:spacing w:before="0"/>
    </w:pPr>
    <w:rPr>
      <w:sz w:val="18"/>
    </w:rPr>
  </w:style>
  <w:style w:type="paragraph" w:customStyle="1" w:styleId="MarginText">
    <w:name w:val="Margin Text"/>
    <w:basedOn w:val="Normal"/>
    <w:link w:val="MarginTextChar"/>
    <w:rsid w:val="00D912F8"/>
    <w:pPr>
      <w:adjustRightInd w:val="0"/>
      <w:spacing w:after="120"/>
    </w:pPr>
    <w:rPr>
      <w:rFonts w:ascii="Arial" w:eastAsia="STZhongsong" w:hAnsi="Arial"/>
      <w:sz w:val="22"/>
      <w:szCs w:val="20"/>
      <w:lang w:val="en-GB" w:eastAsia="zh-CN"/>
    </w:rPr>
  </w:style>
  <w:style w:type="character" w:customStyle="1" w:styleId="MarginTextChar">
    <w:name w:val="Margin Text Char"/>
    <w:link w:val="MarginText"/>
    <w:rsid w:val="00D912F8"/>
    <w:rPr>
      <w:rFonts w:ascii="Arial" w:eastAsia="STZhongsong" w:hAnsi="Arial"/>
      <w:sz w:val="22"/>
      <w:szCs w:val="20"/>
      <w:lang w:val="en-GB" w:eastAsia="zh-CN"/>
    </w:rPr>
  </w:style>
  <w:style w:type="paragraph" w:styleId="NormalWeb">
    <w:name w:val="Normal (Web)"/>
    <w:basedOn w:val="Normal"/>
    <w:uiPriority w:val="99"/>
    <w:unhideWhenUsed/>
    <w:rsid w:val="009564F6"/>
    <w:pPr>
      <w:spacing w:before="100" w:beforeAutospacing="1" w:after="100" w:afterAutospacing="1"/>
    </w:pPr>
  </w:style>
  <w:style w:type="character" w:customStyle="1" w:styleId="BalloonTextChar">
    <w:name w:val="Balloon Text Char"/>
    <w:basedOn w:val="DefaultParagraphFont"/>
    <w:link w:val="BalloonText"/>
    <w:uiPriority w:val="99"/>
    <w:semiHidden/>
    <w:rsid w:val="004919B6"/>
    <w:rPr>
      <w:rFonts w:ascii="Lucida Grande" w:hAnsi="Lucida Grande"/>
      <w:color w:val="2C2624"/>
      <w:sz w:val="18"/>
      <w:szCs w:val="18"/>
      <w:lang w:val="en-AU" w:eastAsia="en-US"/>
    </w:rPr>
  </w:style>
  <w:style w:type="character" w:customStyle="1" w:styleId="FooterChar">
    <w:name w:val="Footer Char"/>
    <w:basedOn w:val="DefaultParagraphFont"/>
    <w:link w:val="Footer"/>
    <w:uiPriority w:val="99"/>
    <w:rsid w:val="004919B6"/>
    <w:rPr>
      <w:rFonts w:ascii="Arial" w:hAnsi="Arial"/>
      <w:color w:val="241C44"/>
      <w:sz w:val="16"/>
      <w:szCs w:val="16"/>
      <w:lang w:val="en-AU" w:eastAsia="en-US"/>
    </w:rPr>
  </w:style>
  <w:style w:type="character" w:customStyle="1" w:styleId="HeaderChar">
    <w:name w:val="Header Char"/>
    <w:basedOn w:val="DefaultParagraphFont"/>
    <w:link w:val="Header"/>
    <w:uiPriority w:val="99"/>
    <w:rsid w:val="004919B6"/>
    <w:rPr>
      <w:rFonts w:ascii="Arial" w:hAnsi="Arial"/>
      <w:noProof/>
      <w:color w:val="241C44"/>
      <w:sz w:val="16"/>
      <w:szCs w:val="16"/>
      <w:lang w:eastAsia="en-US"/>
    </w:rPr>
  </w:style>
  <w:style w:type="character" w:customStyle="1" w:styleId="BodyTextChar">
    <w:name w:val="Body Text Char"/>
    <w:basedOn w:val="DefaultParagraphFont"/>
    <w:link w:val="BodyText"/>
    <w:uiPriority w:val="99"/>
    <w:rsid w:val="004919B6"/>
    <w:rPr>
      <w:rFonts w:ascii="Arial" w:eastAsia="Times New Roman" w:hAnsi="Arial"/>
      <w:color w:val="2C2624"/>
      <w:sz w:val="20"/>
      <w:lang w:val="en-AU" w:eastAsia="en-US" w:bidi="en-US"/>
    </w:rPr>
  </w:style>
  <w:style w:type="character" w:customStyle="1" w:styleId="UnresolvedMention1">
    <w:name w:val="Unresolved Mention1"/>
    <w:basedOn w:val="DefaultParagraphFont"/>
    <w:uiPriority w:val="99"/>
    <w:unhideWhenUsed/>
    <w:rsid w:val="001422DD"/>
    <w:rPr>
      <w:color w:val="605E5C"/>
      <w:shd w:val="clear" w:color="auto" w:fill="E1DFDD"/>
    </w:rPr>
  </w:style>
  <w:style w:type="character" w:customStyle="1" w:styleId="Heading2Char">
    <w:name w:val="Heading 2 Char"/>
    <w:basedOn w:val="DefaultParagraphFont"/>
    <w:link w:val="Heading2"/>
    <w:rsid w:val="001422DD"/>
    <w:rPr>
      <w:rFonts w:ascii="Arial" w:hAnsi="Arial" w:cs="Arial"/>
      <w:color w:val="62136D"/>
      <w:kern w:val="32"/>
      <w:sz w:val="38"/>
      <w:szCs w:val="38"/>
      <w:lang w:val="en-AU" w:eastAsia="en-US"/>
    </w:rPr>
  </w:style>
  <w:style w:type="table" w:styleId="GridTable4">
    <w:name w:val="Grid Table 4"/>
    <w:basedOn w:val="TableNormal"/>
    <w:uiPriority w:val="49"/>
    <w:rsid w:val="00185259"/>
    <w:rPr>
      <w:rFonts w:asciiTheme="minorHAnsi" w:eastAsiaTheme="minorHAnsi" w:hAnsiTheme="minorHAnsi" w:cstheme="minorBidi"/>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Heading1Char">
    <w:name w:val="Heading 1 Char"/>
    <w:basedOn w:val="DefaultParagraphFont"/>
    <w:link w:val="Heading1"/>
    <w:rsid w:val="00D35E26"/>
    <w:rPr>
      <w:rFonts w:ascii="Arial" w:hAnsi="Arial" w:cs="Arial"/>
      <w:color w:val="ED0C64"/>
      <w:kern w:val="32"/>
      <w:sz w:val="44"/>
      <w:lang w:val="en-AU" w:eastAsia="en-US"/>
    </w:rPr>
  </w:style>
  <w:style w:type="paragraph" w:styleId="Caption">
    <w:name w:val="caption"/>
    <w:basedOn w:val="Normal"/>
    <w:next w:val="Normal"/>
    <w:uiPriority w:val="35"/>
    <w:unhideWhenUsed/>
    <w:qFormat/>
    <w:rsid w:val="00D161F4"/>
    <w:pPr>
      <w:suppressAutoHyphens/>
      <w:spacing w:after="200"/>
      <w:jc w:val="both"/>
    </w:pPr>
    <w:rPr>
      <w:rFonts w:ascii="Arial" w:eastAsiaTheme="minorEastAsia" w:hAnsi="Arial"/>
      <w:i/>
      <w:iCs/>
      <w:color w:val="1F497D" w:themeColor="text2"/>
      <w:sz w:val="18"/>
      <w:szCs w:val="18"/>
    </w:rPr>
  </w:style>
  <w:style w:type="paragraph" w:styleId="TableofFigures">
    <w:name w:val="table of figures"/>
    <w:basedOn w:val="TableHeading"/>
    <w:next w:val="Normal"/>
    <w:uiPriority w:val="99"/>
    <w:unhideWhenUsed/>
    <w:rsid w:val="007C06BD"/>
    <w:rPr>
      <w:color w:val="auto"/>
    </w:rPr>
  </w:style>
  <w:style w:type="character" w:styleId="Hyperlink">
    <w:name w:val="Hyperlink"/>
    <w:basedOn w:val="DefaultParagraphFont"/>
    <w:uiPriority w:val="99"/>
    <w:unhideWhenUsed/>
    <w:rsid w:val="00B110C0"/>
    <w:rPr>
      <w:color w:val="0000FF" w:themeColor="hyperlink"/>
      <w:u w:val="single"/>
    </w:rPr>
  </w:style>
  <w:style w:type="character" w:customStyle="1" w:styleId="Heading2OutlineChar">
    <w:name w:val="Heading 2 Outline Char"/>
    <w:basedOn w:val="Heading1Char"/>
    <w:link w:val="Heading2Outline"/>
    <w:rsid w:val="00891F38"/>
    <w:rPr>
      <w:rFonts w:ascii="Arial" w:hAnsi="Arial" w:cs="Arial"/>
      <w:color w:val="62136D"/>
      <w:kern w:val="32"/>
      <w:sz w:val="38"/>
      <w:szCs w:val="38"/>
      <w:lang w:val="en-AU" w:eastAsia="en-US"/>
    </w:rPr>
  </w:style>
  <w:style w:type="paragraph" w:customStyle="1" w:styleId="heading3outline0">
    <w:name w:val="heading 3 outline"/>
    <w:basedOn w:val="Heading3"/>
    <w:autoRedefine/>
    <w:rsid w:val="005B7DDB"/>
    <w:pPr>
      <w:numPr>
        <w:ilvl w:val="2"/>
        <w:numId w:val="15"/>
      </w:numPr>
    </w:pPr>
  </w:style>
  <w:style w:type="character" w:customStyle="1" w:styleId="Heading5Char">
    <w:name w:val="Heading 5 Char"/>
    <w:basedOn w:val="DefaultParagraphFont"/>
    <w:link w:val="Heading5"/>
    <w:uiPriority w:val="9"/>
    <w:rsid w:val="00ED0AEE"/>
    <w:rPr>
      <w:rFonts w:asciiTheme="majorHAnsi" w:eastAsiaTheme="majorEastAsia" w:hAnsiTheme="majorHAnsi" w:cstheme="majorBidi"/>
      <w:color w:val="365F91" w:themeColor="accent1" w:themeShade="BF"/>
      <w:lang w:val="en-AU" w:eastAsia="en-US"/>
    </w:rPr>
  </w:style>
  <w:style w:type="character" w:customStyle="1" w:styleId="Heading7Char">
    <w:name w:val="Heading 7 Char"/>
    <w:basedOn w:val="DefaultParagraphFont"/>
    <w:link w:val="Heading7"/>
    <w:uiPriority w:val="9"/>
    <w:semiHidden/>
    <w:rsid w:val="00ED0AEE"/>
    <w:rPr>
      <w:rFonts w:asciiTheme="majorHAnsi" w:eastAsiaTheme="majorEastAsia" w:hAnsiTheme="majorHAnsi" w:cstheme="majorBidi"/>
      <w:i/>
      <w:iCs/>
      <w:color w:val="243F60" w:themeColor="accent1" w:themeShade="7F"/>
      <w:lang w:val="en-AU" w:eastAsia="en-US"/>
    </w:rPr>
  </w:style>
  <w:style w:type="character" w:customStyle="1" w:styleId="Heading8Char">
    <w:name w:val="Heading 8 Char"/>
    <w:basedOn w:val="DefaultParagraphFont"/>
    <w:link w:val="Heading8"/>
    <w:uiPriority w:val="9"/>
    <w:semiHidden/>
    <w:rsid w:val="00ED0AEE"/>
    <w:rPr>
      <w:rFonts w:asciiTheme="majorHAnsi" w:eastAsiaTheme="majorEastAsia" w:hAnsiTheme="majorHAnsi" w:cstheme="majorBidi"/>
      <w:color w:val="272727" w:themeColor="text1" w:themeTint="D8"/>
      <w:sz w:val="21"/>
      <w:szCs w:val="21"/>
      <w:lang w:val="en-AU" w:eastAsia="en-US"/>
    </w:rPr>
  </w:style>
  <w:style w:type="character" w:customStyle="1" w:styleId="Heading9Char">
    <w:name w:val="Heading 9 Char"/>
    <w:basedOn w:val="DefaultParagraphFont"/>
    <w:link w:val="Heading9"/>
    <w:uiPriority w:val="9"/>
    <w:semiHidden/>
    <w:rsid w:val="00ED0AEE"/>
    <w:rPr>
      <w:rFonts w:asciiTheme="majorHAnsi" w:eastAsiaTheme="majorEastAsia" w:hAnsiTheme="majorHAnsi" w:cstheme="majorBidi"/>
      <w:i/>
      <w:iCs/>
      <w:color w:val="272727" w:themeColor="text1" w:themeTint="D8"/>
      <w:sz w:val="21"/>
      <w:szCs w:val="21"/>
      <w:lang w:val="en-AU" w:eastAsia="en-US"/>
    </w:rPr>
  </w:style>
  <w:style w:type="paragraph" w:customStyle="1" w:styleId="SummaryText">
    <w:name w:val="Summary Text"/>
    <w:basedOn w:val="BodyText"/>
    <w:rsid w:val="00ED0AEE"/>
    <w:rPr>
      <w:color w:val="7030A0"/>
      <w:sz w:val="24"/>
    </w:rPr>
  </w:style>
  <w:style w:type="paragraph" w:customStyle="1" w:styleId="Summary">
    <w:name w:val="Summary"/>
    <w:basedOn w:val="KeyMessagesHeading"/>
    <w:qFormat/>
    <w:rsid w:val="00ED0AEE"/>
  </w:style>
  <w:style w:type="character" w:customStyle="1" w:styleId="TableTextChar">
    <w:name w:val="Table Text Char"/>
    <w:link w:val="TableText"/>
    <w:locked/>
    <w:rsid w:val="00ED0AEE"/>
    <w:rPr>
      <w:rFonts w:ascii="Arial" w:eastAsia="Times New Roman" w:hAnsi="Arial"/>
      <w:color w:val="2C2624"/>
      <w:sz w:val="20"/>
      <w:szCs w:val="20"/>
      <w:lang w:eastAsia="en-AU" w:bidi="en-US"/>
    </w:rPr>
  </w:style>
  <w:style w:type="paragraph" w:customStyle="1" w:styleId="Frontsubheadings">
    <w:name w:val="Front subheadings"/>
    <w:basedOn w:val="Heading2"/>
    <w:qFormat/>
    <w:rsid w:val="00ED0AEE"/>
    <w:pPr>
      <w:jc w:val="left"/>
    </w:pPr>
  </w:style>
  <w:style w:type="paragraph" w:customStyle="1" w:styleId="Default">
    <w:name w:val="Default"/>
    <w:rsid w:val="00ED0AEE"/>
    <w:pPr>
      <w:autoSpaceDE w:val="0"/>
      <w:autoSpaceDN w:val="0"/>
      <w:adjustRightInd w:val="0"/>
    </w:pPr>
    <w:rPr>
      <w:rFonts w:ascii="HelveticaNeueLT Pro 45 Lt" w:eastAsiaTheme="minorHAnsi" w:hAnsi="HelveticaNeueLT Pro 45 Lt" w:cs="HelveticaNeueLT Pro 45 Lt"/>
      <w:color w:val="000000"/>
      <w:lang w:eastAsia="en-US"/>
    </w:rPr>
  </w:style>
  <w:style w:type="character" w:customStyle="1" w:styleId="ListParagraphChar">
    <w:name w:val="List Paragraph Char"/>
    <w:aliases w:val="List Paragraph1 Char,Recommendation Char,List Paragraph11 Char,L Char,bullet point list Char,Key Message Bullets Char,Bullet List Char,Bullet list Char,Bulletr List Paragraph Char,FooterText Char,List Paragraph2 Char,numbered Char"/>
    <w:link w:val="ListParagraph"/>
    <w:uiPriority w:val="34"/>
    <w:locked/>
    <w:rsid w:val="00ED0AEE"/>
    <w:rPr>
      <w:rFonts w:ascii="Arial" w:eastAsia="Times New Roman" w:hAnsi="Arial"/>
      <w:color w:val="2C2624"/>
      <w:sz w:val="20"/>
      <w:lang w:val="en-AU" w:eastAsia="en-US" w:bidi="en-US"/>
    </w:rPr>
  </w:style>
  <w:style w:type="paragraph" w:customStyle="1" w:styleId="VRGFBodycontent">
    <w:name w:val="VRGF Body content"/>
    <w:basedOn w:val="Normal"/>
    <w:qFormat/>
    <w:rsid w:val="00ED0AEE"/>
    <w:pPr>
      <w:tabs>
        <w:tab w:val="left" w:pos="426"/>
      </w:tabs>
      <w:spacing w:before="120" w:after="240" w:line="288" w:lineRule="auto"/>
      <w:ind w:left="720" w:right="272"/>
    </w:pPr>
    <w:rPr>
      <w:rFonts w:ascii="Arial" w:hAnsi="Arial"/>
      <w:sz w:val="20"/>
      <w:szCs w:val="18"/>
    </w:rPr>
  </w:style>
  <w:style w:type="character" w:customStyle="1" w:styleId="Heading3Char">
    <w:name w:val="Heading 3 Char"/>
    <w:basedOn w:val="DefaultParagraphFont"/>
    <w:link w:val="Heading3"/>
    <w:rsid w:val="004B78E0"/>
    <w:rPr>
      <w:rFonts w:ascii="Arial" w:hAnsi="Arial" w:cs="Arial"/>
      <w:color w:val="8064A2" w:themeColor="accent4"/>
      <w:kern w:val="32"/>
      <w:sz w:val="32"/>
      <w:szCs w:val="32"/>
      <w:lang w:val="en-AU" w:eastAsia="en-US"/>
    </w:rPr>
  </w:style>
  <w:style w:type="character" w:customStyle="1" w:styleId="UnresolvedMention10">
    <w:name w:val="Unresolved Mention1"/>
    <w:basedOn w:val="DefaultParagraphFont"/>
    <w:uiPriority w:val="99"/>
    <w:rsid w:val="00115CBA"/>
    <w:rPr>
      <w:color w:val="605E5C"/>
      <w:shd w:val="clear" w:color="auto" w:fill="E1DFDD"/>
    </w:rPr>
  </w:style>
  <w:style w:type="paragraph" w:styleId="TOCHeading">
    <w:name w:val="TOC Heading"/>
    <w:basedOn w:val="Heading1"/>
    <w:next w:val="Normal"/>
    <w:uiPriority w:val="39"/>
    <w:unhideWhenUsed/>
    <w:qFormat/>
    <w:rsid w:val="00ED0AEE"/>
    <w:pPr>
      <w:spacing w:before="480" w:after="0" w:line="276" w:lineRule="auto"/>
      <w:outlineLvl w:val="9"/>
    </w:pPr>
    <w:rPr>
      <w:rFonts w:asciiTheme="majorHAnsi" w:eastAsiaTheme="majorEastAsia" w:hAnsiTheme="majorHAnsi" w:cstheme="majorBidi"/>
      <w:b/>
      <w:bCs/>
      <w:color w:val="365F91" w:themeColor="accent1" w:themeShade="BF"/>
      <w:kern w:val="0"/>
      <w:sz w:val="28"/>
      <w:szCs w:val="28"/>
      <w:lang w:val="en-US"/>
    </w:rPr>
  </w:style>
  <w:style w:type="paragraph" w:customStyle="1" w:styleId="Pa0">
    <w:name w:val="Pa0"/>
    <w:basedOn w:val="Default"/>
    <w:next w:val="Default"/>
    <w:uiPriority w:val="99"/>
    <w:rsid w:val="00ED0AEE"/>
    <w:pPr>
      <w:spacing w:line="241" w:lineRule="atLeast"/>
    </w:pPr>
    <w:rPr>
      <w:rFonts w:ascii="Minion Pro" w:hAnsi="Minion Pro" w:cstheme="minorBidi"/>
      <w:color w:val="auto"/>
    </w:rPr>
  </w:style>
  <w:style w:type="character" w:customStyle="1" w:styleId="charItalic">
    <w:name w:val="char Italic"/>
    <w:basedOn w:val="DefaultParagraphFont"/>
    <w:uiPriority w:val="1"/>
    <w:qFormat/>
    <w:rsid w:val="00ED0AEE"/>
    <w:rPr>
      <w:rFonts w:ascii="Times" w:eastAsia="Times" w:hAnsi="Times" w:hint="default"/>
      <w:i/>
      <w:iCs w:val="0"/>
    </w:rPr>
  </w:style>
  <w:style w:type="paragraph" w:customStyle="1" w:styleId="Style1">
    <w:name w:val="Style1"/>
    <w:basedOn w:val="heading3outline0"/>
    <w:rsid w:val="00B63F54"/>
    <w:pPr>
      <w:numPr>
        <w:ilvl w:val="0"/>
        <w:numId w:val="0"/>
      </w:numPr>
      <w:suppressAutoHyphens w:val="0"/>
      <w:ind w:left="992" w:hanging="992"/>
      <w:jc w:val="left"/>
      <w:outlineLvl w:val="1"/>
    </w:pPr>
    <w:rPr>
      <w:color w:val="62136D"/>
      <w:szCs w:val="38"/>
    </w:rPr>
  </w:style>
  <w:style w:type="numbering" w:styleId="111111">
    <w:name w:val="Outline List 2"/>
    <w:basedOn w:val="NoList"/>
    <w:uiPriority w:val="99"/>
    <w:semiHidden/>
    <w:unhideWhenUsed/>
    <w:rsid w:val="001551F3"/>
    <w:pPr>
      <w:numPr>
        <w:numId w:val="12"/>
      </w:numPr>
    </w:pPr>
  </w:style>
  <w:style w:type="paragraph" w:customStyle="1" w:styleId="Heading3outline">
    <w:name w:val="Heading 3 outline"/>
    <w:basedOn w:val="Heading3"/>
    <w:rsid w:val="005B7DDB"/>
    <w:pPr>
      <w:numPr>
        <w:ilvl w:val="2"/>
        <w:numId w:val="14"/>
      </w:numPr>
    </w:pPr>
  </w:style>
  <w:style w:type="character" w:customStyle="1" w:styleId="Heading6Char">
    <w:name w:val="Heading 6 Char"/>
    <w:basedOn w:val="DefaultParagraphFont"/>
    <w:link w:val="Heading6"/>
    <w:uiPriority w:val="9"/>
    <w:semiHidden/>
    <w:rsid w:val="00D75A10"/>
    <w:rPr>
      <w:rFonts w:asciiTheme="majorHAnsi" w:eastAsiaTheme="majorEastAsia" w:hAnsiTheme="majorHAnsi" w:cstheme="majorBidi"/>
      <w:color w:val="243F60" w:themeColor="accent1" w:themeShade="7F"/>
      <w:sz w:val="20"/>
      <w:lang w:val="en-AU" w:eastAsia="en-US"/>
    </w:rPr>
  </w:style>
  <w:style w:type="paragraph" w:customStyle="1" w:styleId="level3agrcdraft">
    <w:name w:val="level 3 agrc draft"/>
    <w:basedOn w:val="Normal"/>
    <w:rsid w:val="00366D89"/>
    <w:pPr>
      <w:suppressAutoHyphens/>
      <w:spacing w:before="120" w:line="280" w:lineRule="atLeast"/>
      <w:jc w:val="both"/>
    </w:pPr>
    <w:rPr>
      <w:rFonts w:ascii="Arial" w:eastAsia="MS Mincho" w:hAnsi="Arial" w:cs="Arial"/>
      <w:color w:val="62136D"/>
      <w:kern w:val="32"/>
      <w:sz w:val="22"/>
      <w:szCs w:val="22"/>
    </w:rPr>
  </w:style>
  <w:style w:type="character" w:customStyle="1" w:styleId="apple-converted-space">
    <w:name w:val="apple-converted-space"/>
    <w:basedOn w:val="DefaultParagraphFont"/>
    <w:rsid w:val="00230ADC"/>
  </w:style>
  <w:style w:type="paragraph" w:styleId="Index1">
    <w:name w:val="index 1"/>
    <w:basedOn w:val="Normal"/>
    <w:next w:val="Normal"/>
    <w:autoRedefine/>
    <w:uiPriority w:val="99"/>
    <w:semiHidden/>
    <w:unhideWhenUsed/>
    <w:rsid w:val="00B650B4"/>
    <w:pPr>
      <w:suppressAutoHyphens/>
      <w:ind w:left="200" w:hanging="200"/>
      <w:jc w:val="both"/>
    </w:pPr>
    <w:rPr>
      <w:rFonts w:ascii="Arial" w:eastAsiaTheme="minorEastAsia" w:hAnsi="Arial"/>
      <w:color w:val="2C2624"/>
      <w:sz w:val="20"/>
    </w:rPr>
  </w:style>
  <w:style w:type="paragraph" w:customStyle="1" w:styleId="H1lined">
    <w:name w:val="H1 lined"/>
    <w:basedOn w:val="Heading1"/>
    <w:qFormat/>
    <w:rsid w:val="0009372B"/>
    <w:pPr>
      <w:pBdr>
        <w:top w:val="single" w:sz="4" w:space="2" w:color="auto"/>
        <w:bottom w:val="single" w:sz="4" w:space="2" w:color="auto"/>
      </w:pBdr>
      <w:spacing w:before="240" w:after="60"/>
    </w:pPr>
    <w:rPr>
      <w:rFonts w:ascii="Arial Narrow" w:eastAsia="Times" w:hAnsi="Arial Narrow" w:cs="Times New Roman"/>
      <w:b/>
      <w:color w:val="547891"/>
      <w:sz w:val="32"/>
      <w:szCs w:val="32"/>
    </w:rPr>
  </w:style>
  <w:style w:type="character" w:styleId="FollowedHyperlink">
    <w:name w:val="FollowedHyperlink"/>
    <w:basedOn w:val="DefaultParagraphFont"/>
    <w:uiPriority w:val="99"/>
    <w:semiHidden/>
    <w:unhideWhenUsed/>
    <w:rsid w:val="000728D3"/>
    <w:rPr>
      <w:color w:val="800080" w:themeColor="followedHyperlink"/>
      <w:u w:val="single"/>
    </w:rPr>
  </w:style>
  <w:style w:type="character" w:customStyle="1" w:styleId="UnresolvedMention2">
    <w:name w:val="Unresolved Mention2"/>
    <w:basedOn w:val="DefaultParagraphFont"/>
    <w:uiPriority w:val="99"/>
    <w:semiHidden/>
    <w:unhideWhenUsed/>
    <w:rsid w:val="001400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6606">
      <w:bodyDiv w:val="1"/>
      <w:marLeft w:val="0"/>
      <w:marRight w:val="0"/>
      <w:marTop w:val="0"/>
      <w:marBottom w:val="0"/>
      <w:divBdr>
        <w:top w:val="none" w:sz="0" w:space="0" w:color="auto"/>
        <w:left w:val="none" w:sz="0" w:space="0" w:color="auto"/>
        <w:bottom w:val="none" w:sz="0" w:space="0" w:color="auto"/>
        <w:right w:val="none" w:sz="0" w:space="0" w:color="auto"/>
      </w:divBdr>
    </w:div>
    <w:div w:id="45877701">
      <w:bodyDiv w:val="1"/>
      <w:marLeft w:val="0"/>
      <w:marRight w:val="0"/>
      <w:marTop w:val="0"/>
      <w:marBottom w:val="0"/>
      <w:divBdr>
        <w:top w:val="none" w:sz="0" w:space="0" w:color="auto"/>
        <w:left w:val="none" w:sz="0" w:space="0" w:color="auto"/>
        <w:bottom w:val="none" w:sz="0" w:space="0" w:color="auto"/>
        <w:right w:val="none" w:sz="0" w:space="0" w:color="auto"/>
      </w:divBdr>
      <w:divsChild>
        <w:div w:id="976766964">
          <w:marLeft w:val="403"/>
          <w:marRight w:val="0"/>
          <w:marTop w:val="80"/>
          <w:marBottom w:val="120"/>
          <w:divBdr>
            <w:top w:val="none" w:sz="0" w:space="0" w:color="auto"/>
            <w:left w:val="none" w:sz="0" w:space="0" w:color="auto"/>
            <w:bottom w:val="none" w:sz="0" w:space="0" w:color="auto"/>
            <w:right w:val="none" w:sz="0" w:space="0" w:color="auto"/>
          </w:divBdr>
        </w:div>
      </w:divsChild>
    </w:div>
    <w:div w:id="106049212">
      <w:bodyDiv w:val="1"/>
      <w:marLeft w:val="0"/>
      <w:marRight w:val="0"/>
      <w:marTop w:val="0"/>
      <w:marBottom w:val="0"/>
      <w:divBdr>
        <w:top w:val="none" w:sz="0" w:space="0" w:color="auto"/>
        <w:left w:val="none" w:sz="0" w:space="0" w:color="auto"/>
        <w:bottom w:val="none" w:sz="0" w:space="0" w:color="auto"/>
        <w:right w:val="none" w:sz="0" w:space="0" w:color="auto"/>
      </w:divBdr>
    </w:div>
    <w:div w:id="341931688">
      <w:bodyDiv w:val="1"/>
      <w:marLeft w:val="0"/>
      <w:marRight w:val="0"/>
      <w:marTop w:val="0"/>
      <w:marBottom w:val="0"/>
      <w:divBdr>
        <w:top w:val="none" w:sz="0" w:space="0" w:color="auto"/>
        <w:left w:val="none" w:sz="0" w:space="0" w:color="auto"/>
        <w:bottom w:val="none" w:sz="0" w:space="0" w:color="auto"/>
        <w:right w:val="none" w:sz="0" w:space="0" w:color="auto"/>
      </w:divBdr>
    </w:div>
    <w:div w:id="540017443">
      <w:bodyDiv w:val="1"/>
      <w:marLeft w:val="0"/>
      <w:marRight w:val="0"/>
      <w:marTop w:val="0"/>
      <w:marBottom w:val="0"/>
      <w:divBdr>
        <w:top w:val="none" w:sz="0" w:space="0" w:color="auto"/>
        <w:left w:val="none" w:sz="0" w:space="0" w:color="auto"/>
        <w:bottom w:val="none" w:sz="0" w:space="0" w:color="auto"/>
        <w:right w:val="none" w:sz="0" w:space="0" w:color="auto"/>
      </w:divBdr>
      <w:divsChild>
        <w:div w:id="1149204462">
          <w:marLeft w:val="0"/>
          <w:marRight w:val="0"/>
          <w:marTop w:val="0"/>
          <w:marBottom w:val="0"/>
          <w:divBdr>
            <w:top w:val="none" w:sz="0" w:space="0" w:color="auto"/>
            <w:left w:val="none" w:sz="0" w:space="0" w:color="auto"/>
            <w:bottom w:val="none" w:sz="0" w:space="0" w:color="auto"/>
            <w:right w:val="none" w:sz="0" w:space="0" w:color="auto"/>
          </w:divBdr>
        </w:div>
        <w:div w:id="20327916">
          <w:marLeft w:val="0"/>
          <w:marRight w:val="0"/>
          <w:marTop w:val="0"/>
          <w:marBottom w:val="0"/>
          <w:divBdr>
            <w:top w:val="none" w:sz="0" w:space="0" w:color="auto"/>
            <w:left w:val="none" w:sz="0" w:space="0" w:color="auto"/>
            <w:bottom w:val="none" w:sz="0" w:space="0" w:color="auto"/>
            <w:right w:val="none" w:sz="0" w:space="0" w:color="auto"/>
          </w:divBdr>
        </w:div>
        <w:div w:id="1001542749">
          <w:marLeft w:val="0"/>
          <w:marRight w:val="0"/>
          <w:marTop w:val="0"/>
          <w:marBottom w:val="0"/>
          <w:divBdr>
            <w:top w:val="none" w:sz="0" w:space="0" w:color="auto"/>
            <w:left w:val="none" w:sz="0" w:space="0" w:color="auto"/>
            <w:bottom w:val="none" w:sz="0" w:space="0" w:color="auto"/>
            <w:right w:val="none" w:sz="0" w:space="0" w:color="auto"/>
          </w:divBdr>
        </w:div>
      </w:divsChild>
    </w:div>
    <w:div w:id="731778034">
      <w:bodyDiv w:val="1"/>
      <w:marLeft w:val="0"/>
      <w:marRight w:val="0"/>
      <w:marTop w:val="0"/>
      <w:marBottom w:val="0"/>
      <w:divBdr>
        <w:top w:val="none" w:sz="0" w:space="0" w:color="auto"/>
        <w:left w:val="none" w:sz="0" w:space="0" w:color="auto"/>
        <w:bottom w:val="none" w:sz="0" w:space="0" w:color="auto"/>
        <w:right w:val="none" w:sz="0" w:space="0" w:color="auto"/>
      </w:divBdr>
    </w:div>
    <w:div w:id="756710201">
      <w:bodyDiv w:val="1"/>
      <w:marLeft w:val="0"/>
      <w:marRight w:val="0"/>
      <w:marTop w:val="0"/>
      <w:marBottom w:val="0"/>
      <w:divBdr>
        <w:top w:val="none" w:sz="0" w:space="0" w:color="auto"/>
        <w:left w:val="none" w:sz="0" w:space="0" w:color="auto"/>
        <w:bottom w:val="none" w:sz="0" w:space="0" w:color="auto"/>
        <w:right w:val="none" w:sz="0" w:space="0" w:color="auto"/>
      </w:divBdr>
    </w:div>
    <w:div w:id="875434692">
      <w:bodyDiv w:val="1"/>
      <w:marLeft w:val="0"/>
      <w:marRight w:val="0"/>
      <w:marTop w:val="0"/>
      <w:marBottom w:val="0"/>
      <w:divBdr>
        <w:top w:val="none" w:sz="0" w:space="0" w:color="auto"/>
        <w:left w:val="none" w:sz="0" w:space="0" w:color="auto"/>
        <w:bottom w:val="none" w:sz="0" w:space="0" w:color="auto"/>
        <w:right w:val="none" w:sz="0" w:space="0" w:color="auto"/>
      </w:divBdr>
    </w:div>
    <w:div w:id="1112243270">
      <w:bodyDiv w:val="1"/>
      <w:marLeft w:val="0"/>
      <w:marRight w:val="0"/>
      <w:marTop w:val="0"/>
      <w:marBottom w:val="0"/>
      <w:divBdr>
        <w:top w:val="none" w:sz="0" w:space="0" w:color="auto"/>
        <w:left w:val="none" w:sz="0" w:space="0" w:color="auto"/>
        <w:bottom w:val="none" w:sz="0" w:space="0" w:color="auto"/>
        <w:right w:val="none" w:sz="0" w:space="0" w:color="auto"/>
      </w:divBdr>
      <w:divsChild>
        <w:div w:id="1564870344">
          <w:marLeft w:val="403"/>
          <w:marRight w:val="0"/>
          <w:marTop w:val="82"/>
          <w:marBottom w:val="0"/>
          <w:divBdr>
            <w:top w:val="none" w:sz="0" w:space="0" w:color="auto"/>
            <w:left w:val="none" w:sz="0" w:space="0" w:color="auto"/>
            <w:bottom w:val="none" w:sz="0" w:space="0" w:color="auto"/>
            <w:right w:val="none" w:sz="0" w:space="0" w:color="auto"/>
          </w:divBdr>
        </w:div>
        <w:div w:id="1554849908">
          <w:marLeft w:val="403"/>
          <w:marRight w:val="0"/>
          <w:marTop w:val="82"/>
          <w:marBottom w:val="0"/>
          <w:divBdr>
            <w:top w:val="none" w:sz="0" w:space="0" w:color="auto"/>
            <w:left w:val="none" w:sz="0" w:space="0" w:color="auto"/>
            <w:bottom w:val="none" w:sz="0" w:space="0" w:color="auto"/>
            <w:right w:val="none" w:sz="0" w:space="0" w:color="auto"/>
          </w:divBdr>
        </w:div>
        <w:div w:id="637998634">
          <w:marLeft w:val="403"/>
          <w:marRight w:val="0"/>
          <w:marTop w:val="82"/>
          <w:marBottom w:val="0"/>
          <w:divBdr>
            <w:top w:val="none" w:sz="0" w:space="0" w:color="auto"/>
            <w:left w:val="none" w:sz="0" w:space="0" w:color="auto"/>
            <w:bottom w:val="none" w:sz="0" w:space="0" w:color="auto"/>
            <w:right w:val="none" w:sz="0" w:space="0" w:color="auto"/>
          </w:divBdr>
        </w:div>
        <w:div w:id="70542748">
          <w:marLeft w:val="403"/>
          <w:marRight w:val="0"/>
          <w:marTop w:val="82"/>
          <w:marBottom w:val="0"/>
          <w:divBdr>
            <w:top w:val="none" w:sz="0" w:space="0" w:color="auto"/>
            <w:left w:val="none" w:sz="0" w:space="0" w:color="auto"/>
            <w:bottom w:val="none" w:sz="0" w:space="0" w:color="auto"/>
            <w:right w:val="none" w:sz="0" w:space="0" w:color="auto"/>
          </w:divBdr>
        </w:div>
      </w:divsChild>
    </w:div>
    <w:div w:id="1410882091">
      <w:bodyDiv w:val="1"/>
      <w:marLeft w:val="0"/>
      <w:marRight w:val="0"/>
      <w:marTop w:val="0"/>
      <w:marBottom w:val="0"/>
      <w:divBdr>
        <w:top w:val="none" w:sz="0" w:space="0" w:color="auto"/>
        <w:left w:val="none" w:sz="0" w:space="0" w:color="auto"/>
        <w:bottom w:val="none" w:sz="0" w:space="0" w:color="auto"/>
        <w:right w:val="none" w:sz="0" w:space="0" w:color="auto"/>
      </w:divBdr>
    </w:div>
    <w:div w:id="1457406046">
      <w:bodyDiv w:val="1"/>
      <w:marLeft w:val="0"/>
      <w:marRight w:val="0"/>
      <w:marTop w:val="0"/>
      <w:marBottom w:val="0"/>
      <w:divBdr>
        <w:top w:val="none" w:sz="0" w:space="0" w:color="auto"/>
        <w:left w:val="none" w:sz="0" w:space="0" w:color="auto"/>
        <w:bottom w:val="none" w:sz="0" w:space="0" w:color="auto"/>
        <w:right w:val="none" w:sz="0" w:space="0" w:color="auto"/>
      </w:divBdr>
    </w:div>
    <w:div w:id="1531870282">
      <w:bodyDiv w:val="1"/>
      <w:marLeft w:val="0"/>
      <w:marRight w:val="0"/>
      <w:marTop w:val="0"/>
      <w:marBottom w:val="0"/>
      <w:divBdr>
        <w:top w:val="none" w:sz="0" w:space="0" w:color="auto"/>
        <w:left w:val="none" w:sz="0" w:space="0" w:color="auto"/>
        <w:bottom w:val="none" w:sz="0" w:space="0" w:color="auto"/>
        <w:right w:val="none" w:sz="0" w:space="0" w:color="auto"/>
      </w:divBdr>
    </w:div>
    <w:div w:id="1543596125">
      <w:bodyDiv w:val="1"/>
      <w:marLeft w:val="0"/>
      <w:marRight w:val="0"/>
      <w:marTop w:val="0"/>
      <w:marBottom w:val="0"/>
      <w:divBdr>
        <w:top w:val="none" w:sz="0" w:space="0" w:color="auto"/>
        <w:left w:val="none" w:sz="0" w:space="0" w:color="auto"/>
        <w:bottom w:val="none" w:sz="0" w:space="0" w:color="auto"/>
        <w:right w:val="none" w:sz="0" w:space="0" w:color="auto"/>
      </w:divBdr>
    </w:div>
    <w:div w:id="1680352738">
      <w:bodyDiv w:val="1"/>
      <w:marLeft w:val="0"/>
      <w:marRight w:val="0"/>
      <w:marTop w:val="0"/>
      <w:marBottom w:val="0"/>
      <w:divBdr>
        <w:top w:val="none" w:sz="0" w:space="0" w:color="auto"/>
        <w:left w:val="none" w:sz="0" w:space="0" w:color="auto"/>
        <w:bottom w:val="none" w:sz="0" w:space="0" w:color="auto"/>
        <w:right w:val="none" w:sz="0" w:space="0" w:color="auto"/>
      </w:divBdr>
    </w:div>
    <w:div w:id="1686592832">
      <w:bodyDiv w:val="1"/>
      <w:marLeft w:val="0"/>
      <w:marRight w:val="0"/>
      <w:marTop w:val="0"/>
      <w:marBottom w:val="0"/>
      <w:divBdr>
        <w:top w:val="none" w:sz="0" w:space="0" w:color="auto"/>
        <w:left w:val="none" w:sz="0" w:space="0" w:color="auto"/>
        <w:bottom w:val="none" w:sz="0" w:space="0" w:color="auto"/>
        <w:right w:val="none" w:sz="0" w:space="0" w:color="auto"/>
      </w:divBdr>
      <w:divsChild>
        <w:div w:id="922183276">
          <w:marLeft w:val="0"/>
          <w:marRight w:val="0"/>
          <w:marTop w:val="0"/>
          <w:marBottom w:val="0"/>
          <w:divBdr>
            <w:top w:val="none" w:sz="0" w:space="0" w:color="auto"/>
            <w:left w:val="none" w:sz="0" w:space="0" w:color="auto"/>
            <w:bottom w:val="none" w:sz="0" w:space="0" w:color="auto"/>
            <w:right w:val="none" w:sz="0" w:space="0" w:color="auto"/>
          </w:divBdr>
        </w:div>
        <w:div w:id="1457403962">
          <w:marLeft w:val="0"/>
          <w:marRight w:val="0"/>
          <w:marTop w:val="0"/>
          <w:marBottom w:val="0"/>
          <w:divBdr>
            <w:top w:val="none" w:sz="0" w:space="0" w:color="auto"/>
            <w:left w:val="none" w:sz="0" w:space="0" w:color="auto"/>
            <w:bottom w:val="none" w:sz="0" w:space="0" w:color="auto"/>
            <w:right w:val="none" w:sz="0" w:space="0" w:color="auto"/>
          </w:divBdr>
        </w:div>
        <w:div w:id="738330178">
          <w:marLeft w:val="0"/>
          <w:marRight w:val="0"/>
          <w:marTop w:val="0"/>
          <w:marBottom w:val="0"/>
          <w:divBdr>
            <w:top w:val="none" w:sz="0" w:space="0" w:color="auto"/>
            <w:left w:val="none" w:sz="0" w:space="0" w:color="auto"/>
            <w:bottom w:val="none" w:sz="0" w:space="0" w:color="auto"/>
            <w:right w:val="none" w:sz="0" w:space="0" w:color="auto"/>
          </w:divBdr>
        </w:div>
        <w:div w:id="290140275">
          <w:marLeft w:val="0"/>
          <w:marRight w:val="0"/>
          <w:marTop w:val="0"/>
          <w:marBottom w:val="0"/>
          <w:divBdr>
            <w:top w:val="none" w:sz="0" w:space="0" w:color="auto"/>
            <w:left w:val="none" w:sz="0" w:space="0" w:color="auto"/>
            <w:bottom w:val="none" w:sz="0" w:space="0" w:color="auto"/>
            <w:right w:val="none" w:sz="0" w:space="0" w:color="auto"/>
          </w:divBdr>
        </w:div>
        <w:div w:id="1180658060">
          <w:marLeft w:val="0"/>
          <w:marRight w:val="0"/>
          <w:marTop w:val="0"/>
          <w:marBottom w:val="0"/>
          <w:divBdr>
            <w:top w:val="none" w:sz="0" w:space="0" w:color="auto"/>
            <w:left w:val="none" w:sz="0" w:space="0" w:color="auto"/>
            <w:bottom w:val="none" w:sz="0" w:space="0" w:color="auto"/>
            <w:right w:val="none" w:sz="0" w:space="0" w:color="auto"/>
          </w:divBdr>
        </w:div>
        <w:div w:id="1268465469">
          <w:marLeft w:val="0"/>
          <w:marRight w:val="0"/>
          <w:marTop w:val="0"/>
          <w:marBottom w:val="0"/>
          <w:divBdr>
            <w:top w:val="none" w:sz="0" w:space="0" w:color="auto"/>
            <w:left w:val="none" w:sz="0" w:space="0" w:color="auto"/>
            <w:bottom w:val="none" w:sz="0" w:space="0" w:color="auto"/>
            <w:right w:val="none" w:sz="0" w:space="0" w:color="auto"/>
          </w:divBdr>
        </w:div>
        <w:div w:id="593057249">
          <w:marLeft w:val="0"/>
          <w:marRight w:val="0"/>
          <w:marTop w:val="0"/>
          <w:marBottom w:val="0"/>
          <w:divBdr>
            <w:top w:val="none" w:sz="0" w:space="0" w:color="auto"/>
            <w:left w:val="none" w:sz="0" w:space="0" w:color="auto"/>
            <w:bottom w:val="none" w:sz="0" w:space="0" w:color="auto"/>
            <w:right w:val="none" w:sz="0" w:space="0" w:color="auto"/>
          </w:divBdr>
        </w:div>
        <w:div w:id="1062753873">
          <w:marLeft w:val="0"/>
          <w:marRight w:val="0"/>
          <w:marTop w:val="0"/>
          <w:marBottom w:val="0"/>
          <w:divBdr>
            <w:top w:val="none" w:sz="0" w:space="0" w:color="auto"/>
            <w:left w:val="none" w:sz="0" w:space="0" w:color="auto"/>
            <w:bottom w:val="none" w:sz="0" w:space="0" w:color="auto"/>
            <w:right w:val="none" w:sz="0" w:space="0" w:color="auto"/>
          </w:divBdr>
        </w:div>
        <w:div w:id="2124184624">
          <w:marLeft w:val="0"/>
          <w:marRight w:val="0"/>
          <w:marTop w:val="0"/>
          <w:marBottom w:val="0"/>
          <w:divBdr>
            <w:top w:val="none" w:sz="0" w:space="0" w:color="auto"/>
            <w:left w:val="none" w:sz="0" w:space="0" w:color="auto"/>
            <w:bottom w:val="none" w:sz="0" w:space="0" w:color="auto"/>
            <w:right w:val="none" w:sz="0" w:space="0" w:color="auto"/>
          </w:divBdr>
        </w:div>
        <w:div w:id="1541824379">
          <w:marLeft w:val="0"/>
          <w:marRight w:val="0"/>
          <w:marTop w:val="0"/>
          <w:marBottom w:val="0"/>
          <w:divBdr>
            <w:top w:val="none" w:sz="0" w:space="0" w:color="auto"/>
            <w:left w:val="none" w:sz="0" w:space="0" w:color="auto"/>
            <w:bottom w:val="none" w:sz="0" w:space="0" w:color="auto"/>
            <w:right w:val="none" w:sz="0" w:space="0" w:color="auto"/>
          </w:divBdr>
        </w:div>
        <w:div w:id="236475580">
          <w:marLeft w:val="0"/>
          <w:marRight w:val="0"/>
          <w:marTop w:val="0"/>
          <w:marBottom w:val="0"/>
          <w:divBdr>
            <w:top w:val="none" w:sz="0" w:space="0" w:color="auto"/>
            <w:left w:val="none" w:sz="0" w:space="0" w:color="auto"/>
            <w:bottom w:val="none" w:sz="0" w:space="0" w:color="auto"/>
            <w:right w:val="none" w:sz="0" w:space="0" w:color="auto"/>
          </w:divBdr>
        </w:div>
        <w:div w:id="1649045716">
          <w:marLeft w:val="0"/>
          <w:marRight w:val="0"/>
          <w:marTop w:val="0"/>
          <w:marBottom w:val="0"/>
          <w:divBdr>
            <w:top w:val="none" w:sz="0" w:space="0" w:color="auto"/>
            <w:left w:val="none" w:sz="0" w:space="0" w:color="auto"/>
            <w:bottom w:val="none" w:sz="0" w:space="0" w:color="auto"/>
            <w:right w:val="none" w:sz="0" w:space="0" w:color="auto"/>
          </w:divBdr>
        </w:div>
        <w:div w:id="306515670">
          <w:marLeft w:val="0"/>
          <w:marRight w:val="0"/>
          <w:marTop w:val="0"/>
          <w:marBottom w:val="0"/>
          <w:divBdr>
            <w:top w:val="none" w:sz="0" w:space="0" w:color="auto"/>
            <w:left w:val="none" w:sz="0" w:space="0" w:color="auto"/>
            <w:bottom w:val="none" w:sz="0" w:space="0" w:color="auto"/>
            <w:right w:val="none" w:sz="0" w:space="0" w:color="auto"/>
          </w:divBdr>
        </w:div>
        <w:div w:id="1078675575">
          <w:marLeft w:val="0"/>
          <w:marRight w:val="0"/>
          <w:marTop w:val="0"/>
          <w:marBottom w:val="0"/>
          <w:divBdr>
            <w:top w:val="none" w:sz="0" w:space="0" w:color="auto"/>
            <w:left w:val="none" w:sz="0" w:space="0" w:color="auto"/>
            <w:bottom w:val="none" w:sz="0" w:space="0" w:color="auto"/>
            <w:right w:val="none" w:sz="0" w:space="0" w:color="auto"/>
          </w:divBdr>
        </w:div>
        <w:div w:id="541088800">
          <w:marLeft w:val="0"/>
          <w:marRight w:val="0"/>
          <w:marTop w:val="0"/>
          <w:marBottom w:val="0"/>
          <w:divBdr>
            <w:top w:val="none" w:sz="0" w:space="0" w:color="auto"/>
            <w:left w:val="none" w:sz="0" w:space="0" w:color="auto"/>
            <w:bottom w:val="none" w:sz="0" w:space="0" w:color="auto"/>
            <w:right w:val="none" w:sz="0" w:space="0" w:color="auto"/>
          </w:divBdr>
        </w:div>
        <w:div w:id="1396968939">
          <w:marLeft w:val="0"/>
          <w:marRight w:val="0"/>
          <w:marTop w:val="0"/>
          <w:marBottom w:val="0"/>
          <w:divBdr>
            <w:top w:val="none" w:sz="0" w:space="0" w:color="auto"/>
            <w:left w:val="none" w:sz="0" w:space="0" w:color="auto"/>
            <w:bottom w:val="none" w:sz="0" w:space="0" w:color="auto"/>
            <w:right w:val="none" w:sz="0" w:space="0" w:color="auto"/>
          </w:divBdr>
        </w:div>
        <w:div w:id="1946771209">
          <w:marLeft w:val="0"/>
          <w:marRight w:val="0"/>
          <w:marTop w:val="0"/>
          <w:marBottom w:val="0"/>
          <w:divBdr>
            <w:top w:val="none" w:sz="0" w:space="0" w:color="auto"/>
            <w:left w:val="none" w:sz="0" w:space="0" w:color="auto"/>
            <w:bottom w:val="none" w:sz="0" w:space="0" w:color="auto"/>
            <w:right w:val="none" w:sz="0" w:space="0" w:color="auto"/>
          </w:divBdr>
        </w:div>
        <w:div w:id="73362305">
          <w:marLeft w:val="0"/>
          <w:marRight w:val="0"/>
          <w:marTop w:val="0"/>
          <w:marBottom w:val="0"/>
          <w:divBdr>
            <w:top w:val="none" w:sz="0" w:space="0" w:color="auto"/>
            <w:left w:val="none" w:sz="0" w:space="0" w:color="auto"/>
            <w:bottom w:val="none" w:sz="0" w:space="0" w:color="auto"/>
            <w:right w:val="none" w:sz="0" w:space="0" w:color="auto"/>
          </w:divBdr>
        </w:div>
        <w:div w:id="1726374304">
          <w:marLeft w:val="0"/>
          <w:marRight w:val="0"/>
          <w:marTop w:val="0"/>
          <w:marBottom w:val="0"/>
          <w:divBdr>
            <w:top w:val="none" w:sz="0" w:space="0" w:color="auto"/>
            <w:left w:val="none" w:sz="0" w:space="0" w:color="auto"/>
            <w:bottom w:val="none" w:sz="0" w:space="0" w:color="auto"/>
            <w:right w:val="none" w:sz="0" w:space="0" w:color="auto"/>
          </w:divBdr>
        </w:div>
        <w:div w:id="1267078130">
          <w:marLeft w:val="0"/>
          <w:marRight w:val="0"/>
          <w:marTop w:val="0"/>
          <w:marBottom w:val="0"/>
          <w:divBdr>
            <w:top w:val="none" w:sz="0" w:space="0" w:color="auto"/>
            <w:left w:val="none" w:sz="0" w:space="0" w:color="auto"/>
            <w:bottom w:val="none" w:sz="0" w:space="0" w:color="auto"/>
            <w:right w:val="none" w:sz="0" w:space="0" w:color="auto"/>
          </w:divBdr>
        </w:div>
        <w:div w:id="648436524">
          <w:marLeft w:val="0"/>
          <w:marRight w:val="0"/>
          <w:marTop w:val="0"/>
          <w:marBottom w:val="0"/>
          <w:divBdr>
            <w:top w:val="none" w:sz="0" w:space="0" w:color="auto"/>
            <w:left w:val="none" w:sz="0" w:space="0" w:color="auto"/>
            <w:bottom w:val="none" w:sz="0" w:space="0" w:color="auto"/>
            <w:right w:val="none" w:sz="0" w:space="0" w:color="auto"/>
          </w:divBdr>
        </w:div>
        <w:div w:id="941062742">
          <w:marLeft w:val="0"/>
          <w:marRight w:val="0"/>
          <w:marTop w:val="0"/>
          <w:marBottom w:val="0"/>
          <w:divBdr>
            <w:top w:val="none" w:sz="0" w:space="0" w:color="auto"/>
            <w:left w:val="none" w:sz="0" w:space="0" w:color="auto"/>
            <w:bottom w:val="none" w:sz="0" w:space="0" w:color="auto"/>
            <w:right w:val="none" w:sz="0" w:space="0" w:color="auto"/>
          </w:divBdr>
        </w:div>
        <w:div w:id="1623924700">
          <w:marLeft w:val="0"/>
          <w:marRight w:val="0"/>
          <w:marTop w:val="0"/>
          <w:marBottom w:val="0"/>
          <w:divBdr>
            <w:top w:val="none" w:sz="0" w:space="0" w:color="auto"/>
            <w:left w:val="none" w:sz="0" w:space="0" w:color="auto"/>
            <w:bottom w:val="none" w:sz="0" w:space="0" w:color="auto"/>
            <w:right w:val="none" w:sz="0" w:space="0" w:color="auto"/>
          </w:divBdr>
        </w:div>
        <w:div w:id="1163664544">
          <w:marLeft w:val="0"/>
          <w:marRight w:val="0"/>
          <w:marTop w:val="0"/>
          <w:marBottom w:val="0"/>
          <w:divBdr>
            <w:top w:val="none" w:sz="0" w:space="0" w:color="auto"/>
            <w:left w:val="none" w:sz="0" w:space="0" w:color="auto"/>
            <w:bottom w:val="none" w:sz="0" w:space="0" w:color="auto"/>
            <w:right w:val="none" w:sz="0" w:space="0" w:color="auto"/>
          </w:divBdr>
        </w:div>
        <w:div w:id="1179932758">
          <w:marLeft w:val="0"/>
          <w:marRight w:val="0"/>
          <w:marTop w:val="0"/>
          <w:marBottom w:val="0"/>
          <w:divBdr>
            <w:top w:val="none" w:sz="0" w:space="0" w:color="auto"/>
            <w:left w:val="none" w:sz="0" w:space="0" w:color="auto"/>
            <w:bottom w:val="none" w:sz="0" w:space="0" w:color="auto"/>
            <w:right w:val="none" w:sz="0" w:space="0" w:color="auto"/>
          </w:divBdr>
        </w:div>
        <w:div w:id="1885408616">
          <w:marLeft w:val="0"/>
          <w:marRight w:val="0"/>
          <w:marTop w:val="0"/>
          <w:marBottom w:val="0"/>
          <w:divBdr>
            <w:top w:val="none" w:sz="0" w:space="0" w:color="auto"/>
            <w:left w:val="none" w:sz="0" w:space="0" w:color="auto"/>
            <w:bottom w:val="none" w:sz="0" w:space="0" w:color="auto"/>
            <w:right w:val="none" w:sz="0" w:space="0" w:color="auto"/>
          </w:divBdr>
        </w:div>
        <w:div w:id="1341161400">
          <w:marLeft w:val="0"/>
          <w:marRight w:val="0"/>
          <w:marTop w:val="0"/>
          <w:marBottom w:val="0"/>
          <w:divBdr>
            <w:top w:val="none" w:sz="0" w:space="0" w:color="auto"/>
            <w:left w:val="none" w:sz="0" w:space="0" w:color="auto"/>
            <w:bottom w:val="none" w:sz="0" w:space="0" w:color="auto"/>
            <w:right w:val="none" w:sz="0" w:space="0" w:color="auto"/>
          </w:divBdr>
        </w:div>
        <w:div w:id="1585382074">
          <w:marLeft w:val="0"/>
          <w:marRight w:val="0"/>
          <w:marTop w:val="0"/>
          <w:marBottom w:val="0"/>
          <w:divBdr>
            <w:top w:val="none" w:sz="0" w:space="0" w:color="auto"/>
            <w:left w:val="none" w:sz="0" w:space="0" w:color="auto"/>
            <w:bottom w:val="none" w:sz="0" w:space="0" w:color="auto"/>
            <w:right w:val="none" w:sz="0" w:space="0" w:color="auto"/>
          </w:divBdr>
        </w:div>
        <w:div w:id="631054733">
          <w:marLeft w:val="0"/>
          <w:marRight w:val="0"/>
          <w:marTop w:val="0"/>
          <w:marBottom w:val="0"/>
          <w:divBdr>
            <w:top w:val="none" w:sz="0" w:space="0" w:color="auto"/>
            <w:left w:val="none" w:sz="0" w:space="0" w:color="auto"/>
            <w:bottom w:val="none" w:sz="0" w:space="0" w:color="auto"/>
            <w:right w:val="none" w:sz="0" w:space="0" w:color="auto"/>
          </w:divBdr>
        </w:div>
        <w:div w:id="871461553">
          <w:marLeft w:val="0"/>
          <w:marRight w:val="0"/>
          <w:marTop w:val="0"/>
          <w:marBottom w:val="0"/>
          <w:divBdr>
            <w:top w:val="none" w:sz="0" w:space="0" w:color="auto"/>
            <w:left w:val="none" w:sz="0" w:space="0" w:color="auto"/>
            <w:bottom w:val="none" w:sz="0" w:space="0" w:color="auto"/>
            <w:right w:val="none" w:sz="0" w:space="0" w:color="auto"/>
          </w:divBdr>
        </w:div>
        <w:div w:id="382172129">
          <w:marLeft w:val="0"/>
          <w:marRight w:val="0"/>
          <w:marTop w:val="0"/>
          <w:marBottom w:val="0"/>
          <w:divBdr>
            <w:top w:val="none" w:sz="0" w:space="0" w:color="auto"/>
            <w:left w:val="none" w:sz="0" w:space="0" w:color="auto"/>
            <w:bottom w:val="none" w:sz="0" w:space="0" w:color="auto"/>
            <w:right w:val="none" w:sz="0" w:space="0" w:color="auto"/>
          </w:divBdr>
        </w:div>
        <w:div w:id="83382132">
          <w:marLeft w:val="0"/>
          <w:marRight w:val="0"/>
          <w:marTop w:val="0"/>
          <w:marBottom w:val="0"/>
          <w:divBdr>
            <w:top w:val="none" w:sz="0" w:space="0" w:color="auto"/>
            <w:left w:val="none" w:sz="0" w:space="0" w:color="auto"/>
            <w:bottom w:val="none" w:sz="0" w:space="0" w:color="auto"/>
            <w:right w:val="none" w:sz="0" w:space="0" w:color="auto"/>
          </w:divBdr>
        </w:div>
        <w:div w:id="1145731842">
          <w:marLeft w:val="0"/>
          <w:marRight w:val="0"/>
          <w:marTop w:val="0"/>
          <w:marBottom w:val="0"/>
          <w:divBdr>
            <w:top w:val="none" w:sz="0" w:space="0" w:color="auto"/>
            <w:left w:val="none" w:sz="0" w:space="0" w:color="auto"/>
            <w:bottom w:val="none" w:sz="0" w:space="0" w:color="auto"/>
            <w:right w:val="none" w:sz="0" w:space="0" w:color="auto"/>
          </w:divBdr>
        </w:div>
        <w:div w:id="410349661">
          <w:marLeft w:val="0"/>
          <w:marRight w:val="0"/>
          <w:marTop w:val="0"/>
          <w:marBottom w:val="0"/>
          <w:divBdr>
            <w:top w:val="none" w:sz="0" w:space="0" w:color="auto"/>
            <w:left w:val="none" w:sz="0" w:space="0" w:color="auto"/>
            <w:bottom w:val="none" w:sz="0" w:space="0" w:color="auto"/>
            <w:right w:val="none" w:sz="0" w:space="0" w:color="auto"/>
          </w:divBdr>
        </w:div>
        <w:div w:id="1549297186">
          <w:marLeft w:val="0"/>
          <w:marRight w:val="0"/>
          <w:marTop w:val="0"/>
          <w:marBottom w:val="0"/>
          <w:divBdr>
            <w:top w:val="none" w:sz="0" w:space="0" w:color="auto"/>
            <w:left w:val="none" w:sz="0" w:space="0" w:color="auto"/>
            <w:bottom w:val="none" w:sz="0" w:space="0" w:color="auto"/>
            <w:right w:val="none" w:sz="0" w:space="0" w:color="auto"/>
          </w:divBdr>
        </w:div>
        <w:div w:id="1117143696">
          <w:marLeft w:val="0"/>
          <w:marRight w:val="0"/>
          <w:marTop w:val="0"/>
          <w:marBottom w:val="0"/>
          <w:divBdr>
            <w:top w:val="none" w:sz="0" w:space="0" w:color="auto"/>
            <w:left w:val="none" w:sz="0" w:space="0" w:color="auto"/>
            <w:bottom w:val="none" w:sz="0" w:space="0" w:color="auto"/>
            <w:right w:val="none" w:sz="0" w:space="0" w:color="auto"/>
          </w:divBdr>
        </w:div>
        <w:div w:id="671957937">
          <w:marLeft w:val="0"/>
          <w:marRight w:val="0"/>
          <w:marTop w:val="0"/>
          <w:marBottom w:val="0"/>
          <w:divBdr>
            <w:top w:val="none" w:sz="0" w:space="0" w:color="auto"/>
            <w:left w:val="none" w:sz="0" w:space="0" w:color="auto"/>
            <w:bottom w:val="none" w:sz="0" w:space="0" w:color="auto"/>
            <w:right w:val="none" w:sz="0" w:space="0" w:color="auto"/>
          </w:divBdr>
        </w:div>
        <w:div w:id="1926721147">
          <w:marLeft w:val="0"/>
          <w:marRight w:val="0"/>
          <w:marTop w:val="0"/>
          <w:marBottom w:val="0"/>
          <w:divBdr>
            <w:top w:val="none" w:sz="0" w:space="0" w:color="auto"/>
            <w:left w:val="none" w:sz="0" w:space="0" w:color="auto"/>
            <w:bottom w:val="none" w:sz="0" w:space="0" w:color="auto"/>
            <w:right w:val="none" w:sz="0" w:space="0" w:color="auto"/>
          </w:divBdr>
        </w:div>
        <w:div w:id="2077362965">
          <w:marLeft w:val="0"/>
          <w:marRight w:val="0"/>
          <w:marTop w:val="0"/>
          <w:marBottom w:val="0"/>
          <w:divBdr>
            <w:top w:val="none" w:sz="0" w:space="0" w:color="auto"/>
            <w:left w:val="none" w:sz="0" w:space="0" w:color="auto"/>
            <w:bottom w:val="none" w:sz="0" w:space="0" w:color="auto"/>
            <w:right w:val="none" w:sz="0" w:space="0" w:color="auto"/>
          </w:divBdr>
        </w:div>
        <w:div w:id="770860309">
          <w:marLeft w:val="0"/>
          <w:marRight w:val="0"/>
          <w:marTop w:val="0"/>
          <w:marBottom w:val="0"/>
          <w:divBdr>
            <w:top w:val="none" w:sz="0" w:space="0" w:color="auto"/>
            <w:left w:val="none" w:sz="0" w:space="0" w:color="auto"/>
            <w:bottom w:val="none" w:sz="0" w:space="0" w:color="auto"/>
            <w:right w:val="none" w:sz="0" w:space="0" w:color="auto"/>
          </w:divBdr>
        </w:div>
        <w:div w:id="2133547830">
          <w:marLeft w:val="0"/>
          <w:marRight w:val="0"/>
          <w:marTop w:val="0"/>
          <w:marBottom w:val="0"/>
          <w:divBdr>
            <w:top w:val="none" w:sz="0" w:space="0" w:color="auto"/>
            <w:left w:val="none" w:sz="0" w:space="0" w:color="auto"/>
            <w:bottom w:val="none" w:sz="0" w:space="0" w:color="auto"/>
            <w:right w:val="none" w:sz="0" w:space="0" w:color="auto"/>
          </w:divBdr>
        </w:div>
        <w:div w:id="1289704337">
          <w:marLeft w:val="0"/>
          <w:marRight w:val="0"/>
          <w:marTop w:val="0"/>
          <w:marBottom w:val="0"/>
          <w:divBdr>
            <w:top w:val="none" w:sz="0" w:space="0" w:color="auto"/>
            <w:left w:val="none" w:sz="0" w:space="0" w:color="auto"/>
            <w:bottom w:val="none" w:sz="0" w:space="0" w:color="auto"/>
            <w:right w:val="none" w:sz="0" w:space="0" w:color="auto"/>
          </w:divBdr>
        </w:div>
        <w:div w:id="93788271">
          <w:marLeft w:val="0"/>
          <w:marRight w:val="0"/>
          <w:marTop w:val="0"/>
          <w:marBottom w:val="0"/>
          <w:divBdr>
            <w:top w:val="none" w:sz="0" w:space="0" w:color="auto"/>
            <w:left w:val="none" w:sz="0" w:space="0" w:color="auto"/>
            <w:bottom w:val="none" w:sz="0" w:space="0" w:color="auto"/>
            <w:right w:val="none" w:sz="0" w:space="0" w:color="auto"/>
          </w:divBdr>
        </w:div>
      </w:divsChild>
    </w:div>
    <w:div w:id="1802110823">
      <w:bodyDiv w:val="1"/>
      <w:marLeft w:val="0"/>
      <w:marRight w:val="0"/>
      <w:marTop w:val="0"/>
      <w:marBottom w:val="0"/>
      <w:divBdr>
        <w:top w:val="none" w:sz="0" w:space="0" w:color="auto"/>
        <w:left w:val="none" w:sz="0" w:space="0" w:color="auto"/>
        <w:bottom w:val="none" w:sz="0" w:space="0" w:color="auto"/>
        <w:right w:val="none" w:sz="0" w:space="0" w:color="auto"/>
      </w:divBdr>
      <w:divsChild>
        <w:div w:id="2033412046">
          <w:marLeft w:val="403"/>
          <w:marRight w:val="0"/>
          <w:marTop w:val="82"/>
          <w:marBottom w:val="0"/>
          <w:divBdr>
            <w:top w:val="none" w:sz="0" w:space="0" w:color="auto"/>
            <w:left w:val="none" w:sz="0" w:space="0" w:color="auto"/>
            <w:bottom w:val="none" w:sz="0" w:space="0" w:color="auto"/>
            <w:right w:val="none" w:sz="0" w:space="0" w:color="auto"/>
          </w:divBdr>
        </w:div>
      </w:divsChild>
    </w:div>
    <w:div w:id="1853688488">
      <w:bodyDiv w:val="1"/>
      <w:marLeft w:val="0"/>
      <w:marRight w:val="0"/>
      <w:marTop w:val="0"/>
      <w:marBottom w:val="0"/>
      <w:divBdr>
        <w:top w:val="none" w:sz="0" w:space="0" w:color="auto"/>
        <w:left w:val="none" w:sz="0" w:space="0" w:color="auto"/>
        <w:bottom w:val="none" w:sz="0" w:space="0" w:color="auto"/>
        <w:right w:val="none" w:sz="0" w:space="0" w:color="auto"/>
      </w:divBdr>
      <w:divsChild>
        <w:div w:id="1541359078">
          <w:marLeft w:val="403"/>
          <w:marRight w:val="0"/>
          <w:marTop w:val="77"/>
          <w:marBottom w:val="0"/>
          <w:divBdr>
            <w:top w:val="none" w:sz="0" w:space="0" w:color="auto"/>
            <w:left w:val="none" w:sz="0" w:space="0" w:color="auto"/>
            <w:bottom w:val="none" w:sz="0" w:space="0" w:color="auto"/>
            <w:right w:val="none" w:sz="0" w:space="0" w:color="auto"/>
          </w:divBdr>
        </w:div>
        <w:div w:id="2083797120">
          <w:marLeft w:val="403"/>
          <w:marRight w:val="0"/>
          <w:marTop w:val="77"/>
          <w:marBottom w:val="0"/>
          <w:divBdr>
            <w:top w:val="none" w:sz="0" w:space="0" w:color="auto"/>
            <w:left w:val="none" w:sz="0" w:space="0" w:color="auto"/>
            <w:bottom w:val="none" w:sz="0" w:space="0" w:color="auto"/>
            <w:right w:val="none" w:sz="0" w:space="0" w:color="auto"/>
          </w:divBdr>
        </w:div>
        <w:div w:id="1855420644">
          <w:marLeft w:val="878"/>
          <w:marRight w:val="0"/>
          <w:marTop w:val="67"/>
          <w:marBottom w:val="0"/>
          <w:divBdr>
            <w:top w:val="none" w:sz="0" w:space="0" w:color="auto"/>
            <w:left w:val="none" w:sz="0" w:space="0" w:color="auto"/>
            <w:bottom w:val="none" w:sz="0" w:space="0" w:color="auto"/>
            <w:right w:val="none" w:sz="0" w:space="0" w:color="auto"/>
          </w:divBdr>
        </w:div>
        <w:div w:id="2034527410">
          <w:marLeft w:val="878"/>
          <w:marRight w:val="0"/>
          <w:marTop w:val="67"/>
          <w:marBottom w:val="0"/>
          <w:divBdr>
            <w:top w:val="none" w:sz="0" w:space="0" w:color="auto"/>
            <w:left w:val="none" w:sz="0" w:space="0" w:color="auto"/>
            <w:bottom w:val="none" w:sz="0" w:space="0" w:color="auto"/>
            <w:right w:val="none" w:sz="0" w:space="0" w:color="auto"/>
          </w:divBdr>
        </w:div>
        <w:div w:id="890262891">
          <w:marLeft w:val="878"/>
          <w:marRight w:val="0"/>
          <w:marTop w:val="67"/>
          <w:marBottom w:val="0"/>
          <w:divBdr>
            <w:top w:val="none" w:sz="0" w:space="0" w:color="auto"/>
            <w:left w:val="none" w:sz="0" w:space="0" w:color="auto"/>
            <w:bottom w:val="none" w:sz="0" w:space="0" w:color="auto"/>
            <w:right w:val="none" w:sz="0" w:space="0" w:color="auto"/>
          </w:divBdr>
        </w:div>
        <w:div w:id="1511408091">
          <w:marLeft w:val="403"/>
          <w:marRight w:val="0"/>
          <w:marTop w:val="77"/>
          <w:marBottom w:val="0"/>
          <w:divBdr>
            <w:top w:val="none" w:sz="0" w:space="0" w:color="auto"/>
            <w:left w:val="none" w:sz="0" w:space="0" w:color="auto"/>
            <w:bottom w:val="none" w:sz="0" w:space="0" w:color="auto"/>
            <w:right w:val="none" w:sz="0" w:space="0" w:color="auto"/>
          </w:divBdr>
        </w:div>
        <w:div w:id="271743091">
          <w:marLeft w:val="403"/>
          <w:marRight w:val="0"/>
          <w:marTop w:val="77"/>
          <w:marBottom w:val="0"/>
          <w:divBdr>
            <w:top w:val="none" w:sz="0" w:space="0" w:color="auto"/>
            <w:left w:val="none" w:sz="0" w:space="0" w:color="auto"/>
            <w:bottom w:val="none" w:sz="0" w:space="0" w:color="auto"/>
            <w:right w:val="none" w:sz="0" w:space="0" w:color="auto"/>
          </w:divBdr>
        </w:div>
      </w:divsChild>
    </w:div>
    <w:div w:id="1869949210">
      <w:bodyDiv w:val="1"/>
      <w:marLeft w:val="0"/>
      <w:marRight w:val="0"/>
      <w:marTop w:val="0"/>
      <w:marBottom w:val="0"/>
      <w:divBdr>
        <w:top w:val="none" w:sz="0" w:space="0" w:color="auto"/>
        <w:left w:val="none" w:sz="0" w:space="0" w:color="auto"/>
        <w:bottom w:val="none" w:sz="0" w:space="0" w:color="auto"/>
        <w:right w:val="none" w:sz="0" w:space="0" w:color="auto"/>
      </w:divBdr>
    </w:div>
    <w:div w:id="1975527230">
      <w:bodyDiv w:val="1"/>
      <w:marLeft w:val="0"/>
      <w:marRight w:val="0"/>
      <w:marTop w:val="0"/>
      <w:marBottom w:val="0"/>
      <w:divBdr>
        <w:top w:val="none" w:sz="0" w:space="0" w:color="auto"/>
        <w:left w:val="none" w:sz="0" w:space="0" w:color="auto"/>
        <w:bottom w:val="none" w:sz="0" w:space="0" w:color="auto"/>
        <w:right w:val="none" w:sz="0" w:space="0" w:color="auto"/>
      </w:divBdr>
    </w:div>
    <w:div w:id="2021393031">
      <w:bodyDiv w:val="1"/>
      <w:marLeft w:val="0"/>
      <w:marRight w:val="0"/>
      <w:marTop w:val="0"/>
      <w:marBottom w:val="0"/>
      <w:divBdr>
        <w:top w:val="none" w:sz="0" w:space="0" w:color="auto"/>
        <w:left w:val="none" w:sz="0" w:space="0" w:color="auto"/>
        <w:bottom w:val="none" w:sz="0" w:space="0" w:color="auto"/>
        <w:right w:val="none" w:sz="0" w:space="0" w:color="auto"/>
      </w:divBdr>
      <w:divsChild>
        <w:div w:id="384531494">
          <w:marLeft w:val="0"/>
          <w:marRight w:val="0"/>
          <w:marTop w:val="0"/>
          <w:marBottom w:val="0"/>
          <w:divBdr>
            <w:top w:val="none" w:sz="0" w:space="0" w:color="auto"/>
            <w:left w:val="none" w:sz="0" w:space="0" w:color="auto"/>
            <w:bottom w:val="none" w:sz="0" w:space="0" w:color="auto"/>
            <w:right w:val="none" w:sz="0" w:space="0" w:color="auto"/>
          </w:divBdr>
          <w:divsChild>
            <w:div w:id="163980775">
              <w:marLeft w:val="0"/>
              <w:marRight w:val="0"/>
              <w:marTop w:val="0"/>
              <w:marBottom w:val="0"/>
              <w:divBdr>
                <w:top w:val="none" w:sz="0" w:space="0" w:color="auto"/>
                <w:left w:val="none" w:sz="0" w:space="0" w:color="auto"/>
                <w:bottom w:val="none" w:sz="0" w:space="0" w:color="auto"/>
                <w:right w:val="none" w:sz="0" w:space="0" w:color="auto"/>
              </w:divBdr>
              <w:divsChild>
                <w:div w:id="78508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styles" Target="styles.xml"/><Relationship Id="rId21" Type="http://schemas.openxmlformats.org/officeDocument/2006/relationships/hyperlink" Target="http://www.aifs.gov.au" TargetMode="Externa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hyperlink" Target="https://www.acma.gov.au/theACMA/register-of-licensed-interactive-wagering-services" TargetMode="External"/><Relationship Id="rId20" Type="http://schemas.openxmlformats.org/officeDocument/2006/relationships/hyperlink" Target="mailto:Rebecca.Jenkinson@aifs.gov.au" TargetMode="External"/><Relationship Id="rId29"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6.emf"/><Relationship Id="rId44" Type="http://schemas.openxmlformats.org/officeDocument/2006/relationships/image" Target="media/image29.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8"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788984C-A229-4277-B9B4-C4D8CC56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139</Pages>
  <Words>42359</Words>
  <Characters>239721</Characters>
  <Application>Microsoft Office Word</Application>
  <DocSecurity>4</DocSecurity>
  <Lines>1997</Lines>
  <Paragraphs>563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Jenkinson</dc:creator>
  <cp:keywords/>
  <dc:description/>
  <cp:lastModifiedBy>WHITER, Shaun</cp:lastModifiedBy>
  <cp:revision>2</cp:revision>
  <cp:lastPrinted>2019-07-11T06:52:00Z</cp:lastPrinted>
  <dcterms:created xsi:type="dcterms:W3CDTF">2019-11-22T02:36:00Z</dcterms:created>
  <dcterms:modified xsi:type="dcterms:W3CDTF">2019-11-22T02:36:00Z</dcterms:modified>
</cp:coreProperties>
</file>