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18" w:rsidRDefault="00EB3083" w:rsidP="00BF7EB2">
      <w:pPr>
        <w:spacing w:after="0" w:line="240" w:lineRule="auto"/>
        <w:ind w:left="2463" w:right="-20"/>
        <w:rPr>
          <w:rFonts w:ascii="Times New Roman" w:eastAsia="Times New Roman" w:hAnsi="Times New Roman" w:cs="Times New Roman"/>
          <w:sz w:val="20"/>
          <w:szCs w:val="20"/>
        </w:rPr>
      </w:pPr>
      <w:bookmarkStart w:id="0" w:name="_GoBack"/>
      <w:bookmarkEnd w:id="0"/>
      <w:r>
        <w:rPr>
          <w:noProof/>
          <w:lang w:val="en-AU" w:eastAsia="en-AU"/>
        </w:rPr>
        <w:drawing>
          <wp:inline distT="0" distB="0" distL="0" distR="0" wp14:anchorId="4759A625" wp14:editId="5547B53A">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3281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rsidR="00B31918" w:rsidRDefault="00B31918" w:rsidP="00BF7EB2">
      <w:pPr>
        <w:spacing w:after="0" w:line="240" w:lineRule="auto"/>
        <w:rPr>
          <w:sz w:val="13"/>
          <w:szCs w:val="13"/>
        </w:rPr>
      </w:pPr>
    </w:p>
    <w:p w:rsidR="00B31918" w:rsidRDefault="00B31918" w:rsidP="00BF7EB2">
      <w:pPr>
        <w:spacing w:after="0" w:line="240" w:lineRule="auto"/>
        <w:rPr>
          <w:sz w:val="20"/>
          <w:szCs w:val="20"/>
        </w:rPr>
      </w:pPr>
    </w:p>
    <w:p w:rsidR="00B31918" w:rsidRPr="00C85FB3" w:rsidRDefault="00EB3083" w:rsidP="00BF7EB2">
      <w:pPr>
        <w:spacing w:before="29" w:after="0" w:line="240" w:lineRule="auto"/>
        <w:ind w:left="2496" w:right="2696"/>
        <w:jc w:val="center"/>
        <w:rPr>
          <w:rFonts w:ascii="Times New Roman" w:eastAsia="Times New Roman" w:hAnsi="Times New Roman" w:cs="Times New Roman"/>
          <w:sz w:val="24"/>
          <w:szCs w:val="24"/>
        </w:rPr>
      </w:pPr>
      <w:r w:rsidRPr="00C85FB3">
        <w:rPr>
          <w:rFonts w:ascii="Times New Roman" w:eastAsia="Times New Roman" w:hAnsi="Times New Roman" w:cs="Times New Roman"/>
          <w:sz w:val="24"/>
          <w:szCs w:val="24"/>
        </w:rPr>
        <w:t>Austr</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l</w:t>
      </w:r>
      <w:r w:rsidRPr="00C85FB3">
        <w:rPr>
          <w:rFonts w:ascii="Times New Roman" w:eastAsia="Times New Roman" w:hAnsi="Times New Roman" w:cs="Times New Roman"/>
          <w:spacing w:val="1"/>
          <w:sz w:val="24"/>
          <w:szCs w:val="24"/>
        </w:rPr>
        <w:t>i</w:t>
      </w:r>
      <w:r w:rsidRPr="00C85FB3">
        <w:rPr>
          <w:rFonts w:ascii="Times New Roman" w:eastAsia="Times New Roman" w:hAnsi="Times New Roman" w:cs="Times New Roman"/>
          <w:spacing w:val="-1"/>
          <w:sz w:val="24"/>
          <w:szCs w:val="24"/>
        </w:rPr>
        <w:t>a</w:t>
      </w:r>
      <w:r w:rsidRPr="00C85FB3">
        <w:rPr>
          <w:rFonts w:ascii="Times New Roman" w:eastAsia="Times New Roman" w:hAnsi="Times New Roman" w:cs="Times New Roman"/>
          <w:sz w:val="24"/>
          <w:szCs w:val="24"/>
        </w:rPr>
        <w:t>n Gov</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rnm</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 xml:space="preserve">nt </w:t>
      </w:r>
      <w:r w:rsidRPr="00C85FB3">
        <w:rPr>
          <w:rFonts w:ascii="Times New Roman" w:eastAsia="Times New Roman" w:hAnsi="Times New Roman" w:cs="Times New Roman"/>
          <w:spacing w:val="2"/>
          <w:sz w:val="24"/>
          <w:szCs w:val="24"/>
        </w:rPr>
        <w:t>r</w:t>
      </w:r>
      <w:r w:rsidRPr="00C85FB3">
        <w:rPr>
          <w:rFonts w:ascii="Times New Roman" w:eastAsia="Times New Roman" w:hAnsi="Times New Roman" w:cs="Times New Roman"/>
          <w:spacing w:val="-1"/>
          <w:sz w:val="24"/>
          <w:szCs w:val="24"/>
        </w:rPr>
        <w:t>e</w:t>
      </w:r>
      <w:r w:rsidRPr="00C85FB3">
        <w:rPr>
          <w:rFonts w:ascii="Times New Roman" w:eastAsia="Times New Roman" w:hAnsi="Times New Roman" w:cs="Times New Roman"/>
          <w:sz w:val="24"/>
          <w:szCs w:val="24"/>
        </w:rPr>
        <w:t>sponse to the</w:t>
      </w:r>
    </w:p>
    <w:p w:rsidR="00B31918" w:rsidRPr="00C85FB3" w:rsidRDefault="00A20C8F" w:rsidP="00BF7EB2">
      <w:pPr>
        <w:spacing w:after="0" w:line="240" w:lineRule="auto"/>
        <w:ind w:left="1202" w:right="1402"/>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House of Representatives Select Committee on Intergenerational Welfare Dependence</w:t>
      </w:r>
      <w:r w:rsidR="00EB3083" w:rsidRPr="00C85FB3">
        <w:rPr>
          <w:rFonts w:ascii="Times New Roman" w:eastAsia="Times New Roman" w:hAnsi="Times New Roman" w:cs="Times New Roman"/>
          <w:spacing w:val="3"/>
          <w:sz w:val="24"/>
          <w:szCs w:val="24"/>
        </w:rPr>
        <w:t xml:space="preserve"> </w:t>
      </w:r>
      <w:r w:rsidR="00EB3083" w:rsidRPr="00C85FB3">
        <w:rPr>
          <w:rFonts w:ascii="Times New Roman" w:eastAsia="Times New Roman" w:hAnsi="Times New Roman" w:cs="Times New Roman"/>
          <w:sz w:val="24"/>
          <w:szCs w:val="24"/>
        </w:rPr>
        <w:t>r</w:t>
      </w:r>
      <w:r w:rsidR="00EB3083" w:rsidRPr="00C85FB3">
        <w:rPr>
          <w:rFonts w:ascii="Times New Roman" w:eastAsia="Times New Roman" w:hAnsi="Times New Roman" w:cs="Times New Roman"/>
          <w:spacing w:val="-2"/>
          <w:sz w:val="24"/>
          <w:szCs w:val="24"/>
        </w:rPr>
        <w:t>e</w:t>
      </w:r>
      <w:r w:rsidR="00EB3083" w:rsidRPr="00C85FB3">
        <w:rPr>
          <w:rFonts w:ascii="Times New Roman" w:eastAsia="Times New Roman" w:hAnsi="Times New Roman" w:cs="Times New Roman"/>
          <w:sz w:val="24"/>
          <w:szCs w:val="24"/>
        </w:rPr>
        <w:t>port:</w:t>
      </w:r>
    </w:p>
    <w:p w:rsidR="00B31918" w:rsidRPr="00C85FB3" w:rsidRDefault="00B31918" w:rsidP="00BF7EB2">
      <w:pPr>
        <w:spacing w:after="0" w:line="240" w:lineRule="auto"/>
        <w:rPr>
          <w:sz w:val="24"/>
          <w:szCs w:val="24"/>
        </w:rPr>
      </w:pPr>
    </w:p>
    <w:p w:rsidR="00B31918" w:rsidRPr="0098709A" w:rsidRDefault="00A20C8F" w:rsidP="009E6378">
      <w:pPr>
        <w:spacing w:after="0" w:line="240" w:lineRule="auto"/>
        <w:ind w:left="69" w:right="265"/>
        <w:jc w:val="center"/>
        <w:rPr>
          <w:rFonts w:ascii="Times New Roman" w:eastAsia="Times New Roman" w:hAnsi="Times New Roman" w:cs="Times New Roman"/>
          <w:i/>
          <w:spacing w:val="2"/>
          <w:sz w:val="24"/>
          <w:szCs w:val="24"/>
        </w:rPr>
      </w:pPr>
      <w:r w:rsidRPr="0098709A">
        <w:rPr>
          <w:rFonts w:ascii="Times New Roman" w:eastAsia="Times New Roman" w:hAnsi="Times New Roman" w:cs="Times New Roman"/>
          <w:i/>
          <w:spacing w:val="-3"/>
          <w:sz w:val="24"/>
          <w:szCs w:val="24"/>
        </w:rPr>
        <w:t>Living on the Edge</w:t>
      </w:r>
      <w:r w:rsidR="00903C6F">
        <w:rPr>
          <w:rFonts w:ascii="Times New Roman" w:eastAsia="Times New Roman" w:hAnsi="Times New Roman" w:cs="Times New Roman"/>
          <w:i/>
          <w:spacing w:val="-3"/>
          <w:sz w:val="24"/>
          <w:szCs w:val="24"/>
        </w:rPr>
        <w:t>: Inquiry into Intergenerational Welfare Dependence</w:t>
      </w: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Default="00B31918" w:rsidP="00BF7EB2">
      <w:pPr>
        <w:spacing w:after="0" w:line="240" w:lineRule="auto"/>
        <w:ind w:right="100"/>
        <w:jc w:val="right"/>
        <w:rPr>
          <w:rFonts w:ascii="Times New Roman" w:eastAsia="Times New Roman" w:hAnsi="Times New Roman" w:cs="Times New Roman"/>
          <w:spacing w:val="-1"/>
          <w:sz w:val="24"/>
          <w:szCs w:val="24"/>
        </w:rPr>
      </w:pPr>
    </w:p>
    <w:p w:rsidR="00B31918" w:rsidRPr="00C85FB3" w:rsidRDefault="00DD3458" w:rsidP="00BF7EB2">
      <w:pPr>
        <w:spacing w:after="0" w:line="240" w:lineRule="auto"/>
        <w:ind w:right="10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February 2020</w:t>
      </w:r>
    </w:p>
    <w:p w:rsidR="00B31918" w:rsidRDefault="00B31918" w:rsidP="00BF7EB2">
      <w:pPr>
        <w:spacing w:after="0" w:line="240" w:lineRule="auto"/>
        <w:jc w:val="right"/>
        <w:rPr>
          <w:color w:val="FF0000"/>
        </w:rPr>
      </w:pPr>
    </w:p>
    <w:p w:rsidR="005909C3" w:rsidRDefault="005909C3" w:rsidP="00BF7EB2">
      <w:pPr>
        <w:spacing w:after="0" w:line="240" w:lineRule="auto"/>
        <w:jc w:val="right"/>
        <w:rPr>
          <w:color w:val="FF0000"/>
        </w:rPr>
      </w:pPr>
    </w:p>
    <w:p w:rsidR="005909C3" w:rsidRDefault="005909C3" w:rsidP="005909C3"/>
    <w:p w:rsidR="00B31918" w:rsidRPr="005909C3" w:rsidRDefault="00B31918" w:rsidP="005909C3">
      <w:pPr>
        <w:sectPr w:rsidR="00B31918" w:rsidRPr="005909C3" w:rsidSect="005909C3">
          <w:footerReference w:type="default" r:id="rId12"/>
          <w:footerReference w:type="first" r:id="rId13"/>
          <w:pgSz w:w="11920" w:h="16840"/>
          <w:pgMar w:top="1560" w:right="1320" w:bottom="1220" w:left="1540" w:header="720" w:footer="1035" w:gutter="0"/>
          <w:pgNumType w:start="1"/>
          <w:cols w:space="720"/>
          <w:docGrid w:linePitch="299"/>
        </w:sectPr>
      </w:pPr>
    </w:p>
    <w:p w:rsidR="00B31918" w:rsidRPr="00FC387F" w:rsidRDefault="00EB3083" w:rsidP="00DD3458">
      <w:pPr>
        <w:pStyle w:val="Heading1Response"/>
      </w:pPr>
      <w:r w:rsidRPr="00A20C8F">
        <w:lastRenderedPageBreak/>
        <w:t>I</w:t>
      </w:r>
      <w:r w:rsidRPr="00A20C8F">
        <w:rPr>
          <w:spacing w:val="1"/>
        </w:rPr>
        <w:t>n</w:t>
      </w:r>
      <w:r w:rsidRPr="00A20C8F">
        <w:t>t</w:t>
      </w:r>
      <w:r w:rsidRPr="00FC387F">
        <w:rPr>
          <w:spacing w:val="-2"/>
        </w:rPr>
        <w:t>r</w:t>
      </w:r>
      <w:r w:rsidRPr="00FC387F">
        <w:t>o</w:t>
      </w:r>
      <w:r w:rsidRPr="00FC387F">
        <w:rPr>
          <w:spacing w:val="1"/>
        </w:rPr>
        <w:t>du</w:t>
      </w:r>
      <w:r w:rsidRPr="00FC387F">
        <w:rPr>
          <w:spacing w:val="-1"/>
        </w:rPr>
        <w:t>c</w:t>
      </w:r>
      <w:r w:rsidRPr="00FC387F">
        <w:t>tion</w:t>
      </w:r>
    </w:p>
    <w:p w:rsidR="00F55FE2" w:rsidRPr="00482CCD" w:rsidRDefault="00EB3083" w:rsidP="000A2B1C">
      <w:pPr>
        <w:spacing w:line="240" w:lineRule="auto"/>
        <w:ind w:right="91"/>
        <w:jc w:val="both"/>
        <w:rPr>
          <w:rFonts w:ascii="Times New Roman" w:eastAsia="Times New Roman" w:hAnsi="Times New Roman" w:cs="Times New Roman"/>
          <w:spacing w:val="1"/>
          <w:sz w:val="24"/>
          <w:szCs w:val="24"/>
        </w:rPr>
      </w:pPr>
      <w:r w:rsidRPr="00A03C7C">
        <w:rPr>
          <w:rFonts w:ascii="Times New Roman" w:eastAsia="Times New Roman" w:hAnsi="Times New Roman" w:cs="Times New Roman"/>
          <w:sz w:val="24"/>
          <w:szCs w:val="24"/>
        </w:rPr>
        <w:t>The</w:t>
      </w:r>
      <w:r w:rsidRPr="00A03C7C">
        <w:rPr>
          <w:rFonts w:ascii="Times New Roman" w:eastAsia="Times New Roman" w:hAnsi="Times New Roman" w:cs="Times New Roman"/>
          <w:spacing w:val="-1"/>
          <w:sz w:val="24"/>
          <w:szCs w:val="24"/>
        </w:rPr>
        <w:t xml:space="preserve"> </w:t>
      </w:r>
      <w:r w:rsidRPr="00A03C7C">
        <w:rPr>
          <w:rFonts w:ascii="Times New Roman" w:eastAsia="Times New Roman" w:hAnsi="Times New Roman" w:cs="Times New Roman"/>
          <w:sz w:val="24"/>
          <w:szCs w:val="24"/>
        </w:rPr>
        <w:t>Austr</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l</w:t>
      </w:r>
      <w:r w:rsidRPr="00A03C7C">
        <w:rPr>
          <w:rFonts w:ascii="Times New Roman" w:eastAsia="Times New Roman" w:hAnsi="Times New Roman" w:cs="Times New Roman"/>
          <w:spacing w:val="1"/>
          <w:sz w:val="24"/>
          <w:szCs w:val="24"/>
        </w:rPr>
        <w:t>i</w:t>
      </w:r>
      <w:r w:rsidRPr="00A03C7C">
        <w:rPr>
          <w:rFonts w:ascii="Times New Roman" w:eastAsia="Times New Roman" w:hAnsi="Times New Roman" w:cs="Times New Roman"/>
          <w:spacing w:val="-1"/>
          <w:sz w:val="24"/>
          <w:szCs w:val="24"/>
        </w:rPr>
        <w:t>a</w:t>
      </w:r>
      <w:r w:rsidRPr="00A03C7C">
        <w:rPr>
          <w:rFonts w:ascii="Times New Roman" w:eastAsia="Times New Roman" w:hAnsi="Times New Roman" w:cs="Times New Roman"/>
          <w:sz w:val="24"/>
          <w:szCs w:val="24"/>
        </w:rPr>
        <w:t>n Go</w:t>
      </w:r>
      <w:r w:rsidRPr="00A03C7C">
        <w:rPr>
          <w:rFonts w:ascii="Times New Roman" w:eastAsia="Times New Roman" w:hAnsi="Times New Roman" w:cs="Times New Roman"/>
          <w:spacing w:val="2"/>
          <w:sz w:val="24"/>
          <w:szCs w:val="24"/>
        </w:rPr>
        <w:t>v</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rn</w:t>
      </w:r>
      <w:r w:rsidRPr="00A03C7C">
        <w:rPr>
          <w:rFonts w:ascii="Times New Roman" w:eastAsia="Times New Roman" w:hAnsi="Times New Roman" w:cs="Times New Roman"/>
          <w:spacing w:val="2"/>
          <w:sz w:val="24"/>
          <w:szCs w:val="24"/>
        </w:rPr>
        <w:t>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nt w</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lcom</w:t>
      </w:r>
      <w:r w:rsidRPr="00A03C7C">
        <w:rPr>
          <w:rFonts w:ascii="Times New Roman" w:eastAsia="Times New Roman" w:hAnsi="Times New Roman" w:cs="Times New Roman"/>
          <w:spacing w:val="-1"/>
          <w:sz w:val="24"/>
          <w:szCs w:val="24"/>
        </w:rPr>
        <w:t>e</w:t>
      </w:r>
      <w:r w:rsidRPr="00A03C7C">
        <w:rPr>
          <w:rFonts w:ascii="Times New Roman" w:eastAsia="Times New Roman" w:hAnsi="Times New Roman" w:cs="Times New Roman"/>
          <w:sz w:val="24"/>
          <w:szCs w:val="24"/>
        </w:rPr>
        <w:t xml:space="preserve">s the </w:t>
      </w:r>
      <w:r w:rsidR="00ED1148">
        <w:rPr>
          <w:rFonts w:ascii="Times New Roman" w:eastAsia="Times New Roman" w:hAnsi="Times New Roman" w:cs="Times New Roman"/>
          <w:spacing w:val="1"/>
          <w:sz w:val="24"/>
          <w:szCs w:val="24"/>
        </w:rPr>
        <w:t>House of Representatives Select Committee on Intergeneration</w:t>
      </w:r>
      <w:r w:rsidR="00F55FE2">
        <w:rPr>
          <w:rFonts w:ascii="Times New Roman" w:eastAsia="Times New Roman" w:hAnsi="Times New Roman" w:cs="Times New Roman"/>
          <w:spacing w:val="1"/>
          <w:sz w:val="24"/>
          <w:szCs w:val="24"/>
        </w:rPr>
        <w:t>al</w:t>
      </w:r>
      <w:r w:rsidR="00ED1148">
        <w:rPr>
          <w:rFonts w:ascii="Times New Roman" w:eastAsia="Times New Roman" w:hAnsi="Times New Roman" w:cs="Times New Roman"/>
          <w:spacing w:val="1"/>
          <w:sz w:val="24"/>
          <w:szCs w:val="24"/>
        </w:rPr>
        <w:t xml:space="preserve"> Welfare</w:t>
      </w:r>
      <w:r w:rsidR="00EC206B">
        <w:rPr>
          <w:rFonts w:ascii="Times New Roman" w:eastAsia="Times New Roman" w:hAnsi="Times New Roman" w:cs="Times New Roman"/>
          <w:spacing w:val="1"/>
          <w:sz w:val="24"/>
          <w:szCs w:val="24"/>
        </w:rPr>
        <w:t xml:space="preserve"> </w:t>
      </w:r>
      <w:r w:rsidR="00ED1148">
        <w:rPr>
          <w:rFonts w:ascii="Times New Roman" w:eastAsia="Times New Roman" w:hAnsi="Times New Roman" w:cs="Times New Roman"/>
          <w:spacing w:val="1"/>
          <w:sz w:val="24"/>
          <w:szCs w:val="24"/>
        </w:rPr>
        <w:t xml:space="preserve">Dependence </w:t>
      </w:r>
      <w:r w:rsidR="00DC5591">
        <w:rPr>
          <w:rFonts w:ascii="Times New Roman" w:eastAsia="Times New Roman" w:hAnsi="Times New Roman" w:cs="Times New Roman"/>
          <w:sz w:val="24"/>
          <w:szCs w:val="24"/>
        </w:rPr>
        <w:t xml:space="preserve">(the Committee) </w:t>
      </w:r>
      <w:r w:rsidRPr="00A03C7C">
        <w:rPr>
          <w:rFonts w:ascii="Times New Roman" w:eastAsia="Times New Roman" w:hAnsi="Times New Roman" w:cs="Times New Roman"/>
          <w:sz w:val="24"/>
          <w:szCs w:val="24"/>
        </w:rPr>
        <w:t>report</w:t>
      </w:r>
      <w:r w:rsidRPr="00A03C7C">
        <w:rPr>
          <w:rFonts w:ascii="Times New Roman" w:eastAsia="Times New Roman" w:hAnsi="Times New Roman" w:cs="Times New Roman"/>
          <w:spacing w:val="-1"/>
          <w:sz w:val="24"/>
          <w:szCs w:val="24"/>
        </w:rPr>
        <w:t xml:space="preserve"> </w:t>
      </w:r>
      <w:proofErr w:type="gramStart"/>
      <w:r w:rsidR="00FC387F">
        <w:rPr>
          <w:rFonts w:ascii="Times New Roman" w:eastAsia="Times New Roman" w:hAnsi="Times New Roman" w:cs="Times New Roman"/>
          <w:i/>
          <w:spacing w:val="1"/>
          <w:sz w:val="24"/>
          <w:szCs w:val="24"/>
        </w:rPr>
        <w:t>Living</w:t>
      </w:r>
      <w:proofErr w:type="gramEnd"/>
      <w:r w:rsidR="00FC387F">
        <w:rPr>
          <w:rFonts w:ascii="Times New Roman" w:eastAsia="Times New Roman" w:hAnsi="Times New Roman" w:cs="Times New Roman"/>
          <w:i/>
          <w:spacing w:val="1"/>
          <w:sz w:val="24"/>
          <w:szCs w:val="24"/>
        </w:rPr>
        <w:t xml:space="preserve"> on the Edge</w:t>
      </w:r>
      <w:r w:rsidR="00C4029F">
        <w:rPr>
          <w:rFonts w:ascii="Times New Roman" w:eastAsia="Times New Roman" w:hAnsi="Times New Roman" w:cs="Times New Roman"/>
          <w:i/>
          <w:spacing w:val="1"/>
          <w:sz w:val="24"/>
          <w:szCs w:val="24"/>
        </w:rPr>
        <w:t>: Inquiry into Intergenerational Welfare Dependence</w:t>
      </w:r>
      <w:r w:rsidR="00AE74EF">
        <w:rPr>
          <w:rFonts w:ascii="Times New Roman" w:eastAsia="Times New Roman" w:hAnsi="Times New Roman" w:cs="Times New Roman"/>
          <w:spacing w:val="1"/>
          <w:sz w:val="24"/>
          <w:szCs w:val="24"/>
        </w:rPr>
        <w:t>.</w:t>
      </w:r>
      <w:r w:rsidR="00FC387F">
        <w:rPr>
          <w:rFonts w:ascii="Times New Roman" w:eastAsia="Times New Roman" w:hAnsi="Times New Roman" w:cs="Times New Roman"/>
          <w:i/>
          <w:spacing w:val="1"/>
          <w:sz w:val="24"/>
          <w:szCs w:val="24"/>
        </w:rPr>
        <w:t xml:space="preserve"> </w:t>
      </w:r>
      <w:r w:rsidR="00AE74EF">
        <w:rPr>
          <w:rFonts w:ascii="Times New Roman" w:eastAsia="Times New Roman" w:hAnsi="Times New Roman" w:cs="Times New Roman"/>
          <w:spacing w:val="1"/>
          <w:sz w:val="24"/>
          <w:szCs w:val="24"/>
        </w:rPr>
        <w:t xml:space="preserve">The Australian Government believes all Australians deserve a high quality of life. Welfare dependency is a complex and serious issue </w:t>
      </w:r>
      <w:r w:rsidR="00312EC2">
        <w:rPr>
          <w:rFonts w:ascii="Times New Roman" w:eastAsia="Times New Roman" w:hAnsi="Times New Roman" w:cs="Times New Roman"/>
          <w:spacing w:val="1"/>
          <w:sz w:val="24"/>
          <w:szCs w:val="24"/>
        </w:rPr>
        <w:t>which</w:t>
      </w:r>
      <w:r w:rsidR="00AE74EF">
        <w:rPr>
          <w:rFonts w:ascii="Times New Roman" w:eastAsia="Times New Roman" w:hAnsi="Times New Roman" w:cs="Times New Roman"/>
          <w:spacing w:val="1"/>
          <w:sz w:val="24"/>
          <w:szCs w:val="24"/>
        </w:rPr>
        <w:t xml:space="preserve"> impacts on individuals, families and communities. Ad</w:t>
      </w:r>
      <w:r w:rsidR="004A6CAF">
        <w:rPr>
          <w:rFonts w:ascii="Times New Roman" w:eastAsia="Times New Roman" w:hAnsi="Times New Roman" w:cs="Times New Roman"/>
          <w:spacing w:val="1"/>
          <w:sz w:val="24"/>
          <w:szCs w:val="24"/>
        </w:rPr>
        <w:t xml:space="preserve">dressing the underlying drivers </w:t>
      </w:r>
      <w:r w:rsidR="00AE74EF">
        <w:rPr>
          <w:rFonts w:ascii="Times New Roman" w:eastAsia="Times New Roman" w:hAnsi="Times New Roman" w:cs="Times New Roman"/>
          <w:spacing w:val="1"/>
          <w:sz w:val="24"/>
          <w:szCs w:val="24"/>
        </w:rPr>
        <w:t>take</w:t>
      </w:r>
      <w:r w:rsidR="004A6CAF">
        <w:rPr>
          <w:rFonts w:ascii="Times New Roman" w:eastAsia="Times New Roman" w:hAnsi="Times New Roman" w:cs="Times New Roman"/>
          <w:spacing w:val="1"/>
          <w:sz w:val="24"/>
          <w:szCs w:val="24"/>
        </w:rPr>
        <w:t>s</w:t>
      </w:r>
      <w:r w:rsidR="00AE74EF">
        <w:rPr>
          <w:rFonts w:ascii="Times New Roman" w:eastAsia="Times New Roman" w:hAnsi="Times New Roman" w:cs="Times New Roman"/>
          <w:spacing w:val="1"/>
          <w:sz w:val="24"/>
          <w:szCs w:val="24"/>
        </w:rPr>
        <w:t xml:space="preserve"> a coordinated a</w:t>
      </w:r>
      <w:r w:rsidR="002F3FCE">
        <w:rPr>
          <w:rFonts w:ascii="Times New Roman" w:eastAsia="Times New Roman" w:hAnsi="Times New Roman" w:cs="Times New Roman"/>
          <w:spacing w:val="1"/>
          <w:sz w:val="24"/>
          <w:szCs w:val="24"/>
        </w:rPr>
        <w:t xml:space="preserve">pproach </w:t>
      </w:r>
      <w:r w:rsidR="00AE74EF">
        <w:rPr>
          <w:rFonts w:ascii="Times New Roman" w:eastAsia="Times New Roman" w:hAnsi="Times New Roman" w:cs="Times New Roman"/>
          <w:spacing w:val="1"/>
          <w:sz w:val="24"/>
          <w:szCs w:val="24"/>
        </w:rPr>
        <w:t>across all levels of government</w:t>
      </w:r>
      <w:r w:rsidR="004A6CAF">
        <w:rPr>
          <w:rFonts w:ascii="Times New Roman" w:eastAsia="Times New Roman" w:hAnsi="Times New Roman" w:cs="Times New Roman"/>
          <w:spacing w:val="1"/>
          <w:sz w:val="24"/>
          <w:szCs w:val="24"/>
        </w:rPr>
        <w:t>.</w:t>
      </w:r>
      <w:r w:rsidR="005A112C">
        <w:rPr>
          <w:rFonts w:ascii="Times New Roman" w:eastAsia="Times New Roman" w:hAnsi="Times New Roman" w:cs="Times New Roman"/>
          <w:spacing w:val="1"/>
          <w:sz w:val="24"/>
          <w:szCs w:val="24"/>
        </w:rPr>
        <w:t xml:space="preserve"> </w:t>
      </w:r>
    </w:p>
    <w:p w:rsidR="001304E5" w:rsidRDefault="001304E5" w:rsidP="000A2B1C">
      <w:pPr>
        <w:tabs>
          <w:tab w:val="left" w:pos="4111"/>
          <w:tab w:val="left" w:pos="8789"/>
        </w:tabs>
        <w:spacing w:before="240" w:line="240" w:lineRule="auto"/>
        <w:ind w:right="91"/>
        <w:jc w:val="both"/>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The Committee was appointed on 24 May 2018, and produced the </w:t>
      </w:r>
      <w:r>
        <w:rPr>
          <w:rFonts w:ascii="Times New Roman" w:eastAsia="Times New Roman" w:hAnsi="Times New Roman" w:cs="Times New Roman"/>
          <w:bCs/>
          <w:i/>
          <w:spacing w:val="-1"/>
          <w:sz w:val="24"/>
          <w:szCs w:val="24"/>
        </w:rPr>
        <w:t>Living on the Edge</w:t>
      </w:r>
      <w:r w:rsidR="00663BE6">
        <w:rPr>
          <w:rFonts w:ascii="Times New Roman" w:eastAsia="Times New Roman" w:hAnsi="Times New Roman" w:cs="Times New Roman"/>
          <w:bCs/>
          <w:i/>
          <w:spacing w:val="-1"/>
          <w:sz w:val="24"/>
          <w:szCs w:val="24"/>
        </w:rPr>
        <w:t>: Inquiry into Intergenerational Welfare Dependence</w:t>
      </w:r>
      <w:r>
        <w:rPr>
          <w:rFonts w:ascii="Times New Roman" w:eastAsia="Times New Roman" w:hAnsi="Times New Roman" w:cs="Times New Roman"/>
          <w:bCs/>
          <w:spacing w:val="-1"/>
          <w:sz w:val="24"/>
          <w:szCs w:val="24"/>
        </w:rPr>
        <w:t xml:space="preserve"> report</w:t>
      </w:r>
      <w:r w:rsidR="00485257">
        <w:rPr>
          <w:rFonts w:ascii="Times New Roman" w:eastAsia="Times New Roman" w:hAnsi="Times New Roman" w:cs="Times New Roman"/>
          <w:bCs/>
          <w:spacing w:val="-1"/>
          <w:sz w:val="24"/>
          <w:szCs w:val="24"/>
        </w:rPr>
        <w:t xml:space="preserve"> (the Report)</w:t>
      </w:r>
      <w:r w:rsidR="00036901">
        <w:rPr>
          <w:rFonts w:ascii="Times New Roman" w:eastAsia="Times New Roman" w:hAnsi="Times New Roman" w:cs="Times New Roman"/>
          <w:bCs/>
          <w:spacing w:val="-1"/>
          <w:sz w:val="24"/>
          <w:szCs w:val="24"/>
        </w:rPr>
        <w:t>,</w:t>
      </w:r>
      <w:r>
        <w:rPr>
          <w:rFonts w:ascii="Times New Roman" w:eastAsia="Times New Roman" w:hAnsi="Times New Roman" w:cs="Times New Roman"/>
          <w:bCs/>
          <w:spacing w:val="-1"/>
          <w:sz w:val="24"/>
          <w:szCs w:val="24"/>
        </w:rPr>
        <w:t xml:space="preserve"> which was tabled </w:t>
      </w:r>
      <w:r w:rsidR="00252A64">
        <w:rPr>
          <w:rFonts w:ascii="Times New Roman" w:eastAsia="Times New Roman" w:hAnsi="Times New Roman" w:cs="Times New Roman"/>
          <w:bCs/>
          <w:spacing w:val="-1"/>
          <w:sz w:val="24"/>
          <w:szCs w:val="24"/>
        </w:rPr>
        <w:t>o</w:t>
      </w:r>
      <w:r>
        <w:rPr>
          <w:rFonts w:ascii="Times New Roman" w:eastAsia="Times New Roman" w:hAnsi="Times New Roman" w:cs="Times New Roman"/>
          <w:bCs/>
          <w:spacing w:val="-1"/>
          <w:sz w:val="24"/>
          <w:szCs w:val="24"/>
        </w:rPr>
        <w:t>n</w:t>
      </w:r>
      <w:r w:rsidR="00252A64">
        <w:rPr>
          <w:rFonts w:ascii="Times New Roman" w:eastAsia="Times New Roman" w:hAnsi="Times New Roman" w:cs="Times New Roman"/>
          <w:bCs/>
          <w:spacing w:val="-1"/>
          <w:sz w:val="24"/>
          <w:szCs w:val="24"/>
        </w:rPr>
        <w:t xml:space="preserve"> 22</w:t>
      </w:r>
      <w:r w:rsidR="00B051A0">
        <w:rPr>
          <w:rFonts w:ascii="Times New Roman" w:eastAsia="Times New Roman" w:hAnsi="Times New Roman" w:cs="Times New Roman"/>
          <w:bCs/>
          <w:spacing w:val="-1"/>
          <w:sz w:val="24"/>
          <w:szCs w:val="24"/>
        </w:rPr>
        <w:t> </w:t>
      </w:r>
      <w:r w:rsidR="0024230E">
        <w:rPr>
          <w:rFonts w:ascii="Times New Roman" w:eastAsia="Times New Roman" w:hAnsi="Times New Roman" w:cs="Times New Roman"/>
          <w:bCs/>
          <w:spacing w:val="-1"/>
          <w:sz w:val="24"/>
          <w:szCs w:val="24"/>
        </w:rPr>
        <w:t>March</w:t>
      </w:r>
      <w:r w:rsidR="00B051A0">
        <w:rPr>
          <w:rFonts w:ascii="Times New Roman" w:eastAsia="Times New Roman" w:hAnsi="Times New Roman" w:cs="Times New Roman"/>
          <w:bCs/>
          <w:spacing w:val="-1"/>
          <w:sz w:val="24"/>
          <w:szCs w:val="24"/>
        </w:rPr>
        <w:t> </w:t>
      </w:r>
      <w:r>
        <w:rPr>
          <w:rFonts w:ascii="Times New Roman" w:eastAsia="Times New Roman" w:hAnsi="Times New Roman" w:cs="Times New Roman"/>
          <w:bCs/>
          <w:spacing w:val="-1"/>
          <w:sz w:val="24"/>
          <w:szCs w:val="24"/>
        </w:rPr>
        <w:t xml:space="preserve">2019. This </w:t>
      </w:r>
      <w:r w:rsidR="00485257">
        <w:rPr>
          <w:rFonts w:ascii="Times New Roman" w:eastAsia="Times New Roman" w:hAnsi="Times New Roman" w:cs="Times New Roman"/>
          <w:bCs/>
          <w:spacing w:val="-1"/>
          <w:sz w:val="24"/>
          <w:szCs w:val="24"/>
        </w:rPr>
        <w:t>R</w:t>
      </w:r>
      <w:r>
        <w:rPr>
          <w:rFonts w:ascii="Times New Roman" w:eastAsia="Times New Roman" w:hAnsi="Times New Roman" w:cs="Times New Roman"/>
          <w:bCs/>
          <w:spacing w:val="-1"/>
          <w:sz w:val="24"/>
          <w:szCs w:val="24"/>
        </w:rPr>
        <w:t>eport focuses on the entrenched disadvantage experienced by welfare depend</w:t>
      </w:r>
      <w:r w:rsidR="004A6CAF">
        <w:rPr>
          <w:rFonts w:ascii="Times New Roman" w:eastAsia="Times New Roman" w:hAnsi="Times New Roman" w:cs="Times New Roman"/>
          <w:bCs/>
          <w:spacing w:val="-1"/>
          <w:sz w:val="24"/>
          <w:szCs w:val="24"/>
        </w:rPr>
        <w:t>e</w:t>
      </w:r>
      <w:r>
        <w:rPr>
          <w:rFonts w:ascii="Times New Roman" w:eastAsia="Times New Roman" w:hAnsi="Times New Roman" w:cs="Times New Roman"/>
          <w:bCs/>
          <w:spacing w:val="-1"/>
          <w:sz w:val="24"/>
          <w:szCs w:val="24"/>
        </w:rPr>
        <w:t>nt families in Australia.</w:t>
      </w:r>
    </w:p>
    <w:p w:rsidR="005A4164" w:rsidRDefault="005A4164" w:rsidP="000A2B1C">
      <w:pPr>
        <w:tabs>
          <w:tab w:val="left" w:pos="4111"/>
          <w:tab w:val="left" w:pos="8789"/>
        </w:tabs>
        <w:spacing w:before="240" w:line="240" w:lineRule="auto"/>
        <w:ind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8525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eport’s </w:t>
      </w:r>
      <w:r w:rsidR="00963DBF">
        <w:rPr>
          <w:rFonts w:ascii="Times New Roman" w:eastAsia="Times New Roman" w:hAnsi="Times New Roman" w:cs="Times New Roman"/>
          <w:sz w:val="24"/>
          <w:szCs w:val="24"/>
        </w:rPr>
        <w:t>recommendations include</w:t>
      </w:r>
      <w:r w:rsidR="00C4029F">
        <w:rPr>
          <w:rFonts w:ascii="Times New Roman" w:eastAsia="Times New Roman" w:hAnsi="Times New Roman" w:cs="Times New Roman"/>
          <w:sz w:val="24"/>
          <w:szCs w:val="24"/>
        </w:rPr>
        <w:t>:</w:t>
      </w:r>
      <w:r w:rsidR="00963DBF">
        <w:rPr>
          <w:rFonts w:ascii="Times New Roman" w:eastAsia="Times New Roman" w:hAnsi="Times New Roman" w:cs="Times New Roman"/>
          <w:sz w:val="24"/>
          <w:szCs w:val="24"/>
        </w:rPr>
        <w:t xml:space="preserve"> funding </w:t>
      </w:r>
      <w:r w:rsidR="00312EC2">
        <w:rPr>
          <w:rFonts w:ascii="Times New Roman" w:eastAsia="Times New Roman" w:hAnsi="Times New Roman" w:cs="Times New Roman"/>
          <w:sz w:val="24"/>
          <w:szCs w:val="24"/>
        </w:rPr>
        <w:t>which</w:t>
      </w:r>
      <w:r w:rsidR="00963DBF">
        <w:rPr>
          <w:rFonts w:ascii="Times New Roman" w:eastAsia="Times New Roman" w:hAnsi="Times New Roman" w:cs="Times New Roman"/>
          <w:sz w:val="24"/>
          <w:szCs w:val="24"/>
        </w:rPr>
        <w:t xml:space="preserve"> is both long-term and flexible, and coordinated between the Australian and </w:t>
      </w:r>
      <w:r w:rsidR="009E6D16">
        <w:rPr>
          <w:rFonts w:ascii="Times New Roman" w:eastAsia="Times New Roman" w:hAnsi="Times New Roman" w:cs="Times New Roman"/>
          <w:sz w:val="24"/>
          <w:szCs w:val="24"/>
        </w:rPr>
        <w:t>s</w:t>
      </w:r>
      <w:r w:rsidR="00963DBF">
        <w:rPr>
          <w:rFonts w:ascii="Times New Roman" w:eastAsia="Times New Roman" w:hAnsi="Times New Roman" w:cs="Times New Roman"/>
          <w:sz w:val="24"/>
          <w:szCs w:val="24"/>
        </w:rPr>
        <w:t xml:space="preserve">tate </w:t>
      </w:r>
      <w:r w:rsidR="009E6D16">
        <w:rPr>
          <w:rFonts w:ascii="Times New Roman" w:eastAsia="Times New Roman" w:hAnsi="Times New Roman" w:cs="Times New Roman"/>
          <w:sz w:val="24"/>
          <w:szCs w:val="24"/>
        </w:rPr>
        <w:t>g</w:t>
      </w:r>
      <w:r w:rsidR="00963DBF">
        <w:rPr>
          <w:rFonts w:ascii="Times New Roman" w:eastAsia="Times New Roman" w:hAnsi="Times New Roman" w:cs="Times New Roman"/>
          <w:sz w:val="24"/>
          <w:szCs w:val="24"/>
        </w:rPr>
        <w:t>overnments and local services; improvements to data and evaluation; and strategic government leadership</w:t>
      </w:r>
      <w:r w:rsidR="008533F4">
        <w:rPr>
          <w:rFonts w:ascii="Times New Roman" w:eastAsia="Times New Roman" w:hAnsi="Times New Roman" w:cs="Times New Roman"/>
          <w:sz w:val="24"/>
          <w:szCs w:val="24"/>
        </w:rPr>
        <w:t xml:space="preserve"> </w:t>
      </w:r>
      <w:r w:rsidR="00312EC2">
        <w:rPr>
          <w:rFonts w:ascii="Times New Roman" w:eastAsia="Times New Roman" w:hAnsi="Times New Roman" w:cs="Times New Roman"/>
          <w:sz w:val="24"/>
          <w:szCs w:val="24"/>
        </w:rPr>
        <w:t>which</w:t>
      </w:r>
      <w:r w:rsidR="008533F4">
        <w:rPr>
          <w:rFonts w:ascii="Times New Roman" w:eastAsia="Times New Roman" w:hAnsi="Times New Roman" w:cs="Times New Roman"/>
          <w:sz w:val="24"/>
          <w:szCs w:val="24"/>
        </w:rPr>
        <w:t xml:space="preserve"> supports local leadership and builds community capacity.</w:t>
      </w:r>
      <w:r w:rsidR="006A1BF8">
        <w:rPr>
          <w:rFonts w:ascii="Times New Roman" w:eastAsia="Times New Roman" w:hAnsi="Times New Roman" w:cs="Times New Roman"/>
          <w:sz w:val="24"/>
          <w:szCs w:val="24"/>
        </w:rPr>
        <w:t xml:space="preserve"> </w:t>
      </w:r>
      <w:r w:rsidR="00C4029F">
        <w:rPr>
          <w:rFonts w:ascii="Times New Roman" w:eastAsia="Times New Roman" w:hAnsi="Times New Roman" w:cs="Times New Roman"/>
          <w:sz w:val="24"/>
          <w:szCs w:val="24"/>
        </w:rPr>
        <w:t>O</w:t>
      </w:r>
      <w:r w:rsidR="00A91A1A">
        <w:rPr>
          <w:rFonts w:ascii="Times New Roman" w:eastAsia="Times New Roman" w:hAnsi="Times New Roman" w:cs="Times New Roman"/>
          <w:sz w:val="24"/>
          <w:szCs w:val="24"/>
        </w:rPr>
        <w:t>f the 16 recommendations, the</w:t>
      </w:r>
      <w:r w:rsidR="006A1BF8">
        <w:rPr>
          <w:rFonts w:ascii="Times New Roman" w:eastAsia="Times New Roman" w:hAnsi="Times New Roman" w:cs="Times New Roman"/>
          <w:sz w:val="24"/>
          <w:szCs w:val="24"/>
        </w:rPr>
        <w:t xml:space="preserve"> Australian Government </w:t>
      </w:r>
      <w:r w:rsidR="00114625">
        <w:rPr>
          <w:rFonts w:ascii="Times New Roman" w:eastAsia="Times New Roman" w:hAnsi="Times New Roman" w:cs="Times New Roman"/>
          <w:sz w:val="24"/>
          <w:szCs w:val="24"/>
        </w:rPr>
        <w:t xml:space="preserve">supports </w:t>
      </w:r>
      <w:r w:rsidR="00036901">
        <w:rPr>
          <w:rFonts w:ascii="Times New Roman" w:eastAsia="Times New Roman" w:hAnsi="Times New Roman" w:cs="Times New Roman"/>
          <w:sz w:val="24"/>
          <w:szCs w:val="24"/>
        </w:rPr>
        <w:t>10</w:t>
      </w:r>
      <w:r w:rsidR="00A91A1A">
        <w:rPr>
          <w:rFonts w:ascii="Times New Roman" w:eastAsia="Times New Roman" w:hAnsi="Times New Roman" w:cs="Times New Roman"/>
          <w:sz w:val="24"/>
          <w:szCs w:val="24"/>
        </w:rPr>
        <w:t xml:space="preserve">, </w:t>
      </w:r>
      <w:r w:rsidR="00114625">
        <w:rPr>
          <w:rFonts w:ascii="Times New Roman" w:eastAsia="Times New Roman" w:hAnsi="Times New Roman" w:cs="Times New Roman"/>
          <w:sz w:val="24"/>
          <w:szCs w:val="24"/>
        </w:rPr>
        <w:t>supports</w:t>
      </w:r>
      <w:r w:rsidR="00ED55AE">
        <w:rPr>
          <w:rFonts w:ascii="Times New Roman" w:eastAsia="Times New Roman" w:hAnsi="Times New Roman" w:cs="Times New Roman"/>
          <w:sz w:val="24"/>
          <w:szCs w:val="24"/>
        </w:rPr>
        <w:t xml:space="preserve"> </w:t>
      </w:r>
      <w:r w:rsidR="00992566" w:rsidRPr="00992566">
        <w:rPr>
          <w:rFonts w:ascii="Times New Roman" w:eastAsia="Times New Roman" w:hAnsi="Times New Roman" w:cs="Times New Roman"/>
          <w:sz w:val="24"/>
          <w:szCs w:val="24"/>
        </w:rPr>
        <w:t>in</w:t>
      </w:r>
      <w:r w:rsidR="00992566">
        <w:rPr>
          <w:rFonts w:ascii="Times New Roman" w:eastAsia="Times New Roman" w:hAnsi="Times New Roman" w:cs="Times New Roman"/>
          <w:sz w:val="24"/>
          <w:szCs w:val="24"/>
        </w:rPr>
        <w:t>-</w:t>
      </w:r>
      <w:r w:rsidR="00992566" w:rsidRPr="00640528">
        <w:rPr>
          <w:rFonts w:ascii="Times New Roman" w:eastAsia="Times New Roman" w:hAnsi="Times New Roman" w:cs="Times New Roman"/>
          <w:sz w:val="24"/>
          <w:szCs w:val="24"/>
        </w:rPr>
        <w:t>principle</w:t>
      </w:r>
      <w:r w:rsidR="00036901">
        <w:rPr>
          <w:rFonts w:ascii="Times New Roman" w:eastAsia="Times New Roman" w:hAnsi="Times New Roman" w:cs="Times New Roman"/>
          <w:sz w:val="24"/>
          <w:szCs w:val="24"/>
        </w:rPr>
        <w:t xml:space="preserve"> </w:t>
      </w:r>
      <w:r w:rsidR="00ED55AE">
        <w:rPr>
          <w:rFonts w:ascii="Times New Roman" w:eastAsia="Times New Roman" w:hAnsi="Times New Roman" w:cs="Times New Roman"/>
          <w:sz w:val="24"/>
          <w:szCs w:val="24"/>
        </w:rPr>
        <w:t>t</w:t>
      </w:r>
      <w:r w:rsidR="002E3218">
        <w:rPr>
          <w:rFonts w:ascii="Times New Roman" w:eastAsia="Times New Roman" w:hAnsi="Times New Roman" w:cs="Times New Roman"/>
          <w:sz w:val="24"/>
          <w:szCs w:val="24"/>
        </w:rPr>
        <w:t>wo</w:t>
      </w:r>
      <w:r w:rsidR="00A91A1A">
        <w:rPr>
          <w:rFonts w:ascii="Times New Roman" w:eastAsia="Times New Roman" w:hAnsi="Times New Roman" w:cs="Times New Roman"/>
          <w:sz w:val="24"/>
          <w:szCs w:val="24"/>
        </w:rPr>
        <w:t xml:space="preserve"> and notes </w:t>
      </w:r>
      <w:r w:rsidR="009E0031">
        <w:rPr>
          <w:rFonts w:ascii="Times New Roman" w:eastAsia="Times New Roman" w:hAnsi="Times New Roman" w:cs="Times New Roman"/>
          <w:sz w:val="24"/>
          <w:szCs w:val="24"/>
        </w:rPr>
        <w:t>four</w:t>
      </w:r>
      <w:r w:rsidR="006A1BF8">
        <w:rPr>
          <w:rFonts w:ascii="Times New Roman" w:eastAsia="Times New Roman" w:hAnsi="Times New Roman" w:cs="Times New Roman"/>
          <w:sz w:val="24"/>
          <w:szCs w:val="24"/>
        </w:rPr>
        <w:t>.</w:t>
      </w:r>
    </w:p>
    <w:p w:rsidR="00114625" w:rsidRDefault="000873EE" w:rsidP="002D5D88">
      <w:pPr>
        <w:tabs>
          <w:tab w:val="left" w:pos="4111"/>
          <w:tab w:val="left" w:pos="8789"/>
        </w:tabs>
        <w:spacing w:before="240" w:after="240" w:line="240" w:lineRule="auto"/>
        <w:ind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Australian Government</w:t>
      </w:r>
      <w:r w:rsidR="00114625">
        <w:rPr>
          <w:rFonts w:ascii="Times New Roman" w:eastAsia="Times New Roman" w:hAnsi="Times New Roman" w:cs="Times New Roman"/>
          <w:sz w:val="24"/>
          <w:szCs w:val="24"/>
        </w:rPr>
        <w:t xml:space="preserve"> response reflects a coordinated and considered approach to meeting the needs of those at high risk of experiencing</w:t>
      </w:r>
      <w:r w:rsidR="00ED55AE">
        <w:rPr>
          <w:rFonts w:ascii="Times New Roman" w:eastAsia="Times New Roman" w:hAnsi="Times New Roman" w:cs="Times New Roman"/>
          <w:sz w:val="24"/>
          <w:szCs w:val="24"/>
        </w:rPr>
        <w:t xml:space="preserve"> intergenerational</w:t>
      </w:r>
      <w:r w:rsidR="00114625">
        <w:rPr>
          <w:rFonts w:ascii="Times New Roman" w:eastAsia="Times New Roman" w:hAnsi="Times New Roman" w:cs="Times New Roman"/>
          <w:sz w:val="24"/>
          <w:szCs w:val="24"/>
        </w:rPr>
        <w:t xml:space="preserve"> disadvantage and their families. The Government</w:t>
      </w:r>
      <w:r w:rsidR="004A6CAF">
        <w:rPr>
          <w:rFonts w:ascii="Times New Roman" w:eastAsia="Times New Roman" w:hAnsi="Times New Roman" w:cs="Times New Roman"/>
          <w:sz w:val="24"/>
          <w:szCs w:val="24"/>
        </w:rPr>
        <w:t xml:space="preserve"> already has </w:t>
      </w:r>
      <w:r w:rsidR="00036901">
        <w:rPr>
          <w:rFonts w:ascii="Times New Roman" w:eastAsia="Times New Roman" w:hAnsi="Times New Roman" w:cs="Times New Roman"/>
          <w:sz w:val="24"/>
          <w:szCs w:val="24"/>
        </w:rPr>
        <w:t>various</w:t>
      </w:r>
      <w:r w:rsidR="004A6CAF">
        <w:rPr>
          <w:rFonts w:ascii="Times New Roman" w:eastAsia="Times New Roman" w:hAnsi="Times New Roman" w:cs="Times New Roman"/>
          <w:sz w:val="24"/>
          <w:szCs w:val="24"/>
        </w:rPr>
        <w:t xml:space="preserve"> initiatives which align with a number</w:t>
      </w:r>
      <w:r w:rsidR="00114625">
        <w:rPr>
          <w:rFonts w:ascii="Times New Roman" w:eastAsia="Times New Roman" w:hAnsi="Times New Roman" w:cs="Times New Roman"/>
          <w:sz w:val="24"/>
          <w:szCs w:val="24"/>
        </w:rPr>
        <w:t xml:space="preserve"> of the Committee's recommendations either </w:t>
      </w:r>
      <w:r w:rsidR="0052426C">
        <w:rPr>
          <w:rFonts w:ascii="Times New Roman" w:eastAsia="Times New Roman" w:hAnsi="Times New Roman" w:cs="Times New Roman"/>
          <w:sz w:val="24"/>
          <w:szCs w:val="24"/>
        </w:rPr>
        <w:t>in full or part</w:t>
      </w:r>
      <w:r w:rsidR="00114625">
        <w:rPr>
          <w:rFonts w:ascii="Times New Roman" w:eastAsia="Times New Roman" w:hAnsi="Times New Roman" w:cs="Times New Roman"/>
          <w:sz w:val="24"/>
          <w:szCs w:val="24"/>
        </w:rPr>
        <w:t>. The response also highlights areas in which other related and relevant work is being undertaken.</w:t>
      </w:r>
    </w:p>
    <w:p w:rsidR="003A20C9" w:rsidRDefault="00EB3083" w:rsidP="00DF45CE">
      <w:pPr>
        <w:widowControl/>
        <w:autoSpaceDE w:val="0"/>
        <w:autoSpaceDN w:val="0"/>
        <w:adjustRightInd w:val="0"/>
        <w:spacing w:after="0" w:line="240" w:lineRule="auto"/>
        <w:jc w:val="both"/>
        <w:rPr>
          <w:rFonts w:ascii="Times New Roman" w:eastAsia="Times New Roman" w:hAnsi="Times New Roman" w:cs="Times New Roman"/>
          <w:b/>
          <w:bCs/>
          <w:spacing w:val="1"/>
          <w:sz w:val="28"/>
          <w:szCs w:val="24"/>
        </w:rPr>
      </w:pPr>
      <w:r>
        <w:rPr>
          <w:rFonts w:ascii="Times New Roman" w:eastAsia="Times New Roman" w:hAnsi="Times New Roman" w:cs="Times New Roman"/>
          <w:b/>
          <w:bCs/>
          <w:spacing w:val="1"/>
          <w:sz w:val="28"/>
          <w:szCs w:val="24"/>
        </w:rPr>
        <w:br w:type="page"/>
      </w:r>
    </w:p>
    <w:p w:rsidR="001B3389" w:rsidRPr="00DF45CE" w:rsidRDefault="00EB3083" w:rsidP="00DF45CE">
      <w:pPr>
        <w:pStyle w:val="Heading1Response"/>
        <w:rPr>
          <w:b w:val="0"/>
          <w:spacing w:val="-1"/>
        </w:rPr>
      </w:pPr>
      <w:r w:rsidRPr="00DF45CE">
        <w:rPr>
          <w:spacing w:val="-1"/>
        </w:rPr>
        <w:lastRenderedPageBreak/>
        <w:t xml:space="preserve">Inquiry into the </w:t>
      </w:r>
      <w:r w:rsidR="00C67F0B" w:rsidRPr="00DF45CE">
        <w:rPr>
          <w:spacing w:val="-1"/>
        </w:rPr>
        <w:t>Intergenerational Welfare Dependence</w:t>
      </w:r>
    </w:p>
    <w:p w:rsidR="00B31918" w:rsidRDefault="00EB3083" w:rsidP="00BF7EB2">
      <w:pPr>
        <w:spacing w:before="240" w:after="240" w:line="240" w:lineRule="auto"/>
        <w:ind w:right="88"/>
        <w:rPr>
          <w:rFonts w:ascii="Times New Roman" w:eastAsia="Times New Roman" w:hAnsi="Times New Roman" w:cs="Times New Roman"/>
          <w:b/>
          <w:bCs/>
          <w:position w:val="-1"/>
          <w:sz w:val="24"/>
          <w:szCs w:val="24"/>
        </w:rPr>
      </w:pPr>
      <w:r w:rsidRPr="00AD3EA5">
        <w:rPr>
          <w:rFonts w:ascii="Times New Roman" w:eastAsia="Times New Roman" w:hAnsi="Times New Roman" w:cs="Times New Roman"/>
          <w:b/>
          <w:bCs/>
          <w:position w:val="-1"/>
          <w:sz w:val="24"/>
          <w:szCs w:val="24"/>
        </w:rPr>
        <w:t>R</w:t>
      </w:r>
      <w:r w:rsidRPr="00AD3EA5">
        <w:rPr>
          <w:rFonts w:ascii="Times New Roman" w:eastAsia="Times New Roman" w:hAnsi="Times New Roman" w:cs="Times New Roman"/>
          <w:b/>
          <w:bCs/>
          <w:spacing w:val="-1"/>
          <w:position w:val="-1"/>
          <w:sz w:val="24"/>
          <w:szCs w:val="24"/>
        </w:rPr>
        <w:t>ec</w:t>
      </w:r>
      <w:r w:rsidRPr="00AD3EA5">
        <w:rPr>
          <w:rFonts w:ascii="Times New Roman" w:eastAsia="Times New Roman" w:hAnsi="Times New Roman" w:cs="Times New Roman"/>
          <w:b/>
          <w:bCs/>
          <w:spacing w:val="2"/>
          <w:position w:val="-1"/>
          <w:sz w:val="24"/>
          <w:szCs w:val="24"/>
        </w:rPr>
        <w:t>o</w:t>
      </w:r>
      <w:r w:rsidRPr="00AD3EA5">
        <w:rPr>
          <w:rFonts w:ascii="Times New Roman" w:eastAsia="Times New Roman" w:hAnsi="Times New Roman" w:cs="Times New Roman"/>
          <w:b/>
          <w:bCs/>
          <w:spacing w:val="-1"/>
          <w:position w:val="-1"/>
          <w:sz w:val="24"/>
          <w:szCs w:val="24"/>
        </w:rPr>
        <w:t>mme</w:t>
      </w:r>
      <w:r w:rsidRPr="00AD3EA5">
        <w:rPr>
          <w:rFonts w:ascii="Times New Roman" w:eastAsia="Times New Roman" w:hAnsi="Times New Roman" w:cs="Times New Roman"/>
          <w:b/>
          <w:bCs/>
          <w:spacing w:val="1"/>
          <w:position w:val="-1"/>
          <w:sz w:val="24"/>
          <w:szCs w:val="24"/>
        </w:rPr>
        <w:t>nd</w:t>
      </w:r>
      <w:r w:rsidRPr="00AD3EA5">
        <w:rPr>
          <w:rFonts w:ascii="Times New Roman" w:eastAsia="Times New Roman" w:hAnsi="Times New Roman" w:cs="Times New Roman"/>
          <w:b/>
          <w:bCs/>
          <w:position w:val="-1"/>
          <w:sz w:val="24"/>
          <w:szCs w:val="24"/>
        </w:rPr>
        <w:t>a</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position w:val="-1"/>
          <w:sz w:val="24"/>
          <w:szCs w:val="24"/>
        </w:rPr>
        <w:t>io</w:t>
      </w:r>
      <w:r w:rsidRPr="00AD3EA5">
        <w:rPr>
          <w:rFonts w:ascii="Times New Roman" w:eastAsia="Times New Roman" w:hAnsi="Times New Roman" w:cs="Times New Roman"/>
          <w:b/>
          <w:bCs/>
          <w:spacing w:val="1"/>
          <w:position w:val="-1"/>
          <w:sz w:val="24"/>
          <w:szCs w:val="24"/>
        </w:rPr>
        <w:t>n</w:t>
      </w:r>
      <w:r w:rsidRPr="00AD3EA5">
        <w:rPr>
          <w:rFonts w:ascii="Times New Roman" w:eastAsia="Times New Roman" w:hAnsi="Times New Roman" w:cs="Times New Roman"/>
          <w:b/>
          <w:bCs/>
          <w:position w:val="-1"/>
          <w:sz w:val="24"/>
          <w:szCs w:val="24"/>
        </w:rPr>
        <w:t xml:space="preserve">s </w:t>
      </w:r>
      <w:r w:rsidR="009E6378">
        <w:rPr>
          <w:rFonts w:ascii="Times New Roman" w:eastAsia="Times New Roman" w:hAnsi="Times New Roman" w:cs="Times New Roman"/>
          <w:b/>
          <w:bCs/>
          <w:position w:val="-1"/>
          <w:sz w:val="24"/>
          <w:szCs w:val="24"/>
        </w:rPr>
        <w:t>made by</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h</w:t>
      </w:r>
      <w:r w:rsidRPr="00AD3EA5">
        <w:rPr>
          <w:rFonts w:ascii="Times New Roman" w:eastAsia="Times New Roman" w:hAnsi="Times New Roman" w:cs="Times New Roman"/>
          <w:b/>
          <w:bCs/>
          <w:position w:val="-1"/>
          <w:sz w:val="24"/>
          <w:szCs w:val="24"/>
        </w:rPr>
        <w:t>e</w:t>
      </w:r>
      <w:r w:rsidRPr="00AD3EA5">
        <w:rPr>
          <w:rFonts w:ascii="Times New Roman" w:eastAsia="Times New Roman" w:hAnsi="Times New Roman" w:cs="Times New Roman"/>
          <w:b/>
          <w:bCs/>
          <w:spacing w:val="-1"/>
          <w:position w:val="-1"/>
          <w:sz w:val="24"/>
          <w:szCs w:val="24"/>
        </w:rPr>
        <w:t xml:space="preserve"> </w:t>
      </w:r>
      <w:r w:rsidRPr="00AD3EA5">
        <w:rPr>
          <w:rFonts w:ascii="Times New Roman" w:eastAsia="Times New Roman" w:hAnsi="Times New Roman" w:cs="Times New Roman"/>
          <w:b/>
          <w:bCs/>
          <w:position w:val="-1"/>
          <w:sz w:val="24"/>
          <w:szCs w:val="24"/>
        </w:rPr>
        <w:t>Co</w:t>
      </w:r>
      <w:r w:rsidRPr="00AD3EA5">
        <w:rPr>
          <w:rFonts w:ascii="Times New Roman" w:eastAsia="Times New Roman" w:hAnsi="Times New Roman" w:cs="Times New Roman"/>
          <w:b/>
          <w:bCs/>
          <w:spacing w:val="-1"/>
          <w:position w:val="-1"/>
          <w:sz w:val="24"/>
          <w:szCs w:val="24"/>
        </w:rPr>
        <w:t>m</w:t>
      </w:r>
      <w:r w:rsidRPr="00AD3EA5">
        <w:rPr>
          <w:rFonts w:ascii="Times New Roman" w:eastAsia="Times New Roman" w:hAnsi="Times New Roman" w:cs="Times New Roman"/>
          <w:b/>
          <w:bCs/>
          <w:spacing w:val="-3"/>
          <w:position w:val="-1"/>
          <w:sz w:val="24"/>
          <w:szCs w:val="24"/>
        </w:rPr>
        <w:t>m</w:t>
      </w:r>
      <w:r w:rsidRPr="00AD3EA5">
        <w:rPr>
          <w:rFonts w:ascii="Times New Roman" w:eastAsia="Times New Roman" w:hAnsi="Times New Roman" w:cs="Times New Roman"/>
          <w:b/>
          <w:bCs/>
          <w:position w:val="-1"/>
          <w:sz w:val="24"/>
          <w:szCs w:val="24"/>
        </w:rPr>
        <w:t>it</w:t>
      </w:r>
      <w:r w:rsidRPr="00AD3EA5">
        <w:rPr>
          <w:rFonts w:ascii="Times New Roman" w:eastAsia="Times New Roman" w:hAnsi="Times New Roman" w:cs="Times New Roman"/>
          <w:b/>
          <w:bCs/>
          <w:spacing w:val="1"/>
          <w:position w:val="-1"/>
          <w:sz w:val="24"/>
          <w:szCs w:val="24"/>
        </w:rPr>
        <w:t>t</w:t>
      </w:r>
      <w:r w:rsidRPr="00AD3EA5">
        <w:rPr>
          <w:rFonts w:ascii="Times New Roman" w:eastAsia="Times New Roman" w:hAnsi="Times New Roman" w:cs="Times New Roman"/>
          <w:b/>
          <w:bCs/>
          <w:spacing w:val="-1"/>
          <w:position w:val="-1"/>
          <w:sz w:val="24"/>
          <w:szCs w:val="24"/>
        </w:rPr>
        <w:t>e</w:t>
      </w:r>
      <w:r w:rsidRPr="00AD3EA5">
        <w:rPr>
          <w:rFonts w:ascii="Times New Roman" w:eastAsia="Times New Roman" w:hAnsi="Times New Roman" w:cs="Times New Roman"/>
          <w:b/>
          <w:bCs/>
          <w:spacing w:val="1"/>
          <w:position w:val="-1"/>
          <w:sz w:val="24"/>
          <w:szCs w:val="24"/>
        </w:rPr>
        <w:t>e</w:t>
      </w:r>
    </w:p>
    <w:p w:rsidR="00B31918" w:rsidRPr="00DF45CE" w:rsidRDefault="00F6226D" w:rsidP="00F6226D">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contextualSpacing w:val="0"/>
        <w:rPr>
          <w:rFonts w:ascii="Times New Roman" w:eastAsia="Times New Roman" w:hAnsi="Times New Roman" w:cs="Times New Roman"/>
          <w:sz w:val="24"/>
          <w:szCs w:val="24"/>
        </w:rPr>
      </w:pPr>
      <w:r w:rsidRPr="00A91A1A">
        <w:t xml:space="preserve"> </w:t>
      </w:r>
      <w:r w:rsidRPr="00A91A1A">
        <w:rPr>
          <w:rFonts w:ascii="Times New Roman" w:eastAsia="Times New Roman" w:hAnsi="Times New Roman" w:cs="Times New Roman"/>
          <w:sz w:val="24"/>
          <w:szCs w:val="24"/>
        </w:rPr>
        <w:t xml:space="preserve">The Committee recommends that the Australian Government continue to </w:t>
      </w:r>
      <w:proofErr w:type="spellStart"/>
      <w:r w:rsidRPr="00A91A1A">
        <w:rPr>
          <w:rFonts w:ascii="Times New Roman" w:eastAsia="Times New Roman" w:hAnsi="Times New Roman" w:cs="Times New Roman"/>
          <w:sz w:val="24"/>
          <w:szCs w:val="24"/>
        </w:rPr>
        <w:t>prioritise</w:t>
      </w:r>
      <w:proofErr w:type="spellEnd"/>
      <w:r w:rsidRPr="00A91A1A">
        <w:rPr>
          <w:rFonts w:ascii="Times New Roman" w:eastAsia="Times New Roman" w:hAnsi="Times New Roman" w:cs="Times New Roman"/>
          <w:sz w:val="24"/>
          <w:szCs w:val="24"/>
        </w:rPr>
        <w:t xml:space="preserve"> funding for place-based and wrap-around services t</w:t>
      </w:r>
      <w:r w:rsidR="00973647">
        <w:rPr>
          <w:rFonts w:ascii="Times New Roman" w:eastAsia="Times New Roman" w:hAnsi="Times New Roman" w:cs="Times New Roman"/>
          <w:sz w:val="24"/>
          <w:szCs w:val="24"/>
        </w:rPr>
        <w:t>hat can demonstrate evidence of </w:t>
      </w:r>
      <w:r w:rsidRPr="00A91A1A">
        <w:rPr>
          <w:rFonts w:ascii="Times New Roman" w:eastAsia="Times New Roman" w:hAnsi="Times New Roman" w:cs="Times New Roman"/>
          <w:sz w:val="24"/>
          <w:szCs w:val="24"/>
        </w:rPr>
        <w:t>successful programs for people living with entrenched disadvantage.</w:t>
      </w:r>
    </w:p>
    <w:p w:rsidR="00C511D5" w:rsidRDefault="00EB3083" w:rsidP="00C00229">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rsidR="00A91A1A" w:rsidRPr="00DF45CE" w:rsidRDefault="00A91A1A">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w:t>
      </w:r>
      <w:r w:rsidR="00C91127">
        <w:rPr>
          <w:rFonts w:ascii="Times New Roman" w:hAnsi="Times New Roman" w:cs="Times New Roman"/>
          <w:sz w:val="24"/>
        </w:rPr>
        <w:t xml:space="preserve">Australian </w:t>
      </w:r>
      <w:r w:rsidRPr="00DF45CE">
        <w:rPr>
          <w:rFonts w:ascii="Times New Roman" w:hAnsi="Times New Roman" w:cs="Times New Roman"/>
          <w:sz w:val="24"/>
        </w:rPr>
        <w:t xml:space="preserve">Government remains committed to funding place-based and wrap-around services </w:t>
      </w:r>
      <w:r w:rsidR="00312EC2">
        <w:rPr>
          <w:rFonts w:ascii="Times New Roman" w:hAnsi="Times New Roman" w:cs="Times New Roman"/>
          <w:sz w:val="24"/>
        </w:rPr>
        <w:t>which</w:t>
      </w:r>
      <w:r w:rsidRPr="00DF45CE">
        <w:rPr>
          <w:rFonts w:ascii="Times New Roman" w:hAnsi="Times New Roman" w:cs="Times New Roman"/>
          <w:sz w:val="24"/>
        </w:rPr>
        <w:t xml:space="preserve"> demonstrate evidence of success</w:t>
      </w:r>
      <w:r w:rsidR="00A874BB">
        <w:rPr>
          <w:rFonts w:ascii="Times New Roman" w:hAnsi="Times New Roman" w:cs="Times New Roman"/>
          <w:sz w:val="24"/>
        </w:rPr>
        <w:t>ful outcomes</w:t>
      </w:r>
      <w:r w:rsidRPr="00DF45CE">
        <w:rPr>
          <w:rFonts w:ascii="Times New Roman" w:hAnsi="Times New Roman" w:cs="Times New Roman"/>
          <w:sz w:val="24"/>
        </w:rPr>
        <w:t xml:space="preserve"> for people living with entrenched disadvantage.</w:t>
      </w:r>
    </w:p>
    <w:p w:rsidR="00A91A1A" w:rsidRPr="00DF45CE" w:rsidRDefault="00A91A1A"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To support this approach, the </w:t>
      </w:r>
      <w:r w:rsidR="00C91127">
        <w:rPr>
          <w:rFonts w:ascii="Times New Roman" w:hAnsi="Times New Roman" w:cs="Times New Roman"/>
          <w:sz w:val="24"/>
        </w:rPr>
        <w:t xml:space="preserve">Australian </w:t>
      </w:r>
      <w:r w:rsidRPr="00DF45CE">
        <w:rPr>
          <w:rFonts w:ascii="Times New Roman" w:hAnsi="Times New Roman" w:cs="Times New Roman"/>
          <w:sz w:val="24"/>
        </w:rPr>
        <w:t>Government is implementing</w:t>
      </w:r>
      <w:r w:rsidRPr="00992566">
        <w:rPr>
          <w:rFonts w:ascii="Times New Roman" w:hAnsi="Times New Roman" w:cs="Times New Roman"/>
          <w:sz w:val="24"/>
        </w:rPr>
        <w:t xml:space="preserve"> </w:t>
      </w:r>
      <w:r w:rsidRPr="00640528">
        <w:rPr>
          <w:rFonts w:ascii="Times New Roman" w:hAnsi="Times New Roman" w:cs="Times New Roman"/>
          <w:iCs/>
          <w:sz w:val="24"/>
        </w:rPr>
        <w:t>Stronger Places, Stronger People</w:t>
      </w:r>
      <w:r w:rsidR="00973647">
        <w:rPr>
          <w:rFonts w:ascii="Times New Roman" w:hAnsi="Times New Roman" w:cs="Times New Roman"/>
          <w:sz w:val="24"/>
        </w:rPr>
        <w:t>, a </w:t>
      </w:r>
      <w:r w:rsidRPr="00DF45CE">
        <w:rPr>
          <w:rFonts w:ascii="Times New Roman" w:hAnsi="Times New Roman" w:cs="Times New Roman"/>
          <w:sz w:val="24"/>
        </w:rPr>
        <w:t xml:space="preserve">place-based collective impact initiative, which aims to demonstrate place-based collective impact approaches create better outcomes for children, their families and the whole community, and can disrupt disadvantage over time. </w:t>
      </w:r>
      <w:r w:rsidRPr="00640528">
        <w:rPr>
          <w:rFonts w:ascii="Times New Roman" w:hAnsi="Times New Roman" w:cs="Times New Roman"/>
          <w:iCs/>
          <w:sz w:val="24"/>
        </w:rPr>
        <w:t>Stronger Places, Stronger People</w:t>
      </w:r>
      <w:r w:rsidRPr="00DF45CE">
        <w:rPr>
          <w:rFonts w:ascii="Times New Roman" w:hAnsi="Times New Roman" w:cs="Times New Roman"/>
          <w:sz w:val="24"/>
        </w:rPr>
        <w:t xml:space="preserve"> is being implemented in partnership with state and territory governments and 10 communities across Australia.</w:t>
      </w:r>
    </w:p>
    <w:p w:rsidR="00A91A1A" w:rsidRDefault="00A91A1A" w:rsidP="00DF45CE">
      <w:pPr>
        <w:spacing w:line="240" w:lineRule="auto"/>
        <w:jc w:val="both"/>
        <w:rPr>
          <w:rFonts w:ascii="Times New Roman" w:hAnsi="Times New Roman" w:cs="Times New Roman"/>
          <w:sz w:val="24"/>
        </w:rPr>
      </w:pPr>
      <w:r w:rsidRPr="00DF45CE">
        <w:rPr>
          <w:rFonts w:ascii="Times New Roman" w:hAnsi="Times New Roman" w:cs="Times New Roman"/>
          <w:sz w:val="24"/>
        </w:rPr>
        <w:t>Other place-based models of investment are also funded by th</w:t>
      </w:r>
      <w:r>
        <w:rPr>
          <w:rFonts w:ascii="Times New Roman" w:hAnsi="Times New Roman" w:cs="Times New Roman"/>
          <w:sz w:val="24"/>
        </w:rPr>
        <w:t xml:space="preserve">e </w:t>
      </w:r>
      <w:r w:rsidR="00C91127">
        <w:rPr>
          <w:rFonts w:ascii="Times New Roman" w:hAnsi="Times New Roman" w:cs="Times New Roman"/>
          <w:sz w:val="24"/>
        </w:rPr>
        <w:t xml:space="preserve">Australian </w:t>
      </w:r>
      <w:r>
        <w:rPr>
          <w:rFonts w:ascii="Times New Roman" w:hAnsi="Times New Roman" w:cs="Times New Roman"/>
          <w:sz w:val="24"/>
        </w:rPr>
        <w:t>Government. Th</w:t>
      </w:r>
      <w:r w:rsidR="003F56A3">
        <w:rPr>
          <w:rFonts w:ascii="Times New Roman" w:hAnsi="Times New Roman" w:cs="Times New Roman"/>
          <w:sz w:val="24"/>
        </w:rPr>
        <w:t>ese models</w:t>
      </w:r>
      <w:r>
        <w:rPr>
          <w:rFonts w:ascii="Times New Roman" w:hAnsi="Times New Roman" w:cs="Times New Roman"/>
          <w:sz w:val="24"/>
        </w:rPr>
        <w:t xml:space="preserve"> include the </w:t>
      </w:r>
      <w:r w:rsidRPr="00DF45CE">
        <w:rPr>
          <w:rFonts w:ascii="Times New Roman" w:hAnsi="Times New Roman" w:cs="Times New Roman"/>
          <w:sz w:val="24"/>
        </w:rPr>
        <w:t>Communities for Children Facilitating Partners program, which i</w:t>
      </w:r>
      <w:r>
        <w:rPr>
          <w:rFonts w:ascii="Times New Roman" w:hAnsi="Times New Roman" w:cs="Times New Roman"/>
          <w:sz w:val="24"/>
        </w:rPr>
        <w:t>s a place</w:t>
      </w:r>
      <w:r w:rsidR="004A6CAF">
        <w:rPr>
          <w:rFonts w:ascii="Times New Roman" w:hAnsi="Times New Roman" w:cs="Times New Roman"/>
          <w:sz w:val="24"/>
        </w:rPr>
        <w:noBreakHyphen/>
      </w:r>
      <w:r>
        <w:rPr>
          <w:rFonts w:ascii="Times New Roman" w:hAnsi="Times New Roman" w:cs="Times New Roman"/>
          <w:sz w:val="24"/>
        </w:rPr>
        <w:t>based model of </w:t>
      </w:r>
      <w:r w:rsidR="000873EE">
        <w:rPr>
          <w:rFonts w:ascii="Times New Roman" w:hAnsi="Times New Roman" w:cs="Times New Roman"/>
          <w:sz w:val="24"/>
        </w:rPr>
        <w:t>investment operating</w:t>
      </w:r>
      <w:r w:rsidRPr="00DF45CE">
        <w:rPr>
          <w:rFonts w:ascii="Times New Roman" w:hAnsi="Times New Roman" w:cs="Times New Roman"/>
          <w:sz w:val="24"/>
        </w:rPr>
        <w:t xml:space="preserve"> in 52 locations across Australia. The program </w:t>
      </w:r>
      <w:r>
        <w:rPr>
          <w:rFonts w:ascii="Times New Roman" w:hAnsi="Times New Roman" w:cs="Times New Roman"/>
          <w:sz w:val="24"/>
        </w:rPr>
        <w:t>facilitates a whole of </w:t>
      </w:r>
      <w:r w:rsidRPr="00DF45CE">
        <w:rPr>
          <w:rFonts w:ascii="Times New Roman" w:hAnsi="Times New Roman" w:cs="Times New Roman"/>
          <w:sz w:val="24"/>
        </w:rPr>
        <w:t>community approach to support early childhood developmen</w:t>
      </w:r>
      <w:r>
        <w:rPr>
          <w:rFonts w:ascii="Times New Roman" w:hAnsi="Times New Roman" w:cs="Times New Roman"/>
          <w:sz w:val="24"/>
        </w:rPr>
        <w:t>t and wellbeing with a focus on </w:t>
      </w:r>
      <w:r w:rsidRPr="00DF45CE">
        <w:rPr>
          <w:rFonts w:ascii="Times New Roman" w:hAnsi="Times New Roman" w:cs="Times New Roman"/>
          <w:sz w:val="24"/>
        </w:rPr>
        <w:t>children from birth to 12 years, and can include children up to 18</w:t>
      </w:r>
      <w:r w:rsidR="001653C5">
        <w:rPr>
          <w:rFonts w:ascii="Times New Roman" w:hAnsi="Times New Roman" w:cs="Times New Roman"/>
          <w:sz w:val="24"/>
        </w:rPr>
        <w:t> </w:t>
      </w:r>
      <w:r w:rsidRPr="00DF45CE">
        <w:rPr>
          <w:rFonts w:ascii="Times New Roman" w:hAnsi="Times New Roman" w:cs="Times New Roman"/>
          <w:sz w:val="24"/>
        </w:rPr>
        <w:t>years and their families.</w:t>
      </w:r>
    </w:p>
    <w:p w:rsidR="00DC2F24" w:rsidRPr="004141DA" w:rsidRDefault="00DC2F24">
      <w:pPr>
        <w:spacing w:line="240" w:lineRule="auto"/>
        <w:jc w:val="both"/>
        <w:rPr>
          <w:rFonts w:ascii="Times New Roman" w:hAnsi="Times New Roman" w:cs="Times New Roman"/>
          <w:sz w:val="24"/>
        </w:rPr>
      </w:pPr>
      <w:r w:rsidRPr="00DC2F24">
        <w:rPr>
          <w:rFonts w:ascii="Times New Roman" w:hAnsi="Times New Roman" w:cs="Times New Roman"/>
          <w:sz w:val="24"/>
        </w:rPr>
        <w:t xml:space="preserve">In addition, the </w:t>
      </w:r>
      <w:r w:rsidR="004E4C52">
        <w:rPr>
          <w:rFonts w:ascii="Times New Roman" w:hAnsi="Times New Roman" w:cs="Times New Roman"/>
          <w:sz w:val="24"/>
        </w:rPr>
        <w:t xml:space="preserve">Australian </w:t>
      </w:r>
      <w:r w:rsidRPr="00DC2F24">
        <w:rPr>
          <w:rFonts w:ascii="Times New Roman" w:hAnsi="Times New Roman" w:cs="Times New Roman"/>
          <w:sz w:val="24"/>
        </w:rPr>
        <w:t>Government funds Connected Beginnings</w:t>
      </w:r>
      <w:r w:rsidR="00BC6853">
        <w:rPr>
          <w:rFonts w:ascii="Times New Roman" w:hAnsi="Times New Roman" w:cs="Times New Roman"/>
          <w:sz w:val="24"/>
        </w:rPr>
        <w:t>,</w:t>
      </w:r>
      <w:r w:rsidRPr="00DC2F24">
        <w:rPr>
          <w:rFonts w:ascii="Times New Roman" w:hAnsi="Times New Roman" w:cs="Times New Roman"/>
          <w:sz w:val="24"/>
        </w:rPr>
        <w:t xml:space="preserve"> which is a place-based initiative </w:t>
      </w:r>
      <w:r w:rsidR="00B64831">
        <w:rPr>
          <w:rFonts w:ascii="Times New Roman" w:hAnsi="Times New Roman" w:cs="Times New Roman"/>
          <w:sz w:val="24"/>
        </w:rPr>
        <w:t>jointly supported</w:t>
      </w:r>
      <w:r w:rsidR="004A6CAF">
        <w:rPr>
          <w:rFonts w:ascii="Times New Roman" w:hAnsi="Times New Roman" w:cs="Times New Roman"/>
          <w:sz w:val="24"/>
        </w:rPr>
        <w:t xml:space="preserve"> by the Department</w:t>
      </w:r>
      <w:r w:rsidR="00451111">
        <w:rPr>
          <w:rFonts w:ascii="Times New Roman" w:hAnsi="Times New Roman" w:cs="Times New Roman"/>
          <w:sz w:val="24"/>
        </w:rPr>
        <w:t xml:space="preserve"> of Health and </w:t>
      </w:r>
      <w:r w:rsidR="004A6CAF">
        <w:rPr>
          <w:rFonts w:ascii="Times New Roman" w:hAnsi="Times New Roman" w:cs="Times New Roman"/>
          <w:sz w:val="24"/>
        </w:rPr>
        <w:t xml:space="preserve">the Department of </w:t>
      </w:r>
      <w:r w:rsidR="00451111">
        <w:rPr>
          <w:rFonts w:ascii="Times New Roman" w:hAnsi="Times New Roman" w:cs="Times New Roman"/>
          <w:sz w:val="24"/>
        </w:rPr>
        <w:t>Education,</w:t>
      </w:r>
      <w:r w:rsidR="00A26C26">
        <w:rPr>
          <w:rFonts w:ascii="Times New Roman" w:hAnsi="Times New Roman" w:cs="Times New Roman"/>
          <w:sz w:val="24"/>
        </w:rPr>
        <w:t xml:space="preserve"> Skills and Employment</w:t>
      </w:r>
      <w:r w:rsidR="00451111">
        <w:rPr>
          <w:rFonts w:ascii="Times New Roman" w:hAnsi="Times New Roman" w:cs="Times New Roman"/>
          <w:sz w:val="24"/>
        </w:rPr>
        <w:t xml:space="preserve"> </w:t>
      </w:r>
      <w:r w:rsidRPr="00DC2F24">
        <w:rPr>
          <w:rFonts w:ascii="Times New Roman" w:hAnsi="Times New Roman" w:cs="Times New Roman"/>
          <w:sz w:val="24"/>
        </w:rPr>
        <w:t xml:space="preserve">currently in 15 locations across Australia. </w:t>
      </w:r>
      <w:r w:rsidR="00CB3651">
        <w:rPr>
          <w:rFonts w:ascii="Times New Roman" w:hAnsi="Times New Roman" w:cs="Times New Roman"/>
          <w:sz w:val="24"/>
        </w:rPr>
        <w:t xml:space="preserve">The </w:t>
      </w:r>
      <w:r w:rsidR="004E4C52">
        <w:rPr>
          <w:rFonts w:ascii="Times New Roman" w:hAnsi="Times New Roman" w:cs="Times New Roman"/>
          <w:sz w:val="24"/>
        </w:rPr>
        <w:t xml:space="preserve">Australian </w:t>
      </w:r>
      <w:r w:rsidR="00CB3651">
        <w:rPr>
          <w:rFonts w:ascii="Times New Roman" w:hAnsi="Times New Roman" w:cs="Times New Roman"/>
          <w:sz w:val="24"/>
        </w:rPr>
        <w:t>Gov</w:t>
      </w:r>
      <w:r w:rsidR="00B254B8">
        <w:rPr>
          <w:rFonts w:ascii="Times New Roman" w:hAnsi="Times New Roman" w:cs="Times New Roman"/>
          <w:sz w:val="24"/>
        </w:rPr>
        <w:t>ernment is providing around $45</w:t>
      </w:r>
      <w:r w:rsidR="001653C5">
        <w:rPr>
          <w:rFonts w:ascii="Times New Roman" w:hAnsi="Times New Roman" w:cs="Times New Roman"/>
          <w:sz w:val="24"/>
        </w:rPr>
        <w:t> </w:t>
      </w:r>
      <w:r w:rsidR="00CB3651">
        <w:rPr>
          <w:rFonts w:ascii="Times New Roman" w:hAnsi="Times New Roman" w:cs="Times New Roman"/>
          <w:sz w:val="24"/>
        </w:rPr>
        <w:t>million from 2019-20 to 2021-22</w:t>
      </w:r>
      <w:r w:rsidR="00B64831">
        <w:rPr>
          <w:rFonts w:ascii="Times New Roman" w:hAnsi="Times New Roman" w:cs="Times New Roman"/>
          <w:sz w:val="24"/>
        </w:rPr>
        <w:t xml:space="preserve"> for </w:t>
      </w:r>
      <w:r w:rsidR="00CB3651">
        <w:rPr>
          <w:rFonts w:ascii="Times New Roman" w:hAnsi="Times New Roman" w:cs="Times New Roman"/>
          <w:sz w:val="24"/>
        </w:rPr>
        <w:t xml:space="preserve">Connected Beginnings projects. </w:t>
      </w:r>
      <w:r w:rsidRPr="00DC2F24">
        <w:rPr>
          <w:rFonts w:ascii="Times New Roman" w:hAnsi="Times New Roman" w:cs="Times New Roman"/>
          <w:sz w:val="24"/>
        </w:rPr>
        <w:t xml:space="preserve">The program </w:t>
      </w:r>
      <w:r w:rsidR="00B64831">
        <w:rPr>
          <w:rFonts w:ascii="Times New Roman" w:hAnsi="Times New Roman" w:cs="Times New Roman"/>
          <w:sz w:val="24"/>
        </w:rPr>
        <w:t>improves</w:t>
      </w:r>
      <w:r w:rsidRPr="00DC2F24">
        <w:rPr>
          <w:rFonts w:ascii="Times New Roman" w:hAnsi="Times New Roman" w:cs="Times New Roman"/>
          <w:sz w:val="24"/>
        </w:rPr>
        <w:t xml:space="preserve"> the integration of early childhood, maternal and child </w:t>
      </w:r>
      <w:r w:rsidRPr="004141DA">
        <w:rPr>
          <w:rFonts w:ascii="Times New Roman" w:hAnsi="Times New Roman" w:cs="Times New Roman"/>
          <w:sz w:val="24"/>
        </w:rPr>
        <w:t xml:space="preserve">health, and family support services with schools in a number of Indigenous communities experiencing disadvantage so children achieve the learning and development outcomes necessary for a positive transition to school. </w:t>
      </w:r>
    </w:p>
    <w:p w:rsidR="004141DA" w:rsidRPr="000A2B1C" w:rsidRDefault="004141DA" w:rsidP="000A2B1C">
      <w:pPr>
        <w:spacing w:line="240" w:lineRule="auto"/>
        <w:jc w:val="both"/>
        <w:rPr>
          <w:sz w:val="24"/>
        </w:rPr>
      </w:pPr>
      <w:r w:rsidRPr="000A2B1C">
        <w:rPr>
          <w:rFonts w:ascii="Times New Roman" w:hAnsi="Times New Roman" w:cs="Times New Roman"/>
          <w:sz w:val="24"/>
        </w:rPr>
        <w:t>The National Indigenous Australians Agency (NIAA) works in genuine partnership with Aboriginal and Torres Strait Islander peoples, communities and other stakeholde</w:t>
      </w:r>
      <w:r w:rsidR="00DA77BE" w:rsidRPr="000A2B1C">
        <w:rPr>
          <w:rFonts w:ascii="Times New Roman" w:hAnsi="Times New Roman" w:cs="Times New Roman"/>
          <w:sz w:val="24"/>
        </w:rPr>
        <w:t>r</w:t>
      </w:r>
      <w:r w:rsidRPr="000A2B1C">
        <w:rPr>
          <w:rFonts w:ascii="Times New Roman" w:hAnsi="Times New Roman" w:cs="Times New Roman"/>
          <w:sz w:val="24"/>
        </w:rPr>
        <w:t xml:space="preserve">s to design and deliver responsive policies, programs and services to the unique needs of local communities and to improve social and economic outcomes. </w:t>
      </w:r>
    </w:p>
    <w:p w:rsidR="004141DA" w:rsidRPr="000A2B1C" w:rsidRDefault="004141DA" w:rsidP="000A2B1C">
      <w:pPr>
        <w:spacing w:line="240" w:lineRule="auto"/>
        <w:jc w:val="both"/>
        <w:rPr>
          <w:sz w:val="24"/>
        </w:rPr>
      </w:pPr>
      <w:r w:rsidRPr="000A2B1C">
        <w:rPr>
          <w:rFonts w:ascii="Times New Roman" w:hAnsi="Times New Roman" w:cs="Times New Roman"/>
          <w:sz w:val="24"/>
        </w:rPr>
        <w:t xml:space="preserve">The NIAA administers the Indigenous Advancement Strategy (IAS). </w:t>
      </w:r>
      <w:r w:rsidR="00031028">
        <w:rPr>
          <w:rFonts w:ascii="Times New Roman" w:hAnsi="Times New Roman" w:cs="Times New Roman"/>
          <w:sz w:val="24"/>
        </w:rPr>
        <w:t xml:space="preserve">The IAS represents an investment of over $5.2 billion </w:t>
      </w:r>
      <w:proofErr w:type="gramStart"/>
      <w:r w:rsidR="00031028">
        <w:rPr>
          <w:rFonts w:ascii="Times New Roman" w:hAnsi="Times New Roman" w:cs="Times New Roman"/>
          <w:sz w:val="24"/>
        </w:rPr>
        <w:t>between 2019-20 to 2022-23</w:t>
      </w:r>
      <w:proofErr w:type="gramEnd"/>
      <w:r w:rsidR="00031028">
        <w:rPr>
          <w:rFonts w:ascii="Times New Roman" w:hAnsi="Times New Roman" w:cs="Times New Roman"/>
          <w:sz w:val="24"/>
        </w:rPr>
        <w:t>.</w:t>
      </w:r>
    </w:p>
    <w:p w:rsidR="004141DA" w:rsidRPr="000A2B1C" w:rsidRDefault="004141DA" w:rsidP="000A2B1C">
      <w:pPr>
        <w:spacing w:line="240" w:lineRule="auto"/>
        <w:jc w:val="both"/>
        <w:rPr>
          <w:sz w:val="24"/>
        </w:rPr>
      </w:pPr>
      <w:r w:rsidRPr="000A2B1C">
        <w:rPr>
          <w:rFonts w:ascii="Times New Roman" w:hAnsi="Times New Roman" w:cs="Times New Roman"/>
          <w:sz w:val="24"/>
        </w:rPr>
        <w:t>Programs funded under the IAS address Indigenous disadvantage through a range of measures and seek to develop the strengths and protec</w:t>
      </w:r>
      <w:r w:rsidR="00312EC2" w:rsidRPr="000A2B1C">
        <w:rPr>
          <w:rFonts w:ascii="Times New Roman" w:hAnsi="Times New Roman" w:cs="Times New Roman"/>
          <w:sz w:val="24"/>
        </w:rPr>
        <w:t>tive factors of communities which</w:t>
      </w:r>
      <w:r w:rsidRPr="000A2B1C">
        <w:rPr>
          <w:rFonts w:ascii="Times New Roman" w:hAnsi="Times New Roman" w:cs="Times New Roman"/>
          <w:sz w:val="24"/>
        </w:rPr>
        <w:t xml:space="preserve"> support strong and healthy families and safer communities. The NIAA enables strong local engagement to sup</w:t>
      </w:r>
      <w:r w:rsidR="003F56A3" w:rsidRPr="000A2B1C">
        <w:rPr>
          <w:rFonts w:ascii="Times New Roman" w:hAnsi="Times New Roman" w:cs="Times New Roman"/>
          <w:sz w:val="24"/>
        </w:rPr>
        <w:t>port an investment approach which</w:t>
      </w:r>
      <w:r w:rsidRPr="000A2B1C">
        <w:rPr>
          <w:rFonts w:ascii="Times New Roman" w:hAnsi="Times New Roman" w:cs="Times New Roman"/>
          <w:sz w:val="24"/>
        </w:rPr>
        <w:t xml:space="preserve"> focuses on those areas of the life-course which deliver the greatest benefit for Indigenous Australians.</w:t>
      </w:r>
    </w:p>
    <w:p w:rsidR="00BE5091" w:rsidRDefault="00BE5091">
      <w:pPr>
        <w:widowControl/>
        <w:rPr>
          <w:sz w:val="24"/>
          <w:szCs w:val="24"/>
        </w:rPr>
      </w:pPr>
      <w:r>
        <w:rPr>
          <w:sz w:val="24"/>
          <w:szCs w:val="24"/>
        </w:rPr>
        <w:br w:type="page"/>
      </w:r>
    </w:p>
    <w:p w:rsidR="004141DA" w:rsidRPr="000A2B1C" w:rsidRDefault="004141DA" w:rsidP="000A2B1C">
      <w:pPr>
        <w:spacing w:line="240" w:lineRule="auto"/>
        <w:jc w:val="both"/>
        <w:rPr>
          <w:sz w:val="24"/>
        </w:rPr>
      </w:pPr>
      <w:r w:rsidRPr="000A2B1C">
        <w:rPr>
          <w:rFonts w:ascii="Times New Roman" w:hAnsi="Times New Roman" w:cs="Times New Roman"/>
          <w:sz w:val="24"/>
        </w:rPr>
        <w:lastRenderedPageBreak/>
        <w:t xml:space="preserve">For example, in </w:t>
      </w:r>
      <w:proofErr w:type="spellStart"/>
      <w:r w:rsidRPr="000A2B1C">
        <w:rPr>
          <w:rFonts w:ascii="Times New Roman" w:hAnsi="Times New Roman" w:cs="Times New Roman"/>
          <w:sz w:val="24"/>
        </w:rPr>
        <w:t>Yarrabah</w:t>
      </w:r>
      <w:proofErr w:type="spellEnd"/>
      <w:r w:rsidRPr="000A2B1C">
        <w:rPr>
          <w:rFonts w:ascii="Times New Roman" w:hAnsi="Times New Roman" w:cs="Times New Roman"/>
          <w:sz w:val="24"/>
        </w:rPr>
        <w:t xml:space="preserve"> (Queensland) the IAS invests in the </w:t>
      </w:r>
      <w:proofErr w:type="spellStart"/>
      <w:r w:rsidRPr="000A2B1C">
        <w:rPr>
          <w:rFonts w:ascii="Times New Roman" w:hAnsi="Times New Roman" w:cs="Times New Roman"/>
          <w:sz w:val="24"/>
        </w:rPr>
        <w:t>Yarrabah</w:t>
      </w:r>
      <w:proofErr w:type="spellEnd"/>
      <w:r w:rsidRPr="000A2B1C">
        <w:rPr>
          <w:rFonts w:ascii="Times New Roman" w:hAnsi="Times New Roman" w:cs="Times New Roman"/>
          <w:sz w:val="24"/>
        </w:rPr>
        <w:t xml:space="preserve"> Leaders Forum (YLF). The YLF is the leadership and local decision making group for the community and ensures engagement and investments complement the community’s priorities. The NIAA worked closely with the YLF to co-design an approach to implement the Remote School Attendance Strategy in a tripartite governance arrangement with </w:t>
      </w:r>
      <w:proofErr w:type="spellStart"/>
      <w:r w:rsidRPr="000A2B1C">
        <w:rPr>
          <w:rFonts w:ascii="Times New Roman" w:hAnsi="Times New Roman" w:cs="Times New Roman"/>
          <w:sz w:val="24"/>
        </w:rPr>
        <w:t>Yarrabah</w:t>
      </w:r>
      <w:proofErr w:type="spellEnd"/>
      <w:r w:rsidRPr="000A2B1C">
        <w:rPr>
          <w:rFonts w:ascii="Times New Roman" w:hAnsi="Times New Roman" w:cs="Times New Roman"/>
          <w:sz w:val="24"/>
        </w:rPr>
        <w:t xml:space="preserve"> State School and the </w:t>
      </w:r>
      <w:proofErr w:type="spellStart"/>
      <w:r w:rsidRPr="000A2B1C">
        <w:rPr>
          <w:rFonts w:ascii="Times New Roman" w:hAnsi="Times New Roman" w:cs="Times New Roman"/>
          <w:sz w:val="24"/>
        </w:rPr>
        <w:t>Yarrabah</w:t>
      </w:r>
      <w:proofErr w:type="spellEnd"/>
      <w:r w:rsidRPr="000A2B1C">
        <w:rPr>
          <w:rFonts w:ascii="Times New Roman" w:hAnsi="Times New Roman" w:cs="Times New Roman"/>
          <w:sz w:val="24"/>
        </w:rPr>
        <w:t xml:space="preserve"> Aboriginal Shire Council.</w:t>
      </w:r>
    </w:p>
    <w:p w:rsidR="004141DA" w:rsidRPr="000A2B1C" w:rsidRDefault="004141DA" w:rsidP="000A2B1C">
      <w:pPr>
        <w:spacing w:line="240" w:lineRule="auto"/>
        <w:jc w:val="both"/>
        <w:rPr>
          <w:sz w:val="24"/>
        </w:rPr>
      </w:pPr>
      <w:r w:rsidRPr="000A2B1C">
        <w:rPr>
          <w:rFonts w:ascii="Times New Roman" w:hAnsi="Times New Roman" w:cs="Times New Roman"/>
          <w:sz w:val="24"/>
        </w:rPr>
        <w:t>The Australian Government, through the IAS</w:t>
      </w:r>
      <w:r w:rsidR="00DA77BE" w:rsidRPr="000A2B1C">
        <w:rPr>
          <w:rFonts w:ascii="Times New Roman" w:hAnsi="Times New Roman" w:cs="Times New Roman"/>
          <w:sz w:val="24"/>
        </w:rPr>
        <w:t>,</w:t>
      </w:r>
      <w:r w:rsidRPr="000A2B1C">
        <w:rPr>
          <w:rFonts w:ascii="Times New Roman" w:hAnsi="Times New Roman" w:cs="Times New Roman"/>
          <w:sz w:val="24"/>
        </w:rPr>
        <w:t xml:space="preserve"> funds a range of national Indigenous-specific employment programs which directly place people in jobs, including significantly disadvantaged cohorts. Two employment programs that support placed based approaches include: </w:t>
      </w:r>
    </w:p>
    <w:p w:rsidR="004141DA" w:rsidRPr="000A2B1C" w:rsidRDefault="004141DA" w:rsidP="000A2B1C">
      <w:pPr>
        <w:pStyle w:val="ListParagraph"/>
        <w:widowControl/>
        <w:numPr>
          <w:ilvl w:val="0"/>
          <w:numId w:val="4"/>
        </w:numPr>
        <w:spacing w:after="160" w:line="240" w:lineRule="auto"/>
        <w:jc w:val="both"/>
        <w:rPr>
          <w:rFonts w:ascii="Times New Roman" w:hAnsi="Times New Roman" w:cs="Times New Roman"/>
          <w:sz w:val="24"/>
        </w:rPr>
      </w:pPr>
      <w:r w:rsidRPr="000A2B1C">
        <w:rPr>
          <w:rFonts w:ascii="Times New Roman" w:hAnsi="Times New Roman" w:cs="Times New Roman"/>
          <w:sz w:val="24"/>
        </w:rPr>
        <w:t xml:space="preserve">Vocational Training and Employment </w:t>
      </w:r>
      <w:proofErr w:type="spellStart"/>
      <w:r w:rsidRPr="000A2B1C">
        <w:rPr>
          <w:rFonts w:ascii="Times New Roman" w:hAnsi="Times New Roman" w:cs="Times New Roman"/>
          <w:sz w:val="24"/>
        </w:rPr>
        <w:t>Centres</w:t>
      </w:r>
      <w:proofErr w:type="spellEnd"/>
      <w:r w:rsidRPr="000A2B1C">
        <w:rPr>
          <w:rFonts w:ascii="Times New Roman" w:hAnsi="Times New Roman" w:cs="Times New Roman"/>
          <w:sz w:val="24"/>
        </w:rPr>
        <w:t xml:space="preserve"> (VTEC) which support Indigenous job seekers through provision of job specific training, guaranteed job placement, and post placement support for the first 26 weeks of employment.</w:t>
      </w:r>
    </w:p>
    <w:p w:rsidR="004141DA" w:rsidRDefault="004141DA" w:rsidP="000A2B1C">
      <w:pPr>
        <w:pStyle w:val="ListParagraph"/>
        <w:widowControl/>
        <w:numPr>
          <w:ilvl w:val="0"/>
          <w:numId w:val="4"/>
        </w:numPr>
        <w:spacing w:line="240" w:lineRule="auto"/>
        <w:ind w:left="714" w:hanging="357"/>
        <w:jc w:val="both"/>
        <w:rPr>
          <w:rFonts w:ascii="Times New Roman" w:hAnsi="Times New Roman" w:cs="Times New Roman"/>
          <w:sz w:val="24"/>
        </w:rPr>
      </w:pPr>
      <w:r w:rsidRPr="000A2B1C">
        <w:rPr>
          <w:rFonts w:ascii="Times New Roman" w:hAnsi="Times New Roman" w:cs="Times New Roman"/>
          <w:sz w:val="24"/>
        </w:rPr>
        <w:t>Tailored Assistance Employment Grants (TAEG) which have been designed to respond flexibly to local employment conditions, and ha</w:t>
      </w:r>
      <w:r w:rsidR="00DA77BE">
        <w:rPr>
          <w:rFonts w:ascii="Times New Roman" w:hAnsi="Times New Roman" w:cs="Times New Roman"/>
          <w:sz w:val="24"/>
        </w:rPr>
        <w:t>ve</w:t>
      </w:r>
      <w:r w:rsidRPr="000A2B1C">
        <w:rPr>
          <w:rFonts w:ascii="Times New Roman" w:hAnsi="Times New Roman" w:cs="Times New Roman"/>
          <w:sz w:val="24"/>
        </w:rPr>
        <w:t xml:space="preserve"> three streams targeting specific cohorts to </w:t>
      </w:r>
      <w:proofErr w:type="spellStart"/>
      <w:r w:rsidRPr="000A2B1C">
        <w:rPr>
          <w:rFonts w:ascii="Times New Roman" w:hAnsi="Times New Roman" w:cs="Times New Roman"/>
          <w:sz w:val="24"/>
        </w:rPr>
        <w:t>maximise</w:t>
      </w:r>
      <w:proofErr w:type="spellEnd"/>
      <w:r w:rsidRPr="000A2B1C">
        <w:rPr>
          <w:rFonts w:ascii="Times New Roman" w:hAnsi="Times New Roman" w:cs="Times New Roman"/>
          <w:sz w:val="24"/>
        </w:rPr>
        <w:t xml:space="preserve"> outcomes for current and future Indigenous job seekers:</w:t>
      </w:r>
    </w:p>
    <w:p w:rsidR="00681700" w:rsidRPr="000A2B1C" w:rsidRDefault="00681700" w:rsidP="000A2B1C">
      <w:pPr>
        <w:pStyle w:val="ListParagraph"/>
        <w:widowControl/>
        <w:spacing w:line="240" w:lineRule="auto"/>
        <w:ind w:left="714"/>
        <w:jc w:val="both"/>
        <w:rPr>
          <w:rFonts w:ascii="Times New Roman" w:hAnsi="Times New Roman" w:cs="Times New Roman"/>
          <w:sz w:val="24"/>
        </w:rPr>
      </w:pPr>
    </w:p>
    <w:p w:rsidR="004141DA" w:rsidRPr="000A2B1C" w:rsidRDefault="004141DA" w:rsidP="000A2B1C">
      <w:pPr>
        <w:pStyle w:val="ListParagraph"/>
        <w:numPr>
          <w:ilvl w:val="0"/>
          <w:numId w:val="11"/>
        </w:numPr>
        <w:spacing w:before="120" w:after="120" w:line="240" w:lineRule="auto"/>
        <w:jc w:val="both"/>
        <w:rPr>
          <w:rFonts w:ascii="Times New Roman" w:hAnsi="Times New Roman" w:cs="Times New Roman"/>
          <w:sz w:val="24"/>
          <w:szCs w:val="24"/>
        </w:rPr>
      </w:pPr>
      <w:r w:rsidRPr="000A2B1C">
        <w:rPr>
          <w:rFonts w:ascii="Times New Roman" w:hAnsi="Times New Roman" w:cs="Times New Roman"/>
          <w:sz w:val="24"/>
          <w:szCs w:val="24"/>
        </w:rPr>
        <w:t>TAEG – Employment: providing training and post-placement support for job seekers to reach 26 weeks sustainable employment.</w:t>
      </w:r>
    </w:p>
    <w:p w:rsidR="004141DA" w:rsidRPr="000A2B1C" w:rsidRDefault="004141DA" w:rsidP="000A2B1C">
      <w:pPr>
        <w:pStyle w:val="ListParagraph"/>
        <w:numPr>
          <w:ilvl w:val="0"/>
          <w:numId w:val="11"/>
        </w:numPr>
        <w:spacing w:before="120" w:after="120" w:line="240" w:lineRule="auto"/>
        <w:jc w:val="both"/>
        <w:rPr>
          <w:rFonts w:ascii="Times New Roman" w:hAnsi="Times New Roman" w:cs="Times New Roman"/>
          <w:sz w:val="24"/>
          <w:szCs w:val="24"/>
        </w:rPr>
      </w:pPr>
      <w:r w:rsidRPr="000A2B1C">
        <w:rPr>
          <w:rFonts w:ascii="Times New Roman" w:hAnsi="Times New Roman" w:cs="Times New Roman"/>
          <w:sz w:val="24"/>
          <w:szCs w:val="24"/>
        </w:rPr>
        <w:t>TAEG – Cadetships: assisting students to complete their studies, while at the same time providing practical work experience.</w:t>
      </w:r>
    </w:p>
    <w:p w:rsidR="004141DA" w:rsidRPr="000A2B1C" w:rsidRDefault="004141DA" w:rsidP="000A2B1C">
      <w:pPr>
        <w:pStyle w:val="ListParagraph"/>
        <w:numPr>
          <w:ilvl w:val="0"/>
          <w:numId w:val="11"/>
        </w:numPr>
        <w:spacing w:before="120" w:after="120" w:line="240" w:lineRule="auto"/>
        <w:jc w:val="both"/>
        <w:rPr>
          <w:rFonts w:ascii="Times New Roman" w:eastAsia="Times New Roman" w:hAnsi="Times New Roman" w:cs="Times New Roman"/>
          <w:sz w:val="24"/>
          <w:szCs w:val="24"/>
          <w:lang w:val="en" w:eastAsia="en-AU"/>
        </w:rPr>
      </w:pPr>
      <w:r w:rsidRPr="000A2B1C">
        <w:rPr>
          <w:rFonts w:ascii="Times New Roman" w:hAnsi="Times New Roman" w:cs="Times New Roman"/>
          <w:sz w:val="24"/>
          <w:szCs w:val="24"/>
        </w:rPr>
        <w:t>TAEG – School-based Traineeships: an educational and employment pathway, combining work-related training or employment with vocational training and senior secondary school studies</w:t>
      </w:r>
      <w:r w:rsidRPr="000A2B1C">
        <w:rPr>
          <w:rFonts w:ascii="Times New Roman" w:eastAsia="Times New Roman" w:hAnsi="Times New Roman" w:cs="Times New Roman"/>
          <w:sz w:val="24"/>
          <w:szCs w:val="24"/>
          <w:lang w:val="en" w:eastAsia="en-AU"/>
        </w:rPr>
        <w:t>.</w:t>
      </w:r>
    </w:p>
    <w:p w:rsidR="00711BAC" w:rsidRDefault="009B4275" w:rsidP="000A2B1C">
      <w:pPr>
        <w:spacing w:line="240" w:lineRule="auto"/>
        <w:jc w:val="both"/>
        <w:rPr>
          <w:rFonts w:ascii="Times New Roman" w:hAnsi="Times New Roman" w:cs="Times New Roman"/>
          <w:sz w:val="24"/>
        </w:rPr>
      </w:pPr>
      <w:r w:rsidRPr="000A2B1C">
        <w:rPr>
          <w:rFonts w:ascii="Times New Roman" w:hAnsi="Times New Roman" w:cs="Times New Roman"/>
          <w:sz w:val="24"/>
        </w:rPr>
        <w:t xml:space="preserve">The Regional Employment Trials program is a place-based model that </w:t>
      </w:r>
      <w:proofErr w:type="spellStart"/>
      <w:r w:rsidRPr="000A2B1C">
        <w:rPr>
          <w:rFonts w:ascii="Times New Roman" w:hAnsi="Times New Roman" w:cs="Times New Roman"/>
          <w:sz w:val="24"/>
        </w:rPr>
        <w:t>recogni</w:t>
      </w:r>
      <w:r w:rsidR="00DA77BE">
        <w:rPr>
          <w:rFonts w:ascii="Times New Roman" w:hAnsi="Times New Roman" w:cs="Times New Roman"/>
          <w:sz w:val="24"/>
        </w:rPr>
        <w:t>s</w:t>
      </w:r>
      <w:r w:rsidRPr="000A2B1C">
        <w:rPr>
          <w:rFonts w:ascii="Times New Roman" w:hAnsi="Times New Roman" w:cs="Times New Roman"/>
          <w:sz w:val="24"/>
        </w:rPr>
        <w:t>es</w:t>
      </w:r>
      <w:proofErr w:type="spellEnd"/>
      <w:r w:rsidRPr="000A2B1C">
        <w:rPr>
          <w:rFonts w:ascii="Times New Roman" w:hAnsi="Times New Roman" w:cs="Times New Roman"/>
          <w:sz w:val="24"/>
        </w:rPr>
        <w:t xml:space="preserve"> that some regions face challenges in terms of employment opportunities and growth. The program has been rolled out in 10 selected disadvantaged regions, using a place-based approach to support local stakeholders to identify, co-design and deliver employment related projects </w:t>
      </w:r>
      <w:r w:rsidR="00DA77BE">
        <w:rPr>
          <w:rFonts w:ascii="Times New Roman" w:hAnsi="Times New Roman" w:cs="Times New Roman"/>
          <w:sz w:val="24"/>
        </w:rPr>
        <w:t>to</w:t>
      </w:r>
      <w:r w:rsidRPr="000A2B1C">
        <w:rPr>
          <w:rFonts w:ascii="Times New Roman" w:hAnsi="Times New Roman" w:cs="Times New Roman"/>
          <w:sz w:val="24"/>
        </w:rPr>
        <w:t xml:space="preserve"> address the challenges of their regions. The projects identified in these regions have varied to meet the needs of local communities, and include focusing on providing assistance to migrants, youth, Indigenous, and other vulnerable cohorts to overcome barriers and become more work ready.</w:t>
      </w:r>
    </w:p>
    <w:p w:rsidR="004141DA" w:rsidRDefault="004141DA" w:rsidP="000A2B1C">
      <w:pPr>
        <w:spacing w:line="240" w:lineRule="auto"/>
        <w:jc w:val="both"/>
        <w:rPr>
          <w:rFonts w:ascii="Times New Roman" w:hAnsi="Times New Roman" w:cs="Times New Roman"/>
          <w:sz w:val="24"/>
        </w:rPr>
      </w:pPr>
    </w:p>
    <w:p w:rsidR="00B31918" w:rsidRPr="00DF45CE" w:rsidRDefault="00F6226D"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F41747">
        <w:rPr>
          <w:rFonts w:ascii="Times New Roman" w:eastAsia="Times New Roman" w:hAnsi="Times New Roman" w:cs="Times New Roman"/>
          <w:sz w:val="24"/>
          <w:szCs w:val="24"/>
        </w:rPr>
        <w:t>The Committee recommends that the Australian Government immediately work through COAG to implement the agreed COAG recommendation from 2009 that all educational data sets including school attendance records should b</w:t>
      </w:r>
      <w:r w:rsidR="00973647">
        <w:rPr>
          <w:rFonts w:ascii="Times New Roman" w:eastAsia="Times New Roman" w:hAnsi="Times New Roman" w:cs="Times New Roman"/>
          <w:sz w:val="24"/>
          <w:szCs w:val="24"/>
        </w:rPr>
        <w:t>e shared between all states and </w:t>
      </w:r>
      <w:r w:rsidRPr="00F41747">
        <w:rPr>
          <w:rFonts w:ascii="Times New Roman" w:eastAsia="Times New Roman" w:hAnsi="Times New Roman" w:cs="Times New Roman"/>
          <w:sz w:val="24"/>
          <w:szCs w:val="24"/>
        </w:rPr>
        <w:t xml:space="preserve">territories. </w:t>
      </w:r>
    </w:p>
    <w:p w:rsidR="00C511D5" w:rsidRPr="00C511D5" w:rsidRDefault="009E0031" w:rsidP="00C00229">
      <w:pPr>
        <w:spacing w:before="120" w:after="120" w:line="240" w:lineRule="auto"/>
        <w:ind w:right="91"/>
        <w:jc w:val="both"/>
        <w:rPr>
          <w:rFonts w:ascii="Times New Roman" w:eastAsia="Times New Roman" w:hAnsi="Times New Roman" w:cs="Times New Roman"/>
          <w:b/>
          <w:spacing w:val="2"/>
          <w:sz w:val="24"/>
          <w:szCs w:val="24"/>
        </w:rPr>
      </w:pPr>
      <w:r w:rsidRPr="004A6666">
        <w:rPr>
          <w:rFonts w:ascii="Times New Roman" w:eastAsia="Times New Roman" w:hAnsi="Times New Roman" w:cs="Times New Roman"/>
          <w:b/>
          <w:spacing w:val="2"/>
          <w:sz w:val="24"/>
          <w:szCs w:val="24"/>
        </w:rPr>
        <w:t>S</w:t>
      </w:r>
      <w:r w:rsidR="00EB3083" w:rsidRPr="004A6666">
        <w:rPr>
          <w:rFonts w:ascii="Times New Roman" w:eastAsia="Times New Roman" w:hAnsi="Times New Roman" w:cs="Times New Roman"/>
          <w:b/>
          <w:spacing w:val="2"/>
          <w:sz w:val="24"/>
          <w:szCs w:val="24"/>
        </w:rPr>
        <w:t>upported in principle</w:t>
      </w:r>
    </w:p>
    <w:p w:rsidR="00662314" w:rsidRPr="00662314" w:rsidRDefault="00662314" w:rsidP="00662314">
      <w:pPr>
        <w:spacing w:before="120" w:after="120"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 xml:space="preserve">Where parental permission is provided, school attendance records are already included as part of the Interstate Student Data Transfer Note (ISDTN) and Protocol, which is a national system for the transfer of student information between schools when </w:t>
      </w:r>
      <w:r w:rsidR="00973647">
        <w:rPr>
          <w:rFonts w:ascii="Times New Roman" w:hAnsi="Times New Roman" w:cs="Times New Roman"/>
          <w:sz w:val="24"/>
          <w:szCs w:val="24"/>
          <w:lang w:val="en-AU"/>
        </w:rPr>
        <w:t>children move from one state or </w:t>
      </w:r>
      <w:r w:rsidRPr="00662314">
        <w:rPr>
          <w:rFonts w:ascii="Times New Roman" w:hAnsi="Times New Roman" w:cs="Times New Roman"/>
          <w:sz w:val="24"/>
          <w:szCs w:val="24"/>
          <w:lang w:val="en-AU"/>
        </w:rPr>
        <w:t>territory to another.</w:t>
      </w:r>
      <w:r w:rsidR="004A6666">
        <w:rPr>
          <w:rFonts w:ascii="Times New Roman" w:hAnsi="Times New Roman" w:cs="Times New Roman"/>
          <w:sz w:val="24"/>
          <w:szCs w:val="24"/>
          <w:lang w:val="en-AU"/>
        </w:rPr>
        <w:t xml:space="preserve"> </w:t>
      </w:r>
      <w:r w:rsidRPr="00662314">
        <w:rPr>
          <w:rFonts w:ascii="Times New Roman" w:hAnsi="Times New Roman" w:cs="Times New Roman"/>
          <w:sz w:val="24"/>
          <w:szCs w:val="24"/>
          <w:lang w:val="en-AU"/>
        </w:rPr>
        <w:t>The Education Council is currently reviewing the ISDTN and Protocol to identify data transfer gaps and consider future data sharing arrangements.</w:t>
      </w:r>
    </w:p>
    <w:p w:rsidR="00880844" w:rsidRDefault="00880844">
      <w:pPr>
        <w:widowControl/>
        <w:rPr>
          <w:rFonts w:ascii="Times New Roman" w:hAnsi="Times New Roman" w:cs="Times New Roman"/>
          <w:sz w:val="24"/>
          <w:szCs w:val="24"/>
          <w:lang w:val="en-AU"/>
        </w:rPr>
      </w:pPr>
      <w:r>
        <w:rPr>
          <w:rFonts w:ascii="Times New Roman" w:hAnsi="Times New Roman" w:cs="Times New Roman"/>
          <w:sz w:val="24"/>
          <w:szCs w:val="24"/>
          <w:lang w:val="en-AU"/>
        </w:rPr>
        <w:br w:type="page"/>
      </w:r>
    </w:p>
    <w:p w:rsidR="004141DA" w:rsidRDefault="00662314" w:rsidP="000A2B1C">
      <w:pPr>
        <w:spacing w:before="120"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lastRenderedPageBreak/>
        <w:t xml:space="preserve">The Australian Government has also been working with states and territories to implement additional arrangements to ensure sharing of educational data sets, including school attendance records. These arrangements involve the collection and reporting of aggregate-level statistical data by the Australian Curriculum, Assessment and Reporting Authority (ACARA) and the development of a national unique student identifier (USI) as part of the National School Reform Agreement. </w:t>
      </w:r>
    </w:p>
    <w:p w:rsidR="00662314" w:rsidRPr="00662314" w:rsidRDefault="00662314" w:rsidP="00662314">
      <w:pPr>
        <w:spacing w:before="120" w:after="120"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 xml:space="preserve">ACARA is an independent statutory authority with responsibility for collecting and reporting statistical information on schooling on behalf of the Education Council. The Measurement Framework for Schooling in Australia, published by ACARA, is the basis for reporting to the community on progress towards the Melbourne Declaration on Educational Goals for Young Australians. The framework underpins the National Report on Schooling in Australia and details key performance measures for schooling, including student attendance and achievement. All jurisdictions and sectors have agreed to provide nationally comparable data on student attendance in line with the National Standards for Student Attendance Data Reporting. </w:t>
      </w:r>
    </w:p>
    <w:p w:rsidR="00973647" w:rsidRDefault="00662314" w:rsidP="000A2B1C">
      <w:pPr>
        <w:spacing w:before="120"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 xml:space="preserve">The Australian Government is also working with states and territories to implement a national USI as part of the National School Reform Agreement. The USI will allow better tracking of student achievement across all education systems in order to better understand student progression. </w:t>
      </w:r>
    </w:p>
    <w:p w:rsidR="005F0490" w:rsidRPr="00B12070" w:rsidRDefault="005F0490" w:rsidP="00C00229">
      <w:pPr>
        <w:spacing w:before="120" w:after="120" w:line="240" w:lineRule="auto"/>
        <w:ind w:right="91"/>
        <w:jc w:val="both"/>
        <w:rPr>
          <w:rFonts w:ascii="Times New Roman" w:eastAsia="Times New Roman" w:hAnsi="Times New Roman" w:cs="Times New Roman"/>
          <w:spacing w:val="2"/>
          <w:sz w:val="24"/>
          <w:szCs w:val="24"/>
        </w:rPr>
      </w:pPr>
    </w:p>
    <w:p w:rsidR="00B31918" w:rsidRPr="00DF45CE" w:rsidRDefault="00F6226D"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F41747">
        <w:rPr>
          <w:rFonts w:ascii="Times New Roman" w:eastAsia="Times New Roman" w:hAnsi="Times New Roman" w:cs="Times New Roman"/>
          <w:sz w:val="24"/>
          <w:szCs w:val="24"/>
        </w:rPr>
        <w:t>The Committee recommends that the Australian Government works</w:t>
      </w:r>
      <w:r w:rsidR="00973647">
        <w:rPr>
          <w:rFonts w:ascii="Times New Roman" w:eastAsia="Times New Roman" w:hAnsi="Times New Roman" w:cs="Times New Roman"/>
          <w:sz w:val="24"/>
          <w:szCs w:val="24"/>
        </w:rPr>
        <w:t xml:space="preserve"> with state and </w:t>
      </w:r>
      <w:r w:rsidRPr="00F41747">
        <w:rPr>
          <w:rFonts w:ascii="Times New Roman" w:eastAsia="Times New Roman" w:hAnsi="Times New Roman" w:cs="Times New Roman"/>
          <w:sz w:val="24"/>
          <w:szCs w:val="24"/>
        </w:rPr>
        <w:t>territory governments to ensure immediate increases in funding for emergency relief housing and ongoing low cost housing throughout Australia.</w:t>
      </w:r>
    </w:p>
    <w:p w:rsidR="00C511D5" w:rsidRPr="00C511D5" w:rsidRDefault="00F41747" w:rsidP="00C511D5">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w:t>
      </w:r>
      <w:r w:rsidR="00EB3083" w:rsidRPr="00C511D5">
        <w:rPr>
          <w:rFonts w:ascii="Times New Roman" w:eastAsia="Times New Roman" w:hAnsi="Times New Roman" w:cs="Times New Roman"/>
          <w:b/>
          <w:spacing w:val="2"/>
          <w:sz w:val="24"/>
          <w:szCs w:val="24"/>
        </w:rPr>
        <w:t>oted</w:t>
      </w:r>
    </w:p>
    <w:p w:rsidR="00711BAC" w:rsidRDefault="00F41747" w:rsidP="000A2B1C">
      <w:pPr>
        <w:spacing w:line="240" w:lineRule="auto"/>
        <w:jc w:val="both"/>
        <w:rPr>
          <w:rFonts w:ascii="Times New Roman" w:hAnsi="Times New Roman" w:cs="Times New Roman"/>
          <w:sz w:val="24"/>
        </w:rPr>
      </w:pPr>
      <w:r w:rsidRPr="00DF45CE">
        <w:rPr>
          <w:rFonts w:ascii="Times New Roman" w:hAnsi="Times New Roman" w:cs="Times New Roman"/>
          <w:sz w:val="24"/>
        </w:rPr>
        <w:t xml:space="preserve">On 11 February 2019, the Prime Minister, the Hon Scott Morrison MP, announced $78 million for safe places for women and children experiencing domestic and family violence. This includes $60 million for emergency accommodation to deliver up to 450 safe places and helping up to 6,500 women and children </w:t>
      </w:r>
      <w:r w:rsidR="00B93A44">
        <w:rPr>
          <w:rFonts w:ascii="Times New Roman" w:hAnsi="Times New Roman" w:cs="Times New Roman"/>
          <w:sz w:val="24"/>
        </w:rPr>
        <w:t xml:space="preserve">per year. </w:t>
      </w:r>
      <w:r w:rsidRPr="00DF45CE">
        <w:rPr>
          <w:rFonts w:ascii="Times New Roman" w:hAnsi="Times New Roman" w:cs="Times New Roman"/>
          <w:sz w:val="24"/>
        </w:rPr>
        <w:t xml:space="preserve">The Australian Government has been working with states and territories encouraging them to understand how they will support this program, ahead of the grants round </w:t>
      </w:r>
      <w:r w:rsidR="003F56A3">
        <w:rPr>
          <w:rFonts w:ascii="Times New Roman" w:hAnsi="Times New Roman" w:cs="Times New Roman"/>
          <w:sz w:val="24"/>
        </w:rPr>
        <w:t xml:space="preserve">which </w:t>
      </w:r>
      <w:r w:rsidR="000873EE">
        <w:rPr>
          <w:rFonts w:ascii="Times New Roman" w:hAnsi="Times New Roman" w:cs="Times New Roman"/>
          <w:sz w:val="24"/>
        </w:rPr>
        <w:t>opened</w:t>
      </w:r>
      <w:r w:rsidRPr="00DF45CE">
        <w:rPr>
          <w:rFonts w:ascii="Times New Roman" w:hAnsi="Times New Roman" w:cs="Times New Roman"/>
          <w:sz w:val="24"/>
        </w:rPr>
        <w:t xml:space="preserve"> in late 2019. It is expected</w:t>
      </w:r>
      <w:r w:rsidR="003F56A3">
        <w:rPr>
          <w:rFonts w:ascii="Times New Roman" w:hAnsi="Times New Roman" w:cs="Times New Roman"/>
          <w:sz w:val="24"/>
        </w:rPr>
        <w:t xml:space="preserve"> </w:t>
      </w:r>
      <w:r w:rsidRPr="00DF45CE">
        <w:rPr>
          <w:rFonts w:ascii="Times New Roman" w:hAnsi="Times New Roman" w:cs="Times New Roman"/>
          <w:sz w:val="24"/>
        </w:rPr>
        <w:t>emergency accommodation funded will be operational and providing services by July 2022.</w:t>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t>While state and territory governments are primarily responsible for housing and homelessness, the Australian Government</w:t>
      </w:r>
      <w:r w:rsidR="000873EE">
        <w:rPr>
          <w:rFonts w:ascii="Times New Roman" w:hAnsi="Times New Roman" w:cs="Times New Roman"/>
          <w:sz w:val="24"/>
        </w:rPr>
        <w:t xml:space="preserve"> </w:t>
      </w:r>
      <w:r w:rsidR="00C65C82">
        <w:rPr>
          <w:rFonts w:ascii="Times New Roman" w:hAnsi="Times New Roman" w:cs="Times New Roman"/>
          <w:sz w:val="24"/>
        </w:rPr>
        <w:t>also makes an important contribution</w:t>
      </w:r>
      <w:r w:rsidRPr="00DF45CE">
        <w:rPr>
          <w:rFonts w:ascii="Times New Roman" w:hAnsi="Times New Roman" w:cs="Times New Roman"/>
          <w:sz w:val="24"/>
        </w:rPr>
        <w:t>. The </w:t>
      </w:r>
      <w:r w:rsidR="00C91127">
        <w:rPr>
          <w:rFonts w:ascii="Times New Roman" w:hAnsi="Times New Roman" w:cs="Times New Roman"/>
          <w:sz w:val="24"/>
        </w:rPr>
        <w:t xml:space="preserve">Australian </w:t>
      </w:r>
      <w:r w:rsidRPr="00DF45CE">
        <w:rPr>
          <w:rFonts w:ascii="Times New Roman" w:hAnsi="Times New Roman" w:cs="Times New Roman"/>
          <w:sz w:val="24"/>
        </w:rPr>
        <w:t>Government will spend more than $6 billion to improve housing and homelessness outcomes in 2019-20 including:</w:t>
      </w:r>
    </w:p>
    <w:p w:rsidR="00F41747" w:rsidRPr="00DF45CE" w:rsidRDefault="00036901" w:rsidP="00114625">
      <w:pPr>
        <w:pStyle w:val="ListParagraph"/>
        <w:widowControl/>
        <w:numPr>
          <w:ilvl w:val="0"/>
          <w:numId w:val="4"/>
        </w:numPr>
        <w:spacing w:after="160" w:line="240" w:lineRule="auto"/>
        <w:jc w:val="both"/>
        <w:rPr>
          <w:rFonts w:ascii="Times New Roman" w:hAnsi="Times New Roman" w:cs="Times New Roman"/>
          <w:sz w:val="24"/>
        </w:rPr>
      </w:pPr>
      <w:r>
        <w:rPr>
          <w:rFonts w:ascii="Times New Roman" w:hAnsi="Times New Roman" w:cs="Times New Roman"/>
          <w:sz w:val="24"/>
        </w:rPr>
        <w:t>a</w:t>
      </w:r>
      <w:r w:rsidR="00F41747" w:rsidRPr="00DF45CE">
        <w:rPr>
          <w:rFonts w:ascii="Times New Roman" w:hAnsi="Times New Roman" w:cs="Times New Roman"/>
          <w:sz w:val="24"/>
        </w:rPr>
        <w:t>round $4.6 billion in Commonwealth Rent Assistance t</w:t>
      </w:r>
      <w:r w:rsidR="00973647">
        <w:rPr>
          <w:rFonts w:ascii="Times New Roman" w:hAnsi="Times New Roman" w:cs="Times New Roman"/>
          <w:sz w:val="24"/>
        </w:rPr>
        <w:t>o help eligible Australians pay </w:t>
      </w:r>
      <w:r w:rsidR="00F41747" w:rsidRPr="00DF45CE">
        <w:rPr>
          <w:rFonts w:ascii="Times New Roman" w:hAnsi="Times New Roman" w:cs="Times New Roman"/>
          <w:sz w:val="24"/>
        </w:rPr>
        <w:t xml:space="preserve">their rent; and </w:t>
      </w:r>
    </w:p>
    <w:p w:rsidR="00F41747" w:rsidRPr="00DF45CE" w:rsidRDefault="00036901" w:rsidP="00114625">
      <w:pPr>
        <w:pStyle w:val="ListParagraph"/>
        <w:widowControl/>
        <w:numPr>
          <w:ilvl w:val="0"/>
          <w:numId w:val="4"/>
        </w:numPr>
        <w:spacing w:after="160" w:line="240" w:lineRule="auto"/>
        <w:jc w:val="both"/>
        <w:rPr>
          <w:rFonts w:ascii="Times New Roman" w:hAnsi="Times New Roman" w:cs="Times New Roman"/>
          <w:sz w:val="24"/>
        </w:rPr>
      </w:pPr>
      <w:proofErr w:type="gramStart"/>
      <w:r>
        <w:rPr>
          <w:rFonts w:ascii="Times New Roman" w:hAnsi="Times New Roman" w:cs="Times New Roman"/>
          <w:sz w:val="24"/>
        </w:rPr>
        <w:t>m</w:t>
      </w:r>
      <w:r w:rsidR="00F41747" w:rsidRPr="00DF45CE">
        <w:rPr>
          <w:rFonts w:ascii="Times New Roman" w:hAnsi="Times New Roman" w:cs="Times New Roman"/>
          <w:sz w:val="24"/>
        </w:rPr>
        <w:t>ore</w:t>
      </w:r>
      <w:proofErr w:type="gramEnd"/>
      <w:r w:rsidR="00F41747" w:rsidRPr="00DF45CE">
        <w:rPr>
          <w:rFonts w:ascii="Times New Roman" w:hAnsi="Times New Roman" w:cs="Times New Roman"/>
          <w:sz w:val="24"/>
        </w:rPr>
        <w:t xml:space="preserve"> than $1.5 billion a year through the National Housing and Homelessness Agreement (NHHA) to states and territories. This includes $125 million in d</w:t>
      </w:r>
      <w:r w:rsidR="00B93A44">
        <w:rPr>
          <w:rFonts w:ascii="Times New Roman" w:hAnsi="Times New Roman" w:cs="Times New Roman"/>
          <w:sz w:val="24"/>
        </w:rPr>
        <w:t xml:space="preserve">edicated homelessness funding. </w:t>
      </w:r>
      <w:r w:rsidR="00F41747" w:rsidRPr="00DF45CE">
        <w:rPr>
          <w:rFonts w:ascii="Times New Roman" w:hAnsi="Times New Roman" w:cs="Times New Roman"/>
          <w:sz w:val="24"/>
        </w:rPr>
        <w:t>The NHHA bilateral agreements with states and territories commenced on 1 July 2018 and expire on 30 June 2023.</w:t>
      </w:r>
    </w:p>
    <w:p w:rsidR="00880844" w:rsidRDefault="00880844">
      <w:pPr>
        <w:widowControl/>
        <w:rPr>
          <w:rFonts w:ascii="Times New Roman" w:hAnsi="Times New Roman" w:cs="Times New Roman"/>
          <w:sz w:val="24"/>
        </w:rPr>
      </w:pPr>
      <w:r>
        <w:rPr>
          <w:rFonts w:ascii="Times New Roman" w:hAnsi="Times New Roman" w:cs="Times New Roman"/>
          <w:sz w:val="24"/>
        </w:rPr>
        <w:br w:type="page"/>
      </w:r>
    </w:p>
    <w:p w:rsidR="00F41747" w:rsidRPr="00DF45CE" w:rsidRDefault="00F41747" w:rsidP="00DF45CE">
      <w:pPr>
        <w:spacing w:line="240" w:lineRule="auto"/>
        <w:jc w:val="both"/>
        <w:rPr>
          <w:rFonts w:ascii="Times New Roman" w:hAnsi="Times New Roman" w:cs="Times New Roman"/>
          <w:sz w:val="24"/>
          <w:u w:val="single"/>
        </w:rPr>
      </w:pPr>
      <w:r w:rsidRPr="00DF45CE">
        <w:rPr>
          <w:rFonts w:ascii="Times New Roman" w:hAnsi="Times New Roman" w:cs="Times New Roman"/>
          <w:sz w:val="24"/>
        </w:rPr>
        <w:lastRenderedPageBreak/>
        <w:t xml:space="preserve">Additional measures the Australian Government is </w:t>
      </w:r>
      <w:r w:rsidR="00114625">
        <w:rPr>
          <w:rFonts w:ascii="Times New Roman" w:hAnsi="Times New Roman" w:cs="Times New Roman"/>
          <w:sz w:val="24"/>
        </w:rPr>
        <w:t>taking</w:t>
      </w:r>
      <w:r w:rsidRPr="00DF45CE">
        <w:rPr>
          <w:rFonts w:ascii="Times New Roman" w:hAnsi="Times New Roman" w:cs="Times New Roman"/>
          <w:sz w:val="24"/>
        </w:rPr>
        <w:t xml:space="preserve"> to improve housing and homelessness outcomes include:</w:t>
      </w:r>
    </w:p>
    <w:p w:rsidR="00F41747" w:rsidRPr="00DF45CE" w:rsidRDefault="00031028" w:rsidP="001C0182">
      <w:pPr>
        <w:pStyle w:val="ListParagraph"/>
        <w:widowControl/>
        <w:numPr>
          <w:ilvl w:val="0"/>
          <w:numId w:val="4"/>
        </w:numPr>
        <w:spacing w:after="160" w:line="240" w:lineRule="auto"/>
        <w:jc w:val="both"/>
        <w:rPr>
          <w:rFonts w:ascii="Times New Roman" w:hAnsi="Times New Roman" w:cs="Times New Roman"/>
          <w:sz w:val="24"/>
          <w:u w:val="single"/>
        </w:rPr>
      </w:pPr>
      <w:r>
        <w:rPr>
          <w:rFonts w:ascii="Times New Roman" w:hAnsi="Times New Roman" w:cs="Times New Roman"/>
          <w:sz w:val="24"/>
        </w:rPr>
        <w:t>e</w:t>
      </w:r>
      <w:r w:rsidR="00F41747" w:rsidRPr="00DF45CE">
        <w:rPr>
          <w:rFonts w:ascii="Times New Roman" w:hAnsi="Times New Roman" w:cs="Times New Roman"/>
          <w:sz w:val="24"/>
        </w:rPr>
        <w:t>stablishing the First Home Loan Deposit Scheme to support first home buyers;</w:t>
      </w:r>
    </w:p>
    <w:p w:rsidR="00F41747" w:rsidRPr="00DF45CE" w:rsidRDefault="00031028" w:rsidP="001C0182">
      <w:pPr>
        <w:pStyle w:val="ListParagraph"/>
        <w:widowControl/>
        <w:numPr>
          <w:ilvl w:val="0"/>
          <w:numId w:val="4"/>
        </w:numPr>
        <w:spacing w:after="160" w:line="240" w:lineRule="auto"/>
        <w:jc w:val="both"/>
        <w:rPr>
          <w:rFonts w:ascii="Times New Roman" w:hAnsi="Times New Roman" w:cs="Times New Roman"/>
          <w:sz w:val="24"/>
          <w:u w:val="single"/>
        </w:rPr>
      </w:pPr>
      <w:r>
        <w:rPr>
          <w:rFonts w:ascii="Times New Roman" w:hAnsi="Times New Roman" w:cs="Times New Roman"/>
          <w:sz w:val="24"/>
        </w:rPr>
        <w:t>e</w:t>
      </w:r>
      <w:r w:rsidR="00F41747" w:rsidRPr="00DF45CE">
        <w:rPr>
          <w:rFonts w:ascii="Times New Roman" w:hAnsi="Times New Roman" w:cs="Times New Roman"/>
          <w:sz w:val="24"/>
        </w:rPr>
        <w:t>stablishing the National Housing Finance and Investme</w:t>
      </w:r>
      <w:r w:rsidR="00973647">
        <w:rPr>
          <w:rFonts w:ascii="Times New Roman" w:hAnsi="Times New Roman" w:cs="Times New Roman"/>
          <w:sz w:val="24"/>
        </w:rPr>
        <w:t>nt Corporation to help grow the </w:t>
      </w:r>
      <w:r w:rsidR="00F41747" w:rsidRPr="00DF45CE">
        <w:rPr>
          <w:rFonts w:ascii="Times New Roman" w:hAnsi="Times New Roman" w:cs="Times New Roman"/>
          <w:sz w:val="24"/>
        </w:rPr>
        <w:t>community housing sector;</w:t>
      </w:r>
    </w:p>
    <w:p w:rsidR="004A6CAF" w:rsidRPr="000A2B1C" w:rsidRDefault="00031028" w:rsidP="00855B4A">
      <w:pPr>
        <w:pStyle w:val="ListParagraph"/>
        <w:widowControl/>
        <w:numPr>
          <w:ilvl w:val="0"/>
          <w:numId w:val="4"/>
        </w:numPr>
        <w:spacing w:after="160" w:line="240" w:lineRule="auto"/>
        <w:jc w:val="both"/>
        <w:rPr>
          <w:rFonts w:ascii="Times New Roman" w:hAnsi="Times New Roman" w:cs="Times New Roman"/>
          <w:sz w:val="24"/>
          <w:u w:val="single"/>
        </w:rPr>
      </w:pPr>
      <w:r>
        <w:rPr>
          <w:rFonts w:ascii="Times New Roman" w:hAnsi="Times New Roman" w:cs="Times New Roman"/>
          <w:sz w:val="24"/>
        </w:rPr>
        <w:t>e</w:t>
      </w:r>
      <w:r w:rsidR="00F41747" w:rsidRPr="00DF45CE">
        <w:rPr>
          <w:rFonts w:ascii="Times New Roman" w:hAnsi="Times New Roman" w:cs="Times New Roman"/>
          <w:sz w:val="24"/>
        </w:rPr>
        <w:t>stablishing the $1 billion National Housing Infrastruct</w:t>
      </w:r>
      <w:r w:rsidR="00973647">
        <w:rPr>
          <w:rFonts w:ascii="Times New Roman" w:hAnsi="Times New Roman" w:cs="Times New Roman"/>
          <w:sz w:val="24"/>
        </w:rPr>
        <w:t>ure Facility to help unlock new </w:t>
      </w:r>
      <w:r w:rsidR="00F41747" w:rsidRPr="00DF45CE">
        <w:rPr>
          <w:rFonts w:ascii="Times New Roman" w:hAnsi="Times New Roman" w:cs="Times New Roman"/>
          <w:sz w:val="24"/>
        </w:rPr>
        <w:t>housing supply, including social housing; an</w:t>
      </w:r>
      <w:r w:rsidR="004A6CAF">
        <w:rPr>
          <w:rFonts w:ascii="Times New Roman" w:hAnsi="Times New Roman" w:cs="Times New Roman"/>
          <w:sz w:val="24"/>
        </w:rPr>
        <w:t>d</w:t>
      </w:r>
    </w:p>
    <w:p w:rsidR="00880844" w:rsidRDefault="00F41747" w:rsidP="00640528">
      <w:pPr>
        <w:pStyle w:val="ListParagraph"/>
        <w:widowControl/>
        <w:numPr>
          <w:ilvl w:val="0"/>
          <w:numId w:val="4"/>
        </w:numPr>
        <w:spacing w:line="240" w:lineRule="auto"/>
        <w:ind w:left="714" w:hanging="357"/>
        <w:jc w:val="both"/>
      </w:pPr>
      <w:r w:rsidRPr="000A2B1C">
        <w:rPr>
          <w:rFonts w:ascii="Times New Roman" w:hAnsi="Times New Roman" w:cs="Times New Roman"/>
          <w:sz w:val="24"/>
        </w:rPr>
        <w:t>$30 million to build more than 100 social and afforda</w:t>
      </w:r>
      <w:r w:rsidR="00973647" w:rsidRPr="000A2B1C">
        <w:rPr>
          <w:rFonts w:ascii="Times New Roman" w:hAnsi="Times New Roman" w:cs="Times New Roman"/>
          <w:sz w:val="24"/>
        </w:rPr>
        <w:t>ble homes under the </w:t>
      </w:r>
      <w:r w:rsidRPr="000A2B1C">
        <w:rPr>
          <w:rFonts w:ascii="Times New Roman" w:hAnsi="Times New Roman" w:cs="Times New Roman"/>
          <w:sz w:val="24"/>
        </w:rPr>
        <w:t>Hobart City Deal.</w:t>
      </w:r>
    </w:p>
    <w:p w:rsidR="00734187" w:rsidRDefault="00734187" w:rsidP="000A2B1C">
      <w:pPr>
        <w:pStyle w:val="ListParagraph"/>
        <w:widowControl/>
        <w:spacing w:line="240" w:lineRule="auto"/>
        <w:ind w:left="714"/>
        <w:jc w:val="both"/>
        <w:rPr>
          <w:rFonts w:ascii="Times New Roman" w:hAnsi="Times New Roman" w:cs="Times New Roman"/>
          <w:sz w:val="24"/>
          <w:szCs w:val="24"/>
          <w:lang w:val="en-AU"/>
        </w:rPr>
      </w:pPr>
    </w:p>
    <w:p w:rsidR="00880844" w:rsidRPr="00880844" w:rsidRDefault="00880844" w:rsidP="000A2B1C">
      <w:pPr>
        <w:pStyle w:val="ListParagraph"/>
        <w:widowControl/>
        <w:spacing w:line="240" w:lineRule="auto"/>
        <w:ind w:left="714"/>
        <w:jc w:val="both"/>
        <w:rPr>
          <w:rFonts w:ascii="Times New Roman" w:hAnsi="Times New Roman" w:cs="Times New Roman"/>
          <w:sz w:val="24"/>
          <w:szCs w:val="24"/>
          <w:lang w:val="en-AU"/>
        </w:rPr>
      </w:pPr>
    </w:p>
    <w:p w:rsidR="00B31918" w:rsidRPr="00DF45CE" w:rsidRDefault="00682885"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F41747">
        <w:rPr>
          <w:rFonts w:ascii="Times New Roman" w:eastAsia="Times New Roman" w:hAnsi="Times New Roman" w:cs="Times New Roman"/>
          <w:sz w:val="24"/>
          <w:szCs w:val="24"/>
        </w:rPr>
        <w:t>The Committee recommends that funding arrangements for welfare-related programs are</w:t>
      </w:r>
      <w:r w:rsidR="00973647">
        <w:rPr>
          <w:rFonts w:ascii="Times New Roman" w:eastAsia="Times New Roman" w:hAnsi="Times New Roman" w:cs="Times New Roman"/>
          <w:sz w:val="24"/>
          <w:szCs w:val="24"/>
        </w:rPr>
        <w:t> </w:t>
      </w:r>
      <w:r w:rsidRPr="00F41747">
        <w:rPr>
          <w:rFonts w:ascii="Times New Roman" w:eastAsia="Times New Roman" w:hAnsi="Times New Roman" w:cs="Times New Roman"/>
          <w:sz w:val="24"/>
          <w:szCs w:val="24"/>
        </w:rPr>
        <w:t xml:space="preserve">reviewed, with a view to avoiding short-term funding cycles. Three to five year agreements, with annual extensions subject to meeting agreed performance measures, would assist with funding certainty, while ensuring progress and satisfactory outcomes are achieved.  </w:t>
      </w:r>
    </w:p>
    <w:p w:rsidR="00C511D5" w:rsidRPr="00C511D5" w:rsidRDefault="00EB3083" w:rsidP="00C511D5">
      <w:pPr>
        <w:spacing w:before="120" w:after="120" w:line="240" w:lineRule="auto"/>
        <w:ind w:right="91"/>
        <w:jc w:val="both"/>
        <w:rPr>
          <w:rFonts w:ascii="Times New Roman" w:eastAsia="Times New Roman" w:hAnsi="Times New Roman" w:cs="Times New Roman"/>
          <w:b/>
          <w:spacing w:val="2"/>
          <w:sz w:val="24"/>
          <w:szCs w:val="24"/>
        </w:rPr>
      </w:pPr>
      <w:r w:rsidRPr="00C511D5">
        <w:rPr>
          <w:rFonts w:ascii="Times New Roman" w:eastAsia="Times New Roman" w:hAnsi="Times New Roman" w:cs="Times New Roman"/>
          <w:b/>
          <w:spacing w:val="2"/>
          <w:sz w:val="24"/>
          <w:szCs w:val="24"/>
        </w:rPr>
        <w:t>Supported</w:t>
      </w:r>
    </w:p>
    <w:p w:rsidR="00F41747" w:rsidRPr="00F41747" w:rsidRDefault="00F41747" w:rsidP="00F41747">
      <w:pPr>
        <w:spacing w:before="120" w:after="120" w:line="240" w:lineRule="auto"/>
        <w:ind w:right="91"/>
        <w:jc w:val="both"/>
        <w:rPr>
          <w:rFonts w:ascii="Times New Roman" w:hAnsi="Times New Roman" w:cs="Times New Roman"/>
          <w:sz w:val="24"/>
          <w:szCs w:val="24"/>
          <w:lang w:val="en-AU"/>
        </w:rPr>
      </w:pPr>
      <w:r w:rsidRPr="00F41747">
        <w:rPr>
          <w:rFonts w:ascii="Times New Roman" w:hAnsi="Times New Roman" w:cs="Times New Roman"/>
          <w:sz w:val="24"/>
          <w:szCs w:val="24"/>
          <w:lang w:val="en-AU"/>
        </w:rPr>
        <w:t xml:space="preserve">The </w:t>
      </w:r>
      <w:r w:rsidR="00C91127">
        <w:rPr>
          <w:rFonts w:ascii="Times New Roman" w:hAnsi="Times New Roman" w:cs="Times New Roman"/>
          <w:sz w:val="24"/>
          <w:szCs w:val="24"/>
          <w:lang w:val="en-AU"/>
        </w:rPr>
        <w:t xml:space="preserve">Australian </w:t>
      </w:r>
      <w:r w:rsidRPr="00F41747">
        <w:rPr>
          <w:rFonts w:ascii="Times New Roman" w:hAnsi="Times New Roman" w:cs="Times New Roman"/>
          <w:sz w:val="24"/>
          <w:szCs w:val="24"/>
          <w:lang w:val="en-AU"/>
        </w:rPr>
        <w:t>Government remains committed to implementing longer</w:t>
      </w:r>
      <w:r w:rsidR="00036901">
        <w:rPr>
          <w:rFonts w:ascii="Times New Roman" w:hAnsi="Times New Roman" w:cs="Times New Roman"/>
          <w:sz w:val="24"/>
          <w:szCs w:val="24"/>
          <w:lang w:val="en-AU"/>
        </w:rPr>
        <w:t>-</w:t>
      </w:r>
      <w:r w:rsidRPr="00F41747">
        <w:rPr>
          <w:rFonts w:ascii="Times New Roman" w:hAnsi="Times New Roman" w:cs="Times New Roman"/>
          <w:sz w:val="24"/>
          <w:szCs w:val="24"/>
          <w:lang w:val="en-AU"/>
        </w:rPr>
        <w:t xml:space="preserve">term agreements (including options for extension terms), where appropriate. </w:t>
      </w:r>
    </w:p>
    <w:p w:rsidR="00F41747" w:rsidRPr="00F41747" w:rsidRDefault="00F41747" w:rsidP="00F41747">
      <w:pPr>
        <w:spacing w:before="120" w:after="120" w:line="240" w:lineRule="auto"/>
        <w:ind w:right="91"/>
        <w:jc w:val="both"/>
        <w:rPr>
          <w:rFonts w:ascii="Times New Roman" w:hAnsi="Times New Roman" w:cs="Times New Roman"/>
          <w:sz w:val="24"/>
          <w:szCs w:val="24"/>
          <w:lang w:val="en-AU"/>
        </w:rPr>
      </w:pPr>
      <w:r w:rsidRPr="00F41747">
        <w:rPr>
          <w:rFonts w:ascii="Times New Roman" w:hAnsi="Times New Roman" w:cs="Times New Roman"/>
          <w:sz w:val="24"/>
          <w:szCs w:val="24"/>
          <w:lang w:val="en-AU"/>
        </w:rPr>
        <w:t xml:space="preserve">The </w:t>
      </w:r>
      <w:r w:rsidR="00C91127">
        <w:rPr>
          <w:rFonts w:ascii="Times New Roman" w:hAnsi="Times New Roman" w:cs="Times New Roman"/>
          <w:sz w:val="24"/>
          <w:szCs w:val="24"/>
          <w:lang w:val="en-AU"/>
        </w:rPr>
        <w:t xml:space="preserve">Australian </w:t>
      </w:r>
      <w:r w:rsidRPr="00F41747">
        <w:rPr>
          <w:rFonts w:ascii="Times New Roman" w:hAnsi="Times New Roman" w:cs="Times New Roman"/>
          <w:sz w:val="24"/>
          <w:szCs w:val="24"/>
          <w:lang w:val="en-AU"/>
        </w:rPr>
        <w:t>Government recognises longer</w:t>
      </w:r>
      <w:r w:rsidR="00036901">
        <w:rPr>
          <w:rFonts w:ascii="Times New Roman" w:hAnsi="Times New Roman" w:cs="Times New Roman"/>
          <w:sz w:val="24"/>
          <w:szCs w:val="24"/>
          <w:lang w:val="en-AU"/>
        </w:rPr>
        <w:t>-</w:t>
      </w:r>
      <w:r w:rsidRPr="00F41747">
        <w:rPr>
          <w:rFonts w:ascii="Times New Roman" w:hAnsi="Times New Roman" w:cs="Times New Roman"/>
          <w:sz w:val="24"/>
          <w:szCs w:val="24"/>
          <w:lang w:val="en-AU"/>
        </w:rPr>
        <w:t>term agreements create greater certainty for</w:t>
      </w:r>
      <w:r w:rsidR="00973647">
        <w:rPr>
          <w:rFonts w:ascii="Times New Roman" w:hAnsi="Times New Roman" w:cs="Times New Roman"/>
          <w:sz w:val="24"/>
          <w:szCs w:val="24"/>
          <w:lang w:val="en-AU"/>
        </w:rPr>
        <w:t> </w:t>
      </w:r>
      <w:r w:rsidRPr="00F41747">
        <w:rPr>
          <w:rFonts w:ascii="Times New Roman" w:hAnsi="Times New Roman" w:cs="Times New Roman"/>
          <w:sz w:val="24"/>
          <w:szCs w:val="24"/>
          <w:lang w:val="en-AU"/>
        </w:rPr>
        <w:t>organisations, enable strategic planning to be undertaken, an</w:t>
      </w:r>
      <w:r w:rsidR="00973647">
        <w:rPr>
          <w:rFonts w:ascii="Times New Roman" w:hAnsi="Times New Roman" w:cs="Times New Roman"/>
          <w:sz w:val="24"/>
          <w:szCs w:val="24"/>
          <w:lang w:val="en-AU"/>
        </w:rPr>
        <w:t>d reduce service disruption and </w:t>
      </w:r>
      <w:r w:rsidRPr="00F41747">
        <w:rPr>
          <w:rFonts w:ascii="Times New Roman" w:hAnsi="Times New Roman" w:cs="Times New Roman"/>
          <w:sz w:val="24"/>
          <w:szCs w:val="24"/>
          <w:lang w:val="en-AU"/>
        </w:rPr>
        <w:t>red tape, leading to a greater focus on service del</w:t>
      </w:r>
      <w:r w:rsidR="00973647">
        <w:rPr>
          <w:rFonts w:ascii="Times New Roman" w:hAnsi="Times New Roman" w:cs="Times New Roman"/>
          <w:sz w:val="24"/>
          <w:szCs w:val="24"/>
          <w:lang w:val="en-AU"/>
        </w:rPr>
        <w:t>ivery and improved outcomes for </w:t>
      </w:r>
      <w:r w:rsidRPr="00F41747">
        <w:rPr>
          <w:rFonts w:ascii="Times New Roman" w:hAnsi="Times New Roman" w:cs="Times New Roman"/>
          <w:sz w:val="24"/>
          <w:szCs w:val="24"/>
          <w:lang w:val="en-AU"/>
        </w:rPr>
        <w:t xml:space="preserve">vulnerable Australians over time. The </w:t>
      </w:r>
      <w:r w:rsidR="00C91127">
        <w:rPr>
          <w:rFonts w:ascii="Times New Roman" w:hAnsi="Times New Roman" w:cs="Times New Roman"/>
          <w:sz w:val="24"/>
          <w:szCs w:val="24"/>
          <w:lang w:val="en-AU"/>
        </w:rPr>
        <w:t xml:space="preserve">Australian </w:t>
      </w:r>
      <w:r w:rsidRPr="00F41747">
        <w:rPr>
          <w:rFonts w:ascii="Times New Roman" w:hAnsi="Times New Roman" w:cs="Times New Roman"/>
          <w:sz w:val="24"/>
          <w:szCs w:val="24"/>
          <w:lang w:val="en-AU"/>
        </w:rPr>
        <w:t>Government is currently in the process of negotiating five</w:t>
      </w:r>
      <w:r w:rsidR="00855B4A">
        <w:rPr>
          <w:rFonts w:ascii="Times New Roman" w:hAnsi="Times New Roman" w:cs="Times New Roman"/>
          <w:sz w:val="24"/>
          <w:szCs w:val="24"/>
          <w:lang w:val="en-AU"/>
        </w:rPr>
        <w:t>-</w:t>
      </w:r>
      <w:r w:rsidRPr="00F41747">
        <w:rPr>
          <w:rFonts w:ascii="Times New Roman" w:hAnsi="Times New Roman" w:cs="Times New Roman"/>
          <w:sz w:val="24"/>
          <w:szCs w:val="24"/>
          <w:lang w:val="en-AU"/>
        </w:rPr>
        <w:t>year agreements for the new Integrated Carer Support Servic</w:t>
      </w:r>
      <w:r w:rsidR="00855B4A">
        <w:rPr>
          <w:rFonts w:ascii="Times New Roman" w:hAnsi="Times New Roman" w:cs="Times New Roman"/>
          <w:sz w:val="24"/>
          <w:szCs w:val="24"/>
          <w:lang w:val="en-AU"/>
        </w:rPr>
        <w:t>e,</w:t>
      </w:r>
      <w:r w:rsidRPr="00F41747">
        <w:rPr>
          <w:rFonts w:ascii="Times New Roman" w:hAnsi="Times New Roman" w:cs="Times New Roman"/>
          <w:sz w:val="24"/>
          <w:szCs w:val="24"/>
          <w:lang w:val="en-AU"/>
        </w:rPr>
        <w:t xml:space="preserve"> Carer Gateway service </w:t>
      </w:r>
      <w:proofErr w:type="gramStart"/>
      <w:r w:rsidRPr="00F41747">
        <w:rPr>
          <w:rFonts w:ascii="Times New Roman" w:hAnsi="Times New Roman" w:cs="Times New Roman"/>
          <w:sz w:val="24"/>
          <w:szCs w:val="24"/>
          <w:lang w:val="en-AU"/>
        </w:rPr>
        <w:t>providers</w:t>
      </w:r>
      <w:r w:rsidR="00855B4A">
        <w:rPr>
          <w:rFonts w:ascii="Times New Roman" w:hAnsi="Times New Roman" w:cs="Times New Roman"/>
          <w:sz w:val="24"/>
          <w:szCs w:val="24"/>
          <w:lang w:val="en-AU"/>
        </w:rPr>
        <w:t xml:space="preserve">, </w:t>
      </w:r>
      <w:r w:rsidR="00BF33A7">
        <w:rPr>
          <w:rFonts w:ascii="Times New Roman" w:hAnsi="Times New Roman" w:cs="Times New Roman"/>
          <w:sz w:val="24"/>
          <w:szCs w:val="24"/>
          <w:lang w:val="en-AU"/>
        </w:rPr>
        <w:t>that</w:t>
      </w:r>
      <w:proofErr w:type="gramEnd"/>
      <w:r w:rsidR="00BF33A7" w:rsidRPr="00F41747">
        <w:rPr>
          <w:rFonts w:ascii="Times New Roman" w:hAnsi="Times New Roman" w:cs="Times New Roman"/>
          <w:sz w:val="24"/>
          <w:szCs w:val="24"/>
          <w:lang w:val="en-AU"/>
        </w:rPr>
        <w:t xml:space="preserve"> </w:t>
      </w:r>
      <w:r w:rsidRPr="00F41747">
        <w:rPr>
          <w:rFonts w:ascii="Times New Roman" w:hAnsi="Times New Roman" w:cs="Times New Roman"/>
          <w:sz w:val="24"/>
          <w:szCs w:val="24"/>
          <w:lang w:val="en-AU"/>
        </w:rPr>
        <w:t>are expected to be delivering services from April 2020.</w:t>
      </w:r>
    </w:p>
    <w:p w:rsidR="00F41747" w:rsidRPr="00F41747" w:rsidRDefault="00F41747" w:rsidP="00F41747">
      <w:pPr>
        <w:spacing w:before="120" w:after="120" w:line="240" w:lineRule="auto"/>
        <w:ind w:right="91"/>
        <w:jc w:val="both"/>
        <w:rPr>
          <w:rFonts w:ascii="Times New Roman" w:hAnsi="Times New Roman" w:cs="Times New Roman"/>
          <w:sz w:val="24"/>
          <w:szCs w:val="24"/>
          <w:lang w:val="en-AU"/>
        </w:rPr>
      </w:pPr>
      <w:r w:rsidRPr="00F41747">
        <w:rPr>
          <w:rFonts w:ascii="Times New Roman" w:hAnsi="Times New Roman" w:cs="Times New Roman"/>
          <w:sz w:val="24"/>
          <w:szCs w:val="24"/>
          <w:lang w:val="en-AU"/>
        </w:rPr>
        <w:t>When grant activities are due to cease, the programs are reviewed and grant re</w:t>
      </w:r>
      <w:r w:rsidR="00973647">
        <w:rPr>
          <w:rFonts w:ascii="Times New Roman" w:hAnsi="Times New Roman" w:cs="Times New Roman"/>
          <w:sz w:val="24"/>
          <w:szCs w:val="24"/>
          <w:lang w:val="en-AU"/>
        </w:rPr>
        <w:t>cipients are </w:t>
      </w:r>
      <w:r w:rsidRPr="00F41747">
        <w:rPr>
          <w:rFonts w:ascii="Times New Roman" w:hAnsi="Times New Roman" w:cs="Times New Roman"/>
          <w:sz w:val="24"/>
          <w:szCs w:val="24"/>
          <w:lang w:val="en-AU"/>
        </w:rPr>
        <w:t>advised of the intention for the activity in advance of the grant activity ceasing, to facilitate organisational planning.</w:t>
      </w:r>
    </w:p>
    <w:p w:rsidR="00734187" w:rsidRDefault="00F41747" w:rsidP="000A2B1C">
      <w:pPr>
        <w:spacing w:line="240" w:lineRule="auto"/>
        <w:ind w:right="91"/>
        <w:jc w:val="both"/>
        <w:rPr>
          <w:rFonts w:ascii="Times New Roman" w:hAnsi="Times New Roman" w:cs="Times New Roman"/>
          <w:sz w:val="24"/>
          <w:szCs w:val="24"/>
          <w:lang w:val="en-AU"/>
        </w:rPr>
      </w:pPr>
      <w:r w:rsidRPr="00F41747">
        <w:rPr>
          <w:rFonts w:ascii="Times New Roman" w:hAnsi="Times New Roman" w:cs="Times New Roman"/>
          <w:sz w:val="24"/>
          <w:szCs w:val="24"/>
          <w:lang w:val="en-AU"/>
        </w:rPr>
        <w:t xml:space="preserve">Key factors influencing agreement length are considered early in the grant design phase, including (but not limited to) the funding term, the Activity </w:t>
      </w:r>
      <w:r w:rsidR="00973647">
        <w:rPr>
          <w:rFonts w:ascii="Times New Roman" w:hAnsi="Times New Roman" w:cs="Times New Roman"/>
          <w:sz w:val="24"/>
          <w:szCs w:val="24"/>
          <w:lang w:val="en-AU"/>
        </w:rPr>
        <w:t>Risk Profile, the nature of the </w:t>
      </w:r>
      <w:r w:rsidRPr="00F41747">
        <w:rPr>
          <w:rFonts w:ascii="Times New Roman" w:hAnsi="Times New Roman" w:cs="Times New Roman"/>
          <w:sz w:val="24"/>
          <w:szCs w:val="24"/>
          <w:lang w:val="en-AU"/>
        </w:rPr>
        <w:t>activity (project, pilot or ongoing service), the desired</w:t>
      </w:r>
      <w:r w:rsidR="00973647">
        <w:rPr>
          <w:rFonts w:ascii="Times New Roman" w:hAnsi="Times New Roman" w:cs="Times New Roman"/>
          <w:sz w:val="24"/>
          <w:szCs w:val="24"/>
          <w:lang w:val="en-AU"/>
        </w:rPr>
        <w:t xml:space="preserve"> outcomes of the program, and a </w:t>
      </w:r>
      <w:r w:rsidRPr="00F41747">
        <w:rPr>
          <w:rFonts w:ascii="Times New Roman" w:hAnsi="Times New Roman" w:cs="Times New Roman"/>
          <w:sz w:val="24"/>
          <w:szCs w:val="24"/>
          <w:lang w:val="en-AU"/>
        </w:rPr>
        <w:t>robust performance management framework to ensure the program continues to meet community needs into the future.</w:t>
      </w:r>
    </w:p>
    <w:p w:rsidR="00711BAC" w:rsidRDefault="00711BAC" w:rsidP="000A2B1C">
      <w:pPr>
        <w:spacing w:line="240" w:lineRule="auto"/>
        <w:ind w:right="91"/>
        <w:jc w:val="both"/>
        <w:rPr>
          <w:rFonts w:ascii="Times New Roman" w:hAnsi="Times New Roman" w:cs="Times New Roman"/>
          <w:sz w:val="24"/>
          <w:szCs w:val="24"/>
          <w:lang w:val="en-AU"/>
        </w:rPr>
      </w:pPr>
    </w:p>
    <w:p w:rsidR="009E6378" w:rsidRPr="00DF45CE" w:rsidRDefault="00682885" w:rsidP="009E6378">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eastAsia="Times New Roman" w:hAnsi="Times New Roman" w:cs="Times New Roman"/>
          <w:sz w:val="24"/>
          <w:szCs w:val="24"/>
        </w:rPr>
      </w:pPr>
      <w:r w:rsidRPr="00F41747">
        <w:rPr>
          <w:rFonts w:ascii="Times New Roman" w:eastAsia="Times New Roman" w:hAnsi="Times New Roman" w:cs="Times New Roman"/>
          <w:sz w:val="24"/>
          <w:szCs w:val="24"/>
        </w:rPr>
        <w:t>The Committee recommends that funding agencies work with service providers to ensure accountability for expenditure of public funding in a way that allows programs to be flexible and responsive to local conditions.</w:t>
      </w:r>
    </w:p>
    <w:p w:rsidR="004E1DA3" w:rsidRPr="00DF45CE" w:rsidRDefault="00F41747" w:rsidP="00DF45CE">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rsidR="00F41747" w:rsidRPr="00DF45CE" w:rsidRDefault="00F41747" w:rsidP="00DF45CE">
      <w:pPr>
        <w:spacing w:line="240" w:lineRule="auto"/>
        <w:jc w:val="both"/>
        <w:rPr>
          <w:rFonts w:ascii="Times New Roman" w:hAnsi="Times New Roman" w:cs="Times New Roman"/>
          <w:sz w:val="24"/>
          <w:lang w:val="en-AU"/>
        </w:rPr>
      </w:pPr>
      <w:r w:rsidRPr="00DF45CE">
        <w:rPr>
          <w:rFonts w:ascii="Times New Roman" w:hAnsi="Times New Roman" w:cs="Times New Roman"/>
          <w:sz w:val="24"/>
        </w:rPr>
        <w:t xml:space="preserve">The </w:t>
      </w:r>
      <w:r w:rsidR="00C91127">
        <w:rPr>
          <w:rFonts w:ascii="Times New Roman" w:hAnsi="Times New Roman" w:cs="Times New Roman"/>
          <w:sz w:val="24"/>
        </w:rPr>
        <w:t xml:space="preserve">Australian </w:t>
      </w:r>
      <w:r w:rsidRPr="00DF45CE">
        <w:rPr>
          <w:rFonts w:ascii="Times New Roman" w:hAnsi="Times New Roman" w:cs="Times New Roman"/>
          <w:sz w:val="24"/>
        </w:rPr>
        <w:t xml:space="preserve">Government is committed to working with service providers to implement programs that are flexible and responsive to local conditions. </w:t>
      </w:r>
    </w:p>
    <w:p w:rsidR="00880844" w:rsidRDefault="00880844">
      <w:pPr>
        <w:widowControl/>
        <w:rPr>
          <w:rFonts w:ascii="Times New Roman" w:hAnsi="Times New Roman" w:cs="Times New Roman"/>
          <w:sz w:val="24"/>
        </w:rPr>
      </w:pPr>
      <w:r>
        <w:rPr>
          <w:rFonts w:ascii="Times New Roman" w:hAnsi="Times New Roman" w:cs="Times New Roman"/>
          <w:sz w:val="24"/>
        </w:rPr>
        <w:br w:type="page"/>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lastRenderedPageBreak/>
        <w:t xml:space="preserve">Sector collaboration and engagement are key elements in designing and implementing successful programs. A recent example </w:t>
      </w:r>
      <w:r w:rsidR="00BF33A7">
        <w:rPr>
          <w:rFonts w:ascii="Times New Roman" w:hAnsi="Times New Roman" w:cs="Times New Roman"/>
          <w:sz w:val="24"/>
        </w:rPr>
        <w:t>is</w:t>
      </w:r>
      <w:r w:rsidR="00BF33A7" w:rsidRPr="00DF45CE">
        <w:rPr>
          <w:rFonts w:ascii="Times New Roman" w:hAnsi="Times New Roman" w:cs="Times New Roman"/>
          <w:sz w:val="24"/>
        </w:rPr>
        <w:t xml:space="preserve"> </w:t>
      </w:r>
      <w:r w:rsidRPr="00DF45CE">
        <w:rPr>
          <w:rFonts w:ascii="Times New Roman" w:hAnsi="Times New Roman" w:cs="Times New Roman"/>
          <w:sz w:val="24"/>
        </w:rPr>
        <w:t xml:space="preserve">the significant consultation undertaken for the Integrated </w:t>
      </w:r>
      <w:proofErr w:type="spellStart"/>
      <w:r w:rsidRPr="00DF45CE">
        <w:rPr>
          <w:rFonts w:ascii="Times New Roman" w:hAnsi="Times New Roman" w:cs="Times New Roman"/>
          <w:sz w:val="24"/>
        </w:rPr>
        <w:t>Carer</w:t>
      </w:r>
      <w:proofErr w:type="spellEnd"/>
      <w:r w:rsidRPr="00DF45CE">
        <w:rPr>
          <w:rFonts w:ascii="Times New Roman" w:hAnsi="Times New Roman" w:cs="Times New Roman"/>
          <w:sz w:val="24"/>
        </w:rPr>
        <w:t xml:space="preserve"> Support Services. Place-based approaches to disadvantaged areas are being implemented by the Department of Social Services, better enabling co</w:t>
      </w:r>
      <w:r w:rsidRPr="00DF45CE">
        <w:rPr>
          <w:rFonts w:ascii="Times New Roman" w:hAnsi="Times New Roman" w:cs="Times New Roman"/>
          <w:sz w:val="24"/>
        </w:rPr>
        <w:noBreakHyphen/>
        <w:t>design and co</w:t>
      </w:r>
      <w:r w:rsidRPr="00DF45CE">
        <w:rPr>
          <w:rFonts w:ascii="Times New Roman" w:hAnsi="Times New Roman" w:cs="Times New Roman"/>
          <w:sz w:val="24"/>
        </w:rPr>
        <w:noBreakHyphen/>
        <w:t xml:space="preserve">delivery solutions where the community is the change driver. For example, the place-based collective impact initiative, </w:t>
      </w:r>
      <w:r w:rsidRPr="00640528">
        <w:rPr>
          <w:rFonts w:ascii="Times New Roman" w:hAnsi="Times New Roman" w:cs="Times New Roman"/>
          <w:sz w:val="24"/>
        </w:rPr>
        <w:t>Stronger Places, Stronger People</w:t>
      </w:r>
      <w:r w:rsidRPr="00992566">
        <w:rPr>
          <w:rFonts w:ascii="Times New Roman" w:hAnsi="Times New Roman" w:cs="Times New Roman"/>
          <w:sz w:val="24"/>
        </w:rPr>
        <w:t>,</w:t>
      </w:r>
      <w:r w:rsidRPr="00DF45CE">
        <w:rPr>
          <w:rFonts w:ascii="Times New Roman" w:hAnsi="Times New Roman" w:cs="Times New Roman"/>
          <w:sz w:val="24"/>
        </w:rPr>
        <w:t xml:space="preserve"> is a co</w:t>
      </w:r>
      <w:r w:rsidR="00973647">
        <w:rPr>
          <w:rFonts w:ascii="Times New Roman" w:hAnsi="Times New Roman" w:cs="Times New Roman"/>
          <w:sz w:val="24"/>
        </w:rPr>
        <w:t>mmunity-led approach, where the </w:t>
      </w:r>
      <w:r w:rsidRPr="00DF45CE">
        <w:rPr>
          <w:rFonts w:ascii="Times New Roman" w:hAnsi="Times New Roman" w:cs="Times New Roman"/>
          <w:sz w:val="24"/>
        </w:rPr>
        <w:t>Australian Government and state and territory governments are</w:t>
      </w:r>
      <w:r w:rsidR="00973647">
        <w:rPr>
          <w:rFonts w:ascii="Times New Roman" w:hAnsi="Times New Roman" w:cs="Times New Roman"/>
          <w:sz w:val="24"/>
        </w:rPr>
        <w:t xml:space="preserve"> partnering with </w:t>
      </w:r>
      <w:r w:rsidR="00BF33A7">
        <w:rPr>
          <w:rFonts w:ascii="Times New Roman" w:hAnsi="Times New Roman" w:cs="Times New Roman"/>
          <w:sz w:val="24"/>
        </w:rPr>
        <w:t>10 </w:t>
      </w:r>
      <w:r w:rsidRPr="00DF45CE">
        <w:rPr>
          <w:rFonts w:ascii="Times New Roman" w:hAnsi="Times New Roman" w:cs="Times New Roman"/>
          <w:sz w:val="24"/>
        </w:rPr>
        <w:t xml:space="preserve">communities across Australia. The </w:t>
      </w: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model includes consideration of how public funding in partner communities can be</w:t>
      </w:r>
      <w:r w:rsidR="00973647">
        <w:rPr>
          <w:rFonts w:ascii="Times New Roman" w:hAnsi="Times New Roman" w:cs="Times New Roman"/>
          <w:sz w:val="24"/>
        </w:rPr>
        <w:t>st support local priorities and </w:t>
      </w:r>
      <w:r w:rsidRPr="00DF45CE">
        <w:rPr>
          <w:rFonts w:ascii="Times New Roman" w:hAnsi="Times New Roman" w:cs="Times New Roman"/>
          <w:sz w:val="24"/>
        </w:rPr>
        <w:t>needs.</w:t>
      </w:r>
    </w:p>
    <w:p w:rsidR="00734187" w:rsidRDefault="00F41747" w:rsidP="000A2B1C">
      <w:pPr>
        <w:spacing w:line="240" w:lineRule="auto"/>
        <w:jc w:val="both"/>
        <w:rPr>
          <w:rFonts w:ascii="Times New Roman" w:hAnsi="Times New Roman" w:cs="Times New Roman"/>
          <w:sz w:val="24"/>
        </w:rPr>
      </w:pPr>
      <w:r w:rsidRPr="00DF45CE">
        <w:rPr>
          <w:rFonts w:ascii="Times New Roman" w:hAnsi="Times New Roman" w:cs="Times New Roman"/>
          <w:sz w:val="24"/>
        </w:rPr>
        <w:t xml:space="preserve">Where effective in delivering policy outcomes, partnerships, consortia, sub-contracting arrangements and collaboration are encouraged as part of grant opportunities. These approaches, which have been employed for the Integrated </w:t>
      </w:r>
      <w:proofErr w:type="spellStart"/>
      <w:r w:rsidRPr="00DF45CE">
        <w:rPr>
          <w:rFonts w:ascii="Times New Roman" w:hAnsi="Times New Roman" w:cs="Times New Roman"/>
          <w:sz w:val="24"/>
        </w:rPr>
        <w:t>Carer</w:t>
      </w:r>
      <w:proofErr w:type="spellEnd"/>
      <w:r w:rsidRPr="00DF45CE">
        <w:rPr>
          <w:rFonts w:ascii="Times New Roman" w:hAnsi="Times New Roman" w:cs="Times New Roman"/>
          <w:sz w:val="24"/>
        </w:rPr>
        <w:t xml:space="preserve"> Support Services </w:t>
      </w:r>
      <w:proofErr w:type="spellStart"/>
      <w:r w:rsidRPr="00DF45CE">
        <w:rPr>
          <w:rFonts w:ascii="Times New Roman" w:hAnsi="Times New Roman" w:cs="Times New Roman"/>
          <w:sz w:val="24"/>
        </w:rPr>
        <w:t>Carer</w:t>
      </w:r>
      <w:proofErr w:type="spellEnd"/>
      <w:r w:rsidRPr="00DF45CE">
        <w:rPr>
          <w:rFonts w:ascii="Times New Roman" w:hAnsi="Times New Roman" w:cs="Times New Roman"/>
          <w:sz w:val="24"/>
        </w:rPr>
        <w:t> Gateway service provider grants, improve local joined-up service offerings to support consumer</w:t>
      </w:r>
      <w:r w:rsidRPr="00DF45CE">
        <w:rPr>
          <w:rFonts w:ascii="Times New Roman" w:hAnsi="Times New Roman" w:cs="Times New Roman"/>
          <w:sz w:val="24"/>
        </w:rPr>
        <w:noBreakHyphen/>
      </w:r>
      <w:proofErr w:type="spellStart"/>
      <w:r w:rsidRPr="00DF45CE">
        <w:rPr>
          <w:rFonts w:ascii="Times New Roman" w:hAnsi="Times New Roman" w:cs="Times New Roman"/>
          <w:sz w:val="24"/>
        </w:rPr>
        <w:t>centred</w:t>
      </w:r>
      <w:proofErr w:type="spellEnd"/>
      <w:r w:rsidRPr="00DF45CE">
        <w:rPr>
          <w:rFonts w:ascii="Times New Roman" w:hAnsi="Times New Roman" w:cs="Times New Roman"/>
          <w:sz w:val="24"/>
        </w:rPr>
        <w:t xml:space="preserve"> service offers and improve outcomes for individuals and families. They also enable program flexibility and responsiveness to changing community priorities whilst improving local capability. </w:t>
      </w:r>
    </w:p>
    <w:p w:rsidR="00F41747" w:rsidRPr="00DF45CE" w:rsidRDefault="001627A9" w:rsidP="00DF45CE">
      <w:pPr>
        <w:spacing w:line="240" w:lineRule="auto"/>
        <w:jc w:val="both"/>
        <w:rPr>
          <w:rFonts w:ascii="Times New Roman" w:hAnsi="Times New Roman" w:cs="Times New Roman"/>
          <w:sz w:val="24"/>
        </w:rPr>
      </w:pPr>
      <w:r>
        <w:rPr>
          <w:rFonts w:ascii="Times New Roman" w:hAnsi="Times New Roman" w:cs="Times New Roman"/>
          <w:sz w:val="24"/>
        </w:rPr>
        <w:t>The Department of Social Services</w:t>
      </w:r>
      <w:r w:rsidR="00F41747" w:rsidRPr="00DF45CE">
        <w:rPr>
          <w:rFonts w:ascii="Times New Roman" w:hAnsi="Times New Roman" w:cs="Times New Roman"/>
          <w:sz w:val="24"/>
        </w:rPr>
        <w:t xml:space="preserve"> is leading the establishment of three Social Impact Investment trials in the social services sector, announced in the 2019–20 Budget. The trials will i</w:t>
      </w:r>
      <w:r w:rsidR="00973647">
        <w:rPr>
          <w:rFonts w:ascii="Times New Roman" w:hAnsi="Times New Roman" w:cs="Times New Roman"/>
          <w:sz w:val="24"/>
        </w:rPr>
        <w:t>nvolve initiatives that seek to </w:t>
      </w:r>
      <w:r w:rsidR="00F41747" w:rsidRPr="00DF45CE">
        <w:rPr>
          <w:rFonts w:ascii="Times New Roman" w:hAnsi="Times New Roman" w:cs="Times New Roman"/>
          <w:sz w:val="24"/>
        </w:rPr>
        <w:t>increase workforce participation of people who receive working age income support payments, and strengthen the wellbeing of children. These t</w:t>
      </w:r>
      <w:r w:rsidR="00973647">
        <w:rPr>
          <w:rFonts w:ascii="Times New Roman" w:hAnsi="Times New Roman" w:cs="Times New Roman"/>
          <w:sz w:val="24"/>
        </w:rPr>
        <w:t>rials will involve a payment by </w:t>
      </w:r>
      <w:r w:rsidR="00F41747" w:rsidRPr="00DF45CE">
        <w:rPr>
          <w:rFonts w:ascii="Times New Roman" w:hAnsi="Times New Roman" w:cs="Times New Roman"/>
          <w:sz w:val="24"/>
        </w:rPr>
        <w:t xml:space="preserve">outcome model where </w:t>
      </w:r>
      <w:proofErr w:type="spellStart"/>
      <w:r w:rsidR="00F41747" w:rsidRPr="00DF45CE">
        <w:rPr>
          <w:rFonts w:ascii="Times New Roman" w:hAnsi="Times New Roman" w:cs="Times New Roman"/>
          <w:sz w:val="24"/>
        </w:rPr>
        <w:t>organisations</w:t>
      </w:r>
      <w:proofErr w:type="spellEnd"/>
      <w:r w:rsidR="00F41747" w:rsidRPr="00DF45CE">
        <w:rPr>
          <w:rFonts w:ascii="Times New Roman" w:hAnsi="Times New Roman" w:cs="Times New Roman"/>
          <w:sz w:val="24"/>
        </w:rPr>
        <w:t xml:space="preserve"> will be funded based on the social outcomes they achieve. The trials will support the </w:t>
      </w:r>
      <w:r w:rsidR="00C91127">
        <w:rPr>
          <w:rFonts w:ascii="Times New Roman" w:hAnsi="Times New Roman" w:cs="Times New Roman"/>
          <w:sz w:val="24"/>
        </w:rPr>
        <w:t xml:space="preserve">Australian </w:t>
      </w:r>
      <w:r w:rsidR="00F41747" w:rsidRPr="00DF45CE">
        <w:rPr>
          <w:rFonts w:ascii="Times New Roman" w:hAnsi="Times New Roman" w:cs="Times New Roman"/>
          <w:sz w:val="24"/>
        </w:rPr>
        <w:t>Government’s focus on the verifiable achievement of measurable outcomes from taxpayer-funded social service investments.</w:t>
      </w:r>
    </w:p>
    <w:p w:rsidR="00711BAC" w:rsidRDefault="00F41747" w:rsidP="000A2B1C">
      <w:pPr>
        <w:spacing w:line="240" w:lineRule="auto"/>
        <w:jc w:val="both"/>
        <w:rPr>
          <w:rFonts w:ascii="Times New Roman" w:hAnsi="Times New Roman" w:cs="Times New Roman"/>
          <w:sz w:val="24"/>
        </w:rPr>
      </w:pPr>
      <w:r w:rsidRPr="00DF45CE">
        <w:rPr>
          <w:rFonts w:ascii="Times New Roman" w:hAnsi="Times New Roman" w:cs="Times New Roman"/>
          <w:sz w:val="24"/>
        </w:rPr>
        <w:t>Outcome-</w:t>
      </w:r>
      <w:proofErr w:type="spellStart"/>
      <w:r w:rsidRPr="00DF45CE">
        <w:rPr>
          <w:rFonts w:ascii="Times New Roman" w:hAnsi="Times New Roman" w:cs="Times New Roman"/>
          <w:sz w:val="24"/>
        </w:rPr>
        <w:t>focussed</w:t>
      </w:r>
      <w:proofErr w:type="spellEnd"/>
      <w:r w:rsidRPr="00DF45CE">
        <w:rPr>
          <w:rFonts w:ascii="Times New Roman" w:hAnsi="Times New Roman" w:cs="Times New Roman"/>
          <w:sz w:val="24"/>
        </w:rPr>
        <w:t xml:space="preserve"> performance management processes enable grant recipients to negotiate revised service delivery to meet changing community needs within the scope of the funded activity. Evaluation processes also enable grant recipients and the broader sector opportunities to enhance policy design for improved sustainable outcomes for Australians.</w:t>
      </w:r>
    </w:p>
    <w:p w:rsidR="00D2320B" w:rsidRDefault="00D2320B" w:rsidP="000A2B1C">
      <w:pPr>
        <w:spacing w:line="240" w:lineRule="auto"/>
        <w:jc w:val="both"/>
        <w:rPr>
          <w:rFonts w:ascii="Times New Roman" w:eastAsia="Times New Roman" w:hAnsi="Times New Roman" w:cs="Times New Roman"/>
          <w:bCs/>
          <w:sz w:val="24"/>
          <w:szCs w:val="24"/>
        </w:rPr>
      </w:pPr>
    </w:p>
    <w:p w:rsidR="00B93A44" w:rsidRPr="00B93A44" w:rsidRDefault="00682885" w:rsidP="00B93A44">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88" w:hanging="357"/>
        <w:contextualSpacing w:val="0"/>
        <w:rPr>
          <w:rFonts w:ascii="Times New Roman" w:hAnsi="Times New Roman" w:cs="Times New Roman"/>
          <w:sz w:val="24"/>
        </w:rPr>
      </w:pPr>
      <w:r w:rsidRPr="00973647">
        <w:rPr>
          <w:rFonts w:ascii="Times New Roman" w:eastAsia="Times New Roman" w:hAnsi="Times New Roman" w:cs="Times New Roman"/>
          <w:sz w:val="24"/>
          <w:szCs w:val="24"/>
        </w:rPr>
        <w:t xml:space="preserve">The Committee recommends the continuation of comprehensive longitudinal data collection by state, territory and Australian Governments, to enable informed decision </w:t>
      </w:r>
      <w:r w:rsidR="00E613CD">
        <w:rPr>
          <w:rFonts w:ascii="Times New Roman" w:eastAsia="Times New Roman" w:hAnsi="Times New Roman" w:cs="Times New Roman"/>
          <w:sz w:val="24"/>
          <w:szCs w:val="24"/>
        </w:rPr>
        <w:t>making on the Priority Investment Approach.</w:t>
      </w:r>
    </w:p>
    <w:p w:rsidR="00E613CD" w:rsidRPr="00E613CD" w:rsidRDefault="00E613CD" w:rsidP="00E613CD">
      <w:pPr>
        <w:spacing w:before="120" w:after="120" w:line="240" w:lineRule="auto"/>
        <w:ind w:right="91"/>
        <w:jc w:val="both"/>
        <w:rPr>
          <w:rFonts w:ascii="Times New Roman" w:eastAsia="Times New Roman" w:hAnsi="Times New Roman" w:cs="Times New Roman"/>
          <w:b/>
          <w:spacing w:val="2"/>
          <w:sz w:val="24"/>
          <w:szCs w:val="24"/>
        </w:rPr>
      </w:pPr>
      <w:r w:rsidRPr="00E613CD">
        <w:rPr>
          <w:rFonts w:ascii="Times New Roman" w:eastAsia="Times New Roman" w:hAnsi="Times New Roman" w:cs="Times New Roman"/>
          <w:b/>
          <w:spacing w:val="2"/>
          <w:sz w:val="24"/>
          <w:szCs w:val="24"/>
        </w:rPr>
        <w:t>Supported</w:t>
      </w:r>
    </w:p>
    <w:p w:rsidR="00E613CD" w:rsidRPr="00956653" w:rsidRDefault="00E613CD" w:rsidP="00956653">
      <w:pPr>
        <w:spacing w:line="240" w:lineRule="auto"/>
        <w:jc w:val="both"/>
        <w:rPr>
          <w:rFonts w:ascii="Times New Roman" w:hAnsi="Times New Roman" w:cs="Times New Roman"/>
          <w:sz w:val="24"/>
        </w:rPr>
      </w:pPr>
      <w:r w:rsidRPr="00E613CD">
        <w:rPr>
          <w:rFonts w:ascii="Times New Roman" w:hAnsi="Times New Roman" w:cs="Times New Roman"/>
          <w:sz w:val="24"/>
        </w:rPr>
        <w:t xml:space="preserve">The Australian Government is committed to building a national longitudinal evidence base </w:t>
      </w:r>
      <w:r w:rsidR="00870C33">
        <w:rPr>
          <w:rFonts w:ascii="Times New Roman" w:hAnsi="Times New Roman" w:cs="Times New Roman"/>
          <w:sz w:val="24"/>
        </w:rPr>
        <w:t>to inform</w:t>
      </w:r>
      <w:r w:rsidRPr="00956653">
        <w:rPr>
          <w:rFonts w:ascii="Times New Roman" w:hAnsi="Times New Roman" w:cs="Times New Roman"/>
          <w:sz w:val="24"/>
        </w:rPr>
        <w:t xml:space="preserve"> policies and practices to improve the lifetime wellbeing of people and families in Australia. This is continuing through work on </w:t>
      </w:r>
      <w:r w:rsidRPr="00E613CD">
        <w:rPr>
          <w:rFonts w:ascii="Times New Roman" w:hAnsi="Times New Roman" w:cs="Times New Roman"/>
          <w:sz w:val="24"/>
        </w:rPr>
        <w:t xml:space="preserve">the Household, Income and </w:t>
      </w:r>
      <w:proofErr w:type="spellStart"/>
      <w:r w:rsidRPr="00E613CD">
        <w:rPr>
          <w:rFonts w:ascii="Times New Roman" w:hAnsi="Times New Roman" w:cs="Times New Roman"/>
          <w:sz w:val="24"/>
        </w:rPr>
        <w:t>Labo</w:t>
      </w:r>
      <w:r w:rsidR="00455487">
        <w:rPr>
          <w:rFonts w:ascii="Times New Roman" w:hAnsi="Times New Roman" w:cs="Times New Roman"/>
          <w:sz w:val="24"/>
        </w:rPr>
        <w:t>ur</w:t>
      </w:r>
      <w:proofErr w:type="spellEnd"/>
      <w:r w:rsidR="00455487">
        <w:rPr>
          <w:rFonts w:ascii="Times New Roman" w:hAnsi="Times New Roman" w:cs="Times New Roman"/>
          <w:sz w:val="24"/>
        </w:rPr>
        <w:t xml:space="preserve"> Dynamics in Australia Survey;</w:t>
      </w:r>
      <w:r w:rsidRPr="00E613CD">
        <w:rPr>
          <w:rFonts w:ascii="Times New Roman" w:hAnsi="Times New Roman" w:cs="Times New Roman"/>
          <w:sz w:val="24"/>
        </w:rPr>
        <w:t xml:space="preserve"> Growing Up in Australia: The Longitudin</w:t>
      </w:r>
      <w:r w:rsidR="00455487">
        <w:rPr>
          <w:rFonts w:ascii="Times New Roman" w:hAnsi="Times New Roman" w:cs="Times New Roman"/>
          <w:sz w:val="24"/>
        </w:rPr>
        <w:t>al Study of Australian Children;</w:t>
      </w:r>
      <w:r w:rsidRPr="00E613CD">
        <w:rPr>
          <w:rFonts w:ascii="Times New Roman" w:hAnsi="Times New Roman" w:cs="Times New Roman"/>
          <w:sz w:val="24"/>
        </w:rPr>
        <w:t xml:space="preserve"> Footprints in Time: The Longitudinal Study of Indigenous Children</w:t>
      </w:r>
      <w:r w:rsidR="00455487">
        <w:rPr>
          <w:rFonts w:ascii="Times New Roman" w:hAnsi="Times New Roman" w:cs="Times New Roman"/>
          <w:sz w:val="24"/>
        </w:rPr>
        <w:t>;</w:t>
      </w:r>
      <w:r w:rsidRPr="00E613CD">
        <w:rPr>
          <w:rFonts w:ascii="Times New Roman" w:hAnsi="Times New Roman" w:cs="Times New Roman"/>
          <w:sz w:val="24"/>
        </w:rPr>
        <w:t xml:space="preserve"> and other longitudinal surveys</w:t>
      </w:r>
      <w:r w:rsidR="004E7E10">
        <w:rPr>
          <w:rFonts w:ascii="Times New Roman" w:hAnsi="Times New Roman" w:cs="Times New Roman"/>
          <w:sz w:val="24"/>
        </w:rPr>
        <w:t>.</w:t>
      </w:r>
      <w:r w:rsidRPr="00E613CD">
        <w:rPr>
          <w:rFonts w:ascii="Times New Roman" w:hAnsi="Times New Roman" w:cs="Times New Roman"/>
          <w:sz w:val="24"/>
        </w:rPr>
        <w:t xml:space="preserve"> </w:t>
      </w:r>
      <w:r w:rsidR="004E7E10">
        <w:rPr>
          <w:rFonts w:ascii="Times New Roman" w:hAnsi="Times New Roman" w:cs="Times New Roman"/>
          <w:sz w:val="24"/>
        </w:rPr>
        <w:t xml:space="preserve">The Australian Government has provided funding of approximately $27 million in 2019-20 for these longitudinal surveys, which are funded on an ongoing basis. Additionally, the Australian Government funds the </w:t>
      </w:r>
      <w:r w:rsidRPr="00E613CD">
        <w:rPr>
          <w:rFonts w:ascii="Times New Roman" w:hAnsi="Times New Roman" w:cs="Times New Roman"/>
          <w:sz w:val="24"/>
        </w:rPr>
        <w:t>Data Integration</w:t>
      </w:r>
      <w:r w:rsidR="004E7E10">
        <w:rPr>
          <w:rFonts w:ascii="Times New Roman" w:hAnsi="Times New Roman" w:cs="Times New Roman"/>
          <w:sz w:val="24"/>
        </w:rPr>
        <w:t xml:space="preserve"> Partnership</w:t>
      </w:r>
      <w:r w:rsidRPr="00E613CD">
        <w:rPr>
          <w:rFonts w:ascii="Times New Roman" w:hAnsi="Times New Roman" w:cs="Times New Roman"/>
          <w:sz w:val="24"/>
        </w:rPr>
        <w:t xml:space="preserve"> </w:t>
      </w:r>
      <w:r w:rsidR="004E7E10">
        <w:rPr>
          <w:rFonts w:ascii="Times New Roman" w:hAnsi="Times New Roman" w:cs="Times New Roman"/>
          <w:sz w:val="24"/>
        </w:rPr>
        <w:t>for</w:t>
      </w:r>
      <w:r w:rsidRPr="00E613CD">
        <w:rPr>
          <w:rFonts w:ascii="Times New Roman" w:hAnsi="Times New Roman" w:cs="Times New Roman"/>
          <w:sz w:val="24"/>
        </w:rPr>
        <w:t xml:space="preserve"> </w:t>
      </w:r>
      <w:proofErr w:type="gramStart"/>
      <w:r w:rsidRPr="00E613CD">
        <w:rPr>
          <w:rFonts w:ascii="Times New Roman" w:hAnsi="Times New Roman" w:cs="Times New Roman"/>
          <w:sz w:val="24"/>
        </w:rPr>
        <w:t>Australia  initiative</w:t>
      </w:r>
      <w:proofErr w:type="gramEnd"/>
      <w:r w:rsidR="004E7E10">
        <w:rPr>
          <w:rFonts w:ascii="Times New Roman" w:hAnsi="Times New Roman" w:cs="Times New Roman"/>
          <w:sz w:val="24"/>
        </w:rPr>
        <w:t>, which is a three-year</w:t>
      </w:r>
      <w:r w:rsidR="00295578">
        <w:rPr>
          <w:rFonts w:ascii="Times New Roman" w:hAnsi="Times New Roman" w:cs="Times New Roman"/>
          <w:sz w:val="24"/>
        </w:rPr>
        <w:t>,</w:t>
      </w:r>
      <w:r w:rsidR="004E7E10">
        <w:rPr>
          <w:rFonts w:ascii="Times New Roman" w:hAnsi="Times New Roman" w:cs="Times New Roman"/>
          <w:sz w:val="24"/>
        </w:rPr>
        <w:t xml:space="preserve"> $130.8 million investment to </w:t>
      </w:r>
      <w:proofErr w:type="spellStart"/>
      <w:r w:rsidR="004E7E10">
        <w:rPr>
          <w:rFonts w:ascii="Times New Roman" w:hAnsi="Times New Roman" w:cs="Times New Roman"/>
          <w:sz w:val="24"/>
        </w:rPr>
        <w:t>maximise</w:t>
      </w:r>
      <w:proofErr w:type="spellEnd"/>
      <w:r w:rsidR="004E7E10">
        <w:rPr>
          <w:rFonts w:ascii="Times New Roman" w:hAnsi="Times New Roman" w:cs="Times New Roman"/>
          <w:sz w:val="24"/>
        </w:rPr>
        <w:t xml:space="preserve"> the use and value of the Government’s data assets </w:t>
      </w:r>
      <w:r w:rsidR="003F56A3">
        <w:rPr>
          <w:rFonts w:ascii="Times New Roman" w:hAnsi="Times New Roman" w:cs="Times New Roman"/>
          <w:sz w:val="24"/>
        </w:rPr>
        <w:t>from</w:t>
      </w:r>
      <w:r w:rsidR="00154724">
        <w:rPr>
          <w:rFonts w:ascii="Times New Roman" w:hAnsi="Times New Roman" w:cs="Times New Roman"/>
          <w:sz w:val="24"/>
        </w:rPr>
        <w:t xml:space="preserve"> </w:t>
      </w:r>
      <w:r w:rsidR="004E7E10">
        <w:rPr>
          <w:rFonts w:ascii="Times New Roman" w:hAnsi="Times New Roman" w:cs="Times New Roman"/>
          <w:sz w:val="24"/>
        </w:rPr>
        <w:t>1 July 2017.</w:t>
      </w:r>
      <w:r w:rsidRPr="00E613CD">
        <w:rPr>
          <w:rFonts w:ascii="Times New Roman" w:hAnsi="Times New Roman" w:cs="Times New Roman"/>
          <w:sz w:val="24"/>
        </w:rPr>
        <w:t xml:space="preserve">  </w:t>
      </w:r>
    </w:p>
    <w:p w:rsidR="00D2320B" w:rsidRDefault="00D2320B">
      <w:pPr>
        <w:widowControl/>
        <w:rPr>
          <w:rFonts w:ascii="Times New Roman" w:hAnsi="Times New Roman" w:cs="Times New Roman"/>
          <w:sz w:val="24"/>
        </w:rPr>
      </w:pPr>
      <w:r>
        <w:rPr>
          <w:rFonts w:ascii="Times New Roman" w:hAnsi="Times New Roman" w:cs="Times New Roman"/>
          <w:sz w:val="24"/>
        </w:rPr>
        <w:br w:type="page"/>
      </w:r>
    </w:p>
    <w:p w:rsidR="00B366DE" w:rsidRPr="00B366DE" w:rsidRDefault="00150B21" w:rsidP="00334765">
      <w:pPr>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The Priority Investment Approach is underpinned by comprehensive, administrative data on social security payment recipients over a number of years. The trends in this data are used to predict future welfare </w:t>
      </w:r>
      <w:r w:rsidR="00412E52">
        <w:rPr>
          <w:rFonts w:ascii="Times New Roman" w:hAnsi="Times New Roman" w:cs="Times New Roman"/>
          <w:sz w:val="24"/>
        </w:rPr>
        <w:t>costs, identify groups most at risk of disadvantage</w:t>
      </w:r>
      <w:r>
        <w:rPr>
          <w:rFonts w:ascii="Times New Roman" w:hAnsi="Times New Roman" w:cs="Times New Roman"/>
          <w:sz w:val="24"/>
        </w:rPr>
        <w:t xml:space="preserve"> and inform </w:t>
      </w:r>
      <w:r w:rsidR="00412E52">
        <w:rPr>
          <w:rFonts w:ascii="Times New Roman" w:hAnsi="Times New Roman" w:cs="Times New Roman"/>
          <w:sz w:val="24"/>
        </w:rPr>
        <w:t xml:space="preserve">targeted </w:t>
      </w:r>
      <w:r>
        <w:rPr>
          <w:rFonts w:ascii="Times New Roman" w:hAnsi="Times New Roman" w:cs="Times New Roman"/>
          <w:sz w:val="24"/>
        </w:rPr>
        <w:t xml:space="preserve">policy </w:t>
      </w:r>
      <w:r w:rsidR="00412E52">
        <w:rPr>
          <w:rFonts w:ascii="Times New Roman" w:hAnsi="Times New Roman" w:cs="Times New Roman"/>
          <w:sz w:val="24"/>
        </w:rPr>
        <w:t>responses</w:t>
      </w:r>
      <w:r>
        <w:rPr>
          <w:rFonts w:ascii="Times New Roman" w:hAnsi="Times New Roman" w:cs="Times New Roman"/>
          <w:sz w:val="24"/>
        </w:rPr>
        <w:t xml:space="preserve">. </w:t>
      </w:r>
      <w:r w:rsidR="00B366DE" w:rsidRPr="00B366DE">
        <w:rPr>
          <w:rFonts w:ascii="Times New Roman" w:hAnsi="Times New Roman" w:cs="Times New Roman"/>
          <w:sz w:val="24"/>
        </w:rPr>
        <w:t>As relevant data and insights from the evidence base become available to the Australian Priority Investment App</w:t>
      </w:r>
      <w:r w:rsidR="00870C33">
        <w:rPr>
          <w:rFonts w:ascii="Times New Roman" w:hAnsi="Times New Roman" w:cs="Times New Roman"/>
          <w:sz w:val="24"/>
        </w:rPr>
        <w:t>roach to Welfare, the Department of Social Services</w:t>
      </w:r>
      <w:r w:rsidR="00B366DE" w:rsidRPr="00B366DE">
        <w:rPr>
          <w:rFonts w:ascii="Times New Roman" w:hAnsi="Times New Roman" w:cs="Times New Roman"/>
          <w:sz w:val="24"/>
        </w:rPr>
        <w:t xml:space="preserve"> will consider how they can be incorporated into the model, and /or be considered in investment, policy, or program management decisions.</w:t>
      </w:r>
    </w:p>
    <w:p w:rsidR="004E1DA3" w:rsidRPr="00973647" w:rsidRDefault="004E1DA3" w:rsidP="00973647">
      <w:pPr>
        <w:spacing w:after="120" w:line="240" w:lineRule="auto"/>
        <w:ind w:right="88"/>
        <w:jc w:val="both"/>
        <w:rPr>
          <w:rFonts w:ascii="Times New Roman" w:eastAsia="Times New Roman" w:hAnsi="Times New Roman" w:cs="Times New Roman"/>
          <w:bCs/>
          <w:sz w:val="24"/>
          <w:szCs w:val="24"/>
        </w:rPr>
      </w:pPr>
    </w:p>
    <w:p w:rsidR="004E1DA3" w:rsidRPr="00DF45CE" w:rsidRDefault="00682885" w:rsidP="00DF45CE">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973647">
        <w:rPr>
          <w:rFonts w:ascii="Times New Roman" w:eastAsia="Times New Roman" w:hAnsi="Times New Roman" w:cs="Times New Roman"/>
          <w:sz w:val="24"/>
          <w:szCs w:val="24"/>
        </w:rPr>
        <w:t>Success of the Priority Investment Approach should be measured not just by reductions in welfare expenditure, but also by improved outcomes for welfare recipients.</w:t>
      </w:r>
    </w:p>
    <w:p w:rsidR="004E1DA3" w:rsidRPr="002736D0" w:rsidRDefault="00973647" w:rsidP="004E1DA3">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rsidR="007E3405" w:rsidRPr="000A2B1C" w:rsidRDefault="007E3405" w:rsidP="000A2B1C">
      <w:pPr>
        <w:spacing w:line="240" w:lineRule="auto"/>
        <w:jc w:val="both"/>
        <w:rPr>
          <w:rFonts w:ascii="Times New Roman" w:hAnsi="Times New Roman" w:cs="Times New Roman"/>
          <w:sz w:val="24"/>
        </w:rPr>
      </w:pPr>
      <w:r w:rsidRPr="009B7E86">
        <w:rPr>
          <w:rFonts w:ascii="Times New Roman" w:hAnsi="Times New Roman" w:cs="Times New Roman"/>
          <w:sz w:val="24"/>
        </w:rPr>
        <w:t>The Australian Government</w:t>
      </w:r>
      <w:r w:rsidRPr="000A2B1C">
        <w:rPr>
          <w:rFonts w:ascii="Times New Roman" w:hAnsi="Times New Roman" w:cs="Times New Roman"/>
          <w:sz w:val="24"/>
        </w:rPr>
        <w:t xml:space="preserve"> </w:t>
      </w:r>
      <w:r w:rsidRPr="009B7E86">
        <w:rPr>
          <w:rFonts w:ascii="Times New Roman" w:hAnsi="Times New Roman" w:cs="Times New Roman"/>
          <w:sz w:val="24"/>
        </w:rPr>
        <w:t>is continuing to develop and enhance the Australian Priority Investment Approach to Welfare (PIA) evidence base to improve the wellbeing of the most vulnerable in our community. While this evidence base allows us to measure the long-term financial sustainability of the welfare system, the focus is on identifying where we can invest early to assist people most at risk of long-term welfare dependency to find work and improve their overall life chances. Non-financial outcomes, such as educational attainment an</w:t>
      </w:r>
      <w:r w:rsidRPr="00BC6853">
        <w:rPr>
          <w:rFonts w:ascii="Times New Roman" w:hAnsi="Times New Roman" w:cs="Times New Roman"/>
          <w:sz w:val="24"/>
        </w:rPr>
        <w:t xml:space="preserve">d family formation, form part of the current PIA model. </w:t>
      </w:r>
      <w:r w:rsidRPr="000A2B1C">
        <w:rPr>
          <w:rFonts w:ascii="Times New Roman" w:hAnsi="Times New Roman" w:cs="Times New Roman"/>
          <w:sz w:val="24"/>
        </w:rPr>
        <w:t>Future directions include cross-agency collaboration to</w:t>
      </w:r>
      <w:r w:rsidRPr="009B7E86">
        <w:rPr>
          <w:rFonts w:ascii="Times New Roman" w:hAnsi="Times New Roman" w:cs="Times New Roman"/>
          <w:sz w:val="24"/>
        </w:rPr>
        <w:t xml:space="preserve"> allow greater focus on</w:t>
      </w:r>
      <w:r w:rsidRPr="000A2B1C">
        <w:rPr>
          <w:rFonts w:ascii="Times New Roman" w:hAnsi="Times New Roman" w:cs="Times New Roman"/>
          <w:sz w:val="24"/>
        </w:rPr>
        <w:t xml:space="preserve"> using broader data relating to health, education, housing and employment.</w:t>
      </w:r>
    </w:p>
    <w:p w:rsidR="007E3405" w:rsidRPr="009B7E86" w:rsidRDefault="007E3405" w:rsidP="000A2B1C">
      <w:pPr>
        <w:spacing w:line="240" w:lineRule="auto"/>
        <w:jc w:val="both"/>
        <w:rPr>
          <w:rFonts w:ascii="Times New Roman" w:hAnsi="Times New Roman" w:cs="Times New Roman"/>
          <w:sz w:val="24"/>
        </w:rPr>
      </w:pPr>
      <w:r w:rsidRPr="009B7E86">
        <w:rPr>
          <w:rFonts w:ascii="Times New Roman" w:hAnsi="Times New Roman" w:cs="Times New Roman"/>
          <w:sz w:val="24"/>
        </w:rPr>
        <w:t>Using insights from PIA, the Try, Test and Learn (TTL) Fund is generating new insights and empirical evidence into what works to reduce long-term welfare dependence. TTL Fund projects will be evaluated to produce policy evidence about the effectiveness of the interventions.</w:t>
      </w:r>
    </w:p>
    <w:p w:rsidR="003B2E9A" w:rsidRDefault="003B2E9A" w:rsidP="0098709A">
      <w:pPr>
        <w:spacing w:after="120" w:line="240" w:lineRule="auto"/>
        <w:ind w:right="88"/>
        <w:jc w:val="both"/>
        <w:rPr>
          <w:rFonts w:ascii="Times New Roman" w:hAnsi="Times New Roman" w:cs="Times New Roman"/>
          <w:sz w:val="24"/>
          <w:szCs w:val="24"/>
          <w:lang w:val="en-AU"/>
        </w:rPr>
      </w:pPr>
    </w:p>
    <w:p w:rsidR="004E1DA3" w:rsidRPr="00DF45CE" w:rsidRDefault="00682885" w:rsidP="00FD6C43">
      <w:pPr>
        <w:pStyle w:val="ListParagraph"/>
        <w:keepNext/>
        <w:keepLines/>
        <w:numPr>
          <w:ilvl w:val="0"/>
          <w:numId w:val="1"/>
        </w:numPr>
        <w:pBdr>
          <w:top w:val="single" w:sz="4" w:space="0" w:color="auto"/>
          <w:left w:val="single" w:sz="4" w:space="4" w:color="auto"/>
          <w:bottom w:val="single" w:sz="4" w:space="1" w:color="auto"/>
          <w:right w:val="single" w:sz="4" w:space="4" w:color="auto"/>
        </w:pBdr>
        <w:spacing w:after="120" w:line="240" w:lineRule="auto"/>
        <w:ind w:left="459" w:right="91" w:hanging="357"/>
        <w:rPr>
          <w:rFonts w:ascii="Times New Roman" w:eastAsia="Times New Roman" w:hAnsi="Times New Roman" w:cs="Times New Roman"/>
          <w:sz w:val="24"/>
          <w:szCs w:val="24"/>
        </w:rPr>
      </w:pPr>
      <w:r w:rsidRPr="00973647">
        <w:rPr>
          <w:rFonts w:ascii="Times New Roman" w:eastAsia="Times New Roman" w:hAnsi="Times New Roman" w:cs="Times New Roman"/>
          <w:sz w:val="24"/>
          <w:szCs w:val="24"/>
        </w:rPr>
        <w:t>The Committee recommends that the Australian Government continue to streamline data sharing protocols and arrangements with states and territories</w:t>
      </w:r>
      <w:r w:rsidR="00973647">
        <w:rPr>
          <w:rFonts w:ascii="Times New Roman" w:eastAsia="Times New Roman" w:hAnsi="Times New Roman" w:cs="Times New Roman"/>
          <w:sz w:val="24"/>
          <w:szCs w:val="24"/>
        </w:rPr>
        <w:t>.</w:t>
      </w:r>
    </w:p>
    <w:p w:rsidR="004E1DA3" w:rsidRPr="002736D0" w:rsidRDefault="00973647" w:rsidP="004E1DA3">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rsidR="00973647" w:rsidRPr="00DF45CE" w:rsidRDefault="00973647" w:rsidP="00DF45CE">
      <w:pPr>
        <w:spacing w:line="240" w:lineRule="auto"/>
        <w:jc w:val="both"/>
        <w:rPr>
          <w:rFonts w:ascii="Times New Roman" w:hAnsi="Times New Roman" w:cs="Times New Roman"/>
          <w:sz w:val="24"/>
          <w:lang w:val="en-AU"/>
        </w:rPr>
      </w:pPr>
      <w:r w:rsidRPr="00DF45CE">
        <w:rPr>
          <w:rFonts w:ascii="Times New Roman" w:hAnsi="Times New Roman" w:cs="Times New Roman"/>
          <w:sz w:val="24"/>
        </w:rPr>
        <w:t>The Australian Government supports appropriate data sharing between all levels of government to enhance public policy and decision-making, and improve outcomes for people, businesses and the economy.</w:t>
      </w:r>
    </w:p>
    <w:p w:rsidR="00973647" w:rsidRPr="00DF45CE" w:rsidRDefault="00973647" w:rsidP="00DF45CE">
      <w:pPr>
        <w:spacing w:line="240" w:lineRule="auto"/>
        <w:jc w:val="both"/>
        <w:rPr>
          <w:rFonts w:ascii="Times New Roman" w:hAnsi="Times New Roman" w:cs="Times New Roman"/>
          <w:sz w:val="24"/>
          <w:u w:val="single"/>
        </w:rPr>
      </w:pPr>
      <w:r w:rsidRPr="00DF45CE">
        <w:rPr>
          <w:rFonts w:ascii="Times New Roman" w:hAnsi="Times New Roman" w:cs="Times New Roman"/>
          <w:sz w:val="24"/>
          <w:u w:val="single"/>
        </w:rPr>
        <w:t>National Data Commissioner</w:t>
      </w:r>
    </w:p>
    <w:p w:rsidR="00973647" w:rsidRPr="00DF45CE" w:rsidRDefault="009736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Acknowledging the value of public sector data, and the need to use it </w:t>
      </w:r>
      <w:r w:rsidR="008C4794">
        <w:rPr>
          <w:rFonts w:ascii="Times New Roman" w:hAnsi="Times New Roman" w:cs="Times New Roman"/>
          <w:sz w:val="24"/>
        </w:rPr>
        <w:t>for the right reasons</w:t>
      </w:r>
      <w:r w:rsidRPr="00DF45CE">
        <w:rPr>
          <w:rFonts w:ascii="Times New Roman" w:hAnsi="Times New Roman" w:cs="Times New Roman"/>
          <w:sz w:val="24"/>
        </w:rPr>
        <w:t xml:space="preserve"> with appropriate safeguards, the Australian Government established the Office of the National Data Commissioner in July 2018. The Office of the National Data </w:t>
      </w:r>
      <w:r>
        <w:rPr>
          <w:rFonts w:ascii="Times New Roman" w:hAnsi="Times New Roman" w:cs="Times New Roman"/>
          <w:sz w:val="24"/>
        </w:rPr>
        <w:t>Commissioner is responsible for </w:t>
      </w:r>
      <w:r w:rsidR="008C4794">
        <w:rPr>
          <w:rFonts w:ascii="Times New Roman" w:hAnsi="Times New Roman" w:cs="Times New Roman"/>
          <w:sz w:val="24"/>
        </w:rPr>
        <w:t xml:space="preserve">developing and </w:t>
      </w:r>
      <w:r w:rsidRPr="00DF45CE">
        <w:rPr>
          <w:rFonts w:ascii="Times New Roman" w:hAnsi="Times New Roman" w:cs="Times New Roman"/>
          <w:sz w:val="24"/>
        </w:rPr>
        <w:t>implementing a data sharing and release legislative framew</w:t>
      </w:r>
      <w:r>
        <w:rPr>
          <w:rFonts w:ascii="Times New Roman" w:hAnsi="Times New Roman" w:cs="Times New Roman"/>
          <w:sz w:val="24"/>
        </w:rPr>
        <w:t>ork that improves access to and </w:t>
      </w:r>
      <w:r w:rsidRPr="00DF45CE">
        <w:rPr>
          <w:rFonts w:ascii="Times New Roman" w:hAnsi="Times New Roman" w:cs="Times New Roman"/>
          <w:sz w:val="24"/>
        </w:rPr>
        <w:t xml:space="preserve">re-use of public sector data, while maintaining data privacy and security. </w:t>
      </w:r>
    </w:p>
    <w:p w:rsidR="00973647" w:rsidRPr="00DF45CE" w:rsidRDefault="009736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Office of the National Data Commissioner is working towards building a national data sharing system. </w:t>
      </w:r>
      <w:r w:rsidR="008C4794">
        <w:rPr>
          <w:rFonts w:ascii="Times New Roman" w:hAnsi="Times New Roman" w:cs="Times New Roman"/>
          <w:sz w:val="24"/>
        </w:rPr>
        <w:t xml:space="preserve">While the legislation </w:t>
      </w:r>
      <w:r w:rsidRPr="00DF45CE">
        <w:rPr>
          <w:rFonts w:ascii="Times New Roman" w:hAnsi="Times New Roman" w:cs="Times New Roman"/>
          <w:sz w:val="24"/>
        </w:rPr>
        <w:t>will focus on Commonwealth data</w:t>
      </w:r>
      <w:r w:rsidR="008C4794">
        <w:rPr>
          <w:rFonts w:ascii="Times New Roman" w:hAnsi="Times New Roman" w:cs="Times New Roman"/>
          <w:sz w:val="24"/>
        </w:rPr>
        <w:t>, it will</w:t>
      </w:r>
      <w:r w:rsidRPr="00DF45CE">
        <w:rPr>
          <w:rFonts w:ascii="Times New Roman" w:hAnsi="Times New Roman" w:cs="Times New Roman"/>
          <w:sz w:val="24"/>
        </w:rPr>
        <w:t xml:space="preserve"> enable participation by all levels of government over time.</w:t>
      </w:r>
    </w:p>
    <w:p w:rsidR="00973647" w:rsidRPr="00DF45CE" w:rsidRDefault="009736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National Data Commissioner is also working with state and territory government agencies and regulators on consistent approaches to data sharing across </w:t>
      </w:r>
      <w:r>
        <w:rPr>
          <w:rFonts w:ascii="Times New Roman" w:hAnsi="Times New Roman" w:cs="Times New Roman"/>
          <w:sz w:val="24"/>
        </w:rPr>
        <w:t>jurisdictions. Collaboration on </w:t>
      </w:r>
      <w:r w:rsidRPr="00DF45CE">
        <w:rPr>
          <w:rFonts w:ascii="Times New Roman" w:hAnsi="Times New Roman" w:cs="Times New Roman"/>
          <w:sz w:val="24"/>
        </w:rPr>
        <w:t>guidance, standards and approaches will help streamline, simplify and align data sharing arrangements. This consistency will help build trust in governments’ use of data.</w:t>
      </w:r>
    </w:p>
    <w:p w:rsidR="00973647" w:rsidRPr="00DF45CE" w:rsidRDefault="00973647" w:rsidP="00DF45CE">
      <w:pPr>
        <w:spacing w:line="240" w:lineRule="auto"/>
        <w:jc w:val="both"/>
        <w:rPr>
          <w:rFonts w:ascii="Times New Roman" w:hAnsi="Times New Roman" w:cs="Times New Roman"/>
          <w:sz w:val="24"/>
          <w:u w:val="single"/>
        </w:rPr>
      </w:pPr>
      <w:r w:rsidRPr="00DF45CE">
        <w:rPr>
          <w:rFonts w:ascii="Times New Roman" w:hAnsi="Times New Roman" w:cs="Times New Roman"/>
          <w:sz w:val="24"/>
          <w:u w:val="single"/>
        </w:rPr>
        <w:lastRenderedPageBreak/>
        <w:t>Australian Data and Digital Council</w:t>
      </w:r>
    </w:p>
    <w:p w:rsidR="00973647" w:rsidRDefault="009736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Australian Data and Digital Council </w:t>
      </w:r>
      <w:r w:rsidR="00C91127">
        <w:rPr>
          <w:rFonts w:ascii="Times New Roman" w:hAnsi="Times New Roman" w:cs="Times New Roman"/>
          <w:sz w:val="24"/>
        </w:rPr>
        <w:t xml:space="preserve">(ADDC) </w:t>
      </w:r>
      <w:r w:rsidRPr="00DF45CE">
        <w:rPr>
          <w:rFonts w:ascii="Times New Roman" w:hAnsi="Times New Roman" w:cs="Times New Roman"/>
          <w:sz w:val="24"/>
        </w:rPr>
        <w:t>has been established to fa</w:t>
      </w:r>
      <w:r>
        <w:rPr>
          <w:rFonts w:ascii="Times New Roman" w:hAnsi="Times New Roman" w:cs="Times New Roman"/>
          <w:sz w:val="24"/>
        </w:rPr>
        <w:t>cilitate and drive better cross</w:t>
      </w:r>
      <w:r>
        <w:rPr>
          <w:rFonts w:ascii="Times New Roman" w:hAnsi="Times New Roman" w:cs="Times New Roman"/>
          <w:sz w:val="24"/>
        </w:rPr>
        <w:noBreakHyphen/>
      </w:r>
      <w:r w:rsidRPr="00DF45CE">
        <w:rPr>
          <w:rFonts w:ascii="Times New Roman" w:hAnsi="Times New Roman" w:cs="Times New Roman"/>
          <w:sz w:val="24"/>
        </w:rPr>
        <w:t>government collaboration on data and digital transformation and to create better services and policy outcomes for all Australians. The ADDC is advancing a number of specific cross</w:t>
      </w:r>
      <w:r w:rsidRPr="00DF45CE">
        <w:rPr>
          <w:rFonts w:ascii="Times New Roman" w:hAnsi="Times New Roman" w:cs="Times New Roman"/>
          <w:sz w:val="24"/>
        </w:rPr>
        <w:noBreakHyphen/>
        <w:t>jurisdictional data sharing projects. These projects assist in streamlining data sharing between all governments.</w:t>
      </w:r>
    </w:p>
    <w:p w:rsidR="008C4794" w:rsidRPr="000A2B1C" w:rsidRDefault="008C4794" w:rsidP="008C4794">
      <w:pPr>
        <w:spacing w:line="240" w:lineRule="auto"/>
        <w:jc w:val="both"/>
        <w:rPr>
          <w:rFonts w:ascii="Times New Roman" w:hAnsi="Times New Roman" w:cs="Times New Roman"/>
          <w:sz w:val="24"/>
          <w:u w:val="single"/>
        </w:rPr>
      </w:pPr>
      <w:r w:rsidRPr="000A2B1C">
        <w:rPr>
          <w:rFonts w:ascii="Times New Roman" w:hAnsi="Times New Roman" w:cs="Times New Roman"/>
          <w:sz w:val="24"/>
          <w:u w:val="single"/>
        </w:rPr>
        <w:t xml:space="preserve">National Child Protection Information Sharing </w:t>
      </w:r>
    </w:p>
    <w:p w:rsidR="008C4794" w:rsidRPr="000A2B1C" w:rsidRDefault="008C4794" w:rsidP="008C4794">
      <w:pPr>
        <w:spacing w:line="240" w:lineRule="auto"/>
        <w:jc w:val="both"/>
        <w:rPr>
          <w:rFonts w:ascii="Times New Roman" w:hAnsi="Times New Roman" w:cs="Times New Roman"/>
          <w:sz w:val="24"/>
        </w:rPr>
      </w:pPr>
      <w:r w:rsidRPr="000A2B1C">
        <w:rPr>
          <w:rFonts w:ascii="Times New Roman" w:hAnsi="Times New Roman" w:cs="Times New Roman"/>
          <w:sz w:val="24"/>
        </w:rPr>
        <w:t>The Department of Social Services has been working with all states and territories to develop and implement a national child protection information sharing platform. The NSW Department of Communities and Justice led the contract negotiations with the successful provider. The platform was announced on 7 November 2019 and will enable state-based child protection agencies to exchange relevant information for purposes related to preventing, identifying and responding to situations where children are at risk of harm.</w:t>
      </w:r>
    </w:p>
    <w:p w:rsidR="008C4794" w:rsidRPr="000A2B1C" w:rsidRDefault="008C4794" w:rsidP="008C4794">
      <w:pPr>
        <w:spacing w:line="240" w:lineRule="auto"/>
        <w:jc w:val="both"/>
        <w:rPr>
          <w:rFonts w:ascii="Times New Roman" w:hAnsi="Times New Roman" w:cs="Times New Roman"/>
          <w:sz w:val="24"/>
        </w:rPr>
      </w:pPr>
      <w:r w:rsidRPr="000A2B1C">
        <w:rPr>
          <w:rFonts w:ascii="Times New Roman" w:hAnsi="Times New Roman" w:cs="Times New Roman"/>
          <w:sz w:val="24"/>
        </w:rPr>
        <w:t>The Australian Government has provided $3.9 million to the project with states and territories to provide supplementary funding. State and territory child protection agencies will implement the system</w:t>
      </w:r>
      <w:r w:rsidR="00F90E63">
        <w:rPr>
          <w:rFonts w:ascii="Times New Roman" w:hAnsi="Times New Roman" w:cs="Times New Roman"/>
          <w:sz w:val="24"/>
        </w:rPr>
        <w:t>,</w:t>
      </w:r>
      <w:r w:rsidRPr="000A2B1C">
        <w:rPr>
          <w:rFonts w:ascii="Times New Roman" w:hAnsi="Times New Roman" w:cs="Times New Roman"/>
          <w:sz w:val="24"/>
        </w:rPr>
        <w:t xml:space="preserve"> which is expected to be up and running by 2020.</w:t>
      </w:r>
    </w:p>
    <w:p w:rsidR="00711BAC" w:rsidRDefault="008C4794" w:rsidP="000A2B1C">
      <w:pPr>
        <w:spacing w:line="240" w:lineRule="auto"/>
        <w:jc w:val="both"/>
        <w:rPr>
          <w:rFonts w:ascii="Times New Roman" w:hAnsi="Times New Roman" w:cs="Times New Roman"/>
          <w:sz w:val="24"/>
        </w:rPr>
      </w:pPr>
      <w:r w:rsidRPr="000A2B1C">
        <w:rPr>
          <w:rFonts w:ascii="Times New Roman" w:hAnsi="Times New Roman" w:cs="Times New Roman"/>
          <w:sz w:val="24"/>
        </w:rPr>
        <w:t>The project is an initiative under the National Framework for Protecting Australia’s Children, and goes toward addressing recommendations made by the Royal Commission into Institutional Responses to Child Sexual Abuse.</w:t>
      </w:r>
    </w:p>
    <w:p w:rsidR="00734187" w:rsidRDefault="00734187" w:rsidP="000A2B1C">
      <w:pPr>
        <w:spacing w:line="240" w:lineRule="auto"/>
        <w:jc w:val="both"/>
        <w:rPr>
          <w:rFonts w:ascii="Times New Roman" w:hAnsi="Times New Roman" w:cs="Times New Roman"/>
          <w:sz w:val="24"/>
        </w:rPr>
      </w:pPr>
    </w:p>
    <w:p w:rsidR="004E1DA3" w:rsidRPr="00DF45CE" w:rsidRDefault="00682885" w:rsidP="00DF45CE">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1A6F66">
        <w:rPr>
          <w:rFonts w:ascii="Times New Roman" w:eastAsia="Times New Roman" w:hAnsi="Times New Roman" w:cs="Times New Roman"/>
          <w:sz w:val="24"/>
          <w:szCs w:val="24"/>
        </w:rPr>
        <w:t>The Committee recommends that funding agreements with social service providers build in meaningful requirements for program evaluations or progress reports, and avoid imposing evaluation requirements that result in ‘proxy’ measures being reported to meet administrative timeframes.</w:t>
      </w:r>
    </w:p>
    <w:p w:rsidR="004E1DA3" w:rsidRPr="001A6F66" w:rsidRDefault="004E1DA3" w:rsidP="004E1DA3">
      <w:pPr>
        <w:spacing w:before="120" w:after="120" w:line="240" w:lineRule="auto"/>
        <w:ind w:right="91"/>
        <w:jc w:val="both"/>
        <w:rPr>
          <w:rFonts w:ascii="Times New Roman" w:eastAsia="Times New Roman" w:hAnsi="Times New Roman" w:cs="Times New Roman"/>
          <w:b/>
          <w:spacing w:val="2"/>
          <w:sz w:val="24"/>
          <w:szCs w:val="24"/>
        </w:rPr>
      </w:pPr>
      <w:r w:rsidRPr="001A6F66">
        <w:rPr>
          <w:rFonts w:ascii="Times New Roman" w:eastAsia="Times New Roman" w:hAnsi="Times New Roman" w:cs="Times New Roman"/>
          <w:b/>
          <w:spacing w:val="2"/>
          <w:sz w:val="24"/>
          <w:szCs w:val="24"/>
        </w:rPr>
        <w:t>Supported</w:t>
      </w:r>
    </w:p>
    <w:p w:rsidR="001A6F66" w:rsidRPr="001A6F66" w:rsidRDefault="001A6F66" w:rsidP="001A6F66">
      <w:pPr>
        <w:spacing w:after="120" w:line="240" w:lineRule="auto"/>
        <w:ind w:right="88"/>
        <w:jc w:val="both"/>
        <w:rPr>
          <w:rFonts w:ascii="Times New Roman" w:hAnsi="Times New Roman" w:cs="Times New Roman"/>
          <w:sz w:val="24"/>
          <w:szCs w:val="24"/>
          <w:lang w:val="en-AU"/>
        </w:rPr>
      </w:pPr>
      <w:r w:rsidRPr="001A6F66">
        <w:rPr>
          <w:rFonts w:ascii="Times New Roman" w:hAnsi="Times New Roman" w:cs="Times New Roman"/>
          <w:sz w:val="24"/>
          <w:szCs w:val="24"/>
          <w:lang w:val="en-AU"/>
        </w:rPr>
        <w:t xml:space="preserve">The </w:t>
      </w:r>
      <w:r w:rsidR="00871557">
        <w:rPr>
          <w:rFonts w:ascii="Times New Roman" w:hAnsi="Times New Roman" w:cs="Times New Roman"/>
          <w:sz w:val="24"/>
          <w:szCs w:val="24"/>
          <w:lang w:val="en-AU"/>
        </w:rPr>
        <w:t xml:space="preserve">Australian </w:t>
      </w:r>
      <w:r w:rsidRPr="001A6F66">
        <w:rPr>
          <w:rFonts w:ascii="Times New Roman" w:hAnsi="Times New Roman" w:cs="Times New Roman"/>
          <w:sz w:val="24"/>
          <w:szCs w:val="24"/>
          <w:lang w:val="en-AU"/>
        </w:rPr>
        <w:t xml:space="preserve">Government is committed to ensuring funding arrangements are underpinned by meaningful evaluations and reporting to provide evidence grant programs are delivering against their intended objectives and outcomes.  </w:t>
      </w:r>
    </w:p>
    <w:p w:rsidR="00AE74EF" w:rsidRDefault="000A660C" w:rsidP="000A2B1C">
      <w:pPr>
        <w:spacing w:line="240" w:lineRule="auto"/>
        <w:ind w:right="91"/>
        <w:jc w:val="both"/>
        <w:rPr>
          <w:rFonts w:ascii="Times New Roman" w:eastAsia="Times New Roman" w:hAnsi="Times New Roman" w:cs="Times New Roman"/>
          <w:bCs/>
          <w:sz w:val="24"/>
          <w:szCs w:val="24"/>
        </w:rPr>
      </w:pPr>
      <w:r w:rsidRPr="000A660C">
        <w:rPr>
          <w:rFonts w:ascii="Times New Roman" w:hAnsi="Times New Roman" w:cs="Times New Roman"/>
          <w:sz w:val="24"/>
          <w:szCs w:val="24"/>
          <w:lang w:val="en-AU"/>
        </w:rPr>
        <w:t>The Data Exchange is a program reporting platform that provides a standard way of collecting and measuring service delivery and client outcomes data from funded organisations.</w:t>
      </w:r>
      <w:r>
        <w:rPr>
          <w:rFonts w:ascii="Times New Roman" w:hAnsi="Times New Roman" w:cs="Times New Roman"/>
          <w:sz w:val="24"/>
          <w:szCs w:val="24"/>
          <w:lang w:val="en-AU"/>
        </w:rPr>
        <w:t xml:space="preserve"> </w:t>
      </w:r>
      <w:r w:rsidR="001A6F66" w:rsidRPr="001A6F66">
        <w:rPr>
          <w:rFonts w:ascii="Times New Roman" w:hAnsi="Times New Roman" w:cs="Times New Roman"/>
          <w:sz w:val="24"/>
          <w:szCs w:val="24"/>
          <w:lang w:val="en-AU"/>
        </w:rPr>
        <w:t>The move to the Data Exchange has resulted in</w:t>
      </w:r>
      <w:r w:rsidR="00DC16A5">
        <w:rPr>
          <w:rFonts w:ascii="Times New Roman" w:hAnsi="Times New Roman" w:cs="Times New Roman"/>
          <w:sz w:val="24"/>
          <w:szCs w:val="24"/>
          <w:lang w:val="en-AU"/>
        </w:rPr>
        <w:t xml:space="preserve"> an</w:t>
      </w:r>
      <w:r w:rsidR="004A6CAF">
        <w:rPr>
          <w:rFonts w:ascii="Times New Roman" w:hAnsi="Times New Roman" w:cs="Times New Roman"/>
          <w:sz w:val="24"/>
          <w:szCs w:val="24"/>
          <w:lang w:val="en-AU"/>
        </w:rPr>
        <w:t xml:space="preserve"> estimated annual</w:t>
      </w:r>
      <w:r w:rsidR="001A6F66" w:rsidRPr="001A6F66">
        <w:rPr>
          <w:rFonts w:ascii="Times New Roman" w:hAnsi="Times New Roman" w:cs="Times New Roman"/>
          <w:sz w:val="24"/>
          <w:szCs w:val="24"/>
          <w:lang w:val="en-AU"/>
        </w:rPr>
        <w:t xml:space="preserve"> $8.1 million reduction in regulatory burden while providing a program performance system the </w:t>
      </w:r>
      <w:r w:rsidR="004E4C52">
        <w:rPr>
          <w:rFonts w:ascii="Times New Roman" w:hAnsi="Times New Roman" w:cs="Times New Roman"/>
          <w:sz w:val="24"/>
          <w:szCs w:val="24"/>
          <w:lang w:val="en-AU"/>
        </w:rPr>
        <w:t xml:space="preserve">Australian </w:t>
      </w:r>
      <w:r w:rsidR="001A6F66" w:rsidRPr="001A6F66">
        <w:rPr>
          <w:rFonts w:ascii="Times New Roman" w:hAnsi="Times New Roman" w:cs="Times New Roman"/>
          <w:sz w:val="24"/>
          <w:szCs w:val="24"/>
          <w:lang w:val="en-AU"/>
        </w:rPr>
        <w:t>Government can use to collect and analyse outcomes of social services in a standardised way.</w:t>
      </w:r>
    </w:p>
    <w:p w:rsidR="001A6F66" w:rsidRPr="00662314" w:rsidRDefault="001A6F66" w:rsidP="00640528">
      <w:pPr>
        <w:spacing w:line="240" w:lineRule="auto"/>
        <w:ind w:right="91"/>
        <w:jc w:val="both"/>
        <w:rPr>
          <w:rFonts w:ascii="Times New Roman" w:eastAsia="Times New Roman" w:hAnsi="Times New Roman" w:cs="Times New Roman"/>
          <w:bCs/>
          <w:sz w:val="24"/>
          <w:szCs w:val="24"/>
        </w:rPr>
      </w:pPr>
    </w:p>
    <w:p w:rsidR="004E1DA3" w:rsidRPr="00DF45CE" w:rsidRDefault="001256F3" w:rsidP="00DF45CE">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662314">
        <w:rPr>
          <w:rFonts w:ascii="Times New Roman" w:eastAsia="Times New Roman" w:hAnsi="Times New Roman" w:cs="Times New Roman"/>
          <w:sz w:val="24"/>
          <w:szCs w:val="24"/>
        </w:rPr>
        <w:t xml:space="preserve">The Committee recommends that the Australian Government improve its coordination with state and local programs, to ensure expenditure achieves the best possible outcomes, and avoids duplication.  </w:t>
      </w:r>
      <w:r w:rsidR="004A6666">
        <w:rPr>
          <w:rFonts w:ascii="Times New Roman" w:eastAsia="Times New Roman" w:hAnsi="Times New Roman" w:cs="Times New Roman"/>
          <w:sz w:val="24"/>
          <w:szCs w:val="24"/>
        </w:rPr>
        <w:t xml:space="preserve"> </w:t>
      </w:r>
    </w:p>
    <w:p w:rsidR="004E1DA3" w:rsidRPr="00662314" w:rsidRDefault="00F41747" w:rsidP="004E1DA3">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w:t>
      </w:r>
    </w:p>
    <w:p w:rsidR="00F41747" w:rsidRPr="00DF45CE" w:rsidRDefault="00F41747" w:rsidP="00DF45CE">
      <w:pPr>
        <w:spacing w:line="240" w:lineRule="auto"/>
        <w:jc w:val="both"/>
        <w:rPr>
          <w:rFonts w:ascii="Times New Roman" w:hAnsi="Times New Roman" w:cs="Times New Roman"/>
          <w:sz w:val="24"/>
          <w:lang w:val="en-AU"/>
        </w:rPr>
      </w:pPr>
      <w:r w:rsidRPr="00DF45CE">
        <w:rPr>
          <w:rFonts w:ascii="Times New Roman" w:hAnsi="Times New Roman" w:cs="Times New Roman"/>
          <w:sz w:val="24"/>
        </w:rPr>
        <w:t xml:space="preserve">The </w:t>
      </w:r>
      <w:r w:rsidR="00871557">
        <w:rPr>
          <w:rFonts w:ascii="Times New Roman" w:hAnsi="Times New Roman" w:cs="Times New Roman"/>
          <w:sz w:val="24"/>
        </w:rPr>
        <w:t xml:space="preserve">Australian </w:t>
      </w:r>
      <w:r w:rsidRPr="00DF45CE">
        <w:rPr>
          <w:rFonts w:ascii="Times New Roman" w:hAnsi="Times New Roman" w:cs="Times New Roman"/>
          <w:sz w:val="24"/>
        </w:rPr>
        <w:t xml:space="preserve">Government is supportive of initiatives that will ensure more joined up approaches to expenditure, and achieve the best possible outcomes for individuals and families in Australian communities. </w:t>
      </w:r>
    </w:p>
    <w:p w:rsidR="00D2320B" w:rsidRDefault="00D2320B">
      <w:pPr>
        <w:widowControl/>
        <w:rPr>
          <w:rFonts w:ascii="Times New Roman" w:hAnsi="Times New Roman" w:cs="Times New Roman"/>
          <w:sz w:val="24"/>
        </w:rPr>
      </w:pPr>
      <w:r>
        <w:rPr>
          <w:rFonts w:ascii="Times New Roman" w:hAnsi="Times New Roman" w:cs="Times New Roman"/>
          <w:sz w:val="24"/>
        </w:rPr>
        <w:br w:type="page"/>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lastRenderedPageBreak/>
        <w:t xml:space="preserve">The Department of Social Services </w:t>
      </w:r>
      <w:r w:rsidR="00AE74EF">
        <w:rPr>
          <w:rFonts w:ascii="Times New Roman" w:hAnsi="Times New Roman" w:cs="Times New Roman"/>
          <w:sz w:val="24"/>
        </w:rPr>
        <w:t>is responsible for</w:t>
      </w:r>
      <w:r w:rsidRPr="00DF45CE">
        <w:rPr>
          <w:rFonts w:ascii="Times New Roman" w:hAnsi="Times New Roman" w:cs="Times New Roman"/>
          <w:sz w:val="24"/>
        </w:rPr>
        <w:t xml:space="preserve"> a number of initiatives that are aimed at improving outcomes through better coordination. </w:t>
      </w:r>
    </w:p>
    <w:p w:rsidR="00F41747" w:rsidRPr="00DF45CE" w:rsidRDefault="00F41747" w:rsidP="00DF45CE">
      <w:pPr>
        <w:spacing w:line="240" w:lineRule="auto"/>
        <w:jc w:val="both"/>
        <w:rPr>
          <w:rFonts w:ascii="Times New Roman" w:hAnsi="Times New Roman" w:cs="Times New Roman"/>
          <w:sz w:val="24"/>
          <w:u w:val="single"/>
        </w:rPr>
      </w:pPr>
      <w:r w:rsidRPr="00DF45CE">
        <w:rPr>
          <w:rFonts w:ascii="Times New Roman" w:hAnsi="Times New Roman" w:cs="Times New Roman"/>
          <w:sz w:val="24"/>
          <w:u w:val="single"/>
        </w:rPr>
        <w:t xml:space="preserve">The Stronger Places, Stronger People initiative </w:t>
      </w:r>
    </w:p>
    <w:p w:rsidR="00F41747" w:rsidRPr="00DF45CE" w:rsidRDefault="006324B1" w:rsidP="00DF45CE">
      <w:pPr>
        <w:spacing w:line="240" w:lineRule="auto"/>
        <w:jc w:val="both"/>
        <w:rPr>
          <w:rFonts w:ascii="Times New Roman" w:hAnsi="Times New Roman" w:cs="Times New Roman"/>
          <w:sz w:val="24"/>
        </w:rPr>
      </w:pPr>
      <w:r>
        <w:rPr>
          <w:rFonts w:ascii="Times New Roman" w:hAnsi="Times New Roman" w:cs="Times New Roman"/>
          <w:sz w:val="24"/>
        </w:rPr>
        <w:t>The Department of Social Services</w:t>
      </w:r>
      <w:r w:rsidR="00F41747" w:rsidRPr="00DF45CE">
        <w:rPr>
          <w:rFonts w:ascii="Times New Roman" w:hAnsi="Times New Roman" w:cs="Times New Roman"/>
          <w:sz w:val="24"/>
        </w:rPr>
        <w:t xml:space="preserve"> is implementing </w:t>
      </w:r>
      <w:r w:rsidR="00F41747" w:rsidRPr="00640528">
        <w:rPr>
          <w:rFonts w:ascii="Times New Roman" w:hAnsi="Times New Roman" w:cs="Times New Roman"/>
          <w:sz w:val="24"/>
        </w:rPr>
        <w:t>Stronger Places, Stronger People</w:t>
      </w:r>
      <w:r w:rsidR="00F41747" w:rsidRPr="00992566">
        <w:rPr>
          <w:rFonts w:ascii="Times New Roman" w:hAnsi="Times New Roman" w:cs="Times New Roman"/>
          <w:sz w:val="24"/>
        </w:rPr>
        <w:t>,</w:t>
      </w:r>
      <w:r w:rsidR="00F41747" w:rsidRPr="00DF45CE">
        <w:rPr>
          <w:rFonts w:ascii="Times New Roman" w:hAnsi="Times New Roman" w:cs="Times New Roman"/>
          <w:sz w:val="24"/>
        </w:rPr>
        <w:t xml:space="preserve"> </w:t>
      </w:r>
      <w:proofErr w:type="gramStart"/>
      <w:r w:rsidR="00F41747" w:rsidRPr="00DF45CE">
        <w:rPr>
          <w:rFonts w:ascii="Times New Roman" w:hAnsi="Times New Roman" w:cs="Times New Roman"/>
          <w:sz w:val="24"/>
        </w:rPr>
        <w:t>a</w:t>
      </w:r>
      <w:proofErr w:type="gramEnd"/>
      <w:r w:rsidR="00F41747" w:rsidRPr="00DF45CE">
        <w:rPr>
          <w:rFonts w:ascii="Times New Roman" w:hAnsi="Times New Roman" w:cs="Times New Roman"/>
          <w:sz w:val="24"/>
        </w:rPr>
        <w:t xml:space="preserve"> place</w:t>
      </w:r>
      <w:r w:rsidR="00AE74EF">
        <w:rPr>
          <w:rFonts w:ascii="Times New Roman" w:hAnsi="Times New Roman" w:cs="Times New Roman"/>
          <w:sz w:val="24"/>
        </w:rPr>
        <w:noBreakHyphen/>
      </w:r>
      <w:r w:rsidR="00F41747" w:rsidRPr="00DF45CE">
        <w:rPr>
          <w:rFonts w:ascii="Times New Roman" w:hAnsi="Times New Roman" w:cs="Times New Roman"/>
          <w:sz w:val="24"/>
        </w:rPr>
        <w:t xml:space="preserve">based collective impact initiative, in partnership with state and territory governments and 10 communities across Australia.  </w:t>
      </w:r>
    </w:p>
    <w:p w:rsidR="00F41747" w:rsidRPr="00DF45CE" w:rsidRDefault="00F41747" w:rsidP="00DF45CE">
      <w:pPr>
        <w:spacing w:line="240" w:lineRule="auto"/>
        <w:jc w:val="both"/>
        <w:rPr>
          <w:rFonts w:ascii="Times New Roman" w:hAnsi="Times New Roman" w:cs="Times New Roman"/>
          <w:sz w:val="24"/>
        </w:rPr>
      </w:pP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involves collaboration between communities, all levels of government, service providers, business and philanthropy to deliver on a locally designed strategy and plan of action to create better outcomes for children, families and communities. </w:t>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w:t>
      </w: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initiative se</w:t>
      </w:r>
      <w:r w:rsidR="00A963E3">
        <w:rPr>
          <w:rFonts w:ascii="Times New Roman" w:hAnsi="Times New Roman" w:cs="Times New Roman"/>
          <w:sz w:val="24"/>
        </w:rPr>
        <w:t>eks to demonstrate a place-</w:t>
      </w:r>
      <w:r w:rsidRPr="00DF45CE">
        <w:rPr>
          <w:rFonts w:ascii="Times New Roman" w:hAnsi="Times New Roman" w:cs="Times New Roman"/>
          <w:sz w:val="24"/>
        </w:rPr>
        <w:t xml:space="preserve">based collective impact approach can create better outcomes for children and their families living in these communities and can disrupt disadvantage in participating communities over time. </w:t>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One of the key elements of the collective impact methodology is funding and systems reform. Funding reform can occur in a number of ways. A collective impact initiative will identify what supports are required to address the priorities identified by the community. Consideration will then be given to how existing investments could be better positioned to meet this need. This can range from existing providers aligning what they are delivering to community priorities, to larger scale reforms where existing funding is redirected to alternate initiatives. </w:t>
      </w:r>
    </w:p>
    <w:p w:rsidR="00503C6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As a key partner in the initiative, the </w:t>
      </w:r>
      <w:r w:rsidR="004A1E03">
        <w:rPr>
          <w:rFonts w:ascii="Times New Roman" w:hAnsi="Times New Roman" w:cs="Times New Roman"/>
          <w:sz w:val="24"/>
        </w:rPr>
        <w:t>D</w:t>
      </w:r>
      <w:r w:rsidR="004A1E03" w:rsidRPr="00DF45CE">
        <w:rPr>
          <w:rFonts w:ascii="Times New Roman" w:hAnsi="Times New Roman" w:cs="Times New Roman"/>
          <w:sz w:val="24"/>
        </w:rPr>
        <w:t>epartment</w:t>
      </w:r>
      <w:r w:rsidR="006324B1">
        <w:rPr>
          <w:rFonts w:ascii="Times New Roman" w:hAnsi="Times New Roman" w:cs="Times New Roman"/>
          <w:sz w:val="24"/>
        </w:rPr>
        <w:t xml:space="preserve"> of Social Services</w:t>
      </w:r>
      <w:r w:rsidR="004A1E03" w:rsidRPr="00DF45CE">
        <w:rPr>
          <w:rFonts w:ascii="Times New Roman" w:hAnsi="Times New Roman" w:cs="Times New Roman"/>
          <w:sz w:val="24"/>
        </w:rPr>
        <w:t xml:space="preserve"> </w:t>
      </w:r>
      <w:r w:rsidRPr="00DF45CE">
        <w:rPr>
          <w:rFonts w:ascii="Times New Roman" w:hAnsi="Times New Roman" w:cs="Times New Roman"/>
          <w:sz w:val="24"/>
        </w:rPr>
        <w:t xml:space="preserve">is committed to exploring ways to better coordinate investment to support </w:t>
      </w: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communities to implement their community strategy and get better outcomes.</w:t>
      </w:r>
    </w:p>
    <w:p w:rsidR="00F41747" w:rsidRPr="00DF45CE" w:rsidRDefault="00F41747" w:rsidP="006E1CA0">
      <w:pPr>
        <w:spacing w:line="240" w:lineRule="auto"/>
        <w:jc w:val="both"/>
        <w:rPr>
          <w:rFonts w:ascii="Times New Roman" w:hAnsi="Times New Roman" w:cs="Times New Roman"/>
          <w:sz w:val="24"/>
        </w:rPr>
      </w:pPr>
      <w:r w:rsidRPr="00DF45CE">
        <w:rPr>
          <w:rFonts w:ascii="Times New Roman" w:hAnsi="Times New Roman" w:cs="Times New Roman"/>
          <w:sz w:val="24"/>
        </w:rPr>
        <w:t>State and territory government partners, and other funders, are similarly expected to explore ways to coordinate and better align their investments with t</w:t>
      </w:r>
      <w:r w:rsidR="00A963E3">
        <w:rPr>
          <w:rFonts w:ascii="Times New Roman" w:hAnsi="Times New Roman" w:cs="Times New Roman"/>
          <w:sz w:val="24"/>
        </w:rPr>
        <w:t>he priorities identified by the </w:t>
      </w:r>
      <w:r w:rsidRPr="00DF45CE">
        <w:rPr>
          <w:rFonts w:ascii="Times New Roman" w:hAnsi="Times New Roman" w:cs="Times New Roman"/>
          <w:sz w:val="24"/>
        </w:rPr>
        <w:t>community, to ultimately improve outcomes for children and their families in those communities.</w:t>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u w:val="single"/>
        </w:rPr>
        <w:t>Coordinated Funding Framework</w:t>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t>Through the Northern Territory Tripartite Forum</w:t>
      </w:r>
      <w:r w:rsidR="00A963E3">
        <w:rPr>
          <w:rFonts w:ascii="Times New Roman" w:hAnsi="Times New Roman" w:cs="Times New Roman"/>
          <w:sz w:val="24"/>
        </w:rPr>
        <w:t xml:space="preserve"> for Children and Families, the </w:t>
      </w:r>
      <w:r w:rsidRPr="00DF45CE">
        <w:rPr>
          <w:rFonts w:ascii="Times New Roman" w:hAnsi="Times New Roman" w:cs="Times New Roman"/>
          <w:sz w:val="24"/>
        </w:rPr>
        <w:t>Australian Government is working with the Northern Territory government and community sector to develop and implement a joint Commonwealth-Territory Co-ordinated Funding Framework (the Framework). The Framework</w:t>
      </w:r>
      <w:r w:rsidR="00B8792B">
        <w:rPr>
          <w:rFonts w:ascii="Times New Roman" w:hAnsi="Times New Roman" w:cs="Times New Roman"/>
          <w:sz w:val="24"/>
        </w:rPr>
        <w:t>, a key recommendation from the </w:t>
      </w:r>
      <w:r w:rsidRPr="00DF45CE">
        <w:rPr>
          <w:rFonts w:ascii="Times New Roman" w:hAnsi="Times New Roman" w:cs="Times New Roman"/>
          <w:sz w:val="24"/>
        </w:rPr>
        <w:t>Royal Commission into the Detention and Protection of Children in the Northern Territory, will provide an agreed approach to the planning, funding and delivery of services for families and children in the Northern Territory. The Framework will also enable better coordination between Australian Government programs and state and local programs to ensure expenditure achieves the best possible outcomes.</w:t>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Australian Government has also commissioned a Productivity Commission study on Expenditure on </w:t>
      </w:r>
      <w:r w:rsidR="00871557">
        <w:rPr>
          <w:rFonts w:ascii="Times New Roman" w:hAnsi="Times New Roman" w:cs="Times New Roman"/>
          <w:sz w:val="24"/>
        </w:rPr>
        <w:t>C</w:t>
      </w:r>
      <w:r w:rsidRPr="00DF45CE">
        <w:rPr>
          <w:rFonts w:ascii="Times New Roman" w:hAnsi="Times New Roman" w:cs="Times New Roman"/>
          <w:sz w:val="24"/>
        </w:rPr>
        <w:t>hildren in the Northern Territory. The stu</w:t>
      </w:r>
      <w:r w:rsidR="00B8792B">
        <w:rPr>
          <w:rFonts w:ascii="Times New Roman" w:hAnsi="Times New Roman" w:cs="Times New Roman"/>
          <w:sz w:val="24"/>
        </w:rPr>
        <w:t>dy will look at what family and </w:t>
      </w:r>
      <w:r w:rsidRPr="00DF45CE">
        <w:rPr>
          <w:rFonts w:ascii="Times New Roman" w:hAnsi="Times New Roman" w:cs="Times New Roman"/>
          <w:sz w:val="24"/>
        </w:rPr>
        <w:t>children services are being funded in the Northern Territory and how decisions about e</w:t>
      </w:r>
      <w:r w:rsidR="00E96076">
        <w:rPr>
          <w:rFonts w:ascii="Times New Roman" w:hAnsi="Times New Roman" w:cs="Times New Roman"/>
          <w:sz w:val="24"/>
        </w:rPr>
        <w:t>xpenditure are being made. The s</w:t>
      </w:r>
      <w:r w:rsidRPr="00DF45CE">
        <w:rPr>
          <w:rFonts w:ascii="Times New Roman" w:hAnsi="Times New Roman" w:cs="Times New Roman"/>
          <w:sz w:val="24"/>
        </w:rPr>
        <w:t>tudy will look at ways to i</w:t>
      </w:r>
      <w:r w:rsidR="00B8792B">
        <w:rPr>
          <w:rFonts w:ascii="Times New Roman" w:hAnsi="Times New Roman" w:cs="Times New Roman"/>
          <w:sz w:val="24"/>
        </w:rPr>
        <w:t>mprove funding arrangements and </w:t>
      </w:r>
      <w:r w:rsidRPr="00DF45CE">
        <w:rPr>
          <w:rFonts w:ascii="Times New Roman" w:hAnsi="Times New Roman" w:cs="Times New Roman"/>
          <w:sz w:val="24"/>
        </w:rPr>
        <w:t xml:space="preserve">the services they deliver. A draft report </w:t>
      </w:r>
      <w:r w:rsidR="006324B1">
        <w:rPr>
          <w:rFonts w:ascii="Times New Roman" w:hAnsi="Times New Roman" w:cs="Times New Roman"/>
          <w:sz w:val="24"/>
        </w:rPr>
        <w:t>was</w:t>
      </w:r>
      <w:r w:rsidRPr="00DF45CE">
        <w:rPr>
          <w:rFonts w:ascii="Times New Roman" w:hAnsi="Times New Roman" w:cs="Times New Roman"/>
          <w:sz w:val="24"/>
        </w:rPr>
        <w:t xml:space="preserve"> rele</w:t>
      </w:r>
      <w:r w:rsidR="00B8792B">
        <w:rPr>
          <w:rFonts w:ascii="Times New Roman" w:hAnsi="Times New Roman" w:cs="Times New Roman"/>
          <w:sz w:val="24"/>
        </w:rPr>
        <w:t>ased in November 2019 while the </w:t>
      </w:r>
      <w:r w:rsidRPr="00DF45CE">
        <w:rPr>
          <w:rFonts w:ascii="Times New Roman" w:hAnsi="Times New Roman" w:cs="Times New Roman"/>
          <w:sz w:val="24"/>
        </w:rPr>
        <w:t>final report is due in April 2020.</w:t>
      </w:r>
    </w:p>
    <w:p w:rsidR="00880844" w:rsidRDefault="00880844">
      <w:pPr>
        <w:widowControl/>
        <w:rPr>
          <w:rFonts w:ascii="Times New Roman" w:hAnsi="Times New Roman" w:cs="Times New Roman"/>
          <w:sz w:val="24"/>
          <w:u w:val="single"/>
        </w:rPr>
      </w:pPr>
      <w:r>
        <w:rPr>
          <w:rFonts w:ascii="Times New Roman" w:hAnsi="Times New Roman" w:cs="Times New Roman"/>
          <w:sz w:val="24"/>
          <w:u w:val="single"/>
        </w:rPr>
        <w:br w:type="page"/>
      </w:r>
    </w:p>
    <w:p w:rsidR="00F41747" w:rsidRPr="00DF45CE" w:rsidRDefault="00F41747" w:rsidP="00DF45CE">
      <w:pPr>
        <w:spacing w:line="240" w:lineRule="auto"/>
        <w:jc w:val="both"/>
        <w:rPr>
          <w:rFonts w:ascii="Times New Roman" w:hAnsi="Times New Roman" w:cs="Times New Roman"/>
          <w:sz w:val="24"/>
          <w:u w:val="single"/>
        </w:rPr>
      </w:pPr>
      <w:r w:rsidRPr="00DF45CE">
        <w:rPr>
          <w:rFonts w:ascii="Times New Roman" w:hAnsi="Times New Roman" w:cs="Times New Roman"/>
          <w:sz w:val="24"/>
          <w:u w:val="single"/>
        </w:rPr>
        <w:lastRenderedPageBreak/>
        <w:t xml:space="preserve">Social Impact Investing </w:t>
      </w:r>
    </w:p>
    <w:p w:rsidR="00F41747" w:rsidRPr="00DF45CE" w:rsidRDefault="00F41747"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As part of the </w:t>
      </w:r>
      <w:r w:rsidR="00871557">
        <w:rPr>
          <w:rFonts w:ascii="Times New Roman" w:hAnsi="Times New Roman" w:cs="Times New Roman"/>
          <w:sz w:val="24"/>
        </w:rPr>
        <w:t>Australian Government’s</w:t>
      </w:r>
      <w:r w:rsidRPr="00DF45CE">
        <w:rPr>
          <w:rFonts w:ascii="Times New Roman" w:hAnsi="Times New Roman" w:cs="Times New Roman"/>
          <w:sz w:val="24"/>
        </w:rPr>
        <w:t xml:space="preserve"> commitment to trial social impact investing as an innovative model </w:t>
      </w:r>
      <w:r w:rsidR="00A26C26">
        <w:rPr>
          <w:rFonts w:ascii="Times New Roman" w:hAnsi="Times New Roman" w:cs="Times New Roman"/>
          <w:sz w:val="24"/>
        </w:rPr>
        <w:t>to achieve social outcomes the D</w:t>
      </w:r>
      <w:r w:rsidRPr="00DF45CE">
        <w:rPr>
          <w:rFonts w:ascii="Times New Roman" w:hAnsi="Times New Roman" w:cs="Times New Roman"/>
          <w:sz w:val="24"/>
        </w:rPr>
        <w:t>epartment</w:t>
      </w:r>
      <w:r w:rsidR="00A26C26">
        <w:rPr>
          <w:rFonts w:ascii="Times New Roman" w:hAnsi="Times New Roman" w:cs="Times New Roman"/>
          <w:sz w:val="24"/>
        </w:rPr>
        <w:t xml:space="preserve"> of Social Services</w:t>
      </w:r>
      <w:r w:rsidRPr="00DF45CE">
        <w:rPr>
          <w:rFonts w:ascii="Times New Roman" w:hAnsi="Times New Roman" w:cs="Times New Roman"/>
          <w:sz w:val="24"/>
        </w:rPr>
        <w:t xml:space="preserve"> is partnering with state and territory governments on social impact investing projects </w:t>
      </w:r>
      <w:r w:rsidR="006324B1">
        <w:rPr>
          <w:rFonts w:ascii="Times New Roman" w:hAnsi="Times New Roman" w:cs="Times New Roman"/>
          <w:sz w:val="24"/>
        </w:rPr>
        <w:t>to deliver</w:t>
      </w:r>
      <w:r w:rsidRPr="00DF45CE">
        <w:rPr>
          <w:rFonts w:ascii="Times New Roman" w:hAnsi="Times New Roman" w:cs="Times New Roman"/>
          <w:sz w:val="24"/>
        </w:rPr>
        <w:t xml:space="preserve"> outcomes for youth at risk of homelessness and other priorit</w:t>
      </w:r>
      <w:r w:rsidR="004A1E03">
        <w:rPr>
          <w:rFonts w:ascii="Times New Roman" w:hAnsi="Times New Roman" w:cs="Times New Roman"/>
          <w:sz w:val="24"/>
        </w:rPr>
        <w:t>y</w:t>
      </w:r>
      <w:r w:rsidRPr="00DF45CE">
        <w:rPr>
          <w:rFonts w:ascii="Times New Roman" w:hAnsi="Times New Roman" w:cs="Times New Roman"/>
          <w:sz w:val="24"/>
        </w:rPr>
        <w:t xml:space="preserve"> groups. The </w:t>
      </w:r>
      <w:r w:rsidR="00871557">
        <w:rPr>
          <w:rFonts w:ascii="Times New Roman" w:hAnsi="Times New Roman" w:cs="Times New Roman"/>
          <w:sz w:val="24"/>
        </w:rPr>
        <w:t xml:space="preserve">Australian </w:t>
      </w:r>
      <w:r w:rsidRPr="00DF45CE">
        <w:rPr>
          <w:rFonts w:ascii="Times New Roman" w:hAnsi="Times New Roman" w:cs="Times New Roman"/>
          <w:sz w:val="24"/>
        </w:rPr>
        <w:t>Government has committed $22.3 million from 2017</w:t>
      </w:r>
      <w:r w:rsidRPr="00DF45CE">
        <w:rPr>
          <w:rFonts w:ascii="Times New Roman" w:hAnsi="Times New Roman" w:cs="Times New Roman"/>
          <w:sz w:val="24"/>
        </w:rPr>
        <w:noBreakHyphen/>
        <w:t>18 to 2026</w:t>
      </w:r>
      <w:r w:rsidRPr="00DF45CE">
        <w:rPr>
          <w:rFonts w:ascii="Times New Roman" w:hAnsi="Times New Roman" w:cs="Times New Roman"/>
          <w:sz w:val="24"/>
        </w:rPr>
        <w:noBreakHyphen/>
        <w:t>27 to trial the effectiveness of this approach and work with the states, including supporting access to data to support social impact investments within the state governments.</w:t>
      </w:r>
    </w:p>
    <w:p w:rsidR="001B4BBB" w:rsidRPr="00662314" w:rsidRDefault="001B4BBB" w:rsidP="001B4BBB">
      <w:pPr>
        <w:spacing w:after="120" w:line="240" w:lineRule="auto"/>
        <w:ind w:right="88"/>
        <w:jc w:val="both"/>
        <w:rPr>
          <w:rFonts w:ascii="Times New Roman" w:eastAsia="Times New Roman" w:hAnsi="Times New Roman" w:cs="Times New Roman"/>
          <w:bCs/>
          <w:sz w:val="24"/>
          <w:szCs w:val="24"/>
        </w:rPr>
      </w:pPr>
    </w:p>
    <w:p w:rsidR="001B4BBB" w:rsidRPr="00DF45CE" w:rsidRDefault="001B4BBB" w:rsidP="001B4BB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B34E51">
        <w:rPr>
          <w:rFonts w:ascii="Times New Roman" w:eastAsia="Times New Roman" w:hAnsi="Times New Roman" w:cs="Times New Roman"/>
          <w:sz w:val="24"/>
          <w:szCs w:val="24"/>
        </w:rPr>
        <w:t>The Committee recommends that the Australian Government supports programs that build local leadership capacity, and incorporate local input in identifying and</w:t>
      </w:r>
      <w:r>
        <w:rPr>
          <w:rFonts w:ascii="Times New Roman" w:eastAsia="Times New Roman" w:hAnsi="Times New Roman" w:cs="Times New Roman"/>
          <w:sz w:val="24"/>
          <w:szCs w:val="24"/>
        </w:rPr>
        <w:t> i</w:t>
      </w:r>
      <w:r w:rsidRPr="00662314">
        <w:rPr>
          <w:rFonts w:ascii="Times New Roman" w:eastAsia="Times New Roman" w:hAnsi="Times New Roman" w:cs="Times New Roman"/>
          <w:sz w:val="24"/>
          <w:szCs w:val="24"/>
        </w:rPr>
        <w:t>mplementing solutions to entrenched disadvantage</w:t>
      </w:r>
      <w:r w:rsidR="00BF33A7">
        <w:rPr>
          <w:rFonts w:ascii="Times New Roman" w:eastAsia="Times New Roman" w:hAnsi="Times New Roman" w:cs="Times New Roman"/>
          <w:sz w:val="24"/>
          <w:szCs w:val="24"/>
        </w:rPr>
        <w:t>.</w:t>
      </w:r>
    </w:p>
    <w:p w:rsidR="004E1DA3" w:rsidRPr="002736D0" w:rsidRDefault="004E1DA3" w:rsidP="004E1DA3">
      <w:pPr>
        <w:spacing w:before="120" w:after="120" w:line="240" w:lineRule="auto"/>
        <w:ind w:right="91"/>
        <w:jc w:val="both"/>
        <w:rPr>
          <w:rFonts w:ascii="Times New Roman" w:eastAsia="Times New Roman" w:hAnsi="Times New Roman" w:cs="Times New Roman"/>
          <w:b/>
          <w:spacing w:val="2"/>
          <w:sz w:val="24"/>
          <w:szCs w:val="24"/>
        </w:rPr>
      </w:pPr>
      <w:r w:rsidRPr="002736D0">
        <w:rPr>
          <w:rFonts w:ascii="Times New Roman" w:eastAsia="Times New Roman" w:hAnsi="Times New Roman" w:cs="Times New Roman"/>
          <w:b/>
          <w:spacing w:val="2"/>
          <w:sz w:val="24"/>
          <w:szCs w:val="24"/>
        </w:rPr>
        <w:t>Supported</w:t>
      </w:r>
    </w:p>
    <w:p w:rsidR="00F73ABF" w:rsidRPr="00DF45CE" w:rsidRDefault="00F73ABF"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Local leadership and community voice are key elements </w:t>
      </w:r>
      <w:r>
        <w:rPr>
          <w:rFonts w:ascii="Times New Roman" w:hAnsi="Times New Roman" w:cs="Times New Roman"/>
          <w:sz w:val="24"/>
        </w:rPr>
        <w:t>to creating better outcomes and </w:t>
      </w:r>
      <w:r w:rsidRPr="00DF45CE">
        <w:rPr>
          <w:rFonts w:ascii="Times New Roman" w:hAnsi="Times New Roman" w:cs="Times New Roman"/>
          <w:sz w:val="24"/>
        </w:rPr>
        <w:t xml:space="preserve">addressing entrenched disadvantage. The </w:t>
      </w:r>
      <w:r w:rsidR="00871557">
        <w:rPr>
          <w:rFonts w:ascii="Times New Roman" w:hAnsi="Times New Roman" w:cs="Times New Roman"/>
          <w:sz w:val="24"/>
        </w:rPr>
        <w:t xml:space="preserve">Australian </w:t>
      </w:r>
      <w:r w:rsidRPr="00DF45CE">
        <w:rPr>
          <w:rFonts w:ascii="Times New Roman" w:hAnsi="Times New Roman" w:cs="Times New Roman"/>
          <w:sz w:val="24"/>
        </w:rPr>
        <w:t>Government</w:t>
      </w:r>
      <w:r>
        <w:rPr>
          <w:rFonts w:ascii="Times New Roman" w:hAnsi="Times New Roman" w:cs="Times New Roman"/>
          <w:sz w:val="24"/>
        </w:rPr>
        <w:t xml:space="preserve"> supports the implementation of </w:t>
      </w:r>
      <w:r w:rsidR="006324B1">
        <w:rPr>
          <w:rFonts w:ascii="Times New Roman" w:hAnsi="Times New Roman" w:cs="Times New Roman"/>
          <w:sz w:val="24"/>
        </w:rPr>
        <w:t>programs and initiatives to</w:t>
      </w:r>
      <w:r w:rsidRPr="00DF45CE">
        <w:rPr>
          <w:rFonts w:ascii="Times New Roman" w:hAnsi="Times New Roman" w:cs="Times New Roman"/>
          <w:sz w:val="24"/>
        </w:rPr>
        <w:t xml:space="preserve"> build local leadership capacity</w:t>
      </w:r>
      <w:r>
        <w:rPr>
          <w:rFonts w:ascii="Times New Roman" w:hAnsi="Times New Roman" w:cs="Times New Roman"/>
          <w:sz w:val="24"/>
        </w:rPr>
        <w:t xml:space="preserve"> and incorporate local input in </w:t>
      </w:r>
      <w:r w:rsidRPr="00DF45CE">
        <w:rPr>
          <w:rFonts w:ascii="Times New Roman" w:hAnsi="Times New Roman" w:cs="Times New Roman"/>
          <w:sz w:val="24"/>
        </w:rPr>
        <w:t xml:space="preserve">identifying and implementing solutions to entrenched disadvantage. </w:t>
      </w:r>
    </w:p>
    <w:p w:rsidR="00F73ABF" w:rsidRPr="00DF45CE" w:rsidRDefault="00F73ABF"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One way the </w:t>
      </w:r>
      <w:r w:rsidR="00871557">
        <w:rPr>
          <w:rFonts w:ascii="Times New Roman" w:hAnsi="Times New Roman" w:cs="Times New Roman"/>
          <w:sz w:val="24"/>
        </w:rPr>
        <w:t xml:space="preserve">Australian </w:t>
      </w:r>
      <w:r w:rsidRPr="00DF45CE">
        <w:rPr>
          <w:rFonts w:ascii="Times New Roman" w:hAnsi="Times New Roman" w:cs="Times New Roman"/>
          <w:sz w:val="24"/>
        </w:rPr>
        <w:t>Government is supporting</w:t>
      </w:r>
      <w:r w:rsidR="006324B1">
        <w:rPr>
          <w:rFonts w:ascii="Times New Roman" w:hAnsi="Times New Roman" w:cs="Times New Roman"/>
          <w:sz w:val="24"/>
        </w:rPr>
        <w:t xml:space="preserve"> community-led initiatives to </w:t>
      </w:r>
      <w:r w:rsidRPr="00DF45CE">
        <w:rPr>
          <w:rFonts w:ascii="Times New Roman" w:hAnsi="Times New Roman" w:cs="Times New Roman"/>
          <w:sz w:val="24"/>
        </w:rPr>
        <w:t xml:space="preserve">build local leadership capacity is through the implementation of </w:t>
      </w: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w:t>
      </w:r>
      <w:proofErr w:type="gramStart"/>
      <w:r w:rsidRPr="00DF45CE">
        <w:rPr>
          <w:rFonts w:ascii="Times New Roman" w:hAnsi="Times New Roman" w:cs="Times New Roman"/>
          <w:sz w:val="24"/>
        </w:rPr>
        <w:t>a</w:t>
      </w:r>
      <w:proofErr w:type="gramEnd"/>
      <w:r w:rsidRPr="00DF45CE">
        <w:rPr>
          <w:rFonts w:ascii="Times New Roman" w:hAnsi="Times New Roman" w:cs="Times New Roman"/>
          <w:sz w:val="24"/>
        </w:rPr>
        <w:t xml:space="preserve"> place</w:t>
      </w:r>
      <w:r w:rsidR="001653C5">
        <w:rPr>
          <w:rFonts w:ascii="Times New Roman" w:hAnsi="Times New Roman" w:cs="Times New Roman"/>
          <w:sz w:val="24"/>
        </w:rPr>
        <w:noBreakHyphen/>
      </w:r>
      <w:r w:rsidRPr="00DF45CE">
        <w:rPr>
          <w:rFonts w:ascii="Times New Roman" w:hAnsi="Times New Roman" w:cs="Times New Roman"/>
          <w:sz w:val="24"/>
        </w:rPr>
        <w:t xml:space="preserve">based collective impact initiative. </w:t>
      </w:r>
    </w:p>
    <w:p w:rsidR="00F73ABF" w:rsidRPr="00DF45CE" w:rsidRDefault="00F73ABF"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Collective impact is a community led movement to achieve large </w:t>
      </w:r>
      <w:r>
        <w:rPr>
          <w:rFonts w:ascii="Times New Roman" w:hAnsi="Times New Roman" w:cs="Times New Roman"/>
          <w:sz w:val="24"/>
        </w:rPr>
        <w:t>scale change, informed by </w:t>
      </w:r>
      <w:r w:rsidRPr="00DF45CE">
        <w:rPr>
          <w:rFonts w:ascii="Times New Roman" w:hAnsi="Times New Roman" w:cs="Times New Roman"/>
          <w:sz w:val="24"/>
        </w:rPr>
        <w:t>broad and inclusive community and stakeholder engagement,</w:t>
      </w:r>
      <w:r w:rsidR="00B8792B">
        <w:rPr>
          <w:rFonts w:ascii="Times New Roman" w:hAnsi="Times New Roman" w:cs="Times New Roman"/>
          <w:sz w:val="24"/>
        </w:rPr>
        <w:t xml:space="preserve"> which provides a framework to </w:t>
      </w:r>
      <w:r w:rsidRPr="00DF45CE">
        <w:rPr>
          <w:rFonts w:ascii="Times New Roman" w:hAnsi="Times New Roman" w:cs="Times New Roman"/>
          <w:sz w:val="24"/>
        </w:rPr>
        <w:t xml:space="preserve">address poverty and disadvantage. Collective impact initiatives are informed by a shared vision and a locally developed strategy and plan of action. </w:t>
      </w:r>
    </w:p>
    <w:p w:rsidR="00F73ABF" w:rsidRPr="00DF45CE" w:rsidRDefault="00F73ABF"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w:t>
      </w: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initiative is being implemented in partnership with state and territory governments and 10 communities across Australia. </w:t>
      </w:r>
    </w:p>
    <w:p w:rsidR="00F73ABF" w:rsidRPr="00DF45CE" w:rsidRDefault="00F73ABF"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Each </w:t>
      </w: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community will receive funding to support a local project team to work with local leaders, residents and </w:t>
      </w:r>
      <w:proofErr w:type="spellStart"/>
      <w:r w:rsidRPr="00DF45CE">
        <w:rPr>
          <w:rFonts w:ascii="Times New Roman" w:hAnsi="Times New Roman" w:cs="Times New Roman"/>
          <w:sz w:val="24"/>
        </w:rPr>
        <w:t>organisa</w:t>
      </w:r>
      <w:r w:rsidR="00B8792B">
        <w:rPr>
          <w:rFonts w:ascii="Times New Roman" w:hAnsi="Times New Roman" w:cs="Times New Roman"/>
          <w:sz w:val="24"/>
        </w:rPr>
        <w:t>tions</w:t>
      </w:r>
      <w:proofErr w:type="spellEnd"/>
      <w:r w:rsidR="00B8792B">
        <w:rPr>
          <w:rFonts w:ascii="Times New Roman" w:hAnsi="Times New Roman" w:cs="Times New Roman"/>
          <w:sz w:val="24"/>
        </w:rPr>
        <w:t xml:space="preserve"> to develop, implement and </w:t>
      </w:r>
      <w:r w:rsidRPr="00DF45CE">
        <w:rPr>
          <w:rFonts w:ascii="Times New Roman" w:hAnsi="Times New Roman" w:cs="Times New Roman"/>
          <w:sz w:val="24"/>
        </w:rPr>
        <w:t xml:space="preserve">evaluate a community strategy and action plan designed to improve outcomes for children, families and communities. The Government will also provide support for local leadership capacity building in each </w:t>
      </w:r>
      <w:r w:rsidRPr="00640528">
        <w:rPr>
          <w:rFonts w:ascii="Times New Roman" w:hAnsi="Times New Roman" w:cs="Times New Roman"/>
          <w:sz w:val="24"/>
        </w:rPr>
        <w:t>Stronger Places, Stronger People</w:t>
      </w:r>
      <w:r w:rsidRPr="00DF45CE">
        <w:rPr>
          <w:rFonts w:ascii="Times New Roman" w:hAnsi="Times New Roman" w:cs="Times New Roman"/>
          <w:i/>
          <w:sz w:val="24"/>
        </w:rPr>
        <w:t xml:space="preserve"> </w:t>
      </w:r>
      <w:r w:rsidRPr="00DF45CE">
        <w:rPr>
          <w:rFonts w:ascii="Times New Roman" w:hAnsi="Times New Roman" w:cs="Times New Roman"/>
          <w:sz w:val="24"/>
        </w:rPr>
        <w:t>community.</w:t>
      </w:r>
    </w:p>
    <w:p w:rsidR="005106EA" w:rsidRPr="005106EA" w:rsidRDefault="00F73ABF" w:rsidP="000A2B1C">
      <w:pPr>
        <w:spacing w:line="240" w:lineRule="auto"/>
        <w:ind w:right="91"/>
        <w:jc w:val="both"/>
        <w:rPr>
          <w:rFonts w:ascii="Times New Roman" w:hAnsi="Times New Roman" w:cs="Times New Roman"/>
          <w:sz w:val="24"/>
        </w:rPr>
      </w:pPr>
      <w:r w:rsidRPr="00DF45CE">
        <w:rPr>
          <w:rFonts w:ascii="Times New Roman" w:hAnsi="Times New Roman" w:cs="Times New Roman"/>
          <w:sz w:val="24"/>
        </w:rPr>
        <w:t>Community voice is also a key component of Communities for Children Facilitating Partners</w:t>
      </w:r>
      <w:r w:rsidR="003033DF">
        <w:rPr>
          <w:rFonts w:ascii="Times New Roman" w:hAnsi="Times New Roman" w:cs="Times New Roman"/>
          <w:sz w:val="24"/>
        </w:rPr>
        <w:t xml:space="preserve"> (CF</w:t>
      </w:r>
      <w:r w:rsidR="00065B84">
        <w:rPr>
          <w:rFonts w:ascii="Times New Roman" w:hAnsi="Times New Roman" w:cs="Times New Roman"/>
          <w:sz w:val="24"/>
        </w:rPr>
        <w:t>C FP)</w:t>
      </w:r>
      <w:r w:rsidRPr="00DF45CE">
        <w:rPr>
          <w:rFonts w:ascii="Times New Roman" w:hAnsi="Times New Roman" w:cs="Times New Roman"/>
          <w:sz w:val="24"/>
        </w:rPr>
        <w:t xml:space="preserve"> which is delivered in </w:t>
      </w:r>
      <w:r w:rsidRPr="00D908E6">
        <w:rPr>
          <w:rFonts w:ascii="Times New Roman" w:hAnsi="Times New Roman" w:cs="Times New Roman"/>
          <w:sz w:val="24"/>
        </w:rPr>
        <w:t>52 locations.</w:t>
      </w:r>
      <w:r w:rsidR="00065B84" w:rsidRPr="00D908E6">
        <w:rPr>
          <w:rFonts w:ascii="Times New Roman" w:hAnsi="Times New Roman" w:cs="Times New Roman"/>
          <w:sz w:val="24"/>
        </w:rPr>
        <w:t xml:space="preserve">  A Communities for Children Committee (the Committee) is established in</w:t>
      </w:r>
      <w:r w:rsidR="003033DF" w:rsidRPr="00D908E6">
        <w:rPr>
          <w:rFonts w:ascii="Times New Roman" w:hAnsi="Times New Roman" w:cs="Times New Roman"/>
          <w:sz w:val="24"/>
        </w:rPr>
        <w:t xml:space="preserve"> each site and chaired by the CF</w:t>
      </w:r>
      <w:r w:rsidR="00065B84" w:rsidRPr="00D908E6">
        <w:rPr>
          <w:rFonts w:ascii="Times New Roman" w:hAnsi="Times New Roman" w:cs="Times New Roman"/>
          <w:sz w:val="24"/>
        </w:rPr>
        <w:t>C FP.  Committee membership includes a range of community representatives, including clients, parents and caregivers, local businesses and service providers.  The Committe</w:t>
      </w:r>
      <w:r w:rsidR="003033DF" w:rsidRPr="00D908E6">
        <w:rPr>
          <w:rFonts w:ascii="Times New Roman" w:hAnsi="Times New Roman" w:cs="Times New Roman"/>
          <w:sz w:val="24"/>
        </w:rPr>
        <w:t>e drives the direction of the CF</w:t>
      </w:r>
      <w:r w:rsidR="00065B84" w:rsidRPr="00D908E6">
        <w:rPr>
          <w:rFonts w:ascii="Times New Roman" w:hAnsi="Times New Roman" w:cs="Times New Roman"/>
          <w:sz w:val="24"/>
        </w:rPr>
        <w:t>C FP initiative in the site</w:t>
      </w:r>
      <w:r w:rsidR="003033DF" w:rsidRPr="00D908E6">
        <w:rPr>
          <w:rFonts w:ascii="Times New Roman" w:hAnsi="Times New Roman" w:cs="Times New Roman"/>
          <w:sz w:val="24"/>
        </w:rPr>
        <w:t>, including advice on which programs should be funded under the initiative,</w:t>
      </w:r>
      <w:r w:rsidR="00065B84" w:rsidRPr="00D908E6">
        <w:rPr>
          <w:rFonts w:ascii="Times New Roman" w:hAnsi="Times New Roman" w:cs="Times New Roman"/>
          <w:sz w:val="24"/>
        </w:rPr>
        <w:t xml:space="preserve"> and is the key decision-making mechanism for the site.</w:t>
      </w:r>
    </w:p>
    <w:p w:rsidR="0036205A" w:rsidRDefault="005106EA" w:rsidP="000A2B1C">
      <w:pPr>
        <w:spacing w:line="240" w:lineRule="auto"/>
        <w:ind w:right="91"/>
        <w:jc w:val="both"/>
        <w:rPr>
          <w:rFonts w:ascii="Times New Roman" w:hAnsi="Times New Roman" w:cs="Times New Roman"/>
          <w:sz w:val="24"/>
        </w:rPr>
      </w:pPr>
      <w:r w:rsidRPr="005106EA">
        <w:rPr>
          <w:rFonts w:ascii="Times New Roman" w:hAnsi="Times New Roman" w:cs="Times New Roman"/>
          <w:sz w:val="24"/>
        </w:rPr>
        <w:t>The Connected Beginnings initiative supports projects that feature co-design, collaboration and building the capacity of Indigenous communities in order to support local decision making and the leadership required to strengthen health and early learning outcomes for children.</w:t>
      </w:r>
    </w:p>
    <w:p w:rsidR="00E1590B" w:rsidRDefault="00E1590B">
      <w:pPr>
        <w:widowControl/>
        <w:rPr>
          <w:rFonts w:ascii="Times New Roman" w:hAnsi="Times New Roman" w:cs="Times New Roman"/>
          <w:sz w:val="24"/>
        </w:rPr>
      </w:pPr>
      <w:r>
        <w:rPr>
          <w:rFonts w:ascii="Times New Roman" w:hAnsi="Times New Roman" w:cs="Times New Roman"/>
          <w:sz w:val="24"/>
        </w:rPr>
        <w:br w:type="page"/>
      </w:r>
    </w:p>
    <w:p w:rsidR="00880844" w:rsidRDefault="00734187" w:rsidP="000A2B1C">
      <w:pPr>
        <w:spacing w:after="120" w:line="240" w:lineRule="auto"/>
        <w:ind w:right="88"/>
        <w:jc w:val="both"/>
        <w:rPr>
          <w:rFonts w:ascii="Times New Roman" w:hAnsi="Times New Roman" w:cs="Times New Roman"/>
          <w:sz w:val="24"/>
        </w:rPr>
      </w:pPr>
      <w:r w:rsidRPr="000A2B1C">
        <w:rPr>
          <w:rFonts w:ascii="Times New Roman" w:hAnsi="Times New Roman" w:cs="Times New Roman"/>
          <w:sz w:val="24"/>
        </w:rPr>
        <w:lastRenderedPageBreak/>
        <w:t xml:space="preserve">The NIAA funds Stronger Communities for Children, a place-based community-led initiative operating in 10 remote Northern Territory communities. An Indigenous </w:t>
      </w:r>
      <w:proofErr w:type="spellStart"/>
      <w:r w:rsidRPr="000A2B1C">
        <w:rPr>
          <w:rFonts w:ascii="Times New Roman" w:hAnsi="Times New Roman" w:cs="Times New Roman"/>
          <w:sz w:val="24"/>
        </w:rPr>
        <w:t>organisation</w:t>
      </w:r>
      <w:proofErr w:type="spellEnd"/>
      <w:r w:rsidRPr="000A2B1C">
        <w:rPr>
          <w:rFonts w:ascii="Times New Roman" w:hAnsi="Times New Roman" w:cs="Times New Roman"/>
          <w:sz w:val="24"/>
        </w:rPr>
        <w:t xml:space="preserve"> is funded as the Facilitating Partner to support a local community board to make decisions about the kind of locally designed activities needed to address priorities for children, youth and families identified for action in their community plan. Commencing in 2013, the Australian Government has provided more than $46 million to Stronger Communities for Children through to December</w:t>
      </w:r>
      <w:r w:rsidRPr="000A2B1C">
        <w:rPr>
          <w:rFonts w:ascii="Times New Roman" w:hAnsi="Times New Roman" w:cs="Times New Roman" w:hint="eastAsia"/>
          <w:sz w:val="24"/>
        </w:rPr>
        <w:t> </w:t>
      </w:r>
      <w:r w:rsidRPr="000A2B1C">
        <w:rPr>
          <w:rFonts w:ascii="Times New Roman" w:hAnsi="Times New Roman" w:cs="Times New Roman"/>
          <w:sz w:val="24"/>
        </w:rPr>
        <w:t>2020.</w:t>
      </w:r>
    </w:p>
    <w:p w:rsidR="00734187" w:rsidRPr="000A2B1C" w:rsidRDefault="00734187" w:rsidP="000A2B1C">
      <w:pPr>
        <w:spacing w:line="240" w:lineRule="auto"/>
        <w:ind w:right="91"/>
        <w:jc w:val="both"/>
        <w:rPr>
          <w:rFonts w:ascii="Times New Roman" w:hAnsi="Times New Roman" w:cs="Times New Roman"/>
          <w:sz w:val="24"/>
        </w:rPr>
      </w:pPr>
      <w:r w:rsidRPr="000A2B1C">
        <w:rPr>
          <w:rFonts w:ascii="Times New Roman" w:hAnsi="Times New Roman" w:cs="Times New Roman"/>
          <w:sz w:val="24"/>
        </w:rPr>
        <w:t xml:space="preserve">The Indigenous-designed Empowered Communities (EC) initiative involves Indigenous communities and governments working together to set priorities, improve services and apply funding effectively at a regional level. Importantly, it aims to increase Indigenous ownership and give Indigenous people a greater say in decisions that affect them. EC is being implemented in eight urban, regional and remote regions across Australia. Commencing in May 2016, a total of $31 million is being provided until 30 June 2022 for backbone </w:t>
      </w:r>
      <w:proofErr w:type="spellStart"/>
      <w:r w:rsidRPr="000A2B1C">
        <w:rPr>
          <w:rFonts w:ascii="Times New Roman" w:hAnsi="Times New Roman" w:cs="Times New Roman"/>
          <w:sz w:val="24"/>
        </w:rPr>
        <w:t>organisations</w:t>
      </w:r>
      <w:proofErr w:type="spellEnd"/>
      <w:r w:rsidRPr="000A2B1C">
        <w:rPr>
          <w:rFonts w:ascii="Times New Roman" w:hAnsi="Times New Roman" w:cs="Times New Roman"/>
          <w:sz w:val="24"/>
        </w:rPr>
        <w:t xml:space="preserve"> in eight EC regions. Backbone </w:t>
      </w:r>
      <w:proofErr w:type="spellStart"/>
      <w:r w:rsidRPr="000A2B1C">
        <w:rPr>
          <w:rFonts w:ascii="Times New Roman" w:hAnsi="Times New Roman" w:cs="Times New Roman"/>
          <w:sz w:val="24"/>
        </w:rPr>
        <w:t>organisations</w:t>
      </w:r>
      <w:proofErr w:type="spellEnd"/>
      <w:r w:rsidRPr="000A2B1C">
        <w:rPr>
          <w:rFonts w:ascii="Times New Roman" w:hAnsi="Times New Roman" w:cs="Times New Roman"/>
          <w:sz w:val="24"/>
        </w:rPr>
        <w:t xml:space="preserve"> provide critical support to the Indigenous EC leaders and communities, and work with governments and other stakeholders to implement EC in each region. Working in partnership under EC includes joint decision making arrangements that allow for community advice to inform government’s funding decisions under the Indigenous Advancement Strategy, and co-designing local solutions to community identified priorities.</w:t>
      </w:r>
    </w:p>
    <w:p w:rsidR="00734187" w:rsidRPr="000A2B1C" w:rsidRDefault="00734187" w:rsidP="000A2B1C">
      <w:pPr>
        <w:spacing w:line="240" w:lineRule="auto"/>
        <w:ind w:right="91"/>
        <w:jc w:val="both"/>
        <w:rPr>
          <w:rFonts w:ascii="Times New Roman" w:hAnsi="Times New Roman" w:cs="Times New Roman"/>
          <w:sz w:val="24"/>
        </w:rPr>
      </w:pPr>
      <w:r w:rsidRPr="000A2B1C">
        <w:rPr>
          <w:rFonts w:ascii="Times New Roman" w:hAnsi="Times New Roman" w:cs="Times New Roman"/>
          <w:sz w:val="24"/>
        </w:rPr>
        <w:t>In November 2019, the Government commenced a co-design process to develop an Indigenous voice at a local, regional and national level. This approach is about ensuring Indigenous Australians are central to the design of models to provide a greater say about policies and programs that affect them.</w:t>
      </w:r>
    </w:p>
    <w:p w:rsidR="00734187" w:rsidRPr="007237D8" w:rsidRDefault="00734187" w:rsidP="000A2B1C">
      <w:pPr>
        <w:spacing w:line="240" w:lineRule="auto"/>
        <w:ind w:right="91"/>
        <w:jc w:val="both"/>
        <w:rPr>
          <w:rFonts w:ascii="Times New Roman" w:hAnsi="Times New Roman" w:cs="Times New Roman"/>
          <w:sz w:val="24"/>
        </w:rPr>
      </w:pPr>
      <w:r w:rsidRPr="000A2B1C">
        <w:rPr>
          <w:rFonts w:ascii="Times New Roman" w:hAnsi="Times New Roman" w:cs="Times New Roman"/>
          <w:sz w:val="24"/>
        </w:rPr>
        <w:t xml:space="preserve">A Senior Advisory Group will assist, guide and oversee the co-design process for models for local, regional and national elements of a voice. The </w:t>
      </w:r>
      <w:r w:rsidR="00A877F9">
        <w:rPr>
          <w:rFonts w:ascii="Times New Roman" w:hAnsi="Times New Roman" w:cs="Times New Roman"/>
          <w:sz w:val="24"/>
        </w:rPr>
        <w:t xml:space="preserve">Australian </w:t>
      </w:r>
      <w:r w:rsidR="001653C5">
        <w:rPr>
          <w:rFonts w:ascii="Times New Roman" w:hAnsi="Times New Roman" w:cs="Times New Roman"/>
          <w:sz w:val="24"/>
        </w:rPr>
        <w:t>Government has allocated $7.3 </w:t>
      </w:r>
      <w:r w:rsidRPr="000A2B1C">
        <w:rPr>
          <w:rFonts w:ascii="Times New Roman" w:hAnsi="Times New Roman" w:cs="Times New Roman"/>
          <w:sz w:val="24"/>
        </w:rPr>
        <w:t>million for the co-design process. In addition to a Senior Advisory Group, two other groups will be established – a Local and Regional Co-Design Group and a National Co-Design Group. The following 12 months will consist of a two stage process. Stage one for the Local and Regional and National Co-Design Groups will involve the development of models for local and regional decision-making and a national Indigenous voice. This will be followed by consultations and engagement to refine models with Indigenous leaders, communities and other stakeholders across the country by the end of 2020.</w:t>
      </w:r>
      <w:r w:rsidRPr="007237D8">
        <w:rPr>
          <w:rFonts w:ascii="Times New Roman" w:hAnsi="Times New Roman" w:cs="Times New Roman"/>
          <w:sz w:val="24"/>
        </w:rPr>
        <w:t xml:space="preserve"> </w:t>
      </w:r>
    </w:p>
    <w:p w:rsidR="009B4275" w:rsidRDefault="009B4275" w:rsidP="000A2B1C">
      <w:pPr>
        <w:spacing w:after="120" w:line="240" w:lineRule="auto"/>
        <w:ind w:right="88"/>
        <w:jc w:val="both"/>
        <w:rPr>
          <w:rFonts w:ascii="Times New Roman" w:hAnsi="Times New Roman" w:cs="Times New Roman"/>
          <w:sz w:val="24"/>
        </w:rPr>
      </w:pPr>
      <w:r w:rsidRPr="000A2B1C">
        <w:rPr>
          <w:rFonts w:ascii="Times New Roman" w:hAnsi="Times New Roman" w:cs="Times New Roman"/>
          <w:sz w:val="24"/>
        </w:rPr>
        <w:t>The Regional Employment Trials program, which is being implemented in 10 selected disadvantaged regions, uses a place-based approach to support local stakeholders to identify, co-design and deliver employment related project</w:t>
      </w:r>
      <w:r w:rsidR="00720EA0">
        <w:rPr>
          <w:rFonts w:ascii="Times New Roman" w:hAnsi="Times New Roman" w:cs="Times New Roman"/>
          <w:sz w:val="24"/>
        </w:rPr>
        <w:t>s</w:t>
      </w:r>
      <w:r w:rsidRPr="000A2B1C">
        <w:rPr>
          <w:rFonts w:ascii="Times New Roman" w:hAnsi="Times New Roman" w:cs="Times New Roman"/>
          <w:sz w:val="24"/>
        </w:rPr>
        <w:t xml:space="preserve"> that address the challenges of their regions. A Local Employment Initiative Fund of $1 million is available in each of the 10 regions, providing grant funding to support these employment related projects. In the selected regions, Employment Facilitators work with Regional Development Australia committees to enable local stakeholders to identify and develop targeted solutions to address employment issues. This supports local capacity building and developing solutions at the local level.</w:t>
      </w:r>
      <w:r>
        <w:rPr>
          <w:rFonts w:ascii="Times New Roman" w:hAnsi="Times New Roman" w:cs="Times New Roman"/>
          <w:sz w:val="24"/>
          <w:highlight w:val="yellow"/>
        </w:rPr>
        <w:t xml:space="preserve"> </w:t>
      </w:r>
    </w:p>
    <w:p w:rsidR="00F73ABF" w:rsidRPr="00DF45CE" w:rsidRDefault="00F73ABF" w:rsidP="00F73ABF">
      <w:pPr>
        <w:spacing w:after="120" w:line="240" w:lineRule="auto"/>
        <w:ind w:right="88"/>
        <w:jc w:val="both"/>
        <w:rPr>
          <w:rFonts w:ascii="Times New Roman" w:eastAsia="Times New Roman" w:hAnsi="Times New Roman" w:cs="Times New Roman"/>
          <w:bCs/>
          <w:sz w:val="28"/>
          <w:szCs w:val="24"/>
        </w:rPr>
      </w:pPr>
    </w:p>
    <w:p w:rsidR="004E1DA3" w:rsidRPr="00DF45CE" w:rsidRDefault="001256F3" w:rsidP="001B4BB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F73ABF">
        <w:rPr>
          <w:rFonts w:ascii="Times New Roman" w:eastAsia="Times New Roman" w:hAnsi="Times New Roman" w:cs="Times New Roman"/>
          <w:sz w:val="24"/>
          <w:szCs w:val="24"/>
        </w:rPr>
        <w:t>The Committee recommends that the Australian Government adopt a set of principles similar to those suggested by Logan Together for addressing entrenched poverty, disadvantage and welfare dependency.</w:t>
      </w:r>
    </w:p>
    <w:p w:rsidR="004E1DA3" w:rsidRPr="002736D0" w:rsidRDefault="00F73ABF" w:rsidP="004E1DA3">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Supported in principle</w:t>
      </w:r>
    </w:p>
    <w:p w:rsidR="00F73ABF" w:rsidRPr="00DF45CE" w:rsidRDefault="00F73ABF"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w:t>
      </w:r>
      <w:r w:rsidR="009E6D16">
        <w:rPr>
          <w:rFonts w:ascii="Times New Roman" w:hAnsi="Times New Roman" w:cs="Times New Roman"/>
          <w:sz w:val="24"/>
        </w:rPr>
        <w:t xml:space="preserve">Australian </w:t>
      </w:r>
      <w:r w:rsidRPr="00DF45CE">
        <w:rPr>
          <w:rFonts w:ascii="Times New Roman" w:hAnsi="Times New Roman" w:cs="Times New Roman"/>
          <w:sz w:val="24"/>
        </w:rPr>
        <w:t xml:space="preserve">Government supports the work of Logan Together and </w:t>
      </w:r>
      <w:proofErr w:type="spellStart"/>
      <w:r w:rsidRPr="00DF45CE">
        <w:rPr>
          <w:rFonts w:ascii="Times New Roman" w:hAnsi="Times New Roman" w:cs="Times New Roman"/>
          <w:sz w:val="24"/>
        </w:rPr>
        <w:t>recognises</w:t>
      </w:r>
      <w:proofErr w:type="spellEnd"/>
      <w:r w:rsidRPr="00DF45CE">
        <w:rPr>
          <w:rFonts w:ascii="Times New Roman" w:hAnsi="Times New Roman" w:cs="Times New Roman"/>
          <w:sz w:val="24"/>
        </w:rPr>
        <w:t xml:space="preserve"> the achievements </w:t>
      </w:r>
      <w:r>
        <w:rPr>
          <w:rFonts w:ascii="Times New Roman" w:hAnsi="Times New Roman" w:cs="Times New Roman"/>
          <w:sz w:val="24"/>
        </w:rPr>
        <w:t>of </w:t>
      </w:r>
      <w:r w:rsidRPr="00DF45CE">
        <w:rPr>
          <w:rFonts w:ascii="Times New Roman" w:hAnsi="Times New Roman" w:cs="Times New Roman"/>
          <w:sz w:val="24"/>
        </w:rPr>
        <w:t>the</w:t>
      </w:r>
      <w:r>
        <w:rPr>
          <w:rFonts w:ascii="Times New Roman" w:hAnsi="Times New Roman" w:cs="Times New Roman"/>
          <w:sz w:val="24"/>
        </w:rPr>
        <w:t> </w:t>
      </w:r>
      <w:r w:rsidRPr="00DF45CE">
        <w:rPr>
          <w:rFonts w:ascii="Times New Roman" w:hAnsi="Times New Roman" w:cs="Times New Roman"/>
          <w:sz w:val="24"/>
        </w:rPr>
        <w:t>Logan Together initiative to address poverty, disadvan</w:t>
      </w:r>
      <w:r>
        <w:rPr>
          <w:rFonts w:ascii="Times New Roman" w:hAnsi="Times New Roman" w:cs="Times New Roman"/>
          <w:sz w:val="24"/>
        </w:rPr>
        <w:t>tage and welfare dependency and </w:t>
      </w:r>
      <w:r w:rsidRPr="00DF45CE">
        <w:rPr>
          <w:rFonts w:ascii="Times New Roman" w:hAnsi="Times New Roman" w:cs="Times New Roman"/>
          <w:sz w:val="24"/>
        </w:rPr>
        <w:t>create better outcomes for children aged 0-8 years in Logan.</w:t>
      </w:r>
    </w:p>
    <w:p w:rsidR="00F73ABF" w:rsidRPr="00DF45CE" w:rsidRDefault="00F73ABF" w:rsidP="00DF45CE">
      <w:pPr>
        <w:spacing w:line="240" w:lineRule="auto"/>
        <w:jc w:val="both"/>
        <w:rPr>
          <w:rFonts w:ascii="Times New Roman" w:hAnsi="Times New Roman" w:cs="Times New Roman"/>
          <w:sz w:val="24"/>
        </w:rPr>
      </w:pPr>
      <w:r w:rsidRPr="00DF45CE">
        <w:rPr>
          <w:rFonts w:ascii="Times New Roman" w:hAnsi="Times New Roman" w:cs="Times New Roman"/>
          <w:sz w:val="24"/>
        </w:rPr>
        <w:lastRenderedPageBreak/>
        <w:t xml:space="preserve">The </w:t>
      </w:r>
      <w:r w:rsidR="009E6D16">
        <w:rPr>
          <w:rFonts w:ascii="Times New Roman" w:hAnsi="Times New Roman" w:cs="Times New Roman"/>
          <w:sz w:val="24"/>
        </w:rPr>
        <w:t xml:space="preserve">Australian </w:t>
      </w:r>
      <w:r w:rsidRPr="00DF45CE">
        <w:rPr>
          <w:rFonts w:ascii="Times New Roman" w:hAnsi="Times New Roman" w:cs="Times New Roman"/>
          <w:sz w:val="24"/>
        </w:rPr>
        <w:t xml:space="preserve">Government will continue to support Logan Together through the </w:t>
      </w: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initiative, including it as one of the 10 </w:t>
      </w:r>
      <w:r w:rsidR="00BF33A7">
        <w:rPr>
          <w:rFonts w:ascii="Times New Roman" w:hAnsi="Times New Roman" w:cs="Times New Roman"/>
          <w:sz w:val="24"/>
        </w:rPr>
        <w:t>partner</w:t>
      </w:r>
      <w:r w:rsidRPr="00DF45CE">
        <w:rPr>
          <w:rFonts w:ascii="Times New Roman" w:hAnsi="Times New Roman" w:cs="Times New Roman"/>
          <w:sz w:val="24"/>
        </w:rPr>
        <w:t xml:space="preserve"> communities. </w:t>
      </w:r>
    </w:p>
    <w:p w:rsidR="003979DD" w:rsidRDefault="00F73ABF" w:rsidP="0008100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w:t>
      </w:r>
      <w:r w:rsidR="009E6D16">
        <w:rPr>
          <w:rFonts w:ascii="Times New Roman" w:hAnsi="Times New Roman" w:cs="Times New Roman"/>
          <w:sz w:val="24"/>
        </w:rPr>
        <w:t xml:space="preserve">Australian </w:t>
      </w:r>
      <w:r w:rsidRPr="00DF45CE">
        <w:rPr>
          <w:rFonts w:ascii="Times New Roman" w:hAnsi="Times New Roman" w:cs="Times New Roman"/>
          <w:sz w:val="24"/>
        </w:rPr>
        <w:t xml:space="preserve">Government has developed a set of principles to guide the </w:t>
      </w:r>
      <w:r w:rsidRPr="00640528">
        <w:rPr>
          <w:rFonts w:ascii="Times New Roman" w:hAnsi="Times New Roman" w:cs="Times New Roman"/>
          <w:sz w:val="24"/>
        </w:rPr>
        <w:t>Stronger Places, Stronger People</w:t>
      </w:r>
      <w:r w:rsidRPr="00031028">
        <w:rPr>
          <w:rFonts w:ascii="Times New Roman" w:hAnsi="Times New Roman" w:cs="Times New Roman"/>
          <w:sz w:val="24"/>
        </w:rPr>
        <w:t xml:space="preserve"> </w:t>
      </w:r>
      <w:r w:rsidRPr="00DF45CE">
        <w:rPr>
          <w:rFonts w:ascii="Times New Roman" w:hAnsi="Times New Roman" w:cs="Times New Roman"/>
          <w:sz w:val="24"/>
        </w:rPr>
        <w:t xml:space="preserve">initiative, which are aligned to those suggested by Logan Together. </w:t>
      </w:r>
    </w:p>
    <w:p w:rsidR="00F73ABF" w:rsidRPr="00DF45CE" w:rsidRDefault="00F73ABF" w:rsidP="00DF45CE">
      <w:pPr>
        <w:spacing w:line="240" w:lineRule="auto"/>
        <w:jc w:val="both"/>
        <w:rPr>
          <w:rFonts w:ascii="Times New Roman" w:hAnsi="Times New Roman" w:cs="Times New Roman"/>
          <w:sz w:val="24"/>
        </w:rPr>
      </w:pPr>
      <w:r w:rsidRPr="00DF45CE">
        <w:rPr>
          <w:rFonts w:ascii="Times New Roman" w:hAnsi="Times New Roman" w:cs="Times New Roman"/>
          <w:sz w:val="24"/>
        </w:rPr>
        <w:t xml:space="preserve">The </w:t>
      </w:r>
      <w:r w:rsidRPr="00640528">
        <w:rPr>
          <w:rFonts w:ascii="Times New Roman" w:hAnsi="Times New Roman" w:cs="Times New Roman"/>
          <w:sz w:val="24"/>
        </w:rPr>
        <w:t>Stronger Places, Stronger People</w:t>
      </w:r>
      <w:r w:rsidRPr="00DF45CE">
        <w:rPr>
          <w:rFonts w:ascii="Times New Roman" w:hAnsi="Times New Roman" w:cs="Times New Roman"/>
          <w:sz w:val="24"/>
        </w:rPr>
        <w:t xml:space="preserve"> principles are as follows: </w:t>
      </w:r>
    </w:p>
    <w:p w:rsidR="00F73ABF" w:rsidRPr="00DF45CE" w:rsidRDefault="00C65C82" w:rsidP="001C0182">
      <w:pPr>
        <w:pStyle w:val="ListParagraph"/>
        <w:widowControl/>
        <w:numPr>
          <w:ilvl w:val="0"/>
          <w:numId w:val="4"/>
        </w:numPr>
        <w:spacing w:after="160" w:line="240" w:lineRule="auto"/>
        <w:jc w:val="both"/>
        <w:rPr>
          <w:rFonts w:ascii="Times New Roman" w:hAnsi="Times New Roman" w:cs="Times New Roman"/>
          <w:sz w:val="24"/>
        </w:rPr>
      </w:pPr>
      <w:r>
        <w:rPr>
          <w:rFonts w:ascii="Times New Roman" w:hAnsi="Times New Roman" w:cs="Times New Roman"/>
          <w:sz w:val="24"/>
        </w:rPr>
        <w:t>A</w:t>
      </w:r>
      <w:r w:rsidR="00F73ABF" w:rsidRPr="00DF45CE">
        <w:rPr>
          <w:rFonts w:ascii="Times New Roman" w:hAnsi="Times New Roman" w:cs="Times New Roman"/>
          <w:sz w:val="24"/>
        </w:rPr>
        <w:t xml:space="preserve"> long-term, whole-of-community approach at the local level</w:t>
      </w:r>
      <w:r w:rsidR="00363718">
        <w:rPr>
          <w:rFonts w:ascii="Times New Roman" w:hAnsi="Times New Roman" w:cs="Times New Roman"/>
          <w:sz w:val="24"/>
        </w:rPr>
        <w:t>;</w:t>
      </w:r>
    </w:p>
    <w:p w:rsidR="00F73ABF" w:rsidRPr="00DF45CE" w:rsidRDefault="00C65C82" w:rsidP="001C0182">
      <w:pPr>
        <w:pStyle w:val="ListParagraph"/>
        <w:widowControl/>
        <w:numPr>
          <w:ilvl w:val="0"/>
          <w:numId w:val="4"/>
        </w:numPr>
        <w:spacing w:after="160" w:line="240" w:lineRule="auto"/>
        <w:jc w:val="both"/>
        <w:rPr>
          <w:rFonts w:ascii="Times New Roman" w:hAnsi="Times New Roman" w:cs="Times New Roman"/>
          <w:sz w:val="24"/>
        </w:rPr>
      </w:pPr>
      <w:r>
        <w:rPr>
          <w:rFonts w:ascii="Times New Roman" w:hAnsi="Times New Roman" w:cs="Times New Roman"/>
          <w:sz w:val="24"/>
        </w:rPr>
        <w:t>A</w:t>
      </w:r>
      <w:r w:rsidR="00F73ABF" w:rsidRPr="00DF45CE">
        <w:rPr>
          <w:rFonts w:ascii="Times New Roman" w:hAnsi="Times New Roman" w:cs="Times New Roman"/>
          <w:sz w:val="24"/>
        </w:rPr>
        <w:t>nchored to the life-course, ‘cradle to career’ framework, informed by values, evidence and local data</w:t>
      </w:r>
      <w:r w:rsidR="00363718">
        <w:rPr>
          <w:rFonts w:ascii="Times New Roman" w:hAnsi="Times New Roman" w:cs="Times New Roman"/>
          <w:sz w:val="24"/>
        </w:rPr>
        <w:t>;</w:t>
      </w:r>
    </w:p>
    <w:p w:rsidR="00F73ABF" w:rsidRPr="00DF45CE" w:rsidRDefault="00C65C82" w:rsidP="001C0182">
      <w:pPr>
        <w:pStyle w:val="ListParagraph"/>
        <w:widowControl/>
        <w:numPr>
          <w:ilvl w:val="0"/>
          <w:numId w:val="4"/>
        </w:numPr>
        <w:spacing w:after="160" w:line="240" w:lineRule="auto"/>
        <w:jc w:val="both"/>
        <w:rPr>
          <w:rFonts w:ascii="Times New Roman" w:hAnsi="Times New Roman" w:cs="Times New Roman"/>
          <w:sz w:val="24"/>
        </w:rPr>
      </w:pPr>
      <w:r>
        <w:rPr>
          <w:rFonts w:ascii="Times New Roman" w:hAnsi="Times New Roman" w:cs="Times New Roman"/>
          <w:sz w:val="24"/>
        </w:rPr>
        <w:t>D</w:t>
      </w:r>
      <w:r w:rsidR="00F73ABF" w:rsidRPr="00DF45CE">
        <w:rPr>
          <w:rFonts w:ascii="Times New Roman" w:hAnsi="Times New Roman" w:cs="Times New Roman"/>
          <w:sz w:val="24"/>
        </w:rPr>
        <w:t>elivered through high-leverage social change strategies defined in the community’s strategy and plan of action</w:t>
      </w:r>
      <w:r w:rsidR="00363718">
        <w:rPr>
          <w:rFonts w:ascii="Times New Roman" w:hAnsi="Times New Roman" w:cs="Times New Roman"/>
          <w:sz w:val="24"/>
        </w:rPr>
        <w:t>;</w:t>
      </w:r>
    </w:p>
    <w:p w:rsidR="00F73ABF" w:rsidRPr="00DF45CE" w:rsidRDefault="00C65C82" w:rsidP="001C0182">
      <w:pPr>
        <w:pStyle w:val="ListParagraph"/>
        <w:widowControl/>
        <w:numPr>
          <w:ilvl w:val="0"/>
          <w:numId w:val="4"/>
        </w:numPr>
        <w:spacing w:after="160" w:line="240" w:lineRule="auto"/>
        <w:jc w:val="both"/>
        <w:rPr>
          <w:rFonts w:ascii="Times New Roman" w:hAnsi="Times New Roman" w:cs="Times New Roman"/>
          <w:sz w:val="24"/>
        </w:rPr>
      </w:pPr>
      <w:r>
        <w:rPr>
          <w:rFonts w:ascii="Times New Roman" w:hAnsi="Times New Roman" w:cs="Times New Roman"/>
          <w:sz w:val="24"/>
        </w:rPr>
        <w:t>E</w:t>
      </w:r>
      <w:r w:rsidR="00F73ABF" w:rsidRPr="00DF45CE">
        <w:rPr>
          <w:rFonts w:ascii="Times New Roman" w:hAnsi="Times New Roman" w:cs="Times New Roman"/>
          <w:sz w:val="24"/>
        </w:rPr>
        <w:t>nabled by strategic local coordination through a local ‘backbone team’</w:t>
      </w:r>
      <w:r w:rsidR="00B8792B">
        <w:rPr>
          <w:rFonts w:ascii="Times New Roman" w:hAnsi="Times New Roman" w:cs="Times New Roman"/>
          <w:sz w:val="24"/>
        </w:rPr>
        <w:t xml:space="preserve"> to design and </w:t>
      </w:r>
      <w:r w:rsidR="00F73ABF" w:rsidRPr="00DF45CE">
        <w:rPr>
          <w:rFonts w:ascii="Times New Roman" w:hAnsi="Times New Roman" w:cs="Times New Roman"/>
          <w:sz w:val="24"/>
        </w:rPr>
        <w:t>implement a community’s strategy and plan of act</w:t>
      </w:r>
      <w:r w:rsidR="00B8792B">
        <w:rPr>
          <w:rFonts w:ascii="Times New Roman" w:hAnsi="Times New Roman" w:cs="Times New Roman"/>
          <w:sz w:val="24"/>
        </w:rPr>
        <w:t>ion, facilitate transparent and </w:t>
      </w:r>
      <w:r w:rsidR="00F73ABF" w:rsidRPr="00DF45CE">
        <w:rPr>
          <w:rFonts w:ascii="Times New Roman" w:hAnsi="Times New Roman" w:cs="Times New Roman"/>
          <w:sz w:val="24"/>
        </w:rPr>
        <w:t>collaborative local implementation, and lead local understanding, measurement, evaluation, and learning activities</w:t>
      </w:r>
      <w:r w:rsidR="00363718">
        <w:rPr>
          <w:rFonts w:ascii="Times New Roman" w:hAnsi="Times New Roman" w:cs="Times New Roman"/>
          <w:sz w:val="24"/>
        </w:rPr>
        <w:t>;</w:t>
      </w:r>
    </w:p>
    <w:p w:rsidR="00F73ABF" w:rsidRPr="00DF45CE" w:rsidRDefault="00C65C82" w:rsidP="001C0182">
      <w:pPr>
        <w:pStyle w:val="ListParagraph"/>
        <w:widowControl/>
        <w:numPr>
          <w:ilvl w:val="0"/>
          <w:numId w:val="4"/>
        </w:numPr>
        <w:spacing w:after="160" w:line="240" w:lineRule="auto"/>
        <w:jc w:val="both"/>
        <w:rPr>
          <w:rFonts w:ascii="Times New Roman" w:hAnsi="Times New Roman" w:cs="Times New Roman"/>
          <w:sz w:val="24"/>
        </w:rPr>
      </w:pPr>
      <w:r>
        <w:rPr>
          <w:rFonts w:ascii="Times New Roman" w:hAnsi="Times New Roman" w:cs="Times New Roman"/>
          <w:sz w:val="24"/>
        </w:rPr>
        <w:t>P</w:t>
      </w:r>
      <w:r w:rsidR="00F73ABF" w:rsidRPr="00DF45CE">
        <w:rPr>
          <w:rFonts w:ascii="Times New Roman" w:hAnsi="Times New Roman" w:cs="Times New Roman"/>
          <w:sz w:val="24"/>
        </w:rPr>
        <w:t>owered by cultural and other local leaders, families, service providers, philanthropists, and government officials sharing accountability fo</w:t>
      </w:r>
      <w:r w:rsidR="00B8792B">
        <w:rPr>
          <w:rFonts w:ascii="Times New Roman" w:hAnsi="Times New Roman" w:cs="Times New Roman"/>
          <w:sz w:val="24"/>
        </w:rPr>
        <w:t>r planning, decision-making and </w:t>
      </w:r>
      <w:r w:rsidR="00F73ABF" w:rsidRPr="00DF45CE">
        <w:rPr>
          <w:rFonts w:ascii="Times New Roman" w:hAnsi="Times New Roman" w:cs="Times New Roman"/>
          <w:sz w:val="24"/>
        </w:rPr>
        <w:t>results</w:t>
      </w:r>
      <w:r w:rsidR="00363718">
        <w:rPr>
          <w:rFonts w:ascii="Times New Roman" w:hAnsi="Times New Roman" w:cs="Times New Roman"/>
          <w:sz w:val="24"/>
        </w:rPr>
        <w:t>;</w:t>
      </w:r>
    </w:p>
    <w:p w:rsidR="00F73ABF" w:rsidRPr="00DF45CE" w:rsidRDefault="00C65C82" w:rsidP="001C0182">
      <w:pPr>
        <w:pStyle w:val="ListParagraph"/>
        <w:widowControl/>
        <w:numPr>
          <w:ilvl w:val="0"/>
          <w:numId w:val="4"/>
        </w:numPr>
        <w:spacing w:after="160" w:line="240" w:lineRule="auto"/>
        <w:jc w:val="both"/>
        <w:rPr>
          <w:rFonts w:ascii="Times New Roman" w:hAnsi="Times New Roman" w:cs="Times New Roman"/>
          <w:sz w:val="24"/>
        </w:rPr>
      </w:pPr>
      <w:r>
        <w:rPr>
          <w:rFonts w:ascii="Times New Roman" w:hAnsi="Times New Roman" w:cs="Times New Roman"/>
          <w:sz w:val="24"/>
        </w:rPr>
        <w:t>M</w:t>
      </w:r>
      <w:r w:rsidR="00F73ABF" w:rsidRPr="00DF45CE">
        <w:rPr>
          <w:rFonts w:ascii="Times New Roman" w:hAnsi="Times New Roman" w:cs="Times New Roman"/>
          <w:sz w:val="24"/>
        </w:rPr>
        <w:t>easured through annual analysis of progress to determine if the collaboration model improves lives and opportunities and delivers better return on investment</w:t>
      </w:r>
      <w:r w:rsidR="00363718">
        <w:rPr>
          <w:rFonts w:ascii="Times New Roman" w:hAnsi="Times New Roman" w:cs="Times New Roman"/>
          <w:sz w:val="24"/>
        </w:rPr>
        <w:t>; and</w:t>
      </w:r>
    </w:p>
    <w:p w:rsidR="005106EA" w:rsidRDefault="00C65C82" w:rsidP="000A2B1C">
      <w:pPr>
        <w:pStyle w:val="ListParagraph"/>
        <w:widowControl/>
        <w:numPr>
          <w:ilvl w:val="0"/>
          <w:numId w:val="4"/>
        </w:numPr>
        <w:spacing w:line="240" w:lineRule="auto"/>
        <w:ind w:left="714" w:hanging="357"/>
        <w:jc w:val="both"/>
        <w:rPr>
          <w:rFonts w:ascii="Times New Roman" w:hAnsi="Times New Roman" w:cs="Times New Roman"/>
          <w:sz w:val="24"/>
        </w:rPr>
      </w:pPr>
      <w:r w:rsidRPr="005106EA">
        <w:rPr>
          <w:rFonts w:ascii="Times New Roman" w:hAnsi="Times New Roman" w:cs="Times New Roman"/>
          <w:sz w:val="24"/>
        </w:rPr>
        <w:t>S</w:t>
      </w:r>
      <w:r w:rsidR="00F73ABF" w:rsidRPr="005106EA">
        <w:rPr>
          <w:rFonts w:ascii="Times New Roman" w:hAnsi="Times New Roman" w:cs="Times New Roman"/>
          <w:sz w:val="24"/>
        </w:rPr>
        <w:t xml:space="preserve">caled through evidence of what works and sustained through strong, supportive peer networks between Stronger Places, Stronger People communities. </w:t>
      </w:r>
    </w:p>
    <w:p w:rsidR="005106EA" w:rsidRPr="005106EA" w:rsidRDefault="005106EA" w:rsidP="005106EA">
      <w:pPr>
        <w:spacing w:line="240" w:lineRule="auto"/>
        <w:jc w:val="both"/>
        <w:rPr>
          <w:rFonts w:ascii="Times New Roman" w:hAnsi="Times New Roman" w:cs="Times New Roman"/>
          <w:sz w:val="24"/>
        </w:rPr>
      </w:pPr>
      <w:r w:rsidRPr="005106EA">
        <w:rPr>
          <w:rFonts w:ascii="Times New Roman" w:hAnsi="Times New Roman" w:cs="Times New Roman"/>
          <w:sz w:val="24"/>
        </w:rPr>
        <w:t xml:space="preserve">These principles are consistent with other place-based initiatives supported by the </w:t>
      </w:r>
      <w:r w:rsidR="00D30551">
        <w:rPr>
          <w:rFonts w:ascii="Times New Roman" w:hAnsi="Times New Roman" w:cs="Times New Roman"/>
          <w:sz w:val="24"/>
        </w:rPr>
        <w:t>Australian</w:t>
      </w:r>
      <w:r w:rsidR="00640528">
        <w:rPr>
          <w:rFonts w:ascii="Times New Roman" w:hAnsi="Times New Roman" w:cs="Times New Roman"/>
          <w:sz w:val="24"/>
        </w:rPr>
        <w:t> </w:t>
      </w:r>
      <w:r w:rsidRPr="005106EA">
        <w:rPr>
          <w:rFonts w:ascii="Times New Roman" w:hAnsi="Times New Roman" w:cs="Times New Roman"/>
          <w:sz w:val="24"/>
        </w:rPr>
        <w:t xml:space="preserve">Government, including the Connected Beginnings program guidelines. Government portfolios will continue to review program guidelines and principles to ensure consistency and appropriateness. </w:t>
      </w:r>
    </w:p>
    <w:p w:rsidR="007E3405" w:rsidRPr="005106EA" w:rsidRDefault="007E3405" w:rsidP="005106EA">
      <w:pPr>
        <w:spacing w:line="240" w:lineRule="auto"/>
        <w:jc w:val="both"/>
        <w:rPr>
          <w:rFonts w:ascii="Times New Roman" w:hAnsi="Times New Roman" w:cs="Times New Roman"/>
          <w:sz w:val="24"/>
        </w:rPr>
      </w:pPr>
    </w:p>
    <w:p w:rsidR="004E1DA3" w:rsidRPr="00DF45CE" w:rsidRDefault="001256F3" w:rsidP="001B4BB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B8792B">
        <w:rPr>
          <w:rFonts w:ascii="Times New Roman" w:eastAsia="Times New Roman" w:hAnsi="Times New Roman" w:cs="Times New Roman"/>
          <w:sz w:val="24"/>
          <w:szCs w:val="24"/>
        </w:rPr>
        <w:t>The Committee recommends that the Australian Government provides strategic leadership of welfare programs, based on national priorities and knowledge of best practice approaches.</w:t>
      </w:r>
    </w:p>
    <w:p w:rsidR="004E1DA3" w:rsidRPr="00B8792B" w:rsidRDefault="00B8792B" w:rsidP="004E1DA3">
      <w:pPr>
        <w:spacing w:before="120" w:after="120" w:line="240" w:lineRule="auto"/>
        <w:ind w:right="91"/>
        <w:jc w:val="both"/>
        <w:rPr>
          <w:rFonts w:ascii="Times New Roman" w:eastAsia="Times New Roman" w:hAnsi="Times New Roman" w:cs="Times New Roman"/>
          <w:b/>
          <w:spacing w:val="2"/>
          <w:sz w:val="24"/>
          <w:szCs w:val="24"/>
        </w:rPr>
      </w:pPr>
      <w:r w:rsidRPr="00B8792B">
        <w:rPr>
          <w:rFonts w:ascii="Times New Roman" w:eastAsia="Times New Roman" w:hAnsi="Times New Roman" w:cs="Times New Roman"/>
          <w:b/>
          <w:spacing w:val="2"/>
          <w:sz w:val="24"/>
          <w:szCs w:val="24"/>
        </w:rPr>
        <w:t>Supported</w:t>
      </w:r>
    </w:p>
    <w:p w:rsidR="00A02C1C" w:rsidRDefault="00F73ABF" w:rsidP="000A2B1C">
      <w:pPr>
        <w:spacing w:line="240" w:lineRule="auto"/>
        <w:ind w:right="91"/>
        <w:jc w:val="both"/>
        <w:rPr>
          <w:rFonts w:ascii="Times New Roman" w:hAnsi="Times New Roman" w:cs="Times New Roman"/>
          <w:sz w:val="24"/>
          <w:szCs w:val="24"/>
          <w:lang w:val="en-AU"/>
        </w:rPr>
      </w:pPr>
      <w:r w:rsidRPr="00B8792B">
        <w:rPr>
          <w:rFonts w:ascii="Times New Roman" w:hAnsi="Times New Roman" w:cs="Times New Roman"/>
          <w:sz w:val="24"/>
          <w:szCs w:val="24"/>
          <w:lang w:val="en-AU"/>
        </w:rPr>
        <w:t xml:space="preserve">The </w:t>
      </w:r>
      <w:r w:rsidR="009E6D16">
        <w:rPr>
          <w:rFonts w:ascii="Times New Roman" w:hAnsi="Times New Roman" w:cs="Times New Roman"/>
          <w:sz w:val="24"/>
          <w:szCs w:val="24"/>
          <w:lang w:val="en-AU"/>
        </w:rPr>
        <w:t xml:space="preserve">Australian </w:t>
      </w:r>
      <w:r w:rsidRPr="00B8792B">
        <w:rPr>
          <w:rFonts w:ascii="Times New Roman" w:hAnsi="Times New Roman" w:cs="Times New Roman"/>
          <w:sz w:val="24"/>
          <w:szCs w:val="24"/>
          <w:lang w:val="en-AU"/>
        </w:rPr>
        <w:t xml:space="preserve">Government </w:t>
      </w:r>
      <w:r w:rsidR="009E17A2">
        <w:rPr>
          <w:rFonts w:ascii="Times New Roman" w:hAnsi="Times New Roman" w:cs="Times New Roman"/>
          <w:sz w:val="24"/>
          <w:szCs w:val="24"/>
          <w:lang w:val="en-AU"/>
        </w:rPr>
        <w:t xml:space="preserve">provides strategic leadership of welfare programs and draws on best practice and evidence. </w:t>
      </w:r>
    </w:p>
    <w:p w:rsidR="009E17A2" w:rsidRDefault="00B71C78" w:rsidP="000A2B1C">
      <w:pPr>
        <w:spacing w:line="240" w:lineRule="auto"/>
        <w:ind w:right="91"/>
        <w:jc w:val="both"/>
        <w:rPr>
          <w:rFonts w:ascii="Times New Roman" w:hAnsi="Times New Roman" w:cs="Times New Roman"/>
          <w:sz w:val="24"/>
          <w:szCs w:val="24"/>
          <w:lang w:val="en-AU"/>
        </w:rPr>
      </w:pPr>
      <w:r>
        <w:rPr>
          <w:rFonts w:ascii="Times New Roman" w:hAnsi="Times New Roman" w:cs="Times New Roman"/>
          <w:sz w:val="24"/>
          <w:szCs w:val="24"/>
          <w:lang w:val="en-AU"/>
        </w:rPr>
        <w:t>As noted in the Joint Departmental Submission to the Select Committee, the Australian Government has a large number of programs in place to support families to break the cycle of disadvantage and intergenerational welfare dependency, build the evidence base on what works, and support families and communities to build opportunity, human capital and capability.</w:t>
      </w:r>
    </w:p>
    <w:p w:rsidR="0063174D" w:rsidRPr="00B8792B" w:rsidRDefault="0063174D">
      <w:pPr>
        <w:spacing w:after="120" w:line="240" w:lineRule="auto"/>
        <w:ind w:right="88"/>
        <w:jc w:val="both"/>
        <w:rPr>
          <w:rFonts w:ascii="Times New Roman" w:eastAsia="Times New Roman" w:hAnsi="Times New Roman" w:cs="Times New Roman"/>
          <w:bCs/>
          <w:sz w:val="24"/>
          <w:szCs w:val="24"/>
        </w:rPr>
      </w:pPr>
    </w:p>
    <w:p w:rsidR="004E1DA3" w:rsidRPr="00DF45CE" w:rsidRDefault="003004D1" w:rsidP="001B4BB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B8792B">
        <w:rPr>
          <w:rFonts w:ascii="Times New Roman" w:eastAsia="Times New Roman" w:hAnsi="Times New Roman" w:cs="Times New Roman"/>
          <w:sz w:val="24"/>
          <w:szCs w:val="24"/>
        </w:rPr>
        <w:t>The Committee recommends the Australian G</w:t>
      </w:r>
      <w:r w:rsidR="00B8792B" w:rsidRPr="00DF45CE">
        <w:rPr>
          <w:rFonts w:ascii="Times New Roman" w:eastAsia="Times New Roman" w:hAnsi="Times New Roman" w:cs="Times New Roman"/>
          <w:sz w:val="24"/>
          <w:szCs w:val="24"/>
        </w:rPr>
        <w:t>overnment review the effects of </w:t>
      </w:r>
      <w:r w:rsidRPr="00B8792B">
        <w:rPr>
          <w:rFonts w:ascii="Times New Roman" w:eastAsia="Times New Roman" w:hAnsi="Times New Roman" w:cs="Times New Roman"/>
          <w:sz w:val="24"/>
          <w:szCs w:val="24"/>
        </w:rPr>
        <w:t>government policy, including the adequacy of payments, on young people and single parent families in the 46th Parliament.</w:t>
      </w:r>
    </w:p>
    <w:p w:rsidR="004E1DA3" w:rsidRPr="002736D0" w:rsidRDefault="00662314" w:rsidP="004E1DA3">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Noted</w:t>
      </w:r>
    </w:p>
    <w:p w:rsidR="00711BAC" w:rsidRDefault="00662314" w:rsidP="000A2B1C">
      <w:pPr>
        <w:spacing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 xml:space="preserve">The Australian Government provides support to individuals and families through the social security and family assistance systems.  </w:t>
      </w:r>
    </w:p>
    <w:p w:rsidR="003B61A3" w:rsidRDefault="00662314" w:rsidP="0008100E">
      <w:pPr>
        <w:spacing w:after="120" w:line="240" w:lineRule="auto"/>
        <w:ind w:right="88"/>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lastRenderedPageBreak/>
        <w:t xml:space="preserve">The </w:t>
      </w:r>
      <w:r w:rsidR="009E6D16">
        <w:rPr>
          <w:rFonts w:ascii="Times New Roman" w:hAnsi="Times New Roman" w:cs="Times New Roman"/>
          <w:sz w:val="24"/>
          <w:szCs w:val="24"/>
          <w:lang w:val="en-AU"/>
        </w:rPr>
        <w:t xml:space="preserve">Australian </w:t>
      </w:r>
      <w:r w:rsidRPr="00662314">
        <w:rPr>
          <w:rFonts w:ascii="Times New Roman" w:hAnsi="Times New Roman" w:cs="Times New Roman"/>
          <w:sz w:val="24"/>
          <w:szCs w:val="24"/>
          <w:lang w:val="en-AU"/>
        </w:rPr>
        <w:t>Government recognises the importance of supporting</w:t>
      </w:r>
      <w:r w:rsidR="00720407">
        <w:rPr>
          <w:rFonts w:ascii="Times New Roman" w:hAnsi="Times New Roman" w:cs="Times New Roman"/>
          <w:sz w:val="24"/>
          <w:szCs w:val="24"/>
          <w:lang w:val="en-AU"/>
        </w:rPr>
        <w:t xml:space="preserve"> young people and</w:t>
      </w:r>
      <w:r w:rsidRPr="00662314">
        <w:rPr>
          <w:rFonts w:ascii="Times New Roman" w:hAnsi="Times New Roman" w:cs="Times New Roman"/>
          <w:sz w:val="24"/>
          <w:szCs w:val="24"/>
          <w:lang w:val="en-AU"/>
        </w:rPr>
        <w:t xml:space="preserve"> single parent families, who are unable to work, or have a reduced capacity to work, due to their caring responsibilities.  </w:t>
      </w:r>
    </w:p>
    <w:p w:rsidR="00662314" w:rsidRPr="00662314" w:rsidRDefault="00662314" w:rsidP="000A2B1C">
      <w:pPr>
        <w:spacing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 xml:space="preserve">Income support payments such as Parenting Payment, </w:t>
      </w:r>
      <w:proofErr w:type="spellStart"/>
      <w:r w:rsidRPr="00662314">
        <w:rPr>
          <w:rFonts w:ascii="Times New Roman" w:hAnsi="Times New Roman" w:cs="Times New Roman"/>
          <w:sz w:val="24"/>
          <w:szCs w:val="24"/>
          <w:lang w:val="en-AU"/>
        </w:rPr>
        <w:t>Newstart</w:t>
      </w:r>
      <w:proofErr w:type="spellEnd"/>
      <w:r w:rsidRPr="00662314">
        <w:rPr>
          <w:rFonts w:ascii="Times New Roman" w:hAnsi="Times New Roman" w:cs="Times New Roman"/>
          <w:sz w:val="24"/>
          <w:szCs w:val="24"/>
          <w:lang w:val="en-AU"/>
        </w:rPr>
        <w:t xml:space="preserve"> Allowance and Youth Allowance and additional supplements, where eligible, provi</w:t>
      </w:r>
      <w:r w:rsidR="00B8792B">
        <w:rPr>
          <w:rFonts w:ascii="Times New Roman" w:hAnsi="Times New Roman" w:cs="Times New Roman"/>
          <w:sz w:val="24"/>
          <w:szCs w:val="24"/>
          <w:lang w:val="en-AU"/>
        </w:rPr>
        <w:t>de a safety-net for parents and </w:t>
      </w:r>
      <w:r w:rsidRPr="00662314">
        <w:rPr>
          <w:rFonts w:ascii="Times New Roman" w:hAnsi="Times New Roman" w:cs="Times New Roman"/>
          <w:sz w:val="24"/>
          <w:szCs w:val="24"/>
          <w:lang w:val="en-AU"/>
        </w:rPr>
        <w:t>children. Income support payment rates are indexed regularly.</w:t>
      </w:r>
    </w:p>
    <w:p w:rsidR="00662314" w:rsidRPr="00662314" w:rsidRDefault="00662314" w:rsidP="000A2B1C">
      <w:pPr>
        <w:spacing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 xml:space="preserve">Income support payments for young people and single parents automatically attract Energy Supplement. </w:t>
      </w:r>
      <w:r w:rsidR="00720407">
        <w:rPr>
          <w:rFonts w:ascii="Times New Roman" w:hAnsi="Times New Roman" w:cs="Times New Roman"/>
          <w:sz w:val="24"/>
          <w:szCs w:val="24"/>
          <w:lang w:val="en-AU"/>
        </w:rPr>
        <w:t>Recipients of t</w:t>
      </w:r>
      <w:r w:rsidRPr="00662314">
        <w:rPr>
          <w:rFonts w:ascii="Times New Roman" w:hAnsi="Times New Roman" w:cs="Times New Roman"/>
          <w:sz w:val="24"/>
          <w:szCs w:val="24"/>
          <w:lang w:val="en-AU"/>
        </w:rPr>
        <w:t>hese income support payments also attract a rang</w:t>
      </w:r>
      <w:r w:rsidR="00B8792B">
        <w:rPr>
          <w:rFonts w:ascii="Times New Roman" w:hAnsi="Times New Roman" w:cs="Times New Roman"/>
          <w:sz w:val="24"/>
          <w:szCs w:val="24"/>
          <w:lang w:val="en-AU"/>
        </w:rPr>
        <w:t>e of supplementary benefits for </w:t>
      </w:r>
      <w:r w:rsidRPr="00662314">
        <w:rPr>
          <w:rFonts w:ascii="Times New Roman" w:hAnsi="Times New Roman" w:cs="Times New Roman"/>
          <w:sz w:val="24"/>
          <w:szCs w:val="24"/>
          <w:lang w:val="en-AU"/>
        </w:rPr>
        <w:t>additional costs they may have, including Rent Assistance, c</w:t>
      </w:r>
      <w:r w:rsidR="00B8792B">
        <w:rPr>
          <w:rFonts w:ascii="Times New Roman" w:hAnsi="Times New Roman" w:cs="Times New Roman"/>
          <w:sz w:val="24"/>
          <w:szCs w:val="24"/>
          <w:lang w:val="en-AU"/>
        </w:rPr>
        <w:t>hildcare subsidy assistance and </w:t>
      </w:r>
      <w:r w:rsidRPr="00662314">
        <w:rPr>
          <w:rFonts w:ascii="Times New Roman" w:hAnsi="Times New Roman" w:cs="Times New Roman"/>
          <w:sz w:val="24"/>
          <w:szCs w:val="24"/>
          <w:lang w:val="en-AU"/>
        </w:rPr>
        <w:t xml:space="preserve">payments such as Family Tax Benefit, depending on their individual circumstances.  </w:t>
      </w:r>
    </w:p>
    <w:p w:rsidR="00662314" w:rsidRPr="00662314" w:rsidRDefault="00662314" w:rsidP="000A2B1C">
      <w:pPr>
        <w:spacing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Parents who receive income support payments are general</w:t>
      </w:r>
      <w:r w:rsidR="00B8792B">
        <w:rPr>
          <w:rFonts w:ascii="Times New Roman" w:hAnsi="Times New Roman" w:cs="Times New Roman"/>
          <w:sz w:val="24"/>
          <w:szCs w:val="24"/>
          <w:lang w:val="en-AU"/>
        </w:rPr>
        <w:t>ly also eligible to receive the </w:t>
      </w:r>
      <w:r w:rsidRPr="00662314">
        <w:rPr>
          <w:rFonts w:ascii="Times New Roman" w:hAnsi="Times New Roman" w:cs="Times New Roman"/>
          <w:sz w:val="24"/>
          <w:szCs w:val="24"/>
          <w:lang w:val="en-AU"/>
        </w:rPr>
        <w:t>maximum rate of Family Tax Benefit (FTB) Part A to assist with the cost of raising their children.  The maximum rate of FTB Part A is $186.20 pe</w:t>
      </w:r>
      <w:r w:rsidR="00B8792B">
        <w:rPr>
          <w:rFonts w:ascii="Times New Roman" w:hAnsi="Times New Roman" w:cs="Times New Roman"/>
          <w:sz w:val="24"/>
          <w:szCs w:val="24"/>
          <w:lang w:val="en-AU"/>
        </w:rPr>
        <w:t>r child aged under 13 years and </w:t>
      </w:r>
      <w:r w:rsidRPr="00662314">
        <w:rPr>
          <w:rFonts w:ascii="Times New Roman" w:hAnsi="Times New Roman" w:cs="Times New Roman"/>
          <w:sz w:val="24"/>
          <w:szCs w:val="24"/>
          <w:lang w:val="en-AU"/>
        </w:rPr>
        <w:t>$242.20 per child aged 13 to 15 or a secondary school child aged 16 to 19 years.</w:t>
      </w:r>
    </w:p>
    <w:p w:rsidR="00662314" w:rsidRPr="00662314" w:rsidRDefault="00662314" w:rsidP="000A2B1C">
      <w:pPr>
        <w:spacing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FTB Part B provides additional assistance for single parents. The maximum rate of FTB Part B is $158.34 per fortnight per family, if the youngest child is ag</w:t>
      </w:r>
      <w:r w:rsidR="00B8792B">
        <w:rPr>
          <w:rFonts w:ascii="Times New Roman" w:hAnsi="Times New Roman" w:cs="Times New Roman"/>
          <w:sz w:val="24"/>
          <w:szCs w:val="24"/>
          <w:lang w:val="en-AU"/>
        </w:rPr>
        <w:t>e 0 to 5 years and $110.60 per </w:t>
      </w:r>
      <w:r w:rsidRPr="00662314">
        <w:rPr>
          <w:rFonts w:ascii="Times New Roman" w:hAnsi="Times New Roman" w:cs="Times New Roman"/>
          <w:sz w:val="24"/>
          <w:szCs w:val="24"/>
          <w:lang w:val="en-AU"/>
        </w:rPr>
        <w:t xml:space="preserve">fortnight per family, if the youngest child is aged 5 to 18 years.  </w:t>
      </w:r>
    </w:p>
    <w:p w:rsidR="00662314" w:rsidRPr="00662314" w:rsidRDefault="00662314" w:rsidP="000A2B1C">
      <w:pPr>
        <w:spacing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 xml:space="preserve">Recipients of income support payments such as Parenting </w:t>
      </w:r>
      <w:r w:rsidR="00B8792B">
        <w:rPr>
          <w:rFonts w:ascii="Times New Roman" w:hAnsi="Times New Roman" w:cs="Times New Roman"/>
          <w:sz w:val="24"/>
          <w:szCs w:val="24"/>
          <w:lang w:val="en-AU"/>
        </w:rPr>
        <w:t xml:space="preserve">Payment, </w:t>
      </w:r>
      <w:proofErr w:type="spellStart"/>
      <w:r w:rsidR="00B8792B">
        <w:rPr>
          <w:rFonts w:ascii="Times New Roman" w:hAnsi="Times New Roman" w:cs="Times New Roman"/>
          <w:sz w:val="24"/>
          <w:szCs w:val="24"/>
          <w:lang w:val="en-AU"/>
        </w:rPr>
        <w:t>Newstart</w:t>
      </w:r>
      <w:proofErr w:type="spellEnd"/>
      <w:r w:rsidR="00B8792B">
        <w:rPr>
          <w:rFonts w:ascii="Times New Roman" w:hAnsi="Times New Roman" w:cs="Times New Roman"/>
          <w:sz w:val="24"/>
          <w:szCs w:val="24"/>
          <w:lang w:val="en-AU"/>
        </w:rPr>
        <w:t xml:space="preserve"> Allowance and </w:t>
      </w:r>
      <w:r w:rsidRPr="00662314">
        <w:rPr>
          <w:rFonts w:ascii="Times New Roman" w:hAnsi="Times New Roman" w:cs="Times New Roman"/>
          <w:sz w:val="24"/>
          <w:szCs w:val="24"/>
          <w:lang w:val="en-AU"/>
        </w:rPr>
        <w:t>Youth Allowance are also automatically issued with a concession card that provides access to a range of health care and medicines at lower cost.</w:t>
      </w:r>
    </w:p>
    <w:p w:rsidR="007E3405" w:rsidRDefault="00662314" w:rsidP="000A2B1C">
      <w:pPr>
        <w:spacing w:line="240" w:lineRule="auto"/>
        <w:ind w:right="91"/>
        <w:jc w:val="both"/>
        <w:rPr>
          <w:rFonts w:ascii="Times New Roman" w:hAnsi="Times New Roman" w:cs="Times New Roman"/>
          <w:sz w:val="24"/>
          <w:szCs w:val="24"/>
          <w:lang w:val="en-AU"/>
        </w:rPr>
      </w:pPr>
      <w:r w:rsidRPr="00662314">
        <w:rPr>
          <w:rFonts w:ascii="Times New Roman" w:hAnsi="Times New Roman" w:cs="Times New Roman"/>
          <w:sz w:val="24"/>
          <w:szCs w:val="24"/>
          <w:lang w:val="en-AU"/>
        </w:rPr>
        <w:t xml:space="preserve">The </w:t>
      </w:r>
      <w:r w:rsidR="009E6D16">
        <w:rPr>
          <w:rFonts w:ascii="Times New Roman" w:hAnsi="Times New Roman" w:cs="Times New Roman"/>
          <w:sz w:val="24"/>
          <w:szCs w:val="24"/>
          <w:lang w:val="en-AU"/>
        </w:rPr>
        <w:t xml:space="preserve">Australian </w:t>
      </w:r>
      <w:r w:rsidRPr="00662314">
        <w:rPr>
          <w:rFonts w:ascii="Times New Roman" w:hAnsi="Times New Roman" w:cs="Times New Roman"/>
          <w:sz w:val="24"/>
          <w:szCs w:val="24"/>
          <w:lang w:val="en-AU"/>
        </w:rPr>
        <w:t>Government remains committed to social security and family assistance policy that provides payments for those who need them and balances this expenditure against its</w:t>
      </w:r>
      <w:r w:rsidR="00B8792B">
        <w:rPr>
          <w:rFonts w:ascii="Times New Roman" w:hAnsi="Times New Roman" w:cs="Times New Roman"/>
          <w:sz w:val="24"/>
          <w:szCs w:val="24"/>
          <w:lang w:val="en-AU"/>
        </w:rPr>
        <w:t> </w:t>
      </w:r>
      <w:r w:rsidRPr="00662314">
        <w:rPr>
          <w:rFonts w:ascii="Times New Roman" w:hAnsi="Times New Roman" w:cs="Times New Roman"/>
          <w:sz w:val="24"/>
          <w:szCs w:val="24"/>
          <w:lang w:val="en-AU"/>
        </w:rPr>
        <w:t>responsibility to ensure payments are well-targeted and sustainable into the future.</w:t>
      </w:r>
    </w:p>
    <w:p w:rsidR="0036205A" w:rsidRDefault="0036205A" w:rsidP="000A2B1C">
      <w:pPr>
        <w:spacing w:line="240" w:lineRule="auto"/>
        <w:ind w:right="91"/>
        <w:jc w:val="both"/>
        <w:rPr>
          <w:rFonts w:ascii="Times New Roman" w:eastAsia="Times New Roman" w:hAnsi="Times New Roman" w:cs="Times New Roman"/>
          <w:bCs/>
          <w:sz w:val="24"/>
          <w:szCs w:val="24"/>
        </w:rPr>
      </w:pPr>
    </w:p>
    <w:p w:rsidR="004E1DA3" w:rsidRPr="00DF45CE" w:rsidRDefault="003004D1" w:rsidP="001B4BB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2D5C94">
        <w:rPr>
          <w:rFonts w:ascii="Times New Roman" w:eastAsia="Times New Roman" w:hAnsi="Times New Roman" w:cs="Times New Roman"/>
          <w:sz w:val="24"/>
          <w:szCs w:val="24"/>
        </w:rPr>
        <w:t xml:space="preserve">The Australian Government consider changing the point at which single parents move to </w:t>
      </w:r>
      <w:proofErr w:type="spellStart"/>
      <w:r w:rsidRPr="002D5C94">
        <w:rPr>
          <w:rFonts w:ascii="Times New Roman" w:eastAsia="Times New Roman" w:hAnsi="Times New Roman" w:cs="Times New Roman"/>
          <w:sz w:val="24"/>
          <w:szCs w:val="24"/>
        </w:rPr>
        <w:t>Newstart</w:t>
      </w:r>
      <w:proofErr w:type="spellEnd"/>
      <w:r w:rsidRPr="002D5C94">
        <w:rPr>
          <w:rFonts w:ascii="Times New Roman" w:eastAsia="Times New Roman" w:hAnsi="Times New Roman" w:cs="Times New Roman"/>
          <w:sz w:val="24"/>
          <w:szCs w:val="24"/>
        </w:rPr>
        <w:t xml:space="preserve"> Allowance; from when their youngest child turns eight to when their youngest child turns twelve. This should be in conjunction with continued efforts to increase the participation of parents in the workforce.</w:t>
      </w:r>
    </w:p>
    <w:p w:rsidR="004E1DA3" w:rsidRPr="002736D0" w:rsidRDefault="0063174D" w:rsidP="004E1DA3">
      <w:pPr>
        <w:spacing w:before="120" w:after="120" w:line="240" w:lineRule="auto"/>
        <w:ind w:right="91"/>
        <w:jc w:val="both"/>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N</w:t>
      </w:r>
      <w:r w:rsidR="004E1DA3" w:rsidRPr="002736D0">
        <w:rPr>
          <w:rFonts w:ascii="Times New Roman" w:eastAsia="Times New Roman" w:hAnsi="Times New Roman" w:cs="Times New Roman"/>
          <w:b/>
          <w:spacing w:val="2"/>
          <w:sz w:val="24"/>
          <w:szCs w:val="24"/>
        </w:rPr>
        <w:t>oted</w:t>
      </w:r>
    </w:p>
    <w:p w:rsidR="002D5C94" w:rsidRPr="00DF45CE" w:rsidRDefault="002D5C94" w:rsidP="00DF45CE">
      <w:pPr>
        <w:spacing w:line="240" w:lineRule="auto"/>
        <w:jc w:val="both"/>
        <w:rPr>
          <w:rFonts w:ascii="Times New Roman" w:hAnsi="Times New Roman" w:cs="Times New Roman"/>
          <w:bCs/>
          <w:sz w:val="24"/>
        </w:rPr>
      </w:pPr>
      <w:r w:rsidRPr="00DF45CE">
        <w:rPr>
          <w:rFonts w:ascii="Times New Roman" w:hAnsi="Times New Roman" w:cs="Times New Roman"/>
          <w:bCs/>
          <w:sz w:val="24"/>
        </w:rPr>
        <w:t xml:space="preserve">The Australian Government understands the challenges faced by parents in combining employment and caring responsibilities. </w:t>
      </w:r>
    </w:p>
    <w:p w:rsidR="002D5C94" w:rsidRPr="00DF45CE" w:rsidRDefault="002D5C94" w:rsidP="00DF45CE">
      <w:pPr>
        <w:spacing w:line="240" w:lineRule="auto"/>
        <w:jc w:val="both"/>
        <w:rPr>
          <w:rFonts w:ascii="Times New Roman" w:hAnsi="Times New Roman"/>
          <w:sz w:val="24"/>
          <w:szCs w:val="24"/>
        </w:rPr>
      </w:pPr>
      <w:r w:rsidRPr="00DF45CE">
        <w:rPr>
          <w:rFonts w:ascii="Times New Roman" w:hAnsi="Times New Roman"/>
          <w:sz w:val="24"/>
          <w:szCs w:val="24"/>
        </w:rPr>
        <w:t xml:space="preserve">Parenting Payment is the main income support payment available to people with sole or primary responsibility for the care of a young child.  </w:t>
      </w:r>
    </w:p>
    <w:p w:rsidR="002D5C94" w:rsidRPr="00DF45CE" w:rsidRDefault="002D5C94" w:rsidP="00DF45CE">
      <w:pPr>
        <w:spacing w:line="240" w:lineRule="auto"/>
        <w:jc w:val="both"/>
        <w:rPr>
          <w:rFonts w:ascii="Times New Roman" w:hAnsi="Times New Roman"/>
          <w:sz w:val="24"/>
          <w:szCs w:val="24"/>
        </w:rPr>
      </w:pPr>
      <w:r w:rsidRPr="00DF45CE">
        <w:rPr>
          <w:rFonts w:ascii="Times New Roman" w:hAnsi="Times New Roman" w:cs="Times New Roman"/>
          <w:bCs/>
          <w:sz w:val="24"/>
        </w:rPr>
        <w:t>As their youngest child grows older and starts school,</w:t>
      </w:r>
      <w:r w:rsidRPr="00DF45CE">
        <w:rPr>
          <w:rFonts w:ascii="Times New Roman" w:hAnsi="Times New Roman"/>
          <w:sz w:val="24"/>
          <w:szCs w:val="24"/>
        </w:rPr>
        <w:t xml:space="preserve"> a parent’s capacity to undertake work increases and the income support payment they are entitled to receive needs to provide incentives to participate in paid work. Encouraging greater participation to the extent possible </w:t>
      </w:r>
      <w:r>
        <w:rPr>
          <w:rFonts w:ascii="Times New Roman" w:hAnsi="Times New Roman"/>
          <w:sz w:val="24"/>
          <w:szCs w:val="24"/>
        </w:rPr>
        <w:t>benefits and </w:t>
      </w:r>
      <w:r w:rsidRPr="00DF45CE">
        <w:rPr>
          <w:rFonts w:ascii="Times New Roman" w:hAnsi="Times New Roman"/>
          <w:sz w:val="24"/>
          <w:szCs w:val="24"/>
        </w:rPr>
        <w:t xml:space="preserve">assists families to be advantaged by the long-term benefits of work.  </w:t>
      </w:r>
    </w:p>
    <w:p w:rsidR="002D5C94" w:rsidRPr="00DF45CE" w:rsidRDefault="002D5C94">
      <w:pPr>
        <w:spacing w:line="240" w:lineRule="auto"/>
        <w:jc w:val="both"/>
        <w:rPr>
          <w:rFonts w:ascii="Times New Roman" w:hAnsi="Times New Roman" w:cs="Times New Roman"/>
          <w:bCs/>
          <w:sz w:val="24"/>
        </w:rPr>
      </w:pPr>
      <w:proofErr w:type="spellStart"/>
      <w:r w:rsidRPr="00DF45CE">
        <w:rPr>
          <w:rFonts w:ascii="Times New Roman" w:hAnsi="Times New Roman" w:cs="Times New Roman"/>
          <w:bCs/>
          <w:sz w:val="24"/>
        </w:rPr>
        <w:t>Newstart</w:t>
      </w:r>
      <w:proofErr w:type="spellEnd"/>
      <w:r w:rsidRPr="00DF45CE">
        <w:rPr>
          <w:rFonts w:ascii="Times New Roman" w:hAnsi="Times New Roman" w:cs="Times New Roman"/>
          <w:bCs/>
          <w:sz w:val="24"/>
        </w:rPr>
        <w:t xml:space="preserve"> Allowance is the main income support payment for job seekers, including single parents, once their youngest child turns eight. For partnered parents, this occurs when their youngest child turns six.  </w:t>
      </w:r>
    </w:p>
    <w:p w:rsidR="00E1590B" w:rsidRDefault="00E1590B">
      <w:pPr>
        <w:widowControl/>
        <w:rPr>
          <w:rFonts w:ascii="Times New Roman" w:hAnsi="Times New Roman" w:cs="Times New Roman"/>
          <w:bCs/>
          <w:sz w:val="24"/>
        </w:rPr>
      </w:pPr>
      <w:r>
        <w:rPr>
          <w:rFonts w:ascii="Times New Roman" w:hAnsi="Times New Roman" w:cs="Times New Roman"/>
          <w:bCs/>
          <w:sz w:val="24"/>
        </w:rPr>
        <w:br w:type="page"/>
      </w:r>
    </w:p>
    <w:p w:rsidR="00880844" w:rsidRDefault="002D5C94" w:rsidP="0008100E">
      <w:pPr>
        <w:spacing w:line="240" w:lineRule="auto"/>
        <w:jc w:val="both"/>
        <w:rPr>
          <w:rFonts w:ascii="Times New Roman" w:hAnsi="Times New Roman"/>
          <w:sz w:val="24"/>
        </w:rPr>
      </w:pPr>
      <w:proofErr w:type="spellStart"/>
      <w:r w:rsidRPr="00DF45CE">
        <w:rPr>
          <w:rFonts w:ascii="Times New Roman" w:hAnsi="Times New Roman" w:cs="Times New Roman"/>
          <w:bCs/>
          <w:sz w:val="24"/>
        </w:rPr>
        <w:lastRenderedPageBreak/>
        <w:t>Newstart</w:t>
      </w:r>
      <w:proofErr w:type="spellEnd"/>
      <w:r w:rsidRPr="00DF45CE">
        <w:rPr>
          <w:rFonts w:ascii="Times New Roman" w:hAnsi="Times New Roman" w:cs="Times New Roman"/>
          <w:bCs/>
          <w:sz w:val="24"/>
        </w:rPr>
        <w:t xml:space="preserve"> Allowance is designed to provide a safety net for people who require financial assistance, while maintaining incentives for parents of school age children to find and maintain paid work.  </w:t>
      </w:r>
    </w:p>
    <w:p w:rsidR="002D5C94" w:rsidRPr="00DF45CE" w:rsidRDefault="002D5C94">
      <w:pPr>
        <w:spacing w:line="240" w:lineRule="auto"/>
        <w:jc w:val="both"/>
        <w:rPr>
          <w:rFonts w:ascii="Times New Roman" w:hAnsi="Times New Roman"/>
          <w:sz w:val="24"/>
        </w:rPr>
      </w:pPr>
      <w:r w:rsidRPr="00DF45CE">
        <w:rPr>
          <w:rFonts w:ascii="Times New Roman" w:hAnsi="Times New Roman"/>
          <w:sz w:val="24"/>
        </w:rPr>
        <w:t xml:space="preserve">Parents caring for children, whether receiving Parenting Payment Single or single </w:t>
      </w:r>
      <w:proofErr w:type="spellStart"/>
      <w:r w:rsidRPr="00DF45CE">
        <w:rPr>
          <w:rFonts w:ascii="Times New Roman" w:hAnsi="Times New Roman"/>
          <w:sz w:val="24"/>
        </w:rPr>
        <w:t>Newstart</w:t>
      </w:r>
      <w:proofErr w:type="spellEnd"/>
      <w:r w:rsidRPr="00DF45CE">
        <w:rPr>
          <w:rFonts w:ascii="Times New Roman" w:hAnsi="Times New Roman"/>
          <w:sz w:val="24"/>
        </w:rPr>
        <w:t> Allowance recipients with the primary care of a dependent child, may also receive additional assistance where they face additional costs:</w:t>
      </w:r>
    </w:p>
    <w:p w:rsidR="002D5C94" w:rsidRPr="00FD5A7D"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D5A7D">
        <w:rPr>
          <w:rFonts w:ascii="Times New Roman" w:hAnsi="Times New Roman" w:cs="Times New Roman"/>
          <w:sz w:val="24"/>
        </w:rPr>
        <w:t>Rent Assistance of up to $183.12 per fortnight</w:t>
      </w:r>
      <w:r w:rsidR="002E0A0E">
        <w:rPr>
          <w:rFonts w:ascii="Times New Roman" w:hAnsi="Times New Roman" w:cs="Times New Roman"/>
          <w:sz w:val="24"/>
        </w:rPr>
        <w:t>.</w:t>
      </w:r>
    </w:p>
    <w:p w:rsidR="002D5C94" w:rsidRPr="00FD5A7D"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D5A7D">
        <w:rPr>
          <w:rFonts w:ascii="Times New Roman" w:hAnsi="Times New Roman" w:cs="Times New Roman"/>
          <w:sz w:val="24"/>
        </w:rPr>
        <w:t xml:space="preserve">Family Tax Benefit Part A of up to </w:t>
      </w:r>
      <w:r w:rsidRPr="00DF45CE">
        <w:rPr>
          <w:rFonts w:ascii="Times New Roman" w:hAnsi="Times New Roman" w:cs="Times New Roman"/>
          <w:sz w:val="24"/>
        </w:rPr>
        <w:t>$186.20 per child aged under 13 years</w:t>
      </w:r>
      <w:r w:rsidR="0067031B">
        <w:rPr>
          <w:rFonts w:ascii="Times New Roman" w:hAnsi="Times New Roman" w:cs="Times New Roman"/>
          <w:sz w:val="24"/>
        </w:rPr>
        <w:t xml:space="preserve"> per fortnight</w:t>
      </w:r>
      <w:r>
        <w:rPr>
          <w:rFonts w:ascii="Times New Roman" w:hAnsi="Times New Roman" w:cs="Times New Roman"/>
          <w:sz w:val="24"/>
        </w:rPr>
        <w:t xml:space="preserve"> and </w:t>
      </w:r>
      <w:r w:rsidRPr="00DF45CE">
        <w:rPr>
          <w:rFonts w:ascii="Times New Roman" w:hAnsi="Times New Roman" w:cs="Times New Roman"/>
          <w:sz w:val="24"/>
        </w:rPr>
        <w:t>$242.20</w:t>
      </w:r>
      <w:proofErr w:type="gramStart"/>
      <w:r w:rsidRPr="00DF45CE">
        <w:rPr>
          <w:rFonts w:ascii="Times New Roman" w:hAnsi="Times New Roman" w:cs="Times New Roman"/>
          <w:sz w:val="24"/>
        </w:rPr>
        <w:t>  per</w:t>
      </w:r>
      <w:proofErr w:type="gramEnd"/>
      <w:r w:rsidRPr="00DF45CE">
        <w:rPr>
          <w:rFonts w:ascii="Times New Roman" w:hAnsi="Times New Roman" w:cs="Times New Roman"/>
          <w:sz w:val="24"/>
        </w:rPr>
        <w:t> child aged 13 to 15 years or a secondary school child aged</w:t>
      </w:r>
      <w:r w:rsidR="002C376E">
        <w:rPr>
          <w:rFonts w:ascii="Times New Roman" w:hAnsi="Times New Roman" w:cs="Times New Roman"/>
          <w:sz w:val="24"/>
        </w:rPr>
        <w:t> </w:t>
      </w:r>
      <w:r w:rsidRPr="00DF45CE">
        <w:rPr>
          <w:rFonts w:ascii="Times New Roman" w:hAnsi="Times New Roman" w:cs="Times New Roman"/>
          <w:sz w:val="24"/>
        </w:rPr>
        <w:t>16</w:t>
      </w:r>
      <w:r w:rsidR="002C376E">
        <w:rPr>
          <w:rFonts w:ascii="Times New Roman" w:hAnsi="Times New Roman" w:cs="Times New Roman"/>
          <w:sz w:val="24"/>
        </w:rPr>
        <w:t> </w:t>
      </w:r>
      <w:r w:rsidRPr="00DF45CE">
        <w:rPr>
          <w:rFonts w:ascii="Times New Roman" w:hAnsi="Times New Roman" w:cs="Times New Roman"/>
          <w:sz w:val="24"/>
        </w:rPr>
        <w:t>to</w:t>
      </w:r>
      <w:r w:rsidR="002C376E">
        <w:rPr>
          <w:rFonts w:ascii="Times New Roman" w:hAnsi="Times New Roman" w:cs="Times New Roman"/>
          <w:sz w:val="24"/>
        </w:rPr>
        <w:t> </w:t>
      </w:r>
      <w:r w:rsidRPr="00DF45CE">
        <w:rPr>
          <w:rFonts w:ascii="Times New Roman" w:hAnsi="Times New Roman" w:cs="Times New Roman"/>
          <w:sz w:val="24"/>
        </w:rPr>
        <w:t>19</w:t>
      </w:r>
      <w:r w:rsidR="002C376E">
        <w:rPr>
          <w:rFonts w:ascii="Times New Roman" w:hAnsi="Times New Roman" w:cs="Times New Roman"/>
          <w:sz w:val="24"/>
        </w:rPr>
        <w:t> </w:t>
      </w:r>
      <w:r w:rsidRPr="00DF45CE">
        <w:rPr>
          <w:rFonts w:ascii="Times New Roman" w:hAnsi="Times New Roman" w:cs="Times New Roman"/>
          <w:sz w:val="24"/>
        </w:rPr>
        <w:t>years</w:t>
      </w:r>
      <w:r w:rsidR="0067031B">
        <w:rPr>
          <w:rFonts w:ascii="Times New Roman" w:hAnsi="Times New Roman" w:cs="Times New Roman"/>
          <w:sz w:val="24"/>
        </w:rPr>
        <w:t xml:space="preserve"> per fortnight. </w:t>
      </w:r>
    </w:p>
    <w:p w:rsidR="002D5C94" w:rsidRPr="00FD5A7D"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D5A7D">
        <w:rPr>
          <w:rFonts w:ascii="Times New Roman" w:hAnsi="Times New Roman" w:cs="Times New Roman"/>
          <w:sz w:val="24"/>
        </w:rPr>
        <w:t xml:space="preserve">Family Tax Benefit Part B of </w:t>
      </w:r>
      <w:r w:rsidRPr="00DF45CE">
        <w:rPr>
          <w:rFonts w:ascii="Times New Roman" w:hAnsi="Times New Roman" w:cs="Times New Roman"/>
          <w:sz w:val="24"/>
        </w:rPr>
        <w:t xml:space="preserve">up to $158.34 per family per fortnight </w:t>
      </w:r>
      <w:r>
        <w:rPr>
          <w:rFonts w:ascii="Times New Roman" w:hAnsi="Times New Roman" w:cs="Times New Roman"/>
          <w:sz w:val="24"/>
        </w:rPr>
        <w:t>if the youngest child is </w:t>
      </w:r>
      <w:r w:rsidRPr="00DF45CE">
        <w:rPr>
          <w:rFonts w:ascii="Times New Roman" w:hAnsi="Times New Roman" w:cs="Times New Roman"/>
          <w:sz w:val="24"/>
        </w:rPr>
        <w:t>aged 0 to 5 years and $110.60 per family per fortnight if the youngest child is aged</w:t>
      </w:r>
      <w:r w:rsidR="002C376E">
        <w:rPr>
          <w:rFonts w:ascii="Times New Roman" w:hAnsi="Times New Roman" w:cs="Times New Roman"/>
          <w:sz w:val="24"/>
        </w:rPr>
        <w:t> </w:t>
      </w:r>
      <w:r w:rsidRPr="00DF45CE">
        <w:rPr>
          <w:rFonts w:ascii="Times New Roman" w:hAnsi="Times New Roman" w:cs="Times New Roman"/>
          <w:sz w:val="24"/>
        </w:rPr>
        <w:t>5</w:t>
      </w:r>
      <w:r w:rsidR="002C376E">
        <w:rPr>
          <w:rFonts w:ascii="Times New Roman" w:hAnsi="Times New Roman" w:cs="Times New Roman"/>
          <w:sz w:val="24"/>
        </w:rPr>
        <w:t> </w:t>
      </w:r>
      <w:r w:rsidRPr="00DF45CE">
        <w:rPr>
          <w:rFonts w:ascii="Times New Roman" w:hAnsi="Times New Roman" w:cs="Times New Roman"/>
          <w:sz w:val="24"/>
        </w:rPr>
        <w:t>to 18 years.</w:t>
      </w:r>
    </w:p>
    <w:p w:rsidR="002D5C94" w:rsidRPr="00FD5A7D"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D5A7D">
        <w:rPr>
          <w:rFonts w:ascii="Times New Roman" w:hAnsi="Times New Roman" w:cs="Times New Roman"/>
          <w:sz w:val="24"/>
        </w:rPr>
        <w:t>Education Entry Payment of $208 annually</w:t>
      </w:r>
      <w:r w:rsidR="002E0A0E">
        <w:rPr>
          <w:rFonts w:ascii="Times New Roman" w:hAnsi="Times New Roman" w:cs="Times New Roman"/>
          <w:sz w:val="24"/>
        </w:rPr>
        <w:t>.</w:t>
      </w:r>
    </w:p>
    <w:p w:rsidR="002D5C94" w:rsidRPr="00DA77BE"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D5A7D">
        <w:rPr>
          <w:rFonts w:ascii="Times New Roman" w:hAnsi="Times New Roman" w:cs="Times New Roman"/>
          <w:sz w:val="24"/>
        </w:rPr>
        <w:t>Telephone Allowance of up to $178.40 annually</w:t>
      </w:r>
      <w:r w:rsidR="002E0A0E">
        <w:rPr>
          <w:rFonts w:ascii="Times New Roman" w:hAnsi="Times New Roman" w:cs="Times New Roman"/>
          <w:sz w:val="24"/>
        </w:rPr>
        <w:t>.</w:t>
      </w:r>
    </w:p>
    <w:p w:rsidR="002D5C94" w:rsidRPr="00DA77BE"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DA77BE">
        <w:rPr>
          <w:rFonts w:ascii="Times New Roman" w:hAnsi="Times New Roman" w:cs="Times New Roman"/>
          <w:sz w:val="24"/>
        </w:rPr>
        <w:t>Mobility Allowance of up to $13</w:t>
      </w:r>
      <w:r w:rsidR="00B4276C">
        <w:rPr>
          <w:rFonts w:ascii="Times New Roman" w:hAnsi="Times New Roman" w:cs="Times New Roman"/>
          <w:sz w:val="24"/>
        </w:rPr>
        <w:t>9</w:t>
      </w:r>
      <w:r w:rsidRPr="00DA77BE">
        <w:rPr>
          <w:rFonts w:ascii="Times New Roman" w:hAnsi="Times New Roman" w:cs="Times New Roman"/>
          <w:sz w:val="24"/>
        </w:rPr>
        <w:t>.</w:t>
      </w:r>
      <w:r w:rsidR="00B4276C">
        <w:rPr>
          <w:rFonts w:ascii="Times New Roman" w:hAnsi="Times New Roman" w:cs="Times New Roman"/>
          <w:sz w:val="24"/>
        </w:rPr>
        <w:t>10</w:t>
      </w:r>
      <w:r w:rsidRPr="00DA77BE">
        <w:rPr>
          <w:rFonts w:ascii="Times New Roman" w:hAnsi="Times New Roman" w:cs="Times New Roman"/>
          <w:sz w:val="24"/>
        </w:rPr>
        <w:t xml:space="preserve"> per fortnight</w:t>
      </w:r>
      <w:r w:rsidR="00F45878">
        <w:rPr>
          <w:rFonts w:ascii="Times New Roman" w:hAnsi="Times New Roman" w:cs="Times New Roman"/>
          <w:sz w:val="24"/>
        </w:rPr>
        <w:t>.</w:t>
      </w:r>
      <w:r w:rsidRPr="00DA77BE">
        <w:rPr>
          <w:rFonts w:ascii="Times New Roman" w:hAnsi="Times New Roman" w:cs="Times New Roman"/>
          <w:sz w:val="24"/>
        </w:rPr>
        <w:t xml:space="preserve"> </w:t>
      </w:r>
    </w:p>
    <w:p w:rsidR="002D5C94" w:rsidRPr="00DA77BE" w:rsidRDefault="002D5C94" w:rsidP="000A2B1C">
      <w:pPr>
        <w:pStyle w:val="ListParagraph"/>
        <w:widowControl/>
        <w:numPr>
          <w:ilvl w:val="0"/>
          <w:numId w:val="4"/>
        </w:numPr>
        <w:spacing w:after="160" w:line="240" w:lineRule="auto"/>
        <w:jc w:val="both"/>
        <w:rPr>
          <w:rFonts w:ascii="Times New Roman" w:hAnsi="Times New Roman" w:cs="Times New Roman"/>
          <w:sz w:val="24"/>
        </w:rPr>
      </w:pPr>
      <w:proofErr w:type="spellStart"/>
      <w:r w:rsidRPr="00DA77BE">
        <w:rPr>
          <w:rFonts w:ascii="Times New Roman" w:hAnsi="Times New Roman" w:cs="Times New Roman"/>
          <w:sz w:val="24"/>
        </w:rPr>
        <w:t>Carer</w:t>
      </w:r>
      <w:proofErr w:type="spellEnd"/>
      <w:r w:rsidRPr="00DA77BE">
        <w:rPr>
          <w:rFonts w:ascii="Times New Roman" w:hAnsi="Times New Roman" w:cs="Times New Roman"/>
          <w:sz w:val="24"/>
        </w:rPr>
        <w:t xml:space="preserve"> Allowance of up to $1</w:t>
      </w:r>
      <w:r w:rsidR="00B4276C">
        <w:rPr>
          <w:rFonts w:ascii="Times New Roman" w:hAnsi="Times New Roman" w:cs="Times New Roman"/>
          <w:sz w:val="24"/>
        </w:rPr>
        <w:t>31</w:t>
      </w:r>
      <w:r w:rsidRPr="00DA77BE">
        <w:rPr>
          <w:rFonts w:ascii="Times New Roman" w:hAnsi="Times New Roman" w:cs="Times New Roman"/>
          <w:sz w:val="24"/>
        </w:rPr>
        <w:t>.</w:t>
      </w:r>
      <w:r w:rsidR="00B4276C">
        <w:rPr>
          <w:rFonts w:ascii="Times New Roman" w:hAnsi="Times New Roman" w:cs="Times New Roman"/>
          <w:sz w:val="24"/>
        </w:rPr>
        <w:t>9</w:t>
      </w:r>
      <w:r w:rsidRPr="00DA77BE">
        <w:rPr>
          <w:rFonts w:ascii="Times New Roman" w:hAnsi="Times New Roman" w:cs="Times New Roman"/>
          <w:sz w:val="24"/>
        </w:rPr>
        <w:t>0 per fortnight</w:t>
      </w:r>
      <w:r w:rsidR="002E0A0E">
        <w:rPr>
          <w:rFonts w:ascii="Times New Roman" w:hAnsi="Times New Roman" w:cs="Times New Roman"/>
          <w:sz w:val="24"/>
        </w:rPr>
        <w:t>.</w:t>
      </w:r>
    </w:p>
    <w:p w:rsidR="002D5C94" w:rsidRPr="00F02D69"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02D69">
        <w:rPr>
          <w:rFonts w:ascii="Times New Roman" w:hAnsi="Times New Roman" w:cs="Times New Roman"/>
          <w:sz w:val="24"/>
        </w:rPr>
        <w:t>Pensioner Education Supplement of up to $62.40 per fortnight</w:t>
      </w:r>
      <w:r w:rsidR="002E0A0E">
        <w:rPr>
          <w:rFonts w:ascii="Times New Roman" w:hAnsi="Times New Roman" w:cs="Times New Roman"/>
          <w:sz w:val="24"/>
        </w:rPr>
        <w:t>.</w:t>
      </w:r>
    </w:p>
    <w:p w:rsidR="002D5C94" w:rsidRPr="00F02D69"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02D69">
        <w:rPr>
          <w:rFonts w:ascii="Times New Roman" w:hAnsi="Times New Roman" w:cs="Times New Roman"/>
          <w:sz w:val="24"/>
        </w:rPr>
        <w:t>Language, Literacy and Numeracy Supplement of $20.80 per fortnight</w:t>
      </w:r>
      <w:r w:rsidR="002E0A0E">
        <w:rPr>
          <w:rFonts w:ascii="Times New Roman" w:hAnsi="Times New Roman" w:cs="Times New Roman"/>
          <w:sz w:val="24"/>
        </w:rPr>
        <w:t>.</w:t>
      </w:r>
    </w:p>
    <w:p w:rsidR="002D5C94" w:rsidRPr="00F02D69"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02D69">
        <w:rPr>
          <w:rFonts w:ascii="Times New Roman" w:hAnsi="Times New Roman" w:cs="Times New Roman"/>
          <w:sz w:val="24"/>
        </w:rPr>
        <w:t>Approved Program of Work Supplement of $20.80 per fortnight</w:t>
      </w:r>
      <w:r w:rsidR="002E0A0E">
        <w:rPr>
          <w:rFonts w:ascii="Times New Roman" w:hAnsi="Times New Roman" w:cs="Times New Roman"/>
          <w:sz w:val="24"/>
        </w:rPr>
        <w:t>.</w:t>
      </w:r>
    </w:p>
    <w:p w:rsidR="002D5C94" w:rsidRPr="00F02D69"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02D69">
        <w:rPr>
          <w:rFonts w:ascii="Times New Roman" w:hAnsi="Times New Roman" w:cs="Times New Roman"/>
          <w:sz w:val="24"/>
        </w:rPr>
        <w:t xml:space="preserve">Remote Area Allowance of $18.20 per fortnight, plus $7.30 per fortnight for each </w:t>
      </w:r>
      <w:proofErr w:type="spellStart"/>
      <w:r w:rsidRPr="00F02D69">
        <w:rPr>
          <w:rFonts w:ascii="Times New Roman" w:hAnsi="Times New Roman" w:cs="Times New Roman"/>
          <w:sz w:val="24"/>
        </w:rPr>
        <w:t>dependant</w:t>
      </w:r>
      <w:proofErr w:type="spellEnd"/>
      <w:r w:rsidR="002E0A0E">
        <w:rPr>
          <w:rFonts w:ascii="Times New Roman" w:hAnsi="Times New Roman" w:cs="Times New Roman"/>
          <w:sz w:val="24"/>
        </w:rPr>
        <w:t>.</w:t>
      </w:r>
    </w:p>
    <w:p w:rsidR="002D5C94" w:rsidRPr="00F02D69"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02D69">
        <w:rPr>
          <w:rFonts w:ascii="Times New Roman" w:hAnsi="Times New Roman" w:cs="Times New Roman"/>
          <w:sz w:val="24"/>
        </w:rPr>
        <w:t xml:space="preserve">Energy Supplement of $9.50 for </w:t>
      </w:r>
      <w:proofErr w:type="spellStart"/>
      <w:r w:rsidRPr="00F02D69">
        <w:rPr>
          <w:rFonts w:ascii="Times New Roman" w:hAnsi="Times New Roman" w:cs="Times New Roman"/>
          <w:sz w:val="24"/>
        </w:rPr>
        <w:t>Newstart</w:t>
      </w:r>
      <w:proofErr w:type="spellEnd"/>
      <w:r w:rsidRPr="00F02D69">
        <w:rPr>
          <w:rFonts w:ascii="Times New Roman" w:hAnsi="Times New Roman" w:cs="Times New Roman"/>
          <w:sz w:val="24"/>
        </w:rPr>
        <w:t xml:space="preserve"> Allowance per fortnight and $12.00 for Parenting Payment Single per fortnight</w:t>
      </w:r>
      <w:r w:rsidR="002E0A0E">
        <w:rPr>
          <w:rFonts w:ascii="Times New Roman" w:hAnsi="Times New Roman" w:cs="Times New Roman"/>
          <w:sz w:val="24"/>
        </w:rPr>
        <w:t>.</w:t>
      </w:r>
    </w:p>
    <w:p w:rsidR="002D5C94" w:rsidRPr="00F02D69" w:rsidRDefault="002D5C94" w:rsidP="000A2B1C">
      <w:pPr>
        <w:pStyle w:val="ListParagraph"/>
        <w:widowControl/>
        <w:numPr>
          <w:ilvl w:val="0"/>
          <w:numId w:val="4"/>
        </w:numPr>
        <w:spacing w:after="160" w:line="240" w:lineRule="auto"/>
        <w:jc w:val="both"/>
        <w:rPr>
          <w:rFonts w:ascii="Times New Roman" w:hAnsi="Times New Roman" w:cs="Times New Roman"/>
          <w:sz w:val="24"/>
        </w:rPr>
      </w:pPr>
      <w:r w:rsidRPr="00F02D69">
        <w:rPr>
          <w:rFonts w:ascii="Times New Roman" w:hAnsi="Times New Roman" w:cs="Times New Roman"/>
          <w:sz w:val="24"/>
        </w:rPr>
        <w:t>Pharmaceutical Allowance of $6.20 per fortnight.</w:t>
      </w:r>
    </w:p>
    <w:p w:rsidR="002D5C94" w:rsidRPr="00DF45CE" w:rsidRDefault="002D5C94" w:rsidP="00DF45CE">
      <w:pPr>
        <w:spacing w:line="240" w:lineRule="auto"/>
        <w:jc w:val="both"/>
        <w:rPr>
          <w:rFonts w:ascii="Times New Roman" w:hAnsi="Times New Roman"/>
          <w:sz w:val="24"/>
          <w:szCs w:val="24"/>
        </w:rPr>
      </w:pPr>
      <w:r w:rsidRPr="00DF45CE">
        <w:rPr>
          <w:rFonts w:ascii="Times New Roman" w:hAnsi="Times New Roman"/>
          <w:sz w:val="24"/>
          <w:szCs w:val="24"/>
        </w:rPr>
        <w:t xml:space="preserve">Single parents receiving </w:t>
      </w:r>
      <w:proofErr w:type="spellStart"/>
      <w:r w:rsidRPr="00DF45CE">
        <w:rPr>
          <w:rFonts w:ascii="Times New Roman" w:hAnsi="Times New Roman"/>
          <w:sz w:val="24"/>
          <w:szCs w:val="24"/>
        </w:rPr>
        <w:t>Newstart</w:t>
      </w:r>
      <w:proofErr w:type="spellEnd"/>
      <w:r w:rsidRPr="00DF45CE">
        <w:rPr>
          <w:rFonts w:ascii="Times New Roman" w:hAnsi="Times New Roman"/>
          <w:sz w:val="24"/>
          <w:szCs w:val="24"/>
        </w:rPr>
        <w:t xml:space="preserve"> Allowance with the primary care of a dependent child receive a higher rate of </w:t>
      </w:r>
      <w:proofErr w:type="spellStart"/>
      <w:r w:rsidRPr="00DF45CE">
        <w:rPr>
          <w:rFonts w:ascii="Times New Roman" w:hAnsi="Times New Roman"/>
          <w:sz w:val="24"/>
          <w:szCs w:val="24"/>
        </w:rPr>
        <w:t>Newstart</w:t>
      </w:r>
      <w:proofErr w:type="spellEnd"/>
      <w:r w:rsidRPr="00DF45CE">
        <w:rPr>
          <w:rFonts w:ascii="Times New Roman" w:hAnsi="Times New Roman"/>
          <w:sz w:val="24"/>
          <w:szCs w:val="24"/>
        </w:rPr>
        <w:t xml:space="preserve"> Allowance than those without the primary care of a dependent child.  They also benefit from a single income test taper rate of 40 cents in the dollar, which is the same as the Parenting Payment Single income test taper rate and more generous than the </w:t>
      </w:r>
      <w:proofErr w:type="spellStart"/>
      <w:r w:rsidRPr="00DF45CE">
        <w:rPr>
          <w:rFonts w:ascii="Times New Roman" w:hAnsi="Times New Roman"/>
          <w:sz w:val="24"/>
          <w:szCs w:val="24"/>
        </w:rPr>
        <w:t>Newstart</w:t>
      </w:r>
      <w:proofErr w:type="spellEnd"/>
      <w:r w:rsidRPr="00DF45CE">
        <w:rPr>
          <w:rFonts w:ascii="Times New Roman" w:hAnsi="Times New Roman"/>
          <w:sz w:val="24"/>
          <w:szCs w:val="24"/>
        </w:rPr>
        <w:t xml:space="preserve"> Allowance income test taper for single people, without the primary care of a dependent child.</w:t>
      </w:r>
    </w:p>
    <w:p w:rsidR="002D5C94" w:rsidRPr="0072064C" w:rsidRDefault="002D5C94" w:rsidP="00DF45CE">
      <w:pPr>
        <w:spacing w:line="240" w:lineRule="auto"/>
        <w:jc w:val="both"/>
        <w:rPr>
          <w:rFonts w:ascii="Times New Roman" w:hAnsi="Times New Roman"/>
          <w:sz w:val="24"/>
          <w:szCs w:val="24"/>
        </w:rPr>
      </w:pPr>
      <w:r w:rsidRPr="00DF45CE">
        <w:rPr>
          <w:rFonts w:ascii="Times New Roman" w:hAnsi="Times New Roman"/>
          <w:sz w:val="24"/>
          <w:szCs w:val="24"/>
        </w:rPr>
        <w:t xml:space="preserve">Further, single parents receiving </w:t>
      </w:r>
      <w:proofErr w:type="spellStart"/>
      <w:r w:rsidRPr="00DF45CE">
        <w:rPr>
          <w:rFonts w:ascii="Times New Roman" w:hAnsi="Times New Roman"/>
          <w:sz w:val="24"/>
          <w:szCs w:val="24"/>
        </w:rPr>
        <w:t>Newstart</w:t>
      </w:r>
      <w:proofErr w:type="spellEnd"/>
      <w:r w:rsidRPr="00DF45CE">
        <w:rPr>
          <w:rFonts w:ascii="Times New Roman" w:hAnsi="Times New Roman"/>
          <w:sz w:val="24"/>
          <w:szCs w:val="24"/>
        </w:rPr>
        <w:t xml:space="preserve"> Allowance with the primary care of a dependent child keep the Pensioner Concession Card for 12 weeks after ceas</w:t>
      </w:r>
      <w:r w:rsidR="00DA6BAE">
        <w:rPr>
          <w:rFonts w:ascii="Times New Roman" w:hAnsi="Times New Roman"/>
          <w:sz w:val="24"/>
          <w:szCs w:val="24"/>
        </w:rPr>
        <w:t>ing payment due to earnings and </w:t>
      </w:r>
      <w:r w:rsidRPr="00DF45CE">
        <w:rPr>
          <w:rFonts w:ascii="Times New Roman" w:hAnsi="Times New Roman"/>
          <w:sz w:val="24"/>
          <w:szCs w:val="24"/>
        </w:rPr>
        <w:t xml:space="preserve">may access a Health Care Card for a further 14 weeks if they remain off payment. This </w:t>
      </w:r>
      <w:r w:rsidRPr="0072064C">
        <w:rPr>
          <w:rFonts w:ascii="Times New Roman" w:hAnsi="Times New Roman"/>
          <w:sz w:val="24"/>
          <w:szCs w:val="24"/>
        </w:rPr>
        <w:t>provision is designed to further support people to transition from income support to work.</w:t>
      </w:r>
    </w:p>
    <w:p w:rsidR="00AA131F" w:rsidRPr="000A2B1C" w:rsidRDefault="00AA131F" w:rsidP="000A2B1C">
      <w:pPr>
        <w:spacing w:line="240" w:lineRule="auto"/>
        <w:jc w:val="both"/>
        <w:rPr>
          <w:rFonts w:ascii="Times New Roman" w:hAnsi="Times New Roman"/>
          <w:sz w:val="24"/>
          <w:szCs w:val="24"/>
        </w:rPr>
      </w:pPr>
      <w:r w:rsidRPr="000A2B1C">
        <w:rPr>
          <w:rFonts w:ascii="Times New Roman" w:hAnsi="Times New Roman"/>
          <w:sz w:val="24"/>
          <w:szCs w:val="24"/>
        </w:rPr>
        <w:t xml:space="preserve">The Australian Government provides a range of employment services and supports to assist job seekers, including single parents, into work in a way that is tailored to their individual needs and circumstances. Government-funded employment services assist job seekers to find work, to address their employment barriers, to better meet the needs of employers and to encourage employers to employ disadvantaged job seekers. In the mainstream employment service, </w:t>
      </w:r>
      <w:proofErr w:type="spellStart"/>
      <w:r w:rsidRPr="000A2B1C">
        <w:rPr>
          <w:rFonts w:ascii="Times New Roman" w:hAnsi="Times New Roman"/>
          <w:i/>
          <w:sz w:val="24"/>
          <w:szCs w:val="24"/>
        </w:rPr>
        <w:t>jobactive</w:t>
      </w:r>
      <w:proofErr w:type="spellEnd"/>
      <w:r w:rsidRPr="000A2B1C">
        <w:rPr>
          <w:rFonts w:ascii="Times New Roman" w:hAnsi="Times New Roman"/>
          <w:sz w:val="24"/>
          <w:szCs w:val="24"/>
        </w:rPr>
        <w:t xml:space="preserve">, providers have the flexibility to deliver services based on what each individual job seeker needs to become work-ready. </w:t>
      </w:r>
      <w:proofErr w:type="spellStart"/>
      <w:proofErr w:type="gramStart"/>
      <w:r w:rsidRPr="000A2B1C">
        <w:rPr>
          <w:rFonts w:ascii="Times New Roman" w:hAnsi="Times New Roman"/>
          <w:i/>
          <w:sz w:val="24"/>
          <w:szCs w:val="24"/>
        </w:rPr>
        <w:t>jobactive</w:t>
      </w:r>
      <w:proofErr w:type="spellEnd"/>
      <w:proofErr w:type="gramEnd"/>
      <w:r w:rsidRPr="000A2B1C">
        <w:rPr>
          <w:rFonts w:ascii="Times New Roman" w:hAnsi="Times New Roman"/>
          <w:sz w:val="24"/>
          <w:szCs w:val="24"/>
        </w:rPr>
        <w:t xml:space="preserve"> providers work with job seekers to develop </w:t>
      </w:r>
      <w:proofErr w:type="spellStart"/>
      <w:r w:rsidRPr="000A2B1C">
        <w:rPr>
          <w:rFonts w:ascii="Times New Roman" w:hAnsi="Times New Roman"/>
          <w:sz w:val="24"/>
          <w:szCs w:val="24"/>
        </w:rPr>
        <w:t>personalised</w:t>
      </w:r>
      <w:proofErr w:type="spellEnd"/>
      <w:r w:rsidRPr="000A2B1C">
        <w:rPr>
          <w:rFonts w:ascii="Times New Roman" w:hAnsi="Times New Roman"/>
          <w:sz w:val="24"/>
          <w:szCs w:val="24"/>
        </w:rPr>
        <w:t xml:space="preserve"> strategies and innovative approaches to meet the needs of job seekers and employers.</w:t>
      </w:r>
    </w:p>
    <w:p w:rsidR="00C72E0D" w:rsidRDefault="00C72E0D">
      <w:pPr>
        <w:widowControl/>
        <w:rPr>
          <w:rFonts w:ascii="Times New Roman" w:hAnsi="Times New Roman"/>
          <w:sz w:val="24"/>
          <w:szCs w:val="24"/>
        </w:rPr>
      </w:pPr>
      <w:r>
        <w:rPr>
          <w:rFonts w:ascii="Times New Roman" w:hAnsi="Times New Roman"/>
          <w:sz w:val="24"/>
          <w:szCs w:val="24"/>
        </w:rPr>
        <w:br w:type="page"/>
      </w:r>
    </w:p>
    <w:p w:rsidR="003540D4" w:rsidRDefault="00AA131F" w:rsidP="00E1590B">
      <w:pPr>
        <w:spacing w:line="240" w:lineRule="auto"/>
        <w:jc w:val="both"/>
        <w:rPr>
          <w:rFonts w:ascii="Times New Roman" w:hAnsi="Times New Roman"/>
          <w:sz w:val="24"/>
          <w:szCs w:val="24"/>
        </w:rPr>
      </w:pPr>
      <w:r w:rsidRPr="000A2B1C">
        <w:rPr>
          <w:rFonts w:ascii="Times New Roman" w:hAnsi="Times New Roman"/>
          <w:sz w:val="24"/>
          <w:szCs w:val="24"/>
        </w:rPr>
        <w:lastRenderedPageBreak/>
        <w:t xml:space="preserve">The </w:t>
      </w:r>
      <w:r w:rsidR="00D30551">
        <w:rPr>
          <w:rFonts w:ascii="Times New Roman" w:hAnsi="Times New Roman"/>
          <w:sz w:val="24"/>
          <w:szCs w:val="24"/>
        </w:rPr>
        <w:t xml:space="preserve">Australian </w:t>
      </w:r>
      <w:r w:rsidRPr="000A2B1C">
        <w:rPr>
          <w:rFonts w:ascii="Times New Roman" w:hAnsi="Times New Roman"/>
          <w:sz w:val="24"/>
          <w:szCs w:val="24"/>
        </w:rPr>
        <w:t xml:space="preserve">Government also provides a range of programs and incentives to support single parents move to employment as their children get older. These include the Try, Test and Learn Fund to trial new approaches to reduce the risks of long-term welfare dependence and the </w:t>
      </w:r>
      <w:proofErr w:type="spellStart"/>
      <w:r w:rsidRPr="000A2B1C">
        <w:rPr>
          <w:rFonts w:ascii="Times New Roman" w:hAnsi="Times New Roman"/>
          <w:sz w:val="24"/>
          <w:szCs w:val="24"/>
        </w:rPr>
        <w:t>ParentsNext</w:t>
      </w:r>
      <w:proofErr w:type="spellEnd"/>
      <w:r w:rsidRPr="000A2B1C">
        <w:rPr>
          <w:rFonts w:ascii="Times New Roman" w:hAnsi="Times New Roman"/>
          <w:sz w:val="24"/>
          <w:szCs w:val="24"/>
        </w:rPr>
        <w:t xml:space="preserve"> program, which is designed to help parents of young children prepare for employment by the time their children start school and is especially targeted at parents who are at risk of long-term unemployment and welfare dependency.</w:t>
      </w:r>
    </w:p>
    <w:p w:rsidR="002D5C94" w:rsidRPr="00DF45CE" w:rsidRDefault="002D5C94" w:rsidP="00DF45CE">
      <w:pPr>
        <w:spacing w:line="240" w:lineRule="auto"/>
        <w:jc w:val="both"/>
        <w:rPr>
          <w:rFonts w:ascii="Times New Roman" w:hAnsi="Times New Roman" w:cs="Times New Roman"/>
          <w:bCs/>
          <w:sz w:val="24"/>
        </w:rPr>
      </w:pPr>
      <w:r w:rsidRPr="00DF45CE">
        <w:rPr>
          <w:rFonts w:ascii="Times New Roman" w:hAnsi="Times New Roman" w:cs="Times New Roman"/>
          <w:bCs/>
          <w:sz w:val="24"/>
        </w:rPr>
        <w:t xml:space="preserve">The </w:t>
      </w:r>
      <w:r w:rsidR="009E6D16">
        <w:rPr>
          <w:rFonts w:ascii="Times New Roman" w:hAnsi="Times New Roman" w:cs="Times New Roman"/>
          <w:bCs/>
          <w:sz w:val="24"/>
        </w:rPr>
        <w:t xml:space="preserve">Australian </w:t>
      </w:r>
      <w:r w:rsidRPr="00DF45CE">
        <w:rPr>
          <w:rFonts w:ascii="Times New Roman" w:hAnsi="Times New Roman" w:cs="Times New Roman"/>
          <w:bCs/>
          <w:sz w:val="24"/>
        </w:rPr>
        <w:t>Government remains committed to policy settings that provide a safety net for single parents who require financial assistance, balanced with incentives to help them to participate in paid work, where possible, and the sustainability of the system.</w:t>
      </w:r>
    </w:p>
    <w:p w:rsidR="004E1DA3" w:rsidRDefault="004E1DA3" w:rsidP="004E1DA3">
      <w:pPr>
        <w:spacing w:after="120" w:line="240" w:lineRule="auto"/>
        <w:ind w:right="88"/>
        <w:jc w:val="both"/>
        <w:rPr>
          <w:rFonts w:ascii="Times New Roman" w:eastAsia="Times New Roman" w:hAnsi="Times New Roman" w:cs="Times New Roman"/>
          <w:bCs/>
          <w:sz w:val="24"/>
          <w:szCs w:val="24"/>
        </w:rPr>
      </w:pPr>
    </w:p>
    <w:p w:rsidR="004E1DA3" w:rsidRPr="002D5D88" w:rsidRDefault="00E118DB" w:rsidP="001B4BBB">
      <w:pPr>
        <w:pStyle w:val="ListParagraph"/>
        <w:numPr>
          <w:ilvl w:val="0"/>
          <w:numId w:val="1"/>
        </w:numPr>
        <w:pBdr>
          <w:top w:val="single" w:sz="4" w:space="0" w:color="auto"/>
          <w:left w:val="single" w:sz="4" w:space="4" w:color="auto"/>
          <w:bottom w:val="single" w:sz="4" w:space="1" w:color="auto"/>
          <w:right w:val="single" w:sz="4" w:space="4" w:color="auto"/>
        </w:pBdr>
        <w:spacing w:after="120" w:line="240" w:lineRule="auto"/>
        <w:ind w:right="88"/>
        <w:rPr>
          <w:rFonts w:ascii="Times New Roman" w:eastAsia="Times New Roman" w:hAnsi="Times New Roman" w:cs="Times New Roman"/>
          <w:sz w:val="24"/>
          <w:szCs w:val="24"/>
        </w:rPr>
      </w:pPr>
      <w:r w:rsidRPr="002D5D88">
        <w:rPr>
          <w:rFonts w:ascii="Times New Roman" w:eastAsia="Times New Roman" w:hAnsi="Times New Roman" w:cs="Times New Roman"/>
          <w:sz w:val="24"/>
          <w:szCs w:val="24"/>
        </w:rPr>
        <w:t xml:space="preserve">The Committee recommends that the Australian Government encourage employers to investigate opportunities associated with social investment </w:t>
      </w:r>
      <w:proofErr w:type="spellStart"/>
      <w:r w:rsidRPr="002D5D88">
        <w:rPr>
          <w:rFonts w:ascii="Times New Roman" w:eastAsia="Times New Roman" w:hAnsi="Times New Roman" w:cs="Times New Roman"/>
          <w:sz w:val="24"/>
          <w:szCs w:val="24"/>
        </w:rPr>
        <w:t>organisations</w:t>
      </w:r>
      <w:proofErr w:type="spellEnd"/>
      <w:r w:rsidRPr="002D5D88">
        <w:rPr>
          <w:rFonts w:ascii="Times New Roman" w:eastAsia="Times New Roman" w:hAnsi="Times New Roman" w:cs="Times New Roman"/>
          <w:sz w:val="24"/>
          <w:szCs w:val="24"/>
        </w:rPr>
        <w:t xml:space="preserve">; including encouraging employers to make operational changes that would facilitate opportunities for single parents to enter the workforce, such as part-time or job-sharing arrangements.  </w:t>
      </w:r>
    </w:p>
    <w:p w:rsidR="004E1DA3" w:rsidRPr="002D5D88" w:rsidRDefault="0063174D" w:rsidP="004E1DA3">
      <w:pPr>
        <w:spacing w:before="120" w:after="120" w:line="240" w:lineRule="auto"/>
        <w:ind w:right="91"/>
        <w:jc w:val="both"/>
        <w:rPr>
          <w:rFonts w:ascii="Times New Roman" w:eastAsia="Times New Roman" w:hAnsi="Times New Roman" w:cs="Times New Roman"/>
          <w:b/>
          <w:spacing w:val="2"/>
          <w:sz w:val="24"/>
          <w:szCs w:val="24"/>
        </w:rPr>
      </w:pPr>
      <w:r w:rsidRPr="002D5D88">
        <w:rPr>
          <w:rFonts w:ascii="Times New Roman" w:eastAsia="Times New Roman" w:hAnsi="Times New Roman" w:cs="Times New Roman"/>
          <w:b/>
          <w:spacing w:val="2"/>
          <w:sz w:val="24"/>
          <w:szCs w:val="24"/>
        </w:rPr>
        <w:t>N</w:t>
      </w:r>
      <w:r w:rsidR="004E1DA3" w:rsidRPr="002D5D88">
        <w:rPr>
          <w:rFonts w:ascii="Times New Roman" w:eastAsia="Times New Roman" w:hAnsi="Times New Roman" w:cs="Times New Roman"/>
          <w:b/>
          <w:spacing w:val="2"/>
          <w:sz w:val="24"/>
          <w:szCs w:val="24"/>
        </w:rPr>
        <w:t>oted</w:t>
      </w:r>
    </w:p>
    <w:p w:rsidR="00B366DE" w:rsidRPr="00C31175" w:rsidRDefault="00B366DE" w:rsidP="00B366DE">
      <w:pPr>
        <w:spacing w:line="240" w:lineRule="auto"/>
        <w:jc w:val="both"/>
        <w:rPr>
          <w:rFonts w:ascii="Times New Roman" w:hAnsi="Times New Roman"/>
          <w:sz w:val="24"/>
          <w:szCs w:val="24"/>
          <w:u w:val="single"/>
        </w:rPr>
      </w:pPr>
      <w:r>
        <w:rPr>
          <w:rFonts w:ascii="Times New Roman" w:hAnsi="Times New Roman"/>
          <w:sz w:val="24"/>
          <w:szCs w:val="24"/>
          <w:u w:val="single"/>
        </w:rPr>
        <w:t>Flexible work arrangements</w:t>
      </w:r>
    </w:p>
    <w:p w:rsidR="009B4275" w:rsidRPr="009B4275" w:rsidRDefault="00B366DE" w:rsidP="00B366DE">
      <w:pPr>
        <w:spacing w:line="240" w:lineRule="auto"/>
        <w:jc w:val="both"/>
        <w:rPr>
          <w:rFonts w:ascii="Times New Roman" w:hAnsi="Times New Roman"/>
          <w:sz w:val="24"/>
          <w:szCs w:val="24"/>
        </w:rPr>
      </w:pPr>
      <w:r w:rsidRPr="001027F1">
        <w:rPr>
          <w:rFonts w:ascii="Times New Roman" w:hAnsi="Times New Roman"/>
          <w:sz w:val="24"/>
          <w:szCs w:val="24"/>
        </w:rPr>
        <w:t xml:space="preserve">The </w:t>
      </w:r>
      <w:r w:rsidR="00D30551">
        <w:rPr>
          <w:rFonts w:ascii="Times New Roman" w:hAnsi="Times New Roman"/>
          <w:sz w:val="24"/>
          <w:szCs w:val="24"/>
        </w:rPr>
        <w:t xml:space="preserve">Australian </w:t>
      </w:r>
      <w:r w:rsidRPr="001027F1">
        <w:rPr>
          <w:rFonts w:ascii="Times New Roman" w:hAnsi="Times New Roman"/>
          <w:sz w:val="24"/>
          <w:szCs w:val="24"/>
        </w:rPr>
        <w:t xml:space="preserve">Government is committed to promoting the benefits of flexible working. The Fair Work Ombudsman, the Australian Human Rights Commission, and the Workplace Gender Equality Agency all provide information and tools for employers and employees to promote flexible </w:t>
      </w:r>
      <w:r w:rsidRPr="009B4275">
        <w:rPr>
          <w:rFonts w:ascii="Times New Roman" w:hAnsi="Times New Roman"/>
          <w:sz w:val="24"/>
          <w:szCs w:val="24"/>
        </w:rPr>
        <w:t>working arrangements.</w:t>
      </w:r>
    </w:p>
    <w:p w:rsidR="009B4275" w:rsidRPr="000A2B1C" w:rsidRDefault="009B4275" w:rsidP="009B4275">
      <w:pPr>
        <w:spacing w:line="240" w:lineRule="auto"/>
        <w:jc w:val="both"/>
        <w:rPr>
          <w:rFonts w:ascii="Times New Roman" w:hAnsi="Times New Roman"/>
          <w:i/>
          <w:sz w:val="24"/>
          <w:szCs w:val="24"/>
          <w:u w:val="single"/>
        </w:rPr>
      </w:pPr>
      <w:proofErr w:type="spellStart"/>
      <w:proofErr w:type="gramStart"/>
      <w:r w:rsidRPr="000A2B1C">
        <w:rPr>
          <w:rFonts w:ascii="Times New Roman" w:hAnsi="Times New Roman"/>
          <w:i/>
          <w:sz w:val="24"/>
          <w:szCs w:val="24"/>
          <w:u w:val="single"/>
        </w:rPr>
        <w:t>jobactive</w:t>
      </w:r>
      <w:proofErr w:type="spellEnd"/>
      <w:proofErr w:type="gramEnd"/>
      <w:r w:rsidRPr="000A2B1C">
        <w:rPr>
          <w:rFonts w:ascii="Times New Roman" w:hAnsi="Times New Roman"/>
          <w:i/>
          <w:sz w:val="24"/>
          <w:szCs w:val="24"/>
          <w:u w:val="single"/>
        </w:rPr>
        <w:t xml:space="preserve"> </w:t>
      </w:r>
    </w:p>
    <w:p w:rsidR="009B4275" w:rsidRPr="000A2B1C" w:rsidRDefault="009B4275" w:rsidP="009B4275">
      <w:pPr>
        <w:spacing w:line="240" w:lineRule="auto"/>
        <w:jc w:val="both"/>
        <w:rPr>
          <w:rFonts w:ascii="Times New Roman" w:hAnsi="Times New Roman"/>
          <w:sz w:val="24"/>
          <w:szCs w:val="24"/>
        </w:rPr>
      </w:pPr>
      <w:r w:rsidRPr="000A2B1C">
        <w:rPr>
          <w:rFonts w:ascii="Times New Roman" w:hAnsi="Times New Roman"/>
          <w:sz w:val="24"/>
          <w:szCs w:val="24"/>
        </w:rPr>
        <w:t xml:space="preserve">A network of </w:t>
      </w:r>
      <w:proofErr w:type="spellStart"/>
      <w:r w:rsidRPr="000A2B1C">
        <w:rPr>
          <w:rFonts w:ascii="Times New Roman" w:hAnsi="Times New Roman"/>
          <w:i/>
          <w:sz w:val="24"/>
          <w:szCs w:val="24"/>
        </w:rPr>
        <w:t>jobactive</w:t>
      </w:r>
      <w:proofErr w:type="spellEnd"/>
      <w:r w:rsidRPr="000A2B1C">
        <w:rPr>
          <w:rFonts w:ascii="Times New Roman" w:hAnsi="Times New Roman"/>
          <w:sz w:val="24"/>
          <w:szCs w:val="24"/>
        </w:rPr>
        <w:t xml:space="preserve"> providers operates across 1700 locations in Australia to deliver employment services to employers and job seekers, including single parents. </w:t>
      </w:r>
    </w:p>
    <w:p w:rsidR="009B4275" w:rsidRPr="000A2B1C" w:rsidRDefault="009B4275" w:rsidP="009B4275">
      <w:pPr>
        <w:spacing w:line="240" w:lineRule="auto"/>
        <w:jc w:val="both"/>
        <w:rPr>
          <w:rFonts w:ascii="Times New Roman" w:hAnsi="Times New Roman"/>
          <w:sz w:val="24"/>
          <w:szCs w:val="24"/>
        </w:rPr>
      </w:pPr>
      <w:proofErr w:type="spellStart"/>
      <w:proofErr w:type="gramStart"/>
      <w:r w:rsidRPr="000A2B1C">
        <w:rPr>
          <w:rFonts w:ascii="Times New Roman" w:hAnsi="Times New Roman"/>
          <w:i/>
          <w:sz w:val="24"/>
          <w:szCs w:val="24"/>
        </w:rPr>
        <w:t>jobactive</w:t>
      </w:r>
      <w:proofErr w:type="spellEnd"/>
      <w:proofErr w:type="gramEnd"/>
      <w:r w:rsidRPr="000A2B1C">
        <w:rPr>
          <w:rFonts w:ascii="Times New Roman" w:hAnsi="Times New Roman"/>
          <w:sz w:val="24"/>
          <w:szCs w:val="24"/>
        </w:rPr>
        <w:t xml:space="preserve"> providers work closely with employers to understand their recruitment needs. They tailor their services to ensure an employer gets the help they need to find suitable staff and job seekers are supported to get and keep a job. </w:t>
      </w:r>
    </w:p>
    <w:p w:rsidR="009B4275" w:rsidRPr="000A2B1C" w:rsidRDefault="009B4275" w:rsidP="009B4275">
      <w:pPr>
        <w:spacing w:line="240" w:lineRule="auto"/>
        <w:jc w:val="both"/>
        <w:rPr>
          <w:rFonts w:ascii="Times New Roman" w:hAnsi="Times New Roman"/>
          <w:sz w:val="24"/>
          <w:szCs w:val="24"/>
        </w:rPr>
      </w:pPr>
      <w:proofErr w:type="spellStart"/>
      <w:proofErr w:type="gramStart"/>
      <w:r w:rsidRPr="000A2B1C">
        <w:rPr>
          <w:rFonts w:ascii="Times New Roman" w:hAnsi="Times New Roman"/>
          <w:i/>
          <w:sz w:val="24"/>
          <w:szCs w:val="24"/>
        </w:rPr>
        <w:t>jobactive</w:t>
      </w:r>
      <w:proofErr w:type="spellEnd"/>
      <w:proofErr w:type="gramEnd"/>
      <w:r w:rsidRPr="000A2B1C">
        <w:rPr>
          <w:rFonts w:ascii="Times New Roman" w:hAnsi="Times New Roman"/>
          <w:sz w:val="24"/>
          <w:szCs w:val="24"/>
        </w:rPr>
        <w:t xml:space="preserve"> providers have access to a range of interventions to support or </w:t>
      </w:r>
      <w:proofErr w:type="spellStart"/>
      <w:r w:rsidRPr="000A2B1C">
        <w:rPr>
          <w:rFonts w:ascii="Times New Roman" w:hAnsi="Times New Roman"/>
          <w:sz w:val="24"/>
          <w:szCs w:val="24"/>
        </w:rPr>
        <w:t>incentivise</w:t>
      </w:r>
      <w:proofErr w:type="spellEnd"/>
      <w:r w:rsidRPr="000A2B1C">
        <w:rPr>
          <w:rFonts w:ascii="Times New Roman" w:hAnsi="Times New Roman"/>
          <w:sz w:val="24"/>
          <w:szCs w:val="24"/>
        </w:rPr>
        <w:t xml:space="preserve"> employers to provide work opportunities to job seekers who are more disadvantaged, including single parents. For example, </w:t>
      </w:r>
      <w:proofErr w:type="spellStart"/>
      <w:r w:rsidRPr="000A2B1C">
        <w:rPr>
          <w:rFonts w:ascii="Times New Roman" w:hAnsi="Times New Roman"/>
          <w:i/>
          <w:sz w:val="24"/>
          <w:szCs w:val="24"/>
        </w:rPr>
        <w:t>jobactive</w:t>
      </w:r>
      <w:proofErr w:type="spellEnd"/>
      <w:r w:rsidRPr="000A2B1C">
        <w:rPr>
          <w:rFonts w:ascii="Times New Roman" w:hAnsi="Times New Roman"/>
          <w:sz w:val="24"/>
          <w:szCs w:val="24"/>
        </w:rPr>
        <w:t xml:space="preserve"> providers may use wage subsidies to help broker employment opportunities for single parents and other disadvantaged job seekers. This can include brokering ongoing part-time work for single parents who want to work during school hours for example. Wage subsidies encourage employers to hire eligible job seekers in ongoing jobs by contributing to the in</w:t>
      </w:r>
      <w:r w:rsidR="008C1DC1">
        <w:rPr>
          <w:rFonts w:ascii="Times New Roman" w:hAnsi="Times New Roman"/>
          <w:sz w:val="24"/>
          <w:szCs w:val="24"/>
        </w:rPr>
        <w:t>i</w:t>
      </w:r>
      <w:r w:rsidRPr="000A2B1C">
        <w:rPr>
          <w:rFonts w:ascii="Times New Roman" w:hAnsi="Times New Roman"/>
          <w:sz w:val="24"/>
          <w:szCs w:val="24"/>
        </w:rPr>
        <w:t xml:space="preserve">tial costs of hiring a new employee. </w:t>
      </w:r>
    </w:p>
    <w:p w:rsidR="009B4275" w:rsidRPr="000A2B1C" w:rsidRDefault="009B4275" w:rsidP="009B4275">
      <w:pPr>
        <w:spacing w:line="240" w:lineRule="auto"/>
        <w:jc w:val="both"/>
        <w:rPr>
          <w:rFonts w:ascii="Times New Roman" w:hAnsi="Times New Roman"/>
          <w:sz w:val="24"/>
          <w:szCs w:val="24"/>
        </w:rPr>
      </w:pPr>
      <w:proofErr w:type="spellStart"/>
      <w:proofErr w:type="gramStart"/>
      <w:r w:rsidRPr="000A2B1C">
        <w:rPr>
          <w:rFonts w:ascii="Times New Roman" w:hAnsi="Times New Roman"/>
          <w:i/>
          <w:sz w:val="24"/>
          <w:szCs w:val="24"/>
        </w:rPr>
        <w:t>jobactive</w:t>
      </w:r>
      <w:proofErr w:type="spellEnd"/>
      <w:proofErr w:type="gramEnd"/>
      <w:r w:rsidRPr="000A2B1C">
        <w:rPr>
          <w:rFonts w:ascii="Times New Roman" w:hAnsi="Times New Roman"/>
          <w:sz w:val="24"/>
          <w:szCs w:val="24"/>
        </w:rPr>
        <w:t xml:space="preserve"> providers can also access the Employment Fund to purchase a range of goods and services to help job seekers and employers. For example, it may be used to pay for training or tools or equipment for job seekers where this is required by an employer for a specific job. It may also be used to support single parents’ participation in work, training or job search by paying for out-of-pocket child care or after school </w:t>
      </w:r>
      <w:proofErr w:type="gramStart"/>
      <w:r w:rsidRPr="000A2B1C">
        <w:rPr>
          <w:rFonts w:ascii="Times New Roman" w:hAnsi="Times New Roman"/>
          <w:sz w:val="24"/>
          <w:szCs w:val="24"/>
        </w:rPr>
        <w:t>hours</w:t>
      </w:r>
      <w:proofErr w:type="gramEnd"/>
      <w:r w:rsidRPr="000A2B1C">
        <w:rPr>
          <w:rFonts w:ascii="Times New Roman" w:hAnsi="Times New Roman"/>
          <w:sz w:val="24"/>
          <w:szCs w:val="24"/>
        </w:rPr>
        <w:t xml:space="preserve"> care.  </w:t>
      </w:r>
    </w:p>
    <w:p w:rsidR="009B4275" w:rsidRPr="000A2B1C" w:rsidRDefault="009B4275" w:rsidP="009B4275">
      <w:pPr>
        <w:spacing w:line="240" w:lineRule="auto"/>
        <w:jc w:val="both"/>
        <w:rPr>
          <w:rFonts w:ascii="Times New Roman" w:hAnsi="Times New Roman"/>
          <w:sz w:val="24"/>
          <w:szCs w:val="24"/>
          <w:u w:val="single"/>
        </w:rPr>
      </w:pPr>
      <w:proofErr w:type="spellStart"/>
      <w:r w:rsidRPr="000A2B1C">
        <w:rPr>
          <w:rFonts w:ascii="Times New Roman" w:hAnsi="Times New Roman"/>
          <w:sz w:val="24"/>
          <w:szCs w:val="24"/>
          <w:u w:val="single"/>
        </w:rPr>
        <w:t>ParentsNext</w:t>
      </w:r>
      <w:proofErr w:type="spellEnd"/>
    </w:p>
    <w:p w:rsidR="00E1590B" w:rsidRDefault="009B4275" w:rsidP="00C72E0D">
      <w:pPr>
        <w:spacing w:line="240" w:lineRule="auto"/>
        <w:jc w:val="both"/>
        <w:rPr>
          <w:rFonts w:ascii="Times New Roman" w:hAnsi="Times New Roman"/>
          <w:sz w:val="24"/>
          <w:szCs w:val="24"/>
        </w:rPr>
      </w:pPr>
      <w:r w:rsidRPr="000A2B1C">
        <w:rPr>
          <w:rFonts w:ascii="Times New Roman" w:hAnsi="Times New Roman"/>
          <w:sz w:val="24"/>
          <w:szCs w:val="24"/>
        </w:rPr>
        <w:t xml:space="preserve">While the focus of </w:t>
      </w:r>
      <w:proofErr w:type="spellStart"/>
      <w:r w:rsidRPr="000A2B1C">
        <w:rPr>
          <w:rFonts w:ascii="Times New Roman" w:hAnsi="Times New Roman"/>
          <w:sz w:val="24"/>
          <w:szCs w:val="24"/>
        </w:rPr>
        <w:t>ParentsNext</w:t>
      </w:r>
      <w:proofErr w:type="spellEnd"/>
      <w:r w:rsidRPr="000A2B1C">
        <w:rPr>
          <w:rFonts w:ascii="Times New Roman" w:hAnsi="Times New Roman"/>
          <w:sz w:val="24"/>
          <w:szCs w:val="24"/>
        </w:rPr>
        <w:t xml:space="preserve"> is on pre-employment support, providers also </w:t>
      </w:r>
      <w:r w:rsidR="00BF33A7">
        <w:rPr>
          <w:rFonts w:ascii="Times New Roman" w:hAnsi="Times New Roman"/>
          <w:sz w:val="24"/>
          <w:szCs w:val="24"/>
        </w:rPr>
        <w:t>offer</w:t>
      </w:r>
      <w:r w:rsidR="00BF33A7" w:rsidRPr="000A2B1C">
        <w:rPr>
          <w:rFonts w:ascii="Times New Roman" w:hAnsi="Times New Roman"/>
          <w:sz w:val="24"/>
          <w:szCs w:val="24"/>
        </w:rPr>
        <w:t xml:space="preserve"> </w:t>
      </w:r>
      <w:r w:rsidRPr="000A2B1C">
        <w:rPr>
          <w:rFonts w:ascii="Times New Roman" w:hAnsi="Times New Roman"/>
          <w:sz w:val="24"/>
          <w:szCs w:val="24"/>
        </w:rPr>
        <w:t xml:space="preserve">assistance to parents who want to work. Providers work with employers to support parents into work opportunities that </w:t>
      </w:r>
      <w:proofErr w:type="spellStart"/>
      <w:r w:rsidRPr="000A2B1C">
        <w:rPr>
          <w:rFonts w:ascii="Times New Roman" w:hAnsi="Times New Roman"/>
          <w:sz w:val="24"/>
          <w:szCs w:val="24"/>
        </w:rPr>
        <w:t>recognise</w:t>
      </w:r>
      <w:proofErr w:type="spellEnd"/>
      <w:r w:rsidRPr="000A2B1C">
        <w:rPr>
          <w:rFonts w:ascii="Times New Roman" w:hAnsi="Times New Roman"/>
          <w:sz w:val="24"/>
          <w:szCs w:val="24"/>
        </w:rPr>
        <w:t xml:space="preserve"> their family circumstances. </w:t>
      </w:r>
      <w:r w:rsidR="00E1590B">
        <w:rPr>
          <w:rFonts w:ascii="Times New Roman" w:hAnsi="Times New Roman"/>
          <w:sz w:val="24"/>
          <w:szCs w:val="24"/>
        </w:rPr>
        <w:br w:type="page"/>
      </w:r>
    </w:p>
    <w:p w:rsidR="00711BAC" w:rsidRDefault="009B4275" w:rsidP="00E1590B">
      <w:pPr>
        <w:spacing w:line="240" w:lineRule="auto"/>
        <w:jc w:val="both"/>
        <w:rPr>
          <w:rFonts w:ascii="Times New Roman" w:hAnsi="Times New Roman"/>
          <w:sz w:val="24"/>
          <w:szCs w:val="24"/>
        </w:rPr>
      </w:pPr>
      <w:r w:rsidRPr="000A2B1C">
        <w:rPr>
          <w:rFonts w:ascii="Times New Roman" w:hAnsi="Times New Roman"/>
          <w:sz w:val="24"/>
          <w:szCs w:val="24"/>
        </w:rPr>
        <w:lastRenderedPageBreak/>
        <w:t xml:space="preserve">Additional resources are available in the Intensive Stream of </w:t>
      </w:r>
      <w:proofErr w:type="spellStart"/>
      <w:r w:rsidRPr="000A2B1C">
        <w:rPr>
          <w:rFonts w:ascii="Times New Roman" w:hAnsi="Times New Roman"/>
          <w:sz w:val="24"/>
          <w:szCs w:val="24"/>
        </w:rPr>
        <w:t>P</w:t>
      </w:r>
      <w:r w:rsidR="0067031B" w:rsidRPr="00855B4A">
        <w:rPr>
          <w:rFonts w:ascii="Times New Roman" w:hAnsi="Times New Roman"/>
          <w:sz w:val="24"/>
          <w:szCs w:val="24"/>
        </w:rPr>
        <w:t>arentsNext</w:t>
      </w:r>
      <w:proofErr w:type="spellEnd"/>
      <w:r w:rsidR="00BF33A7">
        <w:rPr>
          <w:rFonts w:ascii="Times New Roman" w:hAnsi="Times New Roman"/>
          <w:sz w:val="24"/>
          <w:szCs w:val="24"/>
        </w:rPr>
        <w:t>,</w:t>
      </w:r>
      <w:r w:rsidR="0067031B" w:rsidRPr="00855B4A">
        <w:rPr>
          <w:rFonts w:ascii="Times New Roman" w:hAnsi="Times New Roman"/>
          <w:sz w:val="24"/>
          <w:szCs w:val="24"/>
        </w:rPr>
        <w:t xml:space="preserve"> which operates in 30</w:t>
      </w:r>
      <w:r w:rsidR="0067031B">
        <w:rPr>
          <w:rFonts w:ascii="Times New Roman" w:hAnsi="Times New Roman"/>
          <w:sz w:val="24"/>
          <w:szCs w:val="24"/>
        </w:rPr>
        <w:t> </w:t>
      </w:r>
      <w:r w:rsidRPr="000A2B1C">
        <w:rPr>
          <w:rFonts w:ascii="Times New Roman" w:hAnsi="Times New Roman"/>
          <w:sz w:val="24"/>
          <w:szCs w:val="24"/>
        </w:rPr>
        <w:t>locations. This includes access to wage subsidies to help b</w:t>
      </w:r>
      <w:r w:rsidR="0067031B" w:rsidRPr="00855B4A">
        <w:rPr>
          <w:rFonts w:ascii="Times New Roman" w:hAnsi="Times New Roman"/>
          <w:sz w:val="24"/>
          <w:szCs w:val="24"/>
        </w:rPr>
        <w:t>roker ongoing part-time or full</w:t>
      </w:r>
      <w:r w:rsidR="0067031B">
        <w:rPr>
          <w:rFonts w:ascii="Times New Roman" w:hAnsi="Times New Roman"/>
          <w:sz w:val="24"/>
          <w:szCs w:val="24"/>
        </w:rPr>
        <w:noBreakHyphen/>
      </w:r>
      <w:r w:rsidRPr="000A2B1C">
        <w:rPr>
          <w:rFonts w:ascii="Times New Roman" w:hAnsi="Times New Roman"/>
          <w:sz w:val="24"/>
          <w:szCs w:val="24"/>
        </w:rPr>
        <w:t>time employment opportunities based on the parent’s preference, and access to a Partic</w:t>
      </w:r>
      <w:r w:rsidR="008C1DC1">
        <w:rPr>
          <w:rFonts w:ascii="Times New Roman" w:hAnsi="Times New Roman"/>
          <w:sz w:val="24"/>
          <w:szCs w:val="24"/>
        </w:rPr>
        <w:t>i</w:t>
      </w:r>
      <w:r w:rsidRPr="000A2B1C">
        <w:rPr>
          <w:rFonts w:ascii="Times New Roman" w:hAnsi="Times New Roman"/>
          <w:sz w:val="24"/>
          <w:szCs w:val="24"/>
        </w:rPr>
        <w:t>pation Fund which may be used to pay for employer required training for spe</w:t>
      </w:r>
      <w:r w:rsidR="002C376E">
        <w:rPr>
          <w:rFonts w:ascii="Times New Roman" w:hAnsi="Times New Roman"/>
          <w:sz w:val="24"/>
          <w:szCs w:val="24"/>
        </w:rPr>
        <w:t>cific jobs, or to help with out</w:t>
      </w:r>
      <w:r w:rsidR="002C376E">
        <w:rPr>
          <w:rFonts w:ascii="Times New Roman" w:hAnsi="Times New Roman"/>
          <w:sz w:val="24"/>
          <w:szCs w:val="24"/>
        </w:rPr>
        <w:noBreakHyphen/>
        <w:t>of</w:t>
      </w:r>
      <w:r w:rsidR="002C376E">
        <w:rPr>
          <w:rFonts w:ascii="Times New Roman" w:hAnsi="Times New Roman"/>
          <w:sz w:val="24"/>
          <w:szCs w:val="24"/>
        </w:rPr>
        <w:noBreakHyphen/>
      </w:r>
      <w:r w:rsidRPr="000A2B1C">
        <w:rPr>
          <w:rFonts w:ascii="Times New Roman" w:hAnsi="Times New Roman"/>
          <w:sz w:val="24"/>
          <w:szCs w:val="24"/>
        </w:rPr>
        <w:t>pocket child care costs.</w:t>
      </w:r>
    </w:p>
    <w:p w:rsidR="00B366DE" w:rsidRDefault="00B366DE" w:rsidP="00B366DE">
      <w:pPr>
        <w:spacing w:line="240" w:lineRule="auto"/>
        <w:jc w:val="both"/>
        <w:rPr>
          <w:rFonts w:ascii="Times New Roman" w:hAnsi="Times New Roman"/>
          <w:sz w:val="24"/>
          <w:szCs w:val="24"/>
          <w:u w:val="single"/>
        </w:rPr>
      </w:pPr>
      <w:r w:rsidRPr="00C31175">
        <w:rPr>
          <w:rFonts w:ascii="Times New Roman" w:hAnsi="Times New Roman"/>
          <w:sz w:val="24"/>
          <w:szCs w:val="24"/>
          <w:u w:val="single"/>
        </w:rPr>
        <w:t xml:space="preserve">Launch into Work </w:t>
      </w:r>
    </w:p>
    <w:p w:rsidR="00B366DE" w:rsidRPr="00C31175" w:rsidRDefault="00B366DE" w:rsidP="00B366DE">
      <w:pPr>
        <w:spacing w:line="240" w:lineRule="auto"/>
        <w:jc w:val="both"/>
        <w:rPr>
          <w:rFonts w:ascii="Times New Roman" w:hAnsi="Times New Roman"/>
          <w:sz w:val="24"/>
          <w:szCs w:val="24"/>
          <w:u w:val="single"/>
        </w:rPr>
      </w:pPr>
      <w:r w:rsidRPr="001027F1">
        <w:rPr>
          <w:rFonts w:ascii="Times New Roman" w:hAnsi="Times New Roman"/>
          <w:sz w:val="24"/>
          <w:szCs w:val="24"/>
        </w:rPr>
        <w:t>Launch into Work offers a recruitment solution to employers who are willing to use a co</w:t>
      </w:r>
      <w:r w:rsidR="0067031B">
        <w:rPr>
          <w:rFonts w:ascii="Times New Roman" w:hAnsi="Times New Roman"/>
          <w:sz w:val="24"/>
          <w:szCs w:val="24"/>
        </w:rPr>
        <w:noBreakHyphen/>
      </w:r>
      <w:r w:rsidRPr="001027F1">
        <w:rPr>
          <w:rFonts w:ascii="Times New Roman" w:hAnsi="Times New Roman"/>
          <w:sz w:val="24"/>
          <w:szCs w:val="24"/>
        </w:rPr>
        <w:t>designed pre-employment project as a way of filling entry-level positions that offer career pathways to job seekers. The program supports the</w:t>
      </w:r>
      <w:r w:rsidR="00FE5BDA">
        <w:rPr>
          <w:rFonts w:ascii="Times New Roman" w:hAnsi="Times New Roman"/>
          <w:sz w:val="24"/>
          <w:szCs w:val="24"/>
        </w:rPr>
        <w:t xml:space="preserve"> Australian</w:t>
      </w:r>
      <w:r w:rsidRPr="001027F1">
        <w:rPr>
          <w:rFonts w:ascii="Times New Roman" w:hAnsi="Times New Roman"/>
          <w:sz w:val="24"/>
          <w:szCs w:val="24"/>
        </w:rPr>
        <w:t xml:space="preserve"> Government’s commitment to increase women’s workforce participation by targeting female job seekers. Participants receive training, work experience, mentoring and a commitment of employment for those who successfully complete the project. Beyond these requirements, projects are flexible to meet employer and/or cohort need. For example, projects can support the return to work of parents by factoring in their circumstances to the design of projects and employment on offer at the completion of the project.  </w:t>
      </w:r>
    </w:p>
    <w:p w:rsidR="00B366DE" w:rsidRPr="00C31175" w:rsidRDefault="00B366DE" w:rsidP="00B366DE">
      <w:pPr>
        <w:spacing w:line="240" w:lineRule="auto"/>
        <w:jc w:val="both"/>
        <w:rPr>
          <w:rFonts w:ascii="Times New Roman" w:hAnsi="Times New Roman"/>
          <w:sz w:val="24"/>
          <w:szCs w:val="24"/>
          <w:u w:val="single"/>
        </w:rPr>
      </w:pPr>
      <w:r w:rsidRPr="00C31175">
        <w:rPr>
          <w:rFonts w:ascii="Times New Roman" w:hAnsi="Times New Roman"/>
          <w:sz w:val="24"/>
          <w:szCs w:val="24"/>
          <w:u w:val="single"/>
        </w:rPr>
        <w:t>Career Revive</w:t>
      </w:r>
    </w:p>
    <w:p w:rsidR="00B366DE" w:rsidRPr="001027F1" w:rsidRDefault="00B366DE" w:rsidP="00B366DE">
      <w:pPr>
        <w:spacing w:line="240" w:lineRule="auto"/>
        <w:jc w:val="both"/>
        <w:rPr>
          <w:rFonts w:ascii="Times New Roman" w:hAnsi="Times New Roman"/>
          <w:sz w:val="24"/>
          <w:szCs w:val="24"/>
        </w:rPr>
      </w:pPr>
      <w:r w:rsidRPr="001027F1">
        <w:rPr>
          <w:rFonts w:ascii="Times New Roman" w:hAnsi="Times New Roman"/>
          <w:sz w:val="24"/>
          <w:szCs w:val="24"/>
        </w:rPr>
        <w:t>The Career Revive pilot initiative provides support to up to 30 medium to large businesses in regional areas over three years to attract and retain women returning to the workforce after a career break. Under the initiative KPMG will support the businesses to become more adaptable and family friendly by</w:t>
      </w:r>
      <w:r w:rsidR="00BF33A7">
        <w:rPr>
          <w:rFonts w:ascii="Times New Roman" w:hAnsi="Times New Roman"/>
          <w:sz w:val="24"/>
          <w:szCs w:val="24"/>
        </w:rPr>
        <w:t>:</w:t>
      </w:r>
      <w:r w:rsidRPr="001027F1">
        <w:rPr>
          <w:rFonts w:ascii="Times New Roman" w:hAnsi="Times New Roman"/>
          <w:sz w:val="24"/>
          <w:szCs w:val="24"/>
        </w:rPr>
        <w:t xml:space="preserve"> reviewing their physical workplace, processes, policies and their workplace culture to identify potential barriers that might prevent them from attracting women returning to work; offer</w:t>
      </w:r>
      <w:r w:rsidR="00F45878">
        <w:rPr>
          <w:rFonts w:ascii="Times New Roman" w:hAnsi="Times New Roman"/>
          <w:sz w:val="24"/>
          <w:szCs w:val="24"/>
        </w:rPr>
        <w:t>ing</w:t>
      </w:r>
      <w:r w:rsidRPr="001027F1">
        <w:rPr>
          <w:rFonts w:ascii="Times New Roman" w:hAnsi="Times New Roman"/>
          <w:sz w:val="24"/>
          <w:szCs w:val="24"/>
        </w:rPr>
        <w:t xml:space="preserve"> guidance on how to improve the businesses practices and policies and develop a tailored action plan to establish a supported returner program within the business; and develop</w:t>
      </w:r>
      <w:r w:rsidR="00F45878">
        <w:rPr>
          <w:rFonts w:ascii="Times New Roman" w:hAnsi="Times New Roman"/>
          <w:sz w:val="24"/>
          <w:szCs w:val="24"/>
        </w:rPr>
        <w:t>ing</w:t>
      </w:r>
      <w:r w:rsidRPr="001027F1">
        <w:rPr>
          <w:rFonts w:ascii="Times New Roman" w:hAnsi="Times New Roman"/>
          <w:sz w:val="24"/>
          <w:szCs w:val="24"/>
        </w:rPr>
        <w:t xml:space="preserve"> a case study of the business for inclusion in an online toolkit that will provide best practice advice, practical resources and learnings for all businesses.</w:t>
      </w:r>
    </w:p>
    <w:p w:rsidR="00B366DE" w:rsidRPr="001027F1" w:rsidRDefault="00B366DE" w:rsidP="00B366DE">
      <w:pPr>
        <w:spacing w:line="240" w:lineRule="auto"/>
        <w:jc w:val="both"/>
        <w:rPr>
          <w:rFonts w:ascii="Times New Roman" w:hAnsi="Times New Roman"/>
          <w:sz w:val="24"/>
          <w:szCs w:val="24"/>
        </w:rPr>
      </w:pPr>
      <w:r w:rsidRPr="001027F1">
        <w:rPr>
          <w:rFonts w:ascii="Times New Roman" w:hAnsi="Times New Roman"/>
          <w:sz w:val="24"/>
          <w:szCs w:val="24"/>
        </w:rPr>
        <w:t xml:space="preserve">The Career Revive pilot initiative has a funding allocation of $1.5 million over three years </w:t>
      </w:r>
      <w:r>
        <w:rPr>
          <w:rFonts w:ascii="Times New Roman" w:hAnsi="Times New Roman"/>
          <w:sz w:val="24"/>
          <w:szCs w:val="24"/>
        </w:rPr>
        <w:t>which commenced on 1 July 2019.</w:t>
      </w:r>
    </w:p>
    <w:p w:rsidR="00B366DE" w:rsidRPr="00C31175" w:rsidRDefault="00B366DE" w:rsidP="00B366DE">
      <w:pPr>
        <w:spacing w:line="240" w:lineRule="auto"/>
        <w:jc w:val="both"/>
        <w:rPr>
          <w:rFonts w:ascii="Times New Roman" w:hAnsi="Times New Roman"/>
          <w:sz w:val="24"/>
          <w:szCs w:val="24"/>
          <w:u w:val="single"/>
        </w:rPr>
      </w:pPr>
      <w:r w:rsidRPr="00C31175">
        <w:rPr>
          <w:rFonts w:ascii="Times New Roman" w:hAnsi="Times New Roman"/>
          <w:sz w:val="24"/>
          <w:szCs w:val="24"/>
          <w:u w:val="single"/>
        </w:rPr>
        <w:t>Disability Employment Services</w:t>
      </w:r>
    </w:p>
    <w:p w:rsidR="00B366DE" w:rsidRPr="001027F1" w:rsidRDefault="00B366DE" w:rsidP="00B366DE">
      <w:pPr>
        <w:spacing w:line="240" w:lineRule="auto"/>
        <w:jc w:val="both"/>
        <w:rPr>
          <w:rFonts w:ascii="Times New Roman" w:hAnsi="Times New Roman"/>
          <w:sz w:val="24"/>
          <w:szCs w:val="24"/>
        </w:rPr>
      </w:pPr>
      <w:r w:rsidRPr="001027F1">
        <w:rPr>
          <w:rFonts w:ascii="Times New Roman" w:hAnsi="Times New Roman"/>
          <w:sz w:val="24"/>
          <w:szCs w:val="24"/>
        </w:rPr>
        <w:t xml:space="preserve">Disability Employment Services (DES) deliver employment assistance for job seekers with disability. DES is delivered by a network of </w:t>
      </w:r>
      <w:proofErr w:type="spellStart"/>
      <w:r w:rsidRPr="001027F1">
        <w:rPr>
          <w:rFonts w:ascii="Times New Roman" w:hAnsi="Times New Roman"/>
          <w:sz w:val="24"/>
          <w:szCs w:val="24"/>
        </w:rPr>
        <w:t>organisations</w:t>
      </w:r>
      <w:proofErr w:type="spellEnd"/>
      <w:r w:rsidRPr="001027F1">
        <w:rPr>
          <w:rFonts w:ascii="Times New Roman" w:hAnsi="Times New Roman"/>
          <w:sz w:val="24"/>
          <w:szCs w:val="24"/>
        </w:rPr>
        <w:t xml:space="preserve"> around Australia. These </w:t>
      </w:r>
      <w:proofErr w:type="spellStart"/>
      <w:r w:rsidRPr="001027F1">
        <w:rPr>
          <w:rFonts w:ascii="Times New Roman" w:hAnsi="Times New Roman"/>
          <w:sz w:val="24"/>
          <w:szCs w:val="24"/>
        </w:rPr>
        <w:t>organisations</w:t>
      </w:r>
      <w:proofErr w:type="spellEnd"/>
      <w:r w:rsidRPr="001027F1">
        <w:rPr>
          <w:rFonts w:ascii="Times New Roman" w:hAnsi="Times New Roman"/>
          <w:sz w:val="24"/>
          <w:szCs w:val="24"/>
        </w:rPr>
        <w:t xml:space="preserve"> play a specialist role in helping people with disability, injury or health condition get ready to look for a </w:t>
      </w:r>
      <w:r>
        <w:rPr>
          <w:rFonts w:ascii="Times New Roman" w:hAnsi="Times New Roman"/>
          <w:sz w:val="24"/>
          <w:szCs w:val="24"/>
        </w:rPr>
        <w:t>job, find a job and keep a job.</w:t>
      </w:r>
    </w:p>
    <w:p w:rsidR="00B366DE" w:rsidRPr="001027F1" w:rsidRDefault="00B366DE" w:rsidP="00B366DE">
      <w:pPr>
        <w:spacing w:line="240" w:lineRule="auto"/>
        <w:jc w:val="both"/>
        <w:rPr>
          <w:rFonts w:ascii="Times New Roman" w:hAnsi="Times New Roman"/>
          <w:sz w:val="24"/>
          <w:szCs w:val="24"/>
        </w:rPr>
      </w:pPr>
      <w:r w:rsidRPr="001027F1">
        <w:rPr>
          <w:rFonts w:ascii="Times New Roman" w:hAnsi="Times New Roman"/>
          <w:sz w:val="24"/>
          <w:szCs w:val="24"/>
        </w:rPr>
        <w:t xml:space="preserve">DES providers operate within defined Employment Service Areas, and develop an understanding of employers and </w:t>
      </w:r>
      <w:proofErr w:type="spellStart"/>
      <w:r w:rsidRPr="001027F1">
        <w:rPr>
          <w:rFonts w:ascii="Times New Roman" w:hAnsi="Times New Roman"/>
          <w:sz w:val="24"/>
          <w:szCs w:val="24"/>
        </w:rPr>
        <w:t>labour</w:t>
      </w:r>
      <w:proofErr w:type="spellEnd"/>
      <w:r w:rsidRPr="001027F1">
        <w:rPr>
          <w:rFonts w:ascii="Times New Roman" w:hAnsi="Times New Roman"/>
          <w:sz w:val="24"/>
          <w:szCs w:val="24"/>
        </w:rPr>
        <w:t xml:space="preserve"> force conditions within those areas. DES providers establish a working relationship with many employers and are able to develop tailored arrangements to suit employer needs, including job carving to allow more than one person with disability to fill a position. Providers also reverse-market individual job seekers to suitable employe</w:t>
      </w:r>
      <w:r>
        <w:rPr>
          <w:rFonts w:ascii="Times New Roman" w:hAnsi="Times New Roman"/>
          <w:sz w:val="24"/>
          <w:szCs w:val="24"/>
        </w:rPr>
        <w:t>rs based on skill requirements.</w:t>
      </w:r>
    </w:p>
    <w:p w:rsidR="00B366DE" w:rsidRDefault="00B366DE" w:rsidP="00B366DE">
      <w:pPr>
        <w:spacing w:line="240" w:lineRule="auto"/>
        <w:jc w:val="both"/>
        <w:rPr>
          <w:rFonts w:ascii="Times New Roman" w:hAnsi="Times New Roman"/>
          <w:sz w:val="24"/>
          <w:szCs w:val="24"/>
        </w:rPr>
      </w:pPr>
      <w:r w:rsidRPr="001027F1">
        <w:rPr>
          <w:rFonts w:ascii="Times New Roman" w:hAnsi="Times New Roman"/>
          <w:sz w:val="24"/>
          <w:szCs w:val="24"/>
        </w:rPr>
        <w:t>DES providers work with employers to ensure placements have a good chance of success. This can include conducting workplace assessments and facilitating workplace modifications, and providing training and support to DES participants, employers and co-workers. DES providers are able to continue delivering ongoing support for as long as the DES participant requires.</w:t>
      </w:r>
    </w:p>
    <w:p w:rsidR="003979DD" w:rsidRDefault="003979DD" w:rsidP="003979DD">
      <w:pPr>
        <w:spacing w:line="240" w:lineRule="auto"/>
        <w:jc w:val="both"/>
        <w:rPr>
          <w:rFonts w:ascii="Times New Roman" w:hAnsi="Times New Roman"/>
          <w:sz w:val="24"/>
          <w:szCs w:val="24"/>
          <w:u w:val="single"/>
        </w:rPr>
      </w:pPr>
    </w:p>
    <w:p w:rsidR="003979DD" w:rsidRDefault="003979DD">
      <w:pPr>
        <w:widowControl/>
        <w:rPr>
          <w:rFonts w:ascii="Times New Roman" w:hAnsi="Times New Roman"/>
          <w:sz w:val="24"/>
          <w:szCs w:val="24"/>
          <w:u w:val="single"/>
        </w:rPr>
      </w:pPr>
      <w:r>
        <w:rPr>
          <w:rFonts w:ascii="Times New Roman" w:hAnsi="Times New Roman"/>
          <w:sz w:val="24"/>
          <w:szCs w:val="24"/>
          <w:u w:val="single"/>
        </w:rPr>
        <w:br w:type="page"/>
      </w:r>
    </w:p>
    <w:p w:rsidR="003979DD" w:rsidRPr="000A2B1C" w:rsidRDefault="003979DD" w:rsidP="000A2B1C">
      <w:pPr>
        <w:spacing w:line="240" w:lineRule="auto"/>
        <w:jc w:val="both"/>
        <w:rPr>
          <w:rFonts w:ascii="Times New Roman" w:hAnsi="Times New Roman"/>
          <w:sz w:val="24"/>
          <w:szCs w:val="24"/>
          <w:u w:val="single"/>
        </w:rPr>
      </w:pPr>
      <w:r w:rsidRPr="000A2B1C">
        <w:rPr>
          <w:rFonts w:ascii="Times New Roman" w:hAnsi="Times New Roman"/>
          <w:sz w:val="24"/>
          <w:szCs w:val="24"/>
          <w:u w:val="single"/>
        </w:rPr>
        <w:lastRenderedPageBreak/>
        <w:t>Economic Empowerment</w:t>
      </w:r>
    </w:p>
    <w:p w:rsidR="003979DD" w:rsidRPr="000A2B1C" w:rsidRDefault="003979DD" w:rsidP="000A2B1C">
      <w:pPr>
        <w:spacing w:line="240" w:lineRule="auto"/>
        <w:jc w:val="both"/>
        <w:rPr>
          <w:rFonts w:ascii="Times New Roman" w:hAnsi="Times New Roman"/>
          <w:sz w:val="24"/>
          <w:szCs w:val="24"/>
        </w:rPr>
      </w:pPr>
      <w:r w:rsidRPr="000A2B1C">
        <w:rPr>
          <w:rFonts w:ascii="Times New Roman" w:hAnsi="Times New Roman"/>
          <w:sz w:val="24"/>
          <w:szCs w:val="24"/>
        </w:rPr>
        <w:t xml:space="preserve">A strong and prosperous Indigenous business sector is key to empowering Aboriginal and Torres Strait Islander Australians – through job creation, financial security for families and communities, and contributing to the growth of local economies and the broader Australian economy. The Australian Government is implementing policies to ensure Aboriginal and Torres Strait Islander people have the same opportunities for business and employment as other Australians. It is doing this through targeted funding support and demand strategies that leverage the Commonwealth’s procurement spending to kick start the sector, create jobs and drive demand for Indigenous goods and services. This includes the </w:t>
      </w:r>
      <w:hyperlink r:id="rId14" w:history="1">
        <w:r w:rsidRPr="000A2B1C">
          <w:rPr>
            <w:rFonts w:ascii="Times New Roman" w:hAnsi="Times New Roman"/>
            <w:sz w:val="24"/>
            <w:szCs w:val="24"/>
          </w:rPr>
          <w:t>Indigenous Procurement Policy (IPP)</w:t>
        </w:r>
      </w:hyperlink>
      <w:r w:rsidRPr="000A2B1C">
        <w:rPr>
          <w:rFonts w:ascii="Times New Roman" w:hAnsi="Times New Roman"/>
          <w:sz w:val="24"/>
          <w:szCs w:val="24"/>
        </w:rPr>
        <w:t xml:space="preserve"> and the </w:t>
      </w:r>
      <w:hyperlink r:id="rId15" w:history="1">
        <w:r w:rsidRPr="000A2B1C">
          <w:rPr>
            <w:rFonts w:ascii="Times New Roman" w:hAnsi="Times New Roman"/>
            <w:sz w:val="24"/>
            <w:szCs w:val="24"/>
          </w:rPr>
          <w:t>Indigenous Business Sector Strategy (IBSS)</w:t>
        </w:r>
      </w:hyperlink>
      <w:r w:rsidR="00D42F1D">
        <w:rPr>
          <w:rFonts w:ascii="Times New Roman" w:hAnsi="Times New Roman"/>
          <w:sz w:val="24"/>
          <w:szCs w:val="24"/>
        </w:rPr>
        <w:t xml:space="preserve">, as well as </w:t>
      </w:r>
      <w:r w:rsidRPr="000A2B1C">
        <w:rPr>
          <w:rFonts w:ascii="Times New Roman" w:hAnsi="Times New Roman"/>
          <w:sz w:val="24"/>
          <w:szCs w:val="24"/>
        </w:rPr>
        <w:t xml:space="preserve">investing in small and micro businesses through Remote Indigenous Business Incubator pilots and </w:t>
      </w:r>
      <w:hyperlink r:id="rId16" w:history="1">
        <w:r w:rsidRPr="000A2B1C">
          <w:rPr>
            <w:rFonts w:ascii="Times New Roman" w:hAnsi="Times New Roman"/>
            <w:sz w:val="24"/>
            <w:szCs w:val="24"/>
          </w:rPr>
          <w:t>Many Rivers Microfinancing</w:t>
        </w:r>
      </w:hyperlink>
      <w:r w:rsidRPr="000A2B1C">
        <w:rPr>
          <w:rFonts w:ascii="Times New Roman" w:hAnsi="Times New Roman"/>
          <w:sz w:val="24"/>
          <w:szCs w:val="24"/>
        </w:rPr>
        <w:t xml:space="preserve"> as they play a critical role in creating jobs and wealth.</w:t>
      </w:r>
    </w:p>
    <w:p w:rsidR="003979DD" w:rsidRPr="000A2B1C" w:rsidRDefault="003979DD" w:rsidP="000A2B1C">
      <w:pPr>
        <w:spacing w:line="240" w:lineRule="auto"/>
        <w:jc w:val="both"/>
        <w:rPr>
          <w:rFonts w:ascii="Times New Roman" w:hAnsi="Times New Roman"/>
          <w:sz w:val="24"/>
          <w:szCs w:val="24"/>
        </w:rPr>
      </w:pPr>
      <w:r w:rsidRPr="000A2B1C">
        <w:rPr>
          <w:rFonts w:ascii="Times New Roman" w:hAnsi="Times New Roman"/>
          <w:sz w:val="24"/>
          <w:szCs w:val="24"/>
        </w:rPr>
        <w:t xml:space="preserve">The Community Development Program (CDP) is a unique, community oriented program that prepares job seekers living in remote Australia to transition from welfare into real jobs, while contributing to the goals of their community. In 2019, the Australian Government announced a new Jobs Package to support the creation of 1,000 new jobs for CDP participants. It is a program that provides wage subsidies to help employers operating in remote Australia to expand and hire new staff. </w:t>
      </w:r>
      <w:r w:rsidR="001A3495">
        <w:rPr>
          <w:rFonts w:ascii="Times New Roman" w:hAnsi="Times New Roman"/>
          <w:sz w:val="24"/>
          <w:szCs w:val="24"/>
        </w:rPr>
        <w:t>It</w:t>
      </w:r>
      <w:r w:rsidRPr="000A2B1C">
        <w:rPr>
          <w:rFonts w:ascii="Times New Roman" w:hAnsi="Times New Roman"/>
          <w:sz w:val="24"/>
          <w:szCs w:val="24"/>
        </w:rPr>
        <w:t xml:space="preserve"> will also increase employment opportunities for CDP participants.</w:t>
      </w:r>
    </w:p>
    <w:p w:rsidR="003979DD" w:rsidRDefault="003979DD" w:rsidP="00B366DE">
      <w:pPr>
        <w:spacing w:line="240" w:lineRule="auto"/>
        <w:jc w:val="both"/>
        <w:rPr>
          <w:rFonts w:ascii="Times New Roman" w:hAnsi="Times New Roman"/>
          <w:sz w:val="24"/>
          <w:szCs w:val="24"/>
        </w:rPr>
      </w:pPr>
    </w:p>
    <w:p w:rsidR="009E6378" w:rsidRPr="009B0C6F" w:rsidRDefault="009E6378" w:rsidP="006F424F">
      <w:pPr>
        <w:spacing w:after="120" w:line="240" w:lineRule="auto"/>
        <w:ind w:right="88"/>
        <w:jc w:val="both"/>
        <w:rPr>
          <w:rFonts w:ascii="Times New Roman" w:eastAsia="Times New Roman" w:hAnsi="Times New Roman" w:cs="Times New Roman"/>
          <w:bCs/>
          <w:sz w:val="24"/>
          <w:szCs w:val="24"/>
        </w:rPr>
      </w:pPr>
    </w:p>
    <w:sectPr w:rsidR="009E6378" w:rsidRPr="009B0C6F" w:rsidSect="009E5358">
      <w:footerReference w:type="default" r:id="rId17"/>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E9" w:rsidRDefault="00B338E9">
      <w:pPr>
        <w:spacing w:after="0" w:line="240" w:lineRule="auto"/>
      </w:pPr>
      <w:r>
        <w:separator/>
      </w:r>
    </w:p>
  </w:endnote>
  <w:endnote w:type="continuationSeparator" w:id="0">
    <w:p w:rsidR="00B338E9" w:rsidRDefault="00B3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08B" w:rsidRPr="00E959E8" w:rsidRDefault="001D708B" w:rsidP="009E535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59807"/>
      <w:docPartObj>
        <w:docPartGallery w:val="Page Numbers (Bottom of Page)"/>
        <w:docPartUnique/>
      </w:docPartObj>
    </w:sdtPr>
    <w:sdtEndPr/>
    <w:sdtContent>
      <w:sdt>
        <w:sdtPr>
          <w:id w:val="-1769616900"/>
          <w:docPartObj>
            <w:docPartGallery w:val="Page Numbers (Top of Page)"/>
            <w:docPartUnique/>
          </w:docPartObj>
        </w:sdtPr>
        <w:sdtEndPr/>
        <w:sdtContent>
          <w:p w:rsidR="00A20C8F" w:rsidRDefault="00A20C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09C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09C3">
              <w:rPr>
                <w:b/>
                <w:bCs/>
                <w:noProof/>
              </w:rPr>
              <w:t>19</w:t>
            </w:r>
            <w:r>
              <w:rPr>
                <w:b/>
                <w:bCs/>
                <w:sz w:val="24"/>
                <w:szCs w:val="24"/>
              </w:rPr>
              <w:fldChar w:fldCharType="end"/>
            </w:r>
          </w:p>
        </w:sdtContent>
      </w:sdt>
    </w:sdtContent>
  </w:sdt>
  <w:p w:rsidR="005909C3" w:rsidRDefault="00590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rsidR="001D708B" w:rsidRDefault="00EB3083">
        <w:pPr>
          <w:pStyle w:val="Footer"/>
          <w:jc w:val="center"/>
        </w:pPr>
        <w:r>
          <w:fldChar w:fldCharType="begin"/>
        </w:r>
        <w:r>
          <w:instrText xml:space="preserve"> PAGE   \* MERGEFORMAT </w:instrText>
        </w:r>
        <w:r>
          <w:fldChar w:fldCharType="separate"/>
        </w:r>
        <w:r w:rsidR="00B5228D">
          <w:rPr>
            <w:noProof/>
          </w:rPr>
          <w:t>18</w:t>
        </w:r>
        <w:r>
          <w:rPr>
            <w:noProof/>
          </w:rPr>
          <w:fldChar w:fldCharType="end"/>
        </w:r>
      </w:p>
    </w:sdtContent>
  </w:sdt>
  <w:p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E9" w:rsidRDefault="00B338E9">
      <w:pPr>
        <w:spacing w:after="0" w:line="240" w:lineRule="auto"/>
      </w:pPr>
      <w:r>
        <w:separator/>
      </w:r>
    </w:p>
  </w:footnote>
  <w:footnote w:type="continuationSeparator" w:id="0">
    <w:p w:rsidR="00B338E9" w:rsidRDefault="00B33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4A8"/>
    <w:multiLevelType w:val="hybridMultilevel"/>
    <w:tmpl w:val="093E0A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5A2B5C"/>
    <w:multiLevelType w:val="hybridMultilevel"/>
    <w:tmpl w:val="3B6E3CEA"/>
    <w:lvl w:ilvl="0" w:tplc="0BFC2162">
      <w:start w:val="1"/>
      <w:numFmt w:val="bullet"/>
      <w:pStyle w:val="TalkingPoint"/>
      <w:lvlText w:val=""/>
      <w:lvlJc w:val="left"/>
      <w:pPr>
        <w:ind w:left="360" w:hanging="360"/>
      </w:pPr>
      <w:rPr>
        <w:rFonts w:ascii="Symbol" w:hAnsi="Symbol" w:hint="default"/>
        <w:color w:val="auto"/>
        <w:sz w:val="32"/>
        <w:szCs w:val="32"/>
        <w:effect w:val="none"/>
      </w:rPr>
    </w:lvl>
    <w:lvl w:ilvl="1" w:tplc="FC0E543C">
      <w:start w:val="1"/>
      <w:numFmt w:val="bullet"/>
      <w:lvlText w:val="o"/>
      <w:lvlJc w:val="left"/>
      <w:pPr>
        <w:ind w:left="1080" w:hanging="360"/>
      </w:pPr>
      <w:rPr>
        <w:rFonts w:ascii="Courier New" w:hAnsi="Courier New" w:cs="Courier New" w:hint="default"/>
      </w:rPr>
    </w:lvl>
    <w:lvl w:ilvl="2" w:tplc="074C6848" w:tentative="1">
      <w:start w:val="1"/>
      <w:numFmt w:val="bullet"/>
      <w:lvlText w:val=""/>
      <w:lvlJc w:val="left"/>
      <w:pPr>
        <w:ind w:left="1800" w:hanging="360"/>
      </w:pPr>
      <w:rPr>
        <w:rFonts w:ascii="Wingdings" w:hAnsi="Wingdings" w:hint="default"/>
      </w:rPr>
    </w:lvl>
    <w:lvl w:ilvl="3" w:tplc="2C2CE572" w:tentative="1">
      <w:start w:val="1"/>
      <w:numFmt w:val="bullet"/>
      <w:lvlText w:val=""/>
      <w:lvlJc w:val="left"/>
      <w:pPr>
        <w:ind w:left="2520" w:hanging="360"/>
      </w:pPr>
      <w:rPr>
        <w:rFonts w:ascii="Symbol" w:hAnsi="Symbol" w:hint="default"/>
      </w:rPr>
    </w:lvl>
    <w:lvl w:ilvl="4" w:tplc="EF10E018" w:tentative="1">
      <w:start w:val="1"/>
      <w:numFmt w:val="bullet"/>
      <w:lvlText w:val="o"/>
      <w:lvlJc w:val="left"/>
      <w:pPr>
        <w:ind w:left="3240" w:hanging="360"/>
      </w:pPr>
      <w:rPr>
        <w:rFonts w:ascii="Courier New" w:hAnsi="Courier New" w:cs="Courier New" w:hint="default"/>
      </w:rPr>
    </w:lvl>
    <w:lvl w:ilvl="5" w:tplc="A3B6FF1E" w:tentative="1">
      <w:start w:val="1"/>
      <w:numFmt w:val="bullet"/>
      <w:lvlText w:val=""/>
      <w:lvlJc w:val="left"/>
      <w:pPr>
        <w:ind w:left="3960" w:hanging="360"/>
      </w:pPr>
      <w:rPr>
        <w:rFonts w:ascii="Wingdings" w:hAnsi="Wingdings" w:hint="default"/>
      </w:rPr>
    </w:lvl>
    <w:lvl w:ilvl="6" w:tplc="CFF6AF8C" w:tentative="1">
      <w:start w:val="1"/>
      <w:numFmt w:val="bullet"/>
      <w:lvlText w:val=""/>
      <w:lvlJc w:val="left"/>
      <w:pPr>
        <w:ind w:left="4680" w:hanging="360"/>
      </w:pPr>
      <w:rPr>
        <w:rFonts w:ascii="Symbol" w:hAnsi="Symbol" w:hint="default"/>
      </w:rPr>
    </w:lvl>
    <w:lvl w:ilvl="7" w:tplc="FAECEB44" w:tentative="1">
      <w:start w:val="1"/>
      <w:numFmt w:val="bullet"/>
      <w:lvlText w:val="o"/>
      <w:lvlJc w:val="left"/>
      <w:pPr>
        <w:ind w:left="5400" w:hanging="360"/>
      </w:pPr>
      <w:rPr>
        <w:rFonts w:ascii="Courier New" w:hAnsi="Courier New" w:cs="Courier New" w:hint="default"/>
      </w:rPr>
    </w:lvl>
    <w:lvl w:ilvl="8" w:tplc="546E79A0" w:tentative="1">
      <w:start w:val="1"/>
      <w:numFmt w:val="bullet"/>
      <w:lvlText w:val=""/>
      <w:lvlJc w:val="left"/>
      <w:pPr>
        <w:ind w:left="6120" w:hanging="360"/>
      </w:pPr>
      <w:rPr>
        <w:rFonts w:ascii="Wingdings" w:hAnsi="Wingdings" w:hint="default"/>
      </w:rPr>
    </w:lvl>
  </w:abstractNum>
  <w:abstractNum w:abstractNumId="2" w15:restartNumberingAfterBreak="0">
    <w:nsid w:val="2021519A"/>
    <w:multiLevelType w:val="hybridMultilevel"/>
    <w:tmpl w:val="A7E0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62B1F"/>
    <w:multiLevelType w:val="multilevel"/>
    <w:tmpl w:val="4B08D572"/>
    <w:lvl w:ilvl="0">
      <w:start w:val="1"/>
      <w:numFmt w:val="bullet"/>
      <w:lvlText w:val="o"/>
      <w:lvlJc w:val="left"/>
      <w:pPr>
        <w:tabs>
          <w:tab w:val="num" w:pos="720"/>
        </w:tabs>
        <w:ind w:left="720" w:hanging="360"/>
      </w:pPr>
      <w:rPr>
        <w:rFonts w:ascii="Courier New" w:hAnsi="Courier New" w:hint="default"/>
        <w:sz w:val="20"/>
      </w:rPr>
    </w:lvl>
    <w:lvl w:ilvl="1">
      <w:numFmt w:val="bullet"/>
      <w:lvlText w:val=""/>
      <w:lvlJc w:val="left"/>
      <w:pPr>
        <w:ind w:left="1455" w:hanging="375"/>
      </w:pPr>
      <w:rPr>
        <w:rFonts w:ascii="Wingdings" w:eastAsiaTheme="minorHAnsi" w:hAnsi="Wingdings"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54456FB"/>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5" w15:restartNumberingAfterBreak="0">
    <w:nsid w:val="46032D51"/>
    <w:multiLevelType w:val="hybridMultilevel"/>
    <w:tmpl w:val="8F20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183AE8"/>
    <w:multiLevelType w:val="hybridMultilevel"/>
    <w:tmpl w:val="3BF6D66C"/>
    <w:lvl w:ilvl="0" w:tplc="2084BCEC">
      <w:start w:val="1"/>
      <w:numFmt w:val="bullet"/>
      <w:lvlText w:val="-"/>
      <w:lvlJc w:val="left"/>
      <w:pPr>
        <w:ind w:left="1440" w:hanging="360"/>
      </w:pPr>
      <w:rPr>
        <w:rFonts w:ascii="Consolas" w:hAnsi="Consolas" w:hint="default"/>
      </w:rPr>
    </w:lvl>
    <w:lvl w:ilvl="1" w:tplc="2084BCEC">
      <w:start w:val="1"/>
      <w:numFmt w:val="bullet"/>
      <w:lvlText w:val="-"/>
      <w:lvlJc w:val="left"/>
      <w:pPr>
        <w:ind w:left="2160" w:hanging="360"/>
      </w:pPr>
      <w:rPr>
        <w:rFonts w:ascii="Consolas" w:hAnsi="Consola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60B0D04"/>
    <w:multiLevelType w:val="hybridMultilevel"/>
    <w:tmpl w:val="2C40DA44"/>
    <w:lvl w:ilvl="0" w:tplc="2084BCEC">
      <w:start w:val="1"/>
      <w:numFmt w:val="bullet"/>
      <w:lvlText w:val="-"/>
      <w:lvlJc w:val="left"/>
      <w:pPr>
        <w:ind w:left="1440" w:hanging="360"/>
      </w:pPr>
      <w:rPr>
        <w:rFonts w:ascii="Consolas" w:hAnsi="Consola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D6D4A0C"/>
    <w:multiLevelType w:val="hybridMultilevel"/>
    <w:tmpl w:val="0418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0" w15:restartNumberingAfterBreak="0">
    <w:nsid w:val="7D544871"/>
    <w:multiLevelType w:val="hybridMultilevel"/>
    <w:tmpl w:val="A272A21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0"/>
  </w:num>
  <w:num w:numId="6">
    <w:abstractNumId w:val="2"/>
  </w:num>
  <w:num w:numId="7">
    <w:abstractNumId w:val="4"/>
  </w:num>
  <w:num w:numId="8">
    <w:abstractNumId w:val="3"/>
  </w:num>
  <w:num w:numId="9">
    <w:abstractNumId w:val="6"/>
  </w:num>
  <w:num w:numId="10">
    <w:abstractNumId w:val="7"/>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15313"/>
    <w:rsid w:val="00027662"/>
    <w:rsid w:val="00031028"/>
    <w:rsid w:val="0003185E"/>
    <w:rsid w:val="00036901"/>
    <w:rsid w:val="00043534"/>
    <w:rsid w:val="00047AE9"/>
    <w:rsid w:val="000510DC"/>
    <w:rsid w:val="000515F2"/>
    <w:rsid w:val="00060038"/>
    <w:rsid w:val="00065B84"/>
    <w:rsid w:val="0008100E"/>
    <w:rsid w:val="0008148E"/>
    <w:rsid w:val="00081828"/>
    <w:rsid w:val="000838F2"/>
    <w:rsid w:val="0008455E"/>
    <w:rsid w:val="000873EE"/>
    <w:rsid w:val="000A2B1C"/>
    <w:rsid w:val="000A39ED"/>
    <w:rsid w:val="000A509F"/>
    <w:rsid w:val="000A660C"/>
    <w:rsid w:val="000A680A"/>
    <w:rsid w:val="000B37FE"/>
    <w:rsid w:val="000B6F47"/>
    <w:rsid w:val="000B7386"/>
    <w:rsid w:val="000C0201"/>
    <w:rsid w:val="000E7FE9"/>
    <w:rsid w:val="000F14A7"/>
    <w:rsid w:val="001001AE"/>
    <w:rsid w:val="00104965"/>
    <w:rsid w:val="00114625"/>
    <w:rsid w:val="00116D21"/>
    <w:rsid w:val="001256F3"/>
    <w:rsid w:val="001304E5"/>
    <w:rsid w:val="0014360F"/>
    <w:rsid w:val="00150B21"/>
    <w:rsid w:val="001511AC"/>
    <w:rsid w:val="00154724"/>
    <w:rsid w:val="001627A9"/>
    <w:rsid w:val="001653C5"/>
    <w:rsid w:val="00173775"/>
    <w:rsid w:val="00173EE0"/>
    <w:rsid w:val="0018084F"/>
    <w:rsid w:val="00197477"/>
    <w:rsid w:val="001A2345"/>
    <w:rsid w:val="001A3495"/>
    <w:rsid w:val="001A556C"/>
    <w:rsid w:val="001A56CF"/>
    <w:rsid w:val="001A6F66"/>
    <w:rsid w:val="001B3389"/>
    <w:rsid w:val="001B4BBB"/>
    <w:rsid w:val="001B4EFF"/>
    <w:rsid w:val="001C0182"/>
    <w:rsid w:val="001C21D9"/>
    <w:rsid w:val="001D708B"/>
    <w:rsid w:val="001F42F7"/>
    <w:rsid w:val="00204366"/>
    <w:rsid w:val="00222552"/>
    <w:rsid w:val="00223040"/>
    <w:rsid w:val="00225A39"/>
    <w:rsid w:val="0024230E"/>
    <w:rsid w:val="00246CC3"/>
    <w:rsid w:val="00252A64"/>
    <w:rsid w:val="002561BC"/>
    <w:rsid w:val="002752B8"/>
    <w:rsid w:val="002925D3"/>
    <w:rsid w:val="00295578"/>
    <w:rsid w:val="002A255C"/>
    <w:rsid w:val="002A6CE9"/>
    <w:rsid w:val="002B07E7"/>
    <w:rsid w:val="002B0EAA"/>
    <w:rsid w:val="002B2F35"/>
    <w:rsid w:val="002B3942"/>
    <w:rsid w:val="002C2762"/>
    <w:rsid w:val="002C376E"/>
    <w:rsid w:val="002D5C94"/>
    <w:rsid w:val="002D5D88"/>
    <w:rsid w:val="002E0A0E"/>
    <w:rsid w:val="002E3218"/>
    <w:rsid w:val="002F33C2"/>
    <w:rsid w:val="002F3FCE"/>
    <w:rsid w:val="002F523E"/>
    <w:rsid w:val="003004D1"/>
    <w:rsid w:val="00302622"/>
    <w:rsid w:val="003033DF"/>
    <w:rsid w:val="00311E22"/>
    <w:rsid w:val="00312EC2"/>
    <w:rsid w:val="003231E6"/>
    <w:rsid w:val="003269D4"/>
    <w:rsid w:val="00330135"/>
    <w:rsid w:val="00334765"/>
    <w:rsid w:val="003462F8"/>
    <w:rsid w:val="003473E9"/>
    <w:rsid w:val="003540D4"/>
    <w:rsid w:val="0036205A"/>
    <w:rsid w:val="00362169"/>
    <w:rsid w:val="00363718"/>
    <w:rsid w:val="00367179"/>
    <w:rsid w:val="00377F96"/>
    <w:rsid w:val="00392C1C"/>
    <w:rsid w:val="003979DD"/>
    <w:rsid w:val="003A20C9"/>
    <w:rsid w:val="003A56AF"/>
    <w:rsid w:val="003B2E9A"/>
    <w:rsid w:val="003B61A3"/>
    <w:rsid w:val="003C4AA0"/>
    <w:rsid w:val="003C7A01"/>
    <w:rsid w:val="003D5DA9"/>
    <w:rsid w:val="003E01A9"/>
    <w:rsid w:val="003E05A3"/>
    <w:rsid w:val="003E0A6B"/>
    <w:rsid w:val="003F487E"/>
    <w:rsid w:val="003F56A3"/>
    <w:rsid w:val="00412E52"/>
    <w:rsid w:val="00414105"/>
    <w:rsid w:val="004141DA"/>
    <w:rsid w:val="00414D17"/>
    <w:rsid w:val="00417A40"/>
    <w:rsid w:val="00433024"/>
    <w:rsid w:val="0045027D"/>
    <w:rsid w:val="00451111"/>
    <w:rsid w:val="00455487"/>
    <w:rsid w:val="00482CCD"/>
    <w:rsid w:val="00483B7A"/>
    <w:rsid w:val="00485257"/>
    <w:rsid w:val="00493706"/>
    <w:rsid w:val="00496CED"/>
    <w:rsid w:val="004A1A40"/>
    <w:rsid w:val="004A1E03"/>
    <w:rsid w:val="004A49A2"/>
    <w:rsid w:val="004A6666"/>
    <w:rsid w:val="004A6CAF"/>
    <w:rsid w:val="004B2929"/>
    <w:rsid w:val="004B3126"/>
    <w:rsid w:val="004C5B4A"/>
    <w:rsid w:val="004C7B52"/>
    <w:rsid w:val="004E1DA3"/>
    <w:rsid w:val="004E3C54"/>
    <w:rsid w:val="004E4420"/>
    <w:rsid w:val="004E4C52"/>
    <w:rsid w:val="004E7E10"/>
    <w:rsid w:val="00503C67"/>
    <w:rsid w:val="005106EA"/>
    <w:rsid w:val="00511244"/>
    <w:rsid w:val="00511F15"/>
    <w:rsid w:val="0052426C"/>
    <w:rsid w:val="00524AED"/>
    <w:rsid w:val="005418DA"/>
    <w:rsid w:val="0054402D"/>
    <w:rsid w:val="005533C3"/>
    <w:rsid w:val="005546F1"/>
    <w:rsid w:val="005552ED"/>
    <w:rsid w:val="00563ACA"/>
    <w:rsid w:val="00580DAC"/>
    <w:rsid w:val="005909C3"/>
    <w:rsid w:val="005A112C"/>
    <w:rsid w:val="005A4164"/>
    <w:rsid w:val="005A768A"/>
    <w:rsid w:val="005C2DD9"/>
    <w:rsid w:val="005C7535"/>
    <w:rsid w:val="005E538B"/>
    <w:rsid w:val="005E751E"/>
    <w:rsid w:val="005F0490"/>
    <w:rsid w:val="005F6030"/>
    <w:rsid w:val="00601383"/>
    <w:rsid w:val="006030C9"/>
    <w:rsid w:val="00604615"/>
    <w:rsid w:val="0062190F"/>
    <w:rsid w:val="00630FFD"/>
    <w:rsid w:val="0063174D"/>
    <w:rsid w:val="006324B1"/>
    <w:rsid w:val="00640528"/>
    <w:rsid w:val="00644CAD"/>
    <w:rsid w:val="00662314"/>
    <w:rsid w:val="00663BE6"/>
    <w:rsid w:val="0066489C"/>
    <w:rsid w:val="0067031B"/>
    <w:rsid w:val="00681700"/>
    <w:rsid w:val="00682885"/>
    <w:rsid w:val="00683710"/>
    <w:rsid w:val="00684CF0"/>
    <w:rsid w:val="006A1BF8"/>
    <w:rsid w:val="006E1CA0"/>
    <w:rsid w:val="006E27E4"/>
    <w:rsid w:val="006F424F"/>
    <w:rsid w:val="00711BAC"/>
    <w:rsid w:val="00717ED2"/>
    <w:rsid w:val="00720407"/>
    <w:rsid w:val="0072064C"/>
    <w:rsid w:val="00720EA0"/>
    <w:rsid w:val="007323C3"/>
    <w:rsid w:val="00734187"/>
    <w:rsid w:val="0074382F"/>
    <w:rsid w:val="007524A7"/>
    <w:rsid w:val="00767E27"/>
    <w:rsid w:val="00770058"/>
    <w:rsid w:val="007823B0"/>
    <w:rsid w:val="007953A4"/>
    <w:rsid w:val="007A62F3"/>
    <w:rsid w:val="007A6D5C"/>
    <w:rsid w:val="007C2AA5"/>
    <w:rsid w:val="007C38AF"/>
    <w:rsid w:val="007C42D8"/>
    <w:rsid w:val="007C60A6"/>
    <w:rsid w:val="007D46B5"/>
    <w:rsid w:val="007E3405"/>
    <w:rsid w:val="00826B50"/>
    <w:rsid w:val="008533F4"/>
    <w:rsid w:val="00855B4A"/>
    <w:rsid w:val="00860AB1"/>
    <w:rsid w:val="00861C95"/>
    <w:rsid w:val="00870C33"/>
    <w:rsid w:val="00871557"/>
    <w:rsid w:val="008774B3"/>
    <w:rsid w:val="00880844"/>
    <w:rsid w:val="0088251E"/>
    <w:rsid w:val="00885FCE"/>
    <w:rsid w:val="00892558"/>
    <w:rsid w:val="008949BE"/>
    <w:rsid w:val="008C12AF"/>
    <w:rsid w:val="008C1DC1"/>
    <w:rsid w:val="008C4794"/>
    <w:rsid w:val="008C6766"/>
    <w:rsid w:val="008D0F04"/>
    <w:rsid w:val="008E3B7B"/>
    <w:rsid w:val="008F4DB3"/>
    <w:rsid w:val="009028ED"/>
    <w:rsid w:val="00903C6F"/>
    <w:rsid w:val="009057F2"/>
    <w:rsid w:val="00907392"/>
    <w:rsid w:val="00911276"/>
    <w:rsid w:val="009219B8"/>
    <w:rsid w:val="009220FA"/>
    <w:rsid w:val="00927A2C"/>
    <w:rsid w:val="0093355D"/>
    <w:rsid w:val="00943A60"/>
    <w:rsid w:val="00946A13"/>
    <w:rsid w:val="0095443A"/>
    <w:rsid w:val="009544FA"/>
    <w:rsid w:val="00956653"/>
    <w:rsid w:val="00963DBF"/>
    <w:rsid w:val="00973647"/>
    <w:rsid w:val="0098709A"/>
    <w:rsid w:val="009923E6"/>
    <w:rsid w:val="00992566"/>
    <w:rsid w:val="009A5C0E"/>
    <w:rsid w:val="009B0C6F"/>
    <w:rsid w:val="009B4275"/>
    <w:rsid w:val="009B7E86"/>
    <w:rsid w:val="009C76FD"/>
    <w:rsid w:val="009E0031"/>
    <w:rsid w:val="009E17A2"/>
    <w:rsid w:val="009E5358"/>
    <w:rsid w:val="009E6378"/>
    <w:rsid w:val="009E6D16"/>
    <w:rsid w:val="00A02C1C"/>
    <w:rsid w:val="00A03C7C"/>
    <w:rsid w:val="00A20C8F"/>
    <w:rsid w:val="00A26C26"/>
    <w:rsid w:val="00A330CB"/>
    <w:rsid w:val="00A35B66"/>
    <w:rsid w:val="00A406C3"/>
    <w:rsid w:val="00A51690"/>
    <w:rsid w:val="00A60A11"/>
    <w:rsid w:val="00A874BB"/>
    <w:rsid w:val="00A877F9"/>
    <w:rsid w:val="00A91A1A"/>
    <w:rsid w:val="00A925A1"/>
    <w:rsid w:val="00A94AFD"/>
    <w:rsid w:val="00A963E3"/>
    <w:rsid w:val="00AA131F"/>
    <w:rsid w:val="00AB35F6"/>
    <w:rsid w:val="00AB6239"/>
    <w:rsid w:val="00AB7AA9"/>
    <w:rsid w:val="00AC08DB"/>
    <w:rsid w:val="00AC12D3"/>
    <w:rsid w:val="00AD3EA5"/>
    <w:rsid w:val="00AE74B2"/>
    <w:rsid w:val="00AE74EF"/>
    <w:rsid w:val="00B049C2"/>
    <w:rsid w:val="00B051A0"/>
    <w:rsid w:val="00B12070"/>
    <w:rsid w:val="00B254B8"/>
    <w:rsid w:val="00B31918"/>
    <w:rsid w:val="00B338E9"/>
    <w:rsid w:val="00B34E51"/>
    <w:rsid w:val="00B35F51"/>
    <w:rsid w:val="00B366DE"/>
    <w:rsid w:val="00B424EA"/>
    <w:rsid w:val="00B4276C"/>
    <w:rsid w:val="00B5228D"/>
    <w:rsid w:val="00B64831"/>
    <w:rsid w:val="00B65CF6"/>
    <w:rsid w:val="00B71C78"/>
    <w:rsid w:val="00B8792B"/>
    <w:rsid w:val="00B91616"/>
    <w:rsid w:val="00B93A44"/>
    <w:rsid w:val="00B94950"/>
    <w:rsid w:val="00BA56FA"/>
    <w:rsid w:val="00BA5A44"/>
    <w:rsid w:val="00BB222B"/>
    <w:rsid w:val="00BC07CE"/>
    <w:rsid w:val="00BC4AF5"/>
    <w:rsid w:val="00BC6853"/>
    <w:rsid w:val="00BD31ED"/>
    <w:rsid w:val="00BE1BA2"/>
    <w:rsid w:val="00BE5091"/>
    <w:rsid w:val="00BE62F8"/>
    <w:rsid w:val="00BF0A35"/>
    <w:rsid w:val="00BF33A7"/>
    <w:rsid w:val="00BF7EB2"/>
    <w:rsid w:val="00C00229"/>
    <w:rsid w:val="00C04787"/>
    <w:rsid w:val="00C0772B"/>
    <w:rsid w:val="00C12945"/>
    <w:rsid w:val="00C31179"/>
    <w:rsid w:val="00C342E7"/>
    <w:rsid w:val="00C4029F"/>
    <w:rsid w:val="00C511D5"/>
    <w:rsid w:val="00C63811"/>
    <w:rsid w:val="00C65C82"/>
    <w:rsid w:val="00C67F0B"/>
    <w:rsid w:val="00C70563"/>
    <w:rsid w:val="00C71288"/>
    <w:rsid w:val="00C72E0D"/>
    <w:rsid w:val="00C77FFE"/>
    <w:rsid w:val="00C80836"/>
    <w:rsid w:val="00C8577C"/>
    <w:rsid w:val="00C85FB3"/>
    <w:rsid w:val="00C91127"/>
    <w:rsid w:val="00C93430"/>
    <w:rsid w:val="00CA00F9"/>
    <w:rsid w:val="00CB3651"/>
    <w:rsid w:val="00CB7089"/>
    <w:rsid w:val="00CE1BE4"/>
    <w:rsid w:val="00D02C3F"/>
    <w:rsid w:val="00D16BB9"/>
    <w:rsid w:val="00D17C12"/>
    <w:rsid w:val="00D2320B"/>
    <w:rsid w:val="00D30551"/>
    <w:rsid w:val="00D31F41"/>
    <w:rsid w:val="00D42F1D"/>
    <w:rsid w:val="00D61676"/>
    <w:rsid w:val="00D67FD8"/>
    <w:rsid w:val="00D733BB"/>
    <w:rsid w:val="00D76D13"/>
    <w:rsid w:val="00D908E6"/>
    <w:rsid w:val="00D9190B"/>
    <w:rsid w:val="00DA2E9F"/>
    <w:rsid w:val="00DA44B2"/>
    <w:rsid w:val="00DA6BAE"/>
    <w:rsid w:val="00DA77BE"/>
    <w:rsid w:val="00DA7AEA"/>
    <w:rsid w:val="00DB1E40"/>
    <w:rsid w:val="00DC16A5"/>
    <w:rsid w:val="00DC2F24"/>
    <w:rsid w:val="00DC5591"/>
    <w:rsid w:val="00DC7FC2"/>
    <w:rsid w:val="00DD3458"/>
    <w:rsid w:val="00DD714E"/>
    <w:rsid w:val="00DE5103"/>
    <w:rsid w:val="00DF0408"/>
    <w:rsid w:val="00DF45CE"/>
    <w:rsid w:val="00E00B63"/>
    <w:rsid w:val="00E014D9"/>
    <w:rsid w:val="00E118DB"/>
    <w:rsid w:val="00E143D9"/>
    <w:rsid w:val="00E1590B"/>
    <w:rsid w:val="00E31F80"/>
    <w:rsid w:val="00E613CD"/>
    <w:rsid w:val="00E7135E"/>
    <w:rsid w:val="00E81AD5"/>
    <w:rsid w:val="00E84367"/>
    <w:rsid w:val="00E959E8"/>
    <w:rsid w:val="00E96076"/>
    <w:rsid w:val="00EA2336"/>
    <w:rsid w:val="00EA3D05"/>
    <w:rsid w:val="00EB2AC0"/>
    <w:rsid w:val="00EB3083"/>
    <w:rsid w:val="00EB606A"/>
    <w:rsid w:val="00EB6B59"/>
    <w:rsid w:val="00EC04CF"/>
    <w:rsid w:val="00EC206B"/>
    <w:rsid w:val="00EC64A8"/>
    <w:rsid w:val="00EC6A43"/>
    <w:rsid w:val="00ED1148"/>
    <w:rsid w:val="00ED2CA8"/>
    <w:rsid w:val="00ED55AE"/>
    <w:rsid w:val="00EE00C2"/>
    <w:rsid w:val="00EF161C"/>
    <w:rsid w:val="00F02D69"/>
    <w:rsid w:val="00F07681"/>
    <w:rsid w:val="00F15261"/>
    <w:rsid w:val="00F157FE"/>
    <w:rsid w:val="00F17A28"/>
    <w:rsid w:val="00F20731"/>
    <w:rsid w:val="00F213D7"/>
    <w:rsid w:val="00F22E11"/>
    <w:rsid w:val="00F27A36"/>
    <w:rsid w:val="00F41747"/>
    <w:rsid w:val="00F45878"/>
    <w:rsid w:val="00F52D79"/>
    <w:rsid w:val="00F555F5"/>
    <w:rsid w:val="00F55FE2"/>
    <w:rsid w:val="00F6226D"/>
    <w:rsid w:val="00F73ABF"/>
    <w:rsid w:val="00F75617"/>
    <w:rsid w:val="00F776EA"/>
    <w:rsid w:val="00F81C2A"/>
    <w:rsid w:val="00F85075"/>
    <w:rsid w:val="00F90E63"/>
    <w:rsid w:val="00F93026"/>
    <w:rsid w:val="00F93321"/>
    <w:rsid w:val="00F942EA"/>
    <w:rsid w:val="00F9597E"/>
    <w:rsid w:val="00FB10D6"/>
    <w:rsid w:val="00FB46F9"/>
    <w:rsid w:val="00FB5C20"/>
    <w:rsid w:val="00FC387F"/>
    <w:rsid w:val="00FD5A7D"/>
    <w:rsid w:val="00FD6C43"/>
    <w:rsid w:val="00FE5BDA"/>
    <w:rsid w:val="00FE646E"/>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A20C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Header">
    <w:name w:val="header"/>
    <w:basedOn w:val="Normal"/>
    <w:link w:val="HeaderChar"/>
    <w:uiPriority w:val="99"/>
    <w:unhideWhenUsed/>
    <w:rsid w:val="00A20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8F"/>
    <w:rPr>
      <w:lang w:val="en-US"/>
    </w:rPr>
  </w:style>
  <w:style w:type="character" w:customStyle="1" w:styleId="Heading1Char">
    <w:name w:val="Heading 1 Char"/>
    <w:basedOn w:val="DefaultParagraphFont"/>
    <w:link w:val="Heading1"/>
    <w:uiPriority w:val="9"/>
    <w:rsid w:val="00A20C8F"/>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A20C8F"/>
    <w:pPr>
      <w:widowControl/>
      <w:spacing w:line="259" w:lineRule="auto"/>
      <w:outlineLvl w:val="9"/>
    </w:pPr>
  </w:style>
  <w:style w:type="paragraph" w:customStyle="1" w:styleId="Heading1Response">
    <w:name w:val="Heading1Response"/>
    <w:basedOn w:val="Heading1"/>
    <w:qFormat/>
    <w:rsid w:val="00A20C8F"/>
    <w:pPr>
      <w:jc w:val="center"/>
    </w:pPr>
    <w:rPr>
      <w:rFonts w:ascii="Times New Roman" w:eastAsia="Times New Roman" w:hAnsi="Times New Roman" w:cs="Times New Roman"/>
      <w:b/>
      <w:color w:val="auto"/>
      <w:sz w:val="28"/>
    </w:rPr>
  </w:style>
  <w:style w:type="paragraph" w:customStyle="1" w:styleId="TalkingPoint">
    <w:name w:val="TalkingPoint"/>
    <w:basedOn w:val="Normal"/>
    <w:link w:val="TalkingPointChar"/>
    <w:qFormat/>
    <w:rsid w:val="00F55FE2"/>
    <w:pPr>
      <w:widowControl/>
      <w:numPr>
        <w:numId w:val="2"/>
      </w:numPr>
      <w:spacing w:after="0" w:line="240" w:lineRule="auto"/>
    </w:pPr>
    <w:rPr>
      <w:rFonts w:ascii="Calibri" w:hAnsi="Calibri" w:cs="Calibri"/>
      <w:color w:val="000000" w:themeColor="text1"/>
      <w:sz w:val="32"/>
      <w:szCs w:val="32"/>
      <w:lang w:val="en-AU"/>
    </w:rPr>
  </w:style>
  <w:style w:type="character" w:customStyle="1" w:styleId="TalkingPointChar">
    <w:name w:val="TalkingPoint Char"/>
    <w:basedOn w:val="DefaultParagraphFont"/>
    <w:link w:val="TalkingPoint"/>
    <w:rsid w:val="00F55FE2"/>
    <w:rPr>
      <w:rFonts w:ascii="Calibri" w:hAnsi="Calibri" w:cs="Calibri"/>
      <w:color w:val="000000" w:themeColor="text1"/>
      <w:sz w:val="32"/>
      <w:szCs w:val="32"/>
    </w:rPr>
  </w:style>
  <w:style w:type="character" w:styleId="Hyperlink">
    <w:name w:val="Hyperlink"/>
    <w:basedOn w:val="DefaultParagraphFont"/>
    <w:uiPriority w:val="99"/>
    <w:unhideWhenUsed/>
    <w:rsid w:val="0024230E"/>
    <w:rPr>
      <w:color w:val="0000FF" w:themeColor="hyperlink"/>
      <w:u w:val="single"/>
    </w:rPr>
  </w:style>
  <w:style w:type="character" w:styleId="FollowedHyperlink">
    <w:name w:val="FollowedHyperlink"/>
    <w:basedOn w:val="DefaultParagraphFont"/>
    <w:uiPriority w:val="99"/>
    <w:semiHidden/>
    <w:unhideWhenUsed/>
    <w:rsid w:val="00252A64"/>
    <w:rPr>
      <w:color w:val="800080" w:themeColor="followed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F41747"/>
    <w:rPr>
      <w:lang w:val="en-US"/>
    </w:rPr>
  </w:style>
  <w:style w:type="paragraph" w:styleId="NormalWeb">
    <w:name w:val="Normal (Web)"/>
    <w:basedOn w:val="Normal"/>
    <w:uiPriority w:val="99"/>
    <w:unhideWhenUsed/>
    <w:rsid w:val="004141DA"/>
    <w:pPr>
      <w:widowControl/>
      <w:spacing w:after="240" w:line="360" w:lineRule="atLeast"/>
    </w:pPr>
    <w:rPr>
      <w:rFonts w:ascii="Times New Roman" w:hAnsi="Times New Roman" w:cs="Times New Roman"/>
      <w:sz w:val="21"/>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618">
      <w:bodyDiv w:val="1"/>
      <w:marLeft w:val="0"/>
      <w:marRight w:val="0"/>
      <w:marTop w:val="0"/>
      <w:marBottom w:val="0"/>
      <w:divBdr>
        <w:top w:val="none" w:sz="0" w:space="0" w:color="auto"/>
        <w:left w:val="none" w:sz="0" w:space="0" w:color="auto"/>
        <w:bottom w:val="none" w:sz="0" w:space="0" w:color="auto"/>
        <w:right w:val="none" w:sz="0" w:space="0" w:color="auto"/>
      </w:divBdr>
    </w:div>
    <w:div w:id="20670419">
      <w:bodyDiv w:val="1"/>
      <w:marLeft w:val="0"/>
      <w:marRight w:val="0"/>
      <w:marTop w:val="0"/>
      <w:marBottom w:val="0"/>
      <w:divBdr>
        <w:top w:val="none" w:sz="0" w:space="0" w:color="auto"/>
        <w:left w:val="none" w:sz="0" w:space="0" w:color="auto"/>
        <w:bottom w:val="none" w:sz="0" w:space="0" w:color="auto"/>
        <w:right w:val="none" w:sz="0" w:space="0" w:color="auto"/>
      </w:divBdr>
    </w:div>
    <w:div w:id="34932712">
      <w:bodyDiv w:val="1"/>
      <w:marLeft w:val="0"/>
      <w:marRight w:val="0"/>
      <w:marTop w:val="0"/>
      <w:marBottom w:val="0"/>
      <w:divBdr>
        <w:top w:val="none" w:sz="0" w:space="0" w:color="auto"/>
        <w:left w:val="none" w:sz="0" w:space="0" w:color="auto"/>
        <w:bottom w:val="none" w:sz="0" w:space="0" w:color="auto"/>
        <w:right w:val="none" w:sz="0" w:space="0" w:color="auto"/>
      </w:divBdr>
    </w:div>
    <w:div w:id="116409263">
      <w:bodyDiv w:val="1"/>
      <w:marLeft w:val="0"/>
      <w:marRight w:val="0"/>
      <w:marTop w:val="0"/>
      <w:marBottom w:val="0"/>
      <w:divBdr>
        <w:top w:val="none" w:sz="0" w:space="0" w:color="auto"/>
        <w:left w:val="none" w:sz="0" w:space="0" w:color="auto"/>
        <w:bottom w:val="none" w:sz="0" w:space="0" w:color="auto"/>
        <w:right w:val="none" w:sz="0" w:space="0" w:color="auto"/>
      </w:divBdr>
    </w:div>
    <w:div w:id="190842760">
      <w:bodyDiv w:val="1"/>
      <w:marLeft w:val="0"/>
      <w:marRight w:val="0"/>
      <w:marTop w:val="0"/>
      <w:marBottom w:val="0"/>
      <w:divBdr>
        <w:top w:val="none" w:sz="0" w:space="0" w:color="auto"/>
        <w:left w:val="none" w:sz="0" w:space="0" w:color="auto"/>
        <w:bottom w:val="none" w:sz="0" w:space="0" w:color="auto"/>
        <w:right w:val="none" w:sz="0" w:space="0" w:color="auto"/>
      </w:divBdr>
    </w:div>
    <w:div w:id="229315422">
      <w:bodyDiv w:val="1"/>
      <w:marLeft w:val="0"/>
      <w:marRight w:val="0"/>
      <w:marTop w:val="0"/>
      <w:marBottom w:val="0"/>
      <w:divBdr>
        <w:top w:val="none" w:sz="0" w:space="0" w:color="auto"/>
        <w:left w:val="none" w:sz="0" w:space="0" w:color="auto"/>
        <w:bottom w:val="none" w:sz="0" w:space="0" w:color="auto"/>
        <w:right w:val="none" w:sz="0" w:space="0" w:color="auto"/>
      </w:divBdr>
    </w:div>
    <w:div w:id="444156734">
      <w:bodyDiv w:val="1"/>
      <w:marLeft w:val="0"/>
      <w:marRight w:val="0"/>
      <w:marTop w:val="0"/>
      <w:marBottom w:val="0"/>
      <w:divBdr>
        <w:top w:val="none" w:sz="0" w:space="0" w:color="auto"/>
        <w:left w:val="none" w:sz="0" w:space="0" w:color="auto"/>
        <w:bottom w:val="none" w:sz="0" w:space="0" w:color="auto"/>
        <w:right w:val="none" w:sz="0" w:space="0" w:color="auto"/>
      </w:divBdr>
    </w:div>
    <w:div w:id="697896329">
      <w:bodyDiv w:val="1"/>
      <w:marLeft w:val="0"/>
      <w:marRight w:val="0"/>
      <w:marTop w:val="0"/>
      <w:marBottom w:val="0"/>
      <w:divBdr>
        <w:top w:val="none" w:sz="0" w:space="0" w:color="auto"/>
        <w:left w:val="none" w:sz="0" w:space="0" w:color="auto"/>
        <w:bottom w:val="none" w:sz="0" w:space="0" w:color="auto"/>
        <w:right w:val="none" w:sz="0" w:space="0" w:color="auto"/>
      </w:divBdr>
    </w:div>
    <w:div w:id="752238597">
      <w:bodyDiv w:val="1"/>
      <w:marLeft w:val="0"/>
      <w:marRight w:val="0"/>
      <w:marTop w:val="0"/>
      <w:marBottom w:val="0"/>
      <w:divBdr>
        <w:top w:val="none" w:sz="0" w:space="0" w:color="auto"/>
        <w:left w:val="none" w:sz="0" w:space="0" w:color="auto"/>
        <w:bottom w:val="none" w:sz="0" w:space="0" w:color="auto"/>
        <w:right w:val="none" w:sz="0" w:space="0" w:color="auto"/>
      </w:divBdr>
    </w:div>
    <w:div w:id="796142519">
      <w:bodyDiv w:val="1"/>
      <w:marLeft w:val="0"/>
      <w:marRight w:val="0"/>
      <w:marTop w:val="0"/>
      <w:marBottom w:val="0"/>
      <w:divBdr>
        <w:top w:val="none" w:sz="0" w:space="0" w:color="auto"/>
        <w:left w:val="none" w:sz="0" w:space="0" w:color="auto"/>
        <w:bottom w:val="none" w:sz="0" w:space="0" w:color="auto"/>
        <w:right w:val="none" w:sz="0" w:space="0" w:color="auto"/>
      </w:divBdr>
    </w:div>
    <w:div w:id="899827286">
      <w:bodyDiv w:val="1"/>
      <w:marLeft w:val="0"/>
      <w:marRight w:val="0"/>
      <w:marTop w:val="0"/>
      <w:marBottom w:val="0"/>
      <w:divBdr>
        <w:top w:val="none" w:sz="0" w:space="0" w:color="auto"/>
        <w:left w:val="none" w:sz="0" w:space="0" w:color="auto"/>
        <w:bottom w:val="none" w:sz="0" w:space="0" w:color="auto"/>
        <w:right w:val="none" w:sz="0" w:space="0" w:color="auto"/>
      </w:divBdr>
    </w:div>
    <w:div w:id="1017002842">
      <w:bodyDiv w:val="1"/>
      <w:marLeft w:val="0"/>
      <w:marRight w:val="0"/>
      <w:marTop w:val="0"/>
      <w:marBottom w:val="0"/>
      <w:divBdr>
        <w:top w:val="none" w:sz="0" w:space="0" w:color="auto"/>
        <w:left w:val="none" w:sz="0" w:space="0" w:color="auto"/>
        <w:bottom w:val="none" w:sz="0" w:space="0" w:color="auto"/>
        <w:right w:val="none" w:sz="0" w:space="0" w:color="auto"/>
      </w:divBdr>
    </w:div>
    <w:div w:id="1051415558">
      <w:bodyDiv w:val="1"/>
      <w:marLeft w:val="0"/>
      <w:marRight w:val="0"/>
      <w:marTop w:val="0"/>
      <w:marBottom w:val="0"/>
      <w:divBdr>
        <w:top w:val="none" w:sz="0" w:space="0" w:color="auto"/>
        <w:left w:val="none" w:sz="0" w:space="0" w:color="auto"/>
        <w:bottom w:val="none" w:sz="0" w:space="0" w:color="auto"/>
        <w:right w:val="none" w:sz="0" w:space="0" w:color="auto"/>
      </w:divBdr>
    </w:div>
    <w:div w:id="1279335254">
      <w:bodyDiv w:val="1"/>
      <w:marLeft w:val="0"/>
      <w:marRight w:val="0"/>
      <w:marTop w:val="0"/>
      <w:marBottom w:val="0"/>
      <w:divBdr>
        <w:top w:val="none" w:sz="0" w:space="0" w:color="auto"/>
        <w:left w:val="none" w:sz="0" w:space="0" w:color="auto"/>
        <w:bottom w:val="none" w:sz="0" w:space="0" w:color="auto"/>
        <w:right w:val="none" w:sz="0" w:space="0" w:color="auto"/>
      </w:divBdr>
    </w:div>
    <w:div w:id="1413819902">
      <w:bodyDiv w:val="1"/>
      <w:marLeft w:val="0"/>
      <w:marRight w:val="0"/>
      <w:marTop w:val="0"/>
      <w:marBottom w:val="0"/>
      <w:divBdr>
        <w:top w:val="none" w:sz="0" w:space="0" w:color="auto"/>
        <w:left w:val="none" w:sz="0" w:space="0" w:color="auto"/>
        <w:bottom w:val="none" w:sz="0" w:space="0" w:color="auto"/>
        <w:right w:val="none" w:sz="0" w:space="0" w:color="auto"/>
      </w:divBdr>
    </w:div>
    <w:div w:id="1484005442">
      <w:bodyDiv w:val="1"/>
      <w:marLeft w:val="0"/>
      <w:marRight w:val="0"/>
      <w:marTop w:val="0"/>
      <w:marBottom w:val="0"/>
      <w:divBdr>
        <w:top w:val="none" w:sz="0" w:space="0" w:color="auto"/>
        <w:left w:val="none" w:sz="0" w:space="0" w:color="auto"/>
        <w:bottom w:val="none" w:sz="0" w:space="0" w:color="auto"/>
        <w:right w:val="none" w:sz="0" w:space="0" w:color="auto"/>
      </w:divBdr>
    </w:div>
    <w:div w:id="1546478872">
      <w:bodyDiv w:val="1"/>
      <w:marLeft w:val="0"/>
      <w:marRight w:val="0"/>
      <w:marTop w:val="0"/>
      <w:marBottom w:val="0"/>
      <w:divBdr>
        <w:top w:val="none" w:sz="0" w:space="0" w:color="auto"/>
        <w:left w:val="none" w:sz="0" w:space="0" w:color="auto"/>
        <w:bottom w:val="none" w:sz="0" w:space="0" w:color="auto"/>
        <w:right w:val="none" w:sz="0" w:space="0" w:color="auto"/>
      </w:divBdr>
    </w:div>
    <w:div w:id="1578173358">
      <w:bodyDiv w:val="1"/>
      <w:marLeft w:val="0"/>
      <w:marRight w:val="0"/>
      <w:marTop w:val="0"/>
      <w:marBottom w:val="0"/>
      <w:divBdr>
        <w:top w:val="none" w:sz="0" w:space="0" w:color="auto"/>
        <w:left w:val="none" w:sz="0" w:space="0" w:color="auto"/>
        <w:bottom w:val="none" w:sz="0" w:space="0" w:color="auto"/>
        <w:right w:val="none" w:sz="0" w:space="0" w:color="auto"/>
      </w:divBdr>
    </w:div>
    <w:div w:id="1687749287">
      <w:bodyDiv w:val="1"/>
      <w:marLeft w:val="0"/>
      <w:marRight w:val="0"/>
      <w:marTop w:val="0"/>
      <w:marBottom w:val="0"/>
      <w:divBdr>
        <w:top w:val="none" w:sz="0" w:space="0" w:color="auto"/>
        <w:left w:val="none" w:sz="0" w:space="0" w:color="auto"/>
        <w:bottom w:val="none" w:sz="0" w:space="0" w:color="auto"/>
        <w:right w:val="none" w:sz="0" w:space="0" w:color="auto"/>
      </w:divBdr>
    </w:div>
    <w:div w:id="1851985697">
      <w:bodyDiv w:val="1"/>
      <w:marLeft w:val="0"/>
      <w:marRight w:val="0"/>
      <w:marTop w:val="0"/>
      <w:marBottom w:val="0"/>
      <w:divBdr>
        <w:top w:val="none" w:sz="0" w:space="0" w:color="auto"/>
        <w:left w:val="none" w:sz="0" w:space="0" w:color="auto"/>
        <w:bottom w:val="none" w:sz="0" w:space="0" w:color="auto"/>
        <w:right w:val="none" w:sz="0" w:space="0" w:color="auto"/>
      </w:divBdr>
    </w:div>
    <w:div w:id="19296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iaa.gov.au/indigenous-affairs/employment/cd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iaa.gov.au/resource-centre/indigenous-affairs/indigenous-business-strateg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aa.gov.au/indigenous-affairs/economic-development/indigenous-procurement-policy-i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2E6B4E4D5DE64F80171A540971ABCB" ma:contentTypeVersion="" ma:contentTypeDescription="PDMS Document Site Content Type" ma:contentTypeScope="" ma:versionID="8abfda2256668fdde9452949485111ab">
  <xsd:schema xmlns:xsd="http://www.w3.org/2001/XMLSchema" xmlns:xs="http://www.w3.org/2001/XMLSchema" xmlns:p="http://schemas.microsoft.com/office/2006/metadata/properties" xmlns:ns2="AA686343-4638-4EC2-B1D2-5585BFE86D31" targetNamespace="http://schemas.microsoft.com/office/2006/metadata/properties" ma:root="true" ma:fieldsID="f291b3f80182bc35a13e6e8c008941f4" ns2:_="">
    <xsd:import namespace="AA686343-4638-4EC2-B1D2-5585BFE86D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86343-4638-4EC2-B1D2-5585BFE86D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A686343-4638-4EC2-B1D2-5585BFE86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447A-088E-4E40-8082-875B0C743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86343-4638-4EC2-B1D2-5585BFE86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F5F2A-AE3F-458A-AD69-0126AFF93DC8}">
  <ds:schemaRefs>
    <ds:schemaRef ds:uri="http://schemas.microsoft.com/office/2006/metadata/properties"/>
    <ds:schemaRef ds:uri="http://schemas.microsoft.com/office/infopath/2007/PartnerControls"/>
    <ds:schemaRef ds:uri="AA686343-4638-4EC2-B1D2-5585BFE86D31"/>
  </ds:schemaRefs>
</ds:datastoreItem>
</file>

<file path=customXml/itemProps3.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4.xml><?xml version="1.0" encoding="utf-8"?>
<ds:datastoreItem xmlns:ds="http://schemas.openxmlformats.org/officeDocument/2006/customXml" ds:itemID="{F066FE86-9A13-45BD-826E-E93D5A29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7534</Words>
  <Characters>42944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Government response for the House of Representatives Select Committee on Intergenerational Welfare Dependence inquiry.</dc:subject>
  <dc:creator>Greta DOHERTY</dc:creator>
  <cp:lastModifiedBy>FLOWERS, Kate</cp:lastModifiedBy>
  <cp:revision>2</cp:revision>
  <cp:lastPrinted>2019-11-20T23:07:00Z</cp:lastPrinted>
  <dcterms:created xsi:type="dcterms:W3CDTF">2020-03-05T05:42:00Z</dcterms:created>
  <dcterms:modified xsi:type="dcterms:W3CDTF">2020-03-05T05:42:00Z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07 November 2019</vt:lpwstr>
  </property>
  <property fmtid="{D5CDD505-2E9C-101B-9397-08002B2CF9AE}" pid="4" name="ContentTypeId">
    <vt:lpwstr>0x010100266966F133664895A6EE3632470D45F500AE2E6B4E4D5DE64F80171A540971ABCB</vt:lpwstr>
  </property>
  <property fmtid="{D5CDD505-2E9C-101B-9397-08002B2CF9AE}" pid="5" name="Electorates">
    <vt:lpwstr> </vt:lpwstr>
  </property>
  <property fmtid="{D5CDD505-2E9C-101B-9397-08002B2CF9AE}" pid="6" name="FahcsiaGBS">
    <vt:lpwstr/>
  </property>
  <property fmtid="{D5CDD505-2E9C-101B-9397-08002B2CF9AE}" pid="7" name="FahcsiaKeywords">
    <vt:lpwstr/>
  </property>
  <property fmtid="{D5CDD505-2E9C-101B-9397-08002B2CF9AE}" pid="8" name="GroupResponsible">
    <vt:lpwstr>Policy Office</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InitiatorAddressBlock">
    <vt:lpwstr/>
  </property>
  <property fmtid="{D5CDD505-2E9C-101B-9397-08002B2CF9AE}" pid="12" name="InitiatorAddressLine1">
    <vt:lpwstr/>
  </property>
  <property fmtid="{D5CDD505-2E9C-101B-9397-08002B2CF9AE}" pid="13" name="InitiatorAddressLine1And2">
    <vt:lpwstr/>
  </property>
  <property fmtid="{D5CDD505-2E9C-101B-9397-08002B2CF9AE}" pid="14" name="InitiatorAddressLine2">
    <vt:lpwstr/>
  </property>
  <property fmtid="{D5CDD505-2E9C-101B-9397-08002B2CF9AE}" pid="15" name="InitiatorContactDate">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Ministers">
    <vt:lpwstr>Anne Ruston</vt:lpwstr>
  </property>
  <property fmtid="{D5CDD505-2E9C-101B-9397-08002B2CF9AE}" pid="44" name="MOActionDueDate">
    <vt:lpwstr>29 November 2019</vt:lpwstr>
  </property>
  <property fmtid="{D5CDD505-2E9C-101B-9397-08002B2CF9AE}" pid="45" name="PdrId">
    <vt:lpwstr>MS19-000973</vt:lpwstr>
  </property>
  <property fmtid="{D5CDD505-2E9C-101B-9397-08002B2CF9AE}" pid="46" name="Principal">
    <vt:lpwstr>Parliamentary Committees</vt:lpwstr>
  </property>
  <property fmtid="{D5CDD505-2E9C-101B-9397-08002B2CF9AE}" pid="47" name="ReasonForSensitivity">
    <vt:lpwstr/>
  </property>
  <property fmtid="{D5CDD505-2E9C-101B-9397-08002B2CF9AE}" pid="48" name="RegisteredDate">
    <vt:lpwstr>06 August 2019</vt:lpwstr>
  </property>
  <property fmtid="{D5CDD505-2E9C-101B-9397-08002B2CF9AE}" pid="49" name="RequestedAction">
    <vt:lpwstr>ACTION</vt:lpwstr>
  </property>
  <property fmtid="{D5CDD505-2E9C-101B-9397-08002B2CF9AE}" pid="50" name="ResponsibleMinister">
    <vt:lpwstr>Anne Ruston</vt:lpwstr>
  </property>
  <property fmtid="{D5CDD505-2E9C-101B-9397-08002B2CF9AE}" pid="51" name="SecurityClassification">
    <vt:lpwstr>OFFICIAL  </vt:lpwstr>
  </property>
  <property fmtid="{D5CDD505-2E9C-101B-9397-08002B2CF9AE}" pid="52" name="Subject">
    <vt:lpwstr>Government response for the House of Representatives Select Committee on Intergenerational Welfare Dependence inquiry. </vt:lpwstr>
  </property>
  <property fmtid="{D5CDD505-2E9C-101B-9397-08002B2CF9AE}" pid="53" name="TaskSeqNo">
    <vt:lpwstr>0</vt:lpwstr>
  </property>
  <property fmtid="{D5CDD505-2E9C-101B-9397-08002B2CF9AE}" pid="54" name="TemplateSubType">
    <vt:lpwstr>Government Response</vt:lpwstr>
  </property>
  <property fmtid="{D5CDD505-2E9C-101B-9397-08002B2CF9AE}" pid="55" name="TemplateType">
    <vt:lpwstr>Parliamentary Committees</vt:lpwstr>
  </property>
  <property fmtid="{D5CDD505-2E9C-101B-9397-08002B2CF9AE}" pid="56" name="TrustedGroups">
    <vt:lpwstr>Parliamentary Coordinator MS, DLO, Ministerial Staff - Coalition 2013, Business Administrator, Limited Distribution MS</vt:lpwstr>
  </property>
</Properties>
</file>