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A6AD" w14:textId="77777777" w:rsidR="005316BE" w:rsidRDefault="00CF553B" w:rsidP="00537B50">
      <w:pPr>
        <w:spacing w:before="0" w:after="0"/>
        <w:ind w:left="-850"/>
      </w:pPr>
      <w:r>
        <w:rPr>
          <w:noProof/>
        </w:rPr>
        <w:drawing>
          <wp:inline distT="0" distB="0" distL="0" distR="0" wp14:anchorId="28FAF120" wp14:editId="79E68C36">
            <wp:extent cx="7541998" cy="1436354"/>
            <wp:effectExtent l="0" t="0" r="1905" b="0"/>
            <wp:docPr id="1" name="Picture 1" descr="Department of Social Services crest"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56541FC6" w14:textId="77777777" w:rsidR="00EA3ECC" w:rsidRDefault="00791C2B" w:rsidP="004D67E0">
      <w:pPr>
        <w:pStyle w:val="Heading1"/>
      </w:pPr>
      <w:r w:rsidRPr="004D67E0">
        <w:t>Commonwealth</w:t>
      </w:r>
      <w:r>
        <w:t xml:space="preserve"> Disability Royal Commission Taskforce Overview</w:t>
      </w:r>
      <w:bookmarkStart w:id="0" w:name="_Toc391890681"/>
    </w:p>
    <w:p w14:paraId="7453E277" w14:textId="1FC4F7CF" w:rsidR="00342476" w:rsidRDefault="002D3257" w:rsidP="00647E55">
      <w:pPr>
        <w:spacing w:before="240"/>
      </w:pPr>
      <w:r>
        <w:t xml:space="preserve">On 29 September 2023, the Royal Commission into Violence, Abuse, Neglect and Exploitation of People with Disability (Disability Royal Commission) released its final report. </w:t>
      </w:r>
    </w:p>
    <w:p w14:paraId="5123F2E1" w14:textId="77777777" w:rsidR="00EA3ECC" w:rsidRDefault="002D3257" w:rsidP="00647E55">
      <w:pPr>
        <w:spacing w:after="240"/>
      </w:pPr>
      <w:r>
        <w:t xml:space="preserve">In recognition of the </w:t>
      </w:r>
      <w:r w:rsidR="005440DE">
        <w:t>significant scale of reform recommended by the Disability Royal Commission, the Australian Government has established a Commonwealth Disability Royal Commission</w:t>
      </w:r>
      <w:r w:rsidR="000B390B">
        <w:t xml:space="preserve"> Taskforce (Taskforce) within the Department of Social Services. </w:t>
      </w:r>
    </w:p>
    <w:p w14:paraId="6B29811F" w14:textId="77777777" w:rsidR="00291953" w:rsidRPr="00377173" w:rsidRDefault="00291953" w:rsidP="004D67E0">
      <w:pPr>
        <w:pStyle w:val="Heading2"/>
      </w:pPr>
      <w:r>
        <w:t xml:space="preserve">Taskforce </w:t>
      </w:r>
      <w:r w:rsidR="00465E02" w:rsidRPr="004D67E0">
        <w:t>Purpose</w:t>
      </w:r>
      <w:r w:rsidRPr="00377173">
        <w:t xml:space="preserve"> </w:t>
      </w:r>
    </w:p>
    <w:p w14:paraId="324B64DE" w14:textId="77777777" w:rsidR="00647E55" w:rsidRDefault="00465E02" w:rsidP="00465E02">
      <w:r>
        <w:t>The Taskforce’s overarching purpose is to support the Australian Government’s consideration of</w:t>
      </w:r>
      <w:r w:rsidR="00265B68">
        <w:t>, and response to,</w:t>
      </w:r>
      <w:r>
        <w:t xml:space="preserve"> the Disability Royal Commission’</w:t>
      </w:r>
      <w:r w:rsidR="00D26DB6">
        <w:t xml:space="preserve">s final report. </w:t>
      </w:r>
    </w:p>
    <w:p w14:paraId="116973FD" w14:textId="77777777" w:rsidR="00465E02" w:rsidRDefault="00D26DB6" w:rsidP="00465E02">
      <w:r>
        <w:t xml:space="preserve">The Taskforce will: </w:t>
      </w:r>
    </w:p>
    <w:p w14:paraId="15937480" w14:textId="77777777" w:rsidR="00291953" w:rsidRDefault="00291953" w:rsidP="00465E02">
      <w:pPr>
        <w:pStyle w:val="ListParagraph"/>
        <w:numPr>
          <w:ilvl w:val="0"/>
          <w:numId w:val="62"/>
        </w:numPr>
      </w:pPr>
      <w:r>
        <w:t xml:space="preserve">Support </w:t>
      </w:r>
      <w:r w:rsidR="006C18EF">
        <w:t>coordinated consideration of the</w:t>
      </w:r>
      <w:r>
        <w:t xml:space="preserve"> Disability Royal Commission’s</w:t>
      </w:r>
      <w:r w:rsidR="006C18EF">
        <w:t xml:space="preserve"> final report acro</w:t>
      </w:r>
      <w:r>
        <w:t xml:space="preserve">ss </w:t>
      </w:r>
      <w:r w:rsidR="00465E02">
        <w:t xml:space="preserve">Commonwealth departments and agencies. </w:t>
      </w:r>
      <w:r>
        <w:t xml:space="preserve"> </w:t>
      </w:r>
    </w:p>
    <w:p w14:paraId="54E8FFD5" w14:textId="77777777" w:rsidR="00D34ACE" w:rsidRDefault="00465E02" w:rsidP="00D34ACE">
      <w:pPr>
        <w:pStyle w:val="ListParagraph"/>
        <w:numPr>
          <w:ilvl w:val="0"/>
          <w:numId w:val="62"/>
        </w:numPr>
      </w:pPr>
      <w:r>
        <w:t>Engage and consult</w:t>
      </w:r>
      <w:r w:rsidR="00291953">
        <w:t xml:space="preserve"> with people with disability, their families</w:t>
      </w:r>
      <w:r w:rsidR="007778E9">
        <w:t>, carers, representative organisations, service providers, unions, employers and the broader community to inform Government decision making on reform and change.</w:t>
      </w:r>
      <w:r w:rsidR="00D34ACE">
        <w:t xml:space="preserve"> </w:t>
      </w:r>
    </w:p>
    <w:p w14:paraId="09AB641A" w14:textId="77777777" w:rsidR="006C18EF" w:rsidRDefault="00D34ACE" w:rsidP="00D34ACE">
      <w:pPr>
        <w:pStyle w:val="ListParagraph"/>
        <w:numPr>
          <w:ilvl w:val="1"/>
          <w:numId w:val="62"/>
        </w:numPr>
      </w:pPr>
      <w:r>
        <w:t>Information</w:t>
      </w:r>
      <w:r w:rsidR="007778E9">
        <w:t xml:space="preserve"> about this consultation process is available on the Department of Social Services </w:t>
      </w:r>
      <w:r>
        <w:t xml:space="preserve">website: </w:t>
      </w:r>
      <w:hyperlink r:id="rId9" w:history="1">
        <w:r w:rsidRPr="00297528">
          <w:rPr>
            <w:rStyle w:val="Hyperlink"/>
          </w:rPr>
          <w:t>www.engage.dss.gov.au/drcausgovresponse/</w:t>
        </w:r>
      </w:hyperlink>
      <w:r>
        <w:t xml:space="preserve">.  </w:t>
      </w:r>
    </w:p>
    <w:p w14:paraId="0F2BE522" w14:textId="77777777" w:rsidR="00224B43" w:rsidRDefault="00465E02" w:rsidP="00342476">
      <w:pPr>
        <w:pStyle w:val="ListParagraph"/>
        <w:numPr>
          <w:ilvl w:val="0"/>
          <w:numId w:val="62"/>
        </w:numPr>
      </w:pPr>
      <w:r>
        <w:t>Work with state and territory officials to consider recommendations of joint Commonwealth, stat</w:t>
      </w:r>
      <w:r w:rsidR="00A20958">
        <w:t xml:space="preserve">e and territory responsibility. </w:t>
      </w:r>
    </w:p>
    <w:p w14:paraId="2201F8DC" w14:textId="77777777" w:rsidR="00D26DB6" w:rsidRDefault="00224B43" w:rsidP="00D26DB6">
      <w:r>
        <w:t xml:space="preserve">Relevant Commonwealth Ministers and </w:t>
      </w:r>
      <w:r w:rsidR="00A20958">
        <w:t>their departments are</w:t>
      </w:r>
      <w:r>
        <w:t xml:space="preserve"> respons</w:t>
      </w:r>
      <w:r w:rsidR="00A94733">
        <w:t>ible for considering</w:t>
      </w:r>
      <w:r>
        <w:t xml:space="preserve"> individual recommendations within their policy responsibility.</w:t>
      </w:r>
      <w:r w:rsidR="001F1432">
        <w:t xml:space="preserve"> The Taskforce will contribute to this by bringing agencies together to support an </w:t>
      </w:r>
      <w:r w:rsidR="00A750D7">
        <w:t xml:space="preserve">integrated </w:t>
      </w:r>
      <w:r w:rsidR="001F1432">
        <w:t xml:space="preserve">approach to reform that supports a safer and more inclusive Australia for people with disability, their families and carers. </w:t>
      </w:r>
      <w:r w:rsidR="00D26DB6">
        <w:t xml:space="preserve">The Australian Government Cabinet will determine the Australian Government’s overall response to the Disability Royal Commission. </w:t>
      </w:r>
    </w:p>
    <w:p w14:paraId="13FEFF31" w14:textId="77777777" w:rsidR="00157A3E" w:rsidRDefault="00157A3E" w:rsidP="004D67E0">
      <w:pPr>
        <w:pStyle w:val="Heading2"/>
      </w:pPr>
      <w:r>
        <w:t>Operating arrangements</w:t>
      </w:r>
    </w:p>
    <w:p w14:paraId="3890C488" w14:textId="77777777" w:rsidR="00157A3E" w:rsidRDefault="00157A3E" w:rsidP="00157A3E">
      <w:r>
        <w:t>The Taskforce reports to the Minister for Social Services, the Hon Amanda Rishworth MP, through normal Department of Social Services reporting structures.</w:t>
      </w:r>
    </w:p>
    <w:p w14:paraId="0CCCF0FC" w14:textId="77777777" w:rsidR="00AE3B37" w:rsidRDefault="00157A3E" w:rsidP="00157A3E">
      <w:pPr>
        <w:sectPr w:rsidR="00AE3B37" w:rsidSect="00DE0DDF">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134" w:left="851" w:header="0" w:footer="471" w:gutter="0"/>
          <w:cols w:space="708"/>
          <w:titlePg/>
          <w:docGrid w:linePitch="360"/>
        </w:sectPr>
      </w:pPr>
      <w:r>
        <w:t xml:space="preserve">The Taskforce is expected to operate until 30 June 2025, or as otherwise determined by the Australian Government. It will support the Government’s consideration of, and response to, the Disability Royal Commission’s recommendations, and the establishment of arrangements to monitor and report on implementation. </w:t>
      </w:r>
    </w:p>
    <w:p w14:paraId="24D0650F" w14:textId="689A9181" w:rsidR="00157A3E" w:rsidRDefault="00157A3E" w:rsidP="00157A3E"/>
    <w:p w14:paraId="40B4C98B" w14:textId="32EB241D" w:rsidR="006C18EF" w:rsidRDefault="00AC4393" w:rsidP="004D67E0">
      <w:pPr>
        <w:pStyle w:val="Heading2"/>
      </w:pPr>
      <w:r>
        <w:t>Taskforce Composition</w:t>
      </w:r>
    </w:p>
    <w:p w14:paraId="72A4A71E" w14:textId="778D735F" w:rsidR="00647E55" w:rsidRDefault="003C1847" w:rsidP="00647E55">
      <w:r>
        <w:t>The Taskforce is a business unit</w:t>
      </w:r>
      <w:r w:rsidR="005C7264">
        <w:t xml:space="preserve"> of around 15 people</w:t>
      </w:r>
      <w:r w:rsidR="00647E55">
        <w:t xml:space="preserve"> </w:t>
      </w:r>
      <w:r>
        <w:t xml:space="preserve">within the </w:t>
      </w:r>
      <w:r w:rsidR="0067687D">
        <w:t>Department of Social Services</w:t>
      </w:r>
      <w:r w:rsidR="005C7264">
        <w:t>. It</w:t>
      </w:r>
      <w:r w:rsidR="0067687D">
        <w:t xml:space="preserve"> is led </w:t>
      </w:r>
      <w:r w:rsidR="00157A3E">
        <w:t>by Group</w:t>
      </w:r>
      <w:r w:rsidR="0067687D">
        <w:t xml:space="preserve"> Manager, </w:t>
      </w:r>
      <w:r w:rsidR="00AE0738" w:rsidRPr="00AE0738">
        <w:t>Disabili</w:t>
      </w:r>
      <w:r w:rsidR="00AE0738">
        <w:t>ty Reforms and Royal Commission</w:t>
      </w:r>
      <w:bookmarkStart w:id="1" w:name="_GoBack"/>
      <w:bookmarkEnd w:id="1"/>
      <w:r w:rsidR="0067687D">
        <w:t>.</w:t>
      </w:r>
    </w:p>
    <w:p w14:paraId="77752ACA" w14:textId="1394F087" w:rsidR="00DE0DDF" w:rsidRDefault="0067687D" w:rsidP="002C7E5E">
      <w:r>
        <w:t xml:space="preserve">The Taskforce </w:t>
      </w:r>
      <w:r w:rsidR="005C7264">
        <w:t>comprises</w:t>
      </w:r>
      <w:r w:rsidR="00DE0DDF">
        <w:t xml:space="preserve"> </w:t>
      </w:r>
      <w:r w:rsidR="00647E55">
        <w:t xml:space="preserve">Department of Social Services staff, </w:t>
      </w:r>
      <w:r>
        <w:t>and</w:t>
      </w:r>
      <w:r w:rsidR="003C1847">
        <w:t xml:space="preserve"> </w:t>
      </w:r>
      <w:r w:rsidR="006C18EF">
        <w:t>secon</w:t>
      </w:r>
      <w:r w:rsidR="006C050A">
        <w:t xml:space="preserve">ded </w:t>
      </w:r>
      <w:r>
        <w:t>staff</w:t>
      </w:r>
      <w:r w:rsidR="006C050A">
        <w:t xml:space="preserve"> from the Attorney</w:t>
      </w:r>
      <w:r w:rsidR="006C050A">
        <w:noBreakHyphen/>
      </w:r>
      <w:r w:rsidR="006C18EF">
        <w:t>General’s Department, the Department of Education, the Department of Health and Aged Care, the National Indigenous Australians Agency, and the National Disability Insurance Agency.</w:t>
      </w:r>
      <w:bookmarkEnd w:id="0"/>
      <w:r w:rsidR="00DE0DDF">
        <w:t xml:space="preserve"> This includes a combination of people with disability, carers of people with disability and people with relevant experience to meet the business requirements of the Taskforce.</w:t>
      </w:r>
      <w:r w:rsidR="005C7264">
        <w:t xml:space="preserve"> </w:t>
      </w:r>
      <w:r w:rsidR="00DE0DDF">
        <w:t xml:space="preserve">Taskforce members </w:t>
      </w:r>
      <w:r w:rsidR="005C7264">
        <w:t>are required to complete</w:t>
      </w:r>
      <w:r w:rsidR="00DE0DDF">
        <w:t xml:space="preserve"> disability awareness trai</w:t>
      </w:r>
      <w:r w:rsidR="005C7264">
        <w:t>ning</w:t>
      </w:r>
      <w:r w:rsidR="00DE0DDF">
        <w:t xml:space="preserve">. </w:t>
      </w:r>
    </w:p>
    <w:p w14:paraId="717BFFCA" w14:textId="77777777" w:rsidR="00CE5939" w:rsidRDefault="00CE5939" w:rsidP="004D67E0">
      <w:pPr>
        <w:pStyle w:val="Heading2"/>
      </w:pPr>
      <w:r>
        <w:t>Governance</w:t>
      </w:r>
    </w:p>
    <w:p w14:paraId="3D10DCD2" w14:textId="77777777" w:rsidR="00CE5939" w:rsidRDefault="00CE5939" w:rsidP="00CE5939">
      <w:pPr>
        <w:pStyle w:val="Heading3"/>
      </w:pPr>
      <w:r>
        <w:t xml:space="preserve">Disability Royal Commission Commonwealth Working Group </w:t>
      </w:r>
    </w:p>
    <w:p w14:paraId="4AF4489E" w14:textId="77777777" w:rsidR="00CE5939" w:rsidRDefault="00CE5939" w:rsidP="00CE5939">
      <w:r>
        <w:t>The Taskforce works closely with all relevant Commonwealth departments and agencies through both informal day-to-day interactions and a formal Disability Royal Commission Commonwealth Working Group (Commonwealth Working Group).</w:t>
      </w:r>
    </w:p>
    <w:p w14:paraId="1892B78F" w14:textId="66AA0925" w:rsidR="00CE5939" w:rsidRDefault="00CE5939" w:rsidP="00CE5939">
      <w:r>
        <w:t>The Commonwealth Working Group meets regularly, and includes</w:t>
      </w:r>
      <w:r w:rsidR="00AE3B37">
        <w:t xml:space="preserve"> core</w:t>
      </w:r>
      <w:r>
        <w:t xml:space="preserve"> representatives from the following Commonwealth departments and agencies: </w:t>
      </w:r>
    </w:p>
    <w:p w14:paraId="4F989A7A" w14:textId="77777777" w:rsidR="00CE5939" w:rsidRDefault="00CE5939" w:rsidP="00CE5939">
      <w:pPr>
        <w:pStyle w:val="ListParagraph"/>
        <w:numPr>
          <w:ilvl w:val="0"/>
          <w:numId w:val="64"/>
        </w:numPr>
      </w:pPr>
      <w:r>
        <w:t xml:space="preserve">Department of Social Services (Chair) </w:t>
      </w:r>
    </w:p>
    <w:p w14:paraId="2C6B16A2" w14:textId="77777777" w:rsidR="00CE5939" w:rsidRDefault="00CE5939" w:rsidP="00CE5939">
      <w:pPr>
        <w:pStyle w:val="ListParagraph"/>
        <w:numPr>
          <w:ilvl w:val="0"/>
          <w:numId w:val="64"/>
        </w:numPr>
      </w:pPr>
      <w:r>
        <w:t xml:space="preserve">Department of the Prime Minister and Cabinet </w:t>
      </w:r>
    </w:p>
    <w:p w14:paraId="2350164D" w14:textId="77777777" w:rsidR="00CE5939" w:rsidRDefault="00CE5939" w:rsidP="00CE5939">
      <w:pPr>
        <w:pStyle w:val="ListParagraph"/>
        <w:numPr>
          <w:ilvl w:val="0"/>
          <w:numId w:val="64"/>
        </w:numPr>
      </w:pPr>
      <w:r>
        <w:t xml:space="preserve">Department of Finance </w:t>
      </w:r>
    </w:p>
    <w:p w14:paraId="52744C75" w14:textId="77777777" w:rsidR="00CE5939" w:rsidRDefault="00CE5939" w:rsidP="00CE5939">
      <w:pPr>
        <w:pStyle w:val="ListParagraph"/>
        <w:numPr>
          <w:ilvl w:val="0"/>
          <w:numId w:val="64"/>
        </w:numPr>
      </w:pPr>
      <w:r>
        <w:t xml:space="preserve">Treasury </w:t>
      </w:r>
    </w:p>
    <w:p w14:paraId="52A5FF17" w14:textId="77777777" w:rsidR="00CE5939" w:rsidRDefault="00CE5939" w:rsidP="00CE5939">
      <w:pPr>
        <w:pStyle w:val="ListParagraph"/>
        <w:numPr>
          <w:ilvl w:val="0"/>
          <w:numId w:val="64"/>
        </w:numPr>
      </w:pPr>
      <w:r>
        <w:t>Attorney-General’s Department</w:t>
      </w:r>
    </w:p>
    <w:p w14:paraId="45380659" w14:textId="77777777" w:rsidR="00CE5939" w:rsidRDefault="00CE5939" w:rsidP="00CE5939">
      <w:pPr>
        <w:pStyle w:val="ListParagraph"/>
        <w:numPr>
          <w:ilvl w:val="0"/>
          <w:numId w:val="64"/>
        </w:numPr>
      </w:pPr>
      <w:r>
        <w:t xml:space="preserve">National Disability Insurance Agency </w:t>
      </w:r>
    </w:p>
    <w:p w14:paraId="11585AE1" w14:textId="77777777" w:rsidR="00CE5939" w:rsidRDefault="00CE5939" w:rsidP="00CE5939">
      <w:pPr>
        <w:pStyle w:val="ListParagraph"/>
        <w:numPr>
          <w:ilvl w:val="0"/>
          <w:numId w:val="64"/>
        </w:numPr>
      </w:pPr>
      <w:r>
        <w:t>National Disability Insurance Scheme Quality and Safeguards Commission</w:t>
      </w:r>
    </w:p>
    <w:p w14:paraId="05A3155A" w14:textId="77777777" w:rsidR="00CE5939" w:rsidRPr="002A3DA9" w:rsidRDefault="00CE5939" w:rsidP="00CE5939">
      <w:pPr>
        <w:pStyle w:val="ListParagraph"/>
        <w:numPr>
          <w:ilvl w:val="0"/>
          <w:numId w:val="64"/>
        </w:numPr>
      </w:pPr>
      <w:r w:rsidRPr="002A3DA9">
        <w:t>Department of Education</w:t>
      </w:r>
    </w:p>
    <w:p w14:paraId="5C76C63B" w14:textId="77777777" w:rsidR="00CE5939" w:rsidRPr="002A3DA9" w:rsidRDefault="00CE5939" w:rsidP="00CE5939">
      <w:pPr>
        <w:pStyle w:val="ListParagraph"/>
        <w:numPr>
          <w:ilvl w:val="0"/>
          <w:numId w:val="64"/>
        </w:numPr>
      </w:pPr>
      <w:r w:rsidRPr="002A3DA9">
        <w:t xml:space="preserve">Department of Health and Aged Care </w:t>
      </w:r>
    </w:p>
    <w:p w14:paraId="539FA989" w14:textId="77777777" w:rsidR="00CE5939" w:rsidRPr="002A3DA9" w:rsidRDefault="00CE5939" w:rsidP="00CE5939">
      <w:pPr>
        <w:pStyle w:val="ListParagraph"/>
        <w:numPr>
          <w:ilvl w:val="0"/>
          <w:numId w:val="64"/>
        </w:numPr>
      </w:pPr>
      <w:r w:rsidRPr="002A3DA9">
        <w:t>National Indigenous Australians Agency</w:t>
      </w:r>
    </w:p>
    <w:p w14:paraId="2F37E063" w14:textId="77777777" w:rsidR="00CE5939" w:rsidRPr="002A3DA9" w:rsidRDefault="00CE5939" w:rsidP="00CE5939">
      <w:pPr>
        <w:pStyle w:val="ListParagraph"/>
        <w:numPr>
          <w:ilvl w:val="0"/>
          <w:numId w:val="64"/>
        </w:numPr>
      </w:pPr>
      <w:r w:rsidRPr="002A3DA9">
        <w:t xml:space="preserve">Department of Employment and Workplace Relations </w:t>
      </w:r>
    </w:p>
    <w:p w14:paraId="0DA7F3DC" w14:textId="77777777" w:rsidR="00CE5939" w:rsidRPr="002A3DA9" w:rsidRDefault="00CE5939" w:rsidP="00CE5939">
      <w:pPr>
        <w:pStyle w:val="ListParagraph"/>
        <w:numPr>
          <w:ilvl w:val="0"/>
          <w:numId w:val="64"/>
        </w:numPr>
      </w:pPr>
      <w:r w:rsidRPr="002A3DA9">
        <w:t xml:space="preserve">Department of Home Affairs </w:t>
      </w:r>
    </w:p>
    <w:p w14:paraId="7F42F3BE" w14:textId="77777777" w:rsidR="00CE5939" w:rsidRPr="002A3DA9" w:rsidRDefault="00CE5939" w:rsidP="00CE5939">
      <w:pPr>
        <w:pStyle w:val="ListParagraph"/>
        <w:numPr>
          <w:ilvl w:val="0"/>
          <w:numId w:val="64"/>
        </w:numPr>
      </w:pPr>
      <w:r w:rsidRPr="002A3DA9">
        <w:t xml:space="preserve">Department of Infrastructure, Transport, Regional Development, Communications and the Arts </w:t>
      </w:r>
    </w:p>
    <w:p w14:paraId="468DC266" w14:textId="3426061D" w:rsidR="00CE5939" w:rsidRDefault="00CE5939" w:rsidP="00CE5939">
      <w:pPr>
        <w:pStyle w:val="ListParagraph"/>
        <w:numPr>
          <w:ilvl w:val="0"/>
          <w:numId w:val="64"/>
        </w:numPr>
      </w:pPr>
      <w:r w:rsidRPr="002A3DA9">
        <w:t>Department of Industry and Science</w:t>
      </w:r>
    </w:p>
    <w:p w14:paraId="78BBF3F1" w14:textId="17BFA859" w:rsidR="008C6ABC" w:rsidRDefault="008C6ABC" w:rsidP="004A079A">
      <w:r>
        <w:t xml:space="preserve">Representatives from the following agencies participate as required: </w:t>
      </w:r>
    </w:p>
    <w:p w14:paraId="7CF56323" w14:textId="77777777" w:rsidR="008C6ABC" w:rsidRDefault="008C6ABC" w:rsidP="00CE5939">
      <w:pPr>
        <w:pStyle w:val="ListParagraph"/>
        <w:numPr>
          <w:ilvl w:val="0"/>
          <w:numId w:val="64"/>
        </w:numPr>
      </w:pPr>
      <w:r>
        <w:t>Hearing Australia</w:t>
      </w:r>
    </w:p>
    <w:p w14:paraId="4C4671B5" w14:textId="54E46E35" w:rsidR="008C6ABC" w:rsidRDefault="008C6ABC" w:rsidP="00CE5939">
      <w:pPr>
        <w:pStyle w:val="ListParagraph"/>
        <w:numPr>
          <w:ilvl w:val="0"/>
          <w:numId w:val="64"/>
        </w:numPr>
      </w:pPr>
      <w:r>
        <w:t xml:space="preserve">Commonwealth Ombudsman </w:t>
      </w:r>
    </w:p>
    <w:p w14:paraId="425944BA" w14:textId="7E026F1A" w:rsidR="008C6ABC" w:rsidRDefault="008C6ABC" w:rsidP="004A079A">
      <w:pPr>
        <w:pStyle w:val="ListParagraph"/>
        <w:numPr>
          <w:ilvl w:val="0"/>
          <w:numId w:val="64"/>
        </w:numPr>
      </w:pPr>
      <w:r>
        <w:t>Australian Bureau of Statistics</w:t>
      </w:r>
    </w:p>
    <w:p w14:paraId="31C56625" w14:textId="4BA98B7E" w:rsidR="008C6ABC" w:rsidRDefault="008C6ABC" w:rsidP="00CE5939">
      <w:pPr>
        <w:pStyle w:val="ListParagraph"/>
        <w:numPr>
          <w:ilvl w:val="0"/>
          <w:numId w:val="64"/>
        </w:numPr>
      </w:pPr>
      <w:r>
        <w:t>Australian Institute of Health and Welfare</w:t>
      </w:r>
    </w:p>
    <w:p w14:paraId="2912C212" w14:textId="025C3660" w:rsidR="008C6ABC" w:rsidRDefault="00AE3B37" w:rsidP="00CE5939">
      <w:pPr>
        <w:pStyle w:val="ListParagraph"/>
        <w:numPr>
          <w:ilvl w:val="0"/>
          <w:numId w:val="64"/>
        </w:numPr>
      </w:pPr>
      <w:r>
        <w:t>Australian Public Service Commission</w:t>
      </w:r>
    </w:p>
    <w:p w14:paraId="269EA12C" w14:textId="12AF1925" w:rsidR="00AE3B37" w:rsidRDefault="00AE3B37" w:rsidP="00CE5939">
      <w:pPr>
        <w:pStyle w:val="ListParagraph"/>
        <w:numPr>
          <w:ilvl w:val="0"/>
          <w:numId w:val="64"/>
        </w:numPr>
      </w:pPr>
      <w:r>
        <w:t>Fair Work Commission</w:t>
      </w:r>
    </w:p>
    <w:p w14:paraId="3D70837A" w14:textId="232A39B1" w:rsidR="00FD2D09" w:rsidRDefault="00FD2D09" w:rsidP="00FD2D09">
      <w:r>
        <w:t>In addition</w:t>
      </w:r>
      <w:r w:rsidR="00DE0DDF">
        <w:t xml:space="preserve">, </w:t>
      </w:r>
      <w:r w:rsidR="001B0D7E">
        <w:t xml:space="preserve">given the strong focus of the Disability Royal Commission on human rights, </w:t>
      </w:r>
      <w:r w:rsidR="00DE0DDF">
        <w:t>the Taskforce has agreed</w:t>
      </w:r>
      <w:r w:rsidR="00AE3B37">
        <w:t xml:space="preserve"> ongoing consultation</w:t>
      </w:r>
      <w:r w:rsidR="00DE0DDF">
        <w:t xml:space="preserve"> arrangements with the Australian Human Rights Commission</w:t>
      </w:r>
      <w:r w:rsidR="009C5C96">
        <w:t xml:space="preserve"> to enable appropriate input</w:t>
      </w:r>
      <w:r w:rsidR="00DE0DDF">
        <w:t>.</w:t>
      </w:r>
    </w:p>
    <w:p w14:paraId="0225C414" w14:textId="77777777" w:rsidR="00AE3B37" w:rsidRDefault="00AE3B37" w:rsidP="004D67E0"/>
    <w:p w14:paraId="10D8468B" w14:textId="77777777" w:rsidR="004D67E0" w:rsidRDefault="004D67E0" w:rsidP="004D67E0"/>
    <w:p w14:paraId="47679EFE" w14:textId="7FFFBBE5" w:rsidR="00CE5939" w:rsidRDefault="00CE5939" w:rsidP="004D67E0">
      <w:pPr>
        <w:pStyle w:val="Heading3"/>
      </w:pPr>
      <w:r>
        <w:t xml:space="preserve">Disability Royal Commission Inter-Jurisdictional Committee </w:t>
      </w:r>
    </w:p>
    <w:p w14:paraId="00F5C0B7" w14:textId="11EE9557" w:rsidR="0009090C" w:rsidRPr="00AE3B37" w:rsidRDefault="00CE5939" w:rsidP="00AE3B37">
      <w:r>
        <w:t xml:space="preserve">The Taskforce also chairs a Disability Royal Commission Inter-Jurisdictional Committee to provide a forum for Commonwealth, state and territory officials to engage on recommendations of joint responsibility. The </w:t>
      </w:r>
      <w:r w:rsidR="00157A3E">
        <w:t>Committee</w:t>
      </w:r>
      <w:r>
        <w:t xml:space="preserve"> includes representatives from the Commonwealth and all states and territories.   </w:t>
      </w:r>
    </w:p>
    <w:p w14:paraId="319EFC27" w14:textId="3D79B3DB" w:rsidR="004E40E3" w:rsidRDefault="00DE0DDF" w:rsidP="004D67E0">
      <w:pPr>
        <w:pStyle w:val="Heading2"/>
      </w:pPr>
      <w:r>
        <w:t>Approach to engagement and consultation</w:t>
      </w:r>
    </w:p>
    <w:p w14:paraId="7FA82AD3" w14:textId="1E9AF8B2" w:rsidR="00DE0DDF" w:rsidRDefault="00DE0DDF" w:rsidP="008D4E4B">
      <w:r>
        <w:t xml:space="preserve">The Taskforce will </w:t>
      </w:r>
      <w:r w:rsidR="00CE5509">
        <w:t>ensure</w:t>
      </w:r>
      <w:r>
        <w:t xml:space="preserve"> engagement </w:t>
      </w:r>
      <w:r w:rsidR="00CE5509">
        <w:t xml:space="preserve">and consultation </w:t>
      </w:r>
      <w:r w:rsidR="0009090C">
        <w:t xml:space="preserve">around the development of the Commonwealth’s response to the Disability Royal Commission </w:t>
      </w:r>
      <w:r w:rsidR="00CE5509">
        <w:t>is inclusive a</w:t>
      </w:r>
      <w:r w:rsidR="005C7264">
        <w:t xml:space="preserve">nd accessible, trauma-informed, and that it </w:t>
      </w:r>
      <w:r w:rsidR="00CE5509">
        <w:t>draws out different stakeholder perspectives</w:t>
      </w:r>
      <w:r w:rsidR="0009090C">
        <w:t xml:space="preserve"> and intersectional issues</w:t>
      </w:r>
      <w:r w:rsidR="00CE5509">
        <w:t xml:space="preserve"> so these </w:t>
      </w:r>
      <w:r w:rsidR="0009090C">
        <w:t>are</w:t>
      </w:r>
      <w:r w:rsidR="00CE5509">
        <w:t xml:space="preserve"> understood</w:t>
      </w:r>
      <w:r w:rsidR="005C7264">
        <w:t>. The consultation approach includes</w:t>
      </w:r>
      <w:r w:rsidR="0009090C">
        <w:t xml:space="preserve"> a combination of</w:t>
      </w:r>
      <w:r w:rsidR="005C7264">
        <w:t xml:space="preserve"> </w:t>
      </w:r>
      <w:r w:rsidR="0009090C">
        <w:t>high-level</w:t>
      </w:r>
      <w:r w:rsidR="005C7264">
        <w:t xml:space="preserve"> roundtables, forums, workshops, individual meetings</w:t>
      </w:r>
      <w:r w:rsidR="0009090C">
        <w:t>,</w:t>
      </w:r>
      <w:r w:rsidR="005C7264">
        <w:t xml:space="preserve"> </w:t>
      </w:r>
      <w:r w:rsidR="0009090C">
        <w:t>and a</w:t>
      </w:r>
      <w:r w:rsidR="005C7264">
        <w:t xml:space="preserve"> survey</w:t>
      </w:r>
      <w:r w:rsidR="0009090C">
        <w:t xml:space="preserve"> and submission process</w:t>
      </w:r>
      <w:r w:rsidR="005C7264">
        <w:t>.</w:t>
      </w:r>
      <w:r w:rsidR="0009090C">
        <w:t xml:space="preserve"> Stakeholder engagement </w:t>
      </w:r>
      <w:r w:rsidR="00CB7D89">
        <w:t xml:space="preserve">is </w:t>
      </w:r>
      <w:r w:rsidR="0009090C">
        <w:t>occurring over a number of months to support participation. Individuals and organisations can</w:t>
      </w:r>
      <w:r w:rsidR="00C27799">
        <w:t xml:space="preserve"> find out more and</w:t>
      </w:r>
      <w:r w:rsidR="0009090C">
        <w:t xml:space="preserve"> register their interest at: </w:t>
      </w:r>
      <w:hyperlink r:id="rId16" w:history="1">
        <w:r w:rsidR="0009090C" w:rsidRPr="007C23DF">
          <w:rPr>
            <w:rStyle w:val="Hyperlink"/>
          </w:rPr>
          <w:t>www.engage.dss.gov.au/drcausgovresponse</w:t>
        </w:r>
      </w:hyperlink>
      <w:r w:rsidR="0009090C">
        <w:t xml:space="preserve">  </w:t>
      </w:r>
    </w:p>
    <w:p w14:paraId="2032A482" w14:textId="77777777" w:rsidR="00DE0DDF" w:rsidRDefault="00DE0DDF" w:rsidP="004D67E0">
      <w:pPr>
        <w:pStyle w:val="Heading2"/>
      </w:pPr>
      <w:r w:rsidRPr="004D67E0">
        <w:t>Relationship</w:t>
      </w:r>
      <w:r>
        <w:t xml:space="preserve"> to the NDIS Review </w:t>
      </w:r>
    </w:p>
    <w:p w14:paraId="056E3252" w14:textId="56001427" w:rsidR="00DE0DDF" w:rsidRPr="004649E2" w:rsidRDefault="00DE0DDF" w:rsidP="008D4E4B">
      <w:r>
        <w:t xml:space="preserve">Some of the issues raised through the Disability Royal Commission relate to issues considered by the NDIS Review. The Taskforce will work closely with those areas of Government responsible for considering the NDIS Review to </w:t>
      </w:r>
      <w:r w:rsidR="00C87A78">
        <w:t>enable these intersections to be understood in the context of Government responses to the Disability Royal Commission and NDIS Review</w:t>
      </w:r>
      <w:r>
        <w:t>.</w:t>
      </w:r>
    </w:p>
    <w:sectPr w:rsidR="00DE0DDF" w:rsidRPr="004649E2" w:rsidSect="00DE0DDF">
      <w:pgSz w:w="11906" w:h="16838" w:code="9"/>
      <w:pgMar w:top="567"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0F7E" w14:textId="77777777" w:rsidR="00961F53" w:rsidRDefault="00961F53">
      <w:r>
        <w:separator/>
      </w:r>
    </w:p>
  </w:endnote>
  <w:endnote w:type="continuationSeparator" w:id="0">
    <w:p w14:paraId="41BF67DA" w14:textId="77777777" w:rsidR="00961F53" w:rsidRDefault="0096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C1FB" w14:textId="77777777" w:rsidR="00626DB0" w:rsidRDefault="00626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D3DA" w14:textId="77777777" w:rsidR="00626DB0" w:rsidRDefault="00626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27EB" w14:textId="77777777" w:rsidR="00626DB0" w:rsidRDefault="0062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8CABA" w14:textId="77777777" w:rsidR="00961F53" w:rsidRDefault="00961F53">
      <w:r>
        <w:separator/>
      </w:r>
    </w:p>
  </w:footnote>
  <w:footnote w:type="continuationSeparator" w:id="0">
    <w:p w14:paraId="239454BF" w14:textId="77777777" w:rsidR="00961F53" w:rsidRDefault="0096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3D74" w14:textId="77777777" w:rsidR="00626DB0" w:rsidRDefault="00626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5F5E" w14:textId="77777777" w:rsidR="00626DB0" w:rsidRDefault="00626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E510" w14:textId="77777777" w:rsidR="00142F3E" w:rsidRDefault="00AE0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A82385"/>
    <w:multiLevelType w:val="hybridMultilevel"/>
    <w:tmpl w:val="B024C4E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4C0510"/>
    <w:multiLevelType w:val="hybridMultilevel"/>
    <w:tmpl w:val="DA908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B07738"/>
    <w:multiLevelType w:val="hybridMultilevel"/>
    <w:tmpl w:val="C3FA003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33A57DA"/>
    <w:multiLevelType w:val="hybridMultilevel"/>
    <w:tmpl w:val="34F05FFA"/>
    <w:lvl w:ilvl="0" w:tplc="687CCBF6">
      <w:start w:val="1"/>
      <w:numFmt w:val="bullet"/>
      <w:lvlText w:val="•"/>
      <w:lvlJc w:val="left"/>
      <w:pPr>
        <w:tabs>
          <w:tab w:val="num" w:pos="720"/>
        </w:tabs>
        <w:ind w:left="720" w:hanging="360"/>
      </w:pPr>
      <w:rPr>
        <w:rFonts w:ascii="Arial" w:hAnsi="Arial" w:hint="default"/>
      </w:rPr>
    </w:lvl>
    <w:lvl w:ilvl="1" w:tplc="15E0B7C2" w:tentative="1">
      <w:start w:val="1"/>
      <w:numFmt w:val="bullet"/>
      <w:lvlText w:val="•"/>
      <w:lvlJc w:val="left"/>
      <w:pPr>
        <w:tabs>
          <w:tab w:val="num" w:pos="1440"/>
        </w:tabs>
        <w:ind w:left="1440" w:hanging="360"/>
      </w:pPr>
      <w:rPr>
        <w:rFonts w:ascii="Arial" w:hAnsi="Arial" w:hint="default"/>
      </w:rPr>
    </w:lvl>
    <w:lvl w:ilvl="2" w:tplc="322E85F6" w:tentative="1">
      <w:start w:val="1"/>
      <w:numFmt w:val="bullet"/>
      <w:lvlText w:val="•"/>
      <w:lvlJc w:val="left"/>
      <w:pPr>
        <w:tabs>
          <w:tab w:val="num" w:pos="2160"/>
        </w:tabs>
        <w:ind w:left="2160" w:hanging="360"/>
      </w:pPr>
      <w:rPr>
        <w:rFonts w:ascii="Arial" w:hAnsi="Arial" w:hint="default"/>
      </w:rPr>
    </w:lvl>
    <w:lvl w:ilvl="3" w:tplc="D6200168" w:tentative="1">
      <w:start w:val="1"/>
      <w:numFmt w:val="bullet"/>
      <w:lvlText w:val="•"/>
      <w:lvlJc w:val="left"/>
      <w:pPr>
        <w:tabs>
          <w:tab w:val="num" w:pos="2880"/>
        </w:tabs>
        <w:ind w:left="2880" w:hanging="360"/>
      </w:pPr>
      <w:rPr>
        <w:rFonts w:ascii="Arial" w:hAnsi="Arial" w:hint="default"/>
      </w:rPr>
    </w:lvl>
    <w:lvl w:ilvl="4" w:tplc="4426F69C" w:tentative="1">
      <w:start w:val="1"/>
      <w:numFmt w:val="bullet"/>
      <w:lvlText w:val="•"/>
      <w:lvlJc w:val="left"/>
      <w:pPr>
        <w:tabs>
          <w:tab w:val="num" w:pos="3600"/>
        </w:tabs>
        <w:ind w:left="3600" w:hanging="360"/>
      </w:pPr>
      <w:rPr>
        <w:rFonts w:ascii="Arial" w:hAnsi="Arial" w:hint="default"/>
      </w:rPr>
    </w:lvl>
    <w:lvl w:ilvl="5" w:tplc="5C3E1E74" w:tentative="1">
      <w:start w:val="1"/>
      <w:numFmt w:val="bullet"/>
      <w:lvlText w:val="•"/>
      <w:lvlJc w:val="left"/>
      <w:pPr>
        <w:tabs>
          <w:tab w:val="num" w:pos="4320"/>
        </w:tabs>
        <w:ind w:left="4320" w:hanging="360"/>
      </w:pPr>
      <w:rPr>
        <w:rFonts w:ascii="Arial" w:hAnsi="Arial" w:hint="default"/>
      </w:rPr>
    </w:lvl>
    <w:lvl w:ilvl="6" w:tplc="C8E0ABC2" w:tentative="1">
      <w:start w:val="1"/>
      <w:numFmt w:val="bullet"/>
      <w:lvlText w:val="•"/>
      <w:lvlJc w:val="left"/>
      <w:pPr>
        <w:tabs>
          <w:tab w:val="num" w:pos="5040"/>
        </w:tabs>
        <w:ind w:left="5040" w:hanging="360"/>
      </w:pPr>
      <w:rPr>
        <w:rFonts w:ascii="Arial" w:hAnsi="Arial" w:hint="default"/>
      </w:rPr>
    </w:lvl>
    <w:lvl w:ilvl="7" w:tplc="9D2ABA7E" w:tentative="1">
      <w:start w:val="1"/>
      <w:numFmt w:val="bullet"/>
      <w:lvlText w:val="•"/>
      <w:lvlJc w:val="left"/>
      <w:pPr>
        <w:tabs>
          <w:tab w:val="num" w:pos="5760"/>
        </w:tabs>
        <w:ind w:left="5760" w:hanging="360"/>
      </w:pPr>
      <w:rPr>
        <w:rFonts w:ascii="Arial" w:hAnsi="Arial" w:hint="default"/>
      </w:rPr>
    </w:lvl>
    <w:lvl w:ilvl="8" w:tplc="2106589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5"/>
  </w:num>
  <w:num w:numId="6">
    <w:abstractNumId w:val="61"/>
  </w:num>
  <w:num w:numId="7">
    <w:abstractNumId w:val="47"/>
  </w:num>
  <w:num w:numId="8">
    <w:abstractNumId w:val="52"/>
  </w:num>
  <w:num w:numId="9">
    <w:abstractNumId w:val="7"/>
  </w:num>
  <w:num w:numId="10">
    <w:abstractNumId w:val="60"/>
  </w:num>
  <w:num w:numId="11">
    <w:abstractNumId w:val="16"/>
  </w:num>
  <w:num w:numId="12">
    <w:abstractNumId w:val="44"/>
  </w:num>
  <w:num w:numId="13">
    <w:abstractNumId w:val="54"/>
  </w:num>
  <w:num w:numId="14">
    <w:abstractNumId w:val="37"/>
  </w:num>
  <w:num w:numId="15">
    <w:abstractNumId w:val="3"/>
  </w:num>
  <w:num w:numId="16">
    <w:abstractNumId w:val="12"/>
  </w:num>
  <w:num w:numId="17">
    <w:abstractNumId w:val="59"/>
  </w:num>
  <w:num w:numId="18">
    <w:abstractNumId w:val="51"/>
  </w:num>
  <w:num w:numId="19">
    <w:abstractNumId w:val="13"/>
  </w:num>
  <w:num w:numId="20">
    <w:abstractNumId w:val="2"/>
  </w:num>
  <w:num w:numId="21">
    <w:abstractNumId w:val="5"/>
  </w:num>
  <w:num w:numId="22">
    <w:abstractNumId w:val="21"/>
  </w:num>
  <w:num w:numId="23">
    <w:abstractNumId w:val="17"/>
  </w:num>
  <w:num w:numId="24">
    <w:abstractNumId w:val="63"/>
  </w:num>
  <w:num w:numId="25">
    <w:abstractNumId w:val="36"/>
  </w:num>
  <w:num w:numId="26">
    <w:abstractNumId w:val="41"/>
  </w:num>
  <w:num w:numId="27">
    <w:abstractNumId w:val="19"/>
  </w:num>
  <w:num w:numId="28">
    <w:abstractNumId w:val="62"/>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8"/>
  </w:num>
  <w:num w:numId="38">
    <w:abstractNumId w:val="31"/>
  </w:num>
  <w:num w:numId="39">
    <w:abstractNumId w:val="25"/>
  </w:num>
  <w:num w:numId="40">
    <w:abstractNumId w:val="35"/>
  </w:num>
  <w:num w:numId="41">
    <w:abstractNumId w:val="39"/>
  </w:num>
  <w:num w:numId="42">
    <w:abstractNumId w:val="23"/>
  </w:num>
  <w:num w:numId="43">
    <w:abstractNumId w:val="14"/>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7"/>
  </w:num>
  <w:num w:numId="55">
    <w:abstractNumId w:val="18"/>
  </w:num>
  <w:num w:numId="56">
    <w:abstractNumId w:val="30"/>
  </w:num>
  <w:num w:numId="57">
    <w:abstractNumId w:val="29"/>
  </w:num>
  <w:num w:numId="58">
    <w:abstractNumId w:val="10"/>
  </w:num>
  <w:num w:numId="59">
    <w:abstractNumId w:val="38"/>
  </w:num>
  <w:num w:numId="60">
    <w:abstractNumId w:val="6"/>
  </w:num>
  <w:num w:numId="61">
    <w:abstractNumId w:val="33"/>
  </w:num>
  <w:num w:numId="62">
    <w:abstractNumId w:val="22"/>
  </w:num>
  <w:num w:numId="63">
    <w:abstractNumId w:val="24"/>
  </w:num>
  <w:num w:numId="64">
    <w:abstractNumId w:val="20"/>
  </w:num>
  <w:num w:numId="65">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2B"/>
    <w:rsid w:val="00002C18"/>
    <w:rsid w:val="00005C8B"/>
    <w:rsid w:val="00010549"/>
    <w:rsid w:val="00012F84"/>
    <w:rsid w:val="00013F99"/>
    <w:rsid w:val="00025376"/>
    <w:rsid w:val="00027B26"/>
    <w:rsid w:val="0003104E"/>
    <w:rsid w:val="00031195"/>
    <w:rsid w:val="00032861"/>
    <w:rsid w:val="00035CA1"/>
    <w:rsid w:val="0003679F"/>
    <w:rsid w:val="00041EA9"/>
    <w:rsid w:val="000435BB"/>
    <w:rsid w:val="000444D4"/>
    <w:rsid w:val="00045CCD"/>
    <w:rsid w:val="00047524"/>
    <w:rsid w:val="00047ACD"/>
    <w:rsid w:val="000505B2"/>
    <w:rsid w:val="00050E5B"/>
    <w:rsid w:val="000547EF"/>
    <w:rsid w:val="00054B89"/>
    <w:rsid w:val="0006264C"/>
    <w:rsid w:val="000661D1"/>
    <w:rsid w:val="00067CD0"/>
    <w:rsid w:val="00071E78"/>
    <w:rsid w:val="00080F2E"/>
    <w:rsid w:val="00081CEB"/>
    <w:rsid w:val="00083791"/>
    <w:rsid w:val="00086E3C"/>
    <w:rsid w:val="00087B2C"/>
    <w:rsid w:val="00087DBD"/>
    <w:rsid w:val="00090570"/>
    <w:rsid w:val="00090753"/>
    <w:rsid w:val="0009090C"/>
    <w:rsid w:val="00096F54"/>
    <w:rsid w:val="00097BFF"/>
    <w:rsid w:val="000A669D"/>
    <w:rsid w:val="000A66A8"/>
    <w:rsid w:val="000B390B"/>
    <w:rsid w:val="000C014D"/>
    <w:rsid w:val="000C1E3A"/>
    <w:rsid w:val="000D0178"/>
    <w:rsid w:val="000D4703"/>
    <w:rsid w:val="000D693C"/>
    <w:rsid w:val="000E12D4"/>
    <w:rsid w:val="00104669"/>
    <w:rsid w:val="00110028"/>
    <w:rsid w:val="00111B30"/>
    <w:rsid w:val="00116EDF"/>
    <w:rsid w:val="00124B26"/>
    <w:rsid w:val="00130C4E"/>
    <w:rsid w:val="00131B54"/>
    <w:rsid w:val="001354B7"/>
    <w:rsid w:val="001404FA"/>
    <w:rsid w:val="001413C5"/>
    <w:rsid w:val="00142956"/>
    <w:rsid w:val="00143502"/>
    <w:rsid w:val="00144494"/>
    <w:rsid w:val="00144868"/>
    <w:rsid w:val="00157709"/>
    <w:rsid w:val="00157A3E"/>
    <w:rsid w:val="00167330"/>
    <w:rsid w:val="00167CF4"/>
    <w:rsid w:val="00185F6A"/>
    <w:rsid w:val="001943DD"/>
    <w:rsid w:val="0019479A"/>
    <w:rsid w:val="00195374"/>
    <w:rsid w:val="001A127F"/>
    <w:rsid w:val="001A1F53"/>
    <w:rsid w:val="001A3CA4"/>
    <w:rsid w:val="001A3EA4"/>
    <w:rsid w:val="001B0D7E"/>
    <w:rsid w:val="001B3AEC"/>
    <w:rsid w:val="001B5000"/>
    <w:rsid w:val="001B6F28"/>
    <w:rsid w:val="001D4585"/>
    <w:rsid w:val="001D5D54"/>
    <w:rsid w:val="001E41C8"/>
    <w:rsid w:val="001F1432"/>
    <w:rsid w:val="001F3AD7"/>
    <w:rsid w:val="001F45EB"/>
    <w:rsid w:val="00207630"/>
    <w:rsid w:val="00213082"/>
    <w:rsid w:val="00216CCF"/>
    <w:rsid w:val="0021714E"/>
    <w:rsid w:val="00222187"/>
    <w:rsid w:val="00222C8D"/>
    <w:rsid w:val="00222E33"/>
    <w:rsid w:val="00223D88"/>
    <w:rsid w:val="00224B43"/>
    <w:rsid w:val="00227B95"/>
    <w:rsid w:val="002339BD"/>
    <w:rsid w:val="0023523A"/>
    <w:rsid w:val="002353DF"/>
    <w:rsid w:val="00235F71"/>
    <w:rsid w:val="0025272A"/>
    <w:rsid w:val="00253108"/>
    <w:rsid w:val="00265B68"/>
    <w:rsid w:val="00265F26"/>
    <w:rsid w:val="00271922"/>
    <w:rsid w:val="0027204E"/>
    <w:rsid w:val="00273412"/>
    <w:rsid w:val="00274ACF"/>
    <w:rsid w:val="00285F1B"/>
    <w:rsid w:val="00291953"/>
    <w:rsid w:val="00295831"/>
    <w:rsid w:val="00296F1B"/>
    <w:rsid w:val="002A3DA9"/>
    <w:rsid w:val="002A6DF5"/>
    <w:rsid w:val="002C7E5E"/>
    <w:rsid w:val="002D00B0"/>
    <w:rsid w:val="002D2E16"/>
    <w:rsid w:val="002D3257"/>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1847"/>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649E2"/>
    <w:rsid w:val="00464AB5"/>
    <w:rsid w:val="00464E8C"/>
    <w:rsid w:val="0046517B"/>
    <w:rsid w:val="00465E02"/>
    <w:rsid w:val="00466D36"/>
    <w:rsid w:val="00467185"/>
    <w:rsid w:val="0047050C"/>
    <w:rsid w:val="00475504"/>
    <w:rsid w:val="00480F21"/>
    <w:rsid w:val="00484FED"/>
    <w:rsid w:val="00495AF1"/>
    <w:rsid w:val="004A079A"/>
    <w:rsid w:val="004C1D98"/>
    <w:rsid w:val="004C5A38"/>
    <w:rsid w:val="004D1A29"/>
    <w:rsid w:val="004D44E8"/>
    <w:rsid w:val="004D67E0"/>
    <w:rsid w:val="004E40E3"/>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440DE"/>
    <w:rsid w:val="005519C9"/>
    <w:rsid w:val="005523D1"/>
    <w:rsid w:val="00554A9C"/>
    <w:rsid w:val="00557624"/>
    <w:rsid w:val="0056023E"/>
    <w:rsid w:val="005658EF"/>
    <w:rsid w:val="005822A3"/>
    <w:rsid w:val="0059070B"/>
    <w:rsid w:val="00593648"/>
    <w:rsid w:val="00594445"/>
    <w:rsid w:val="00594BA8"/>
    <w:rsid w:val="005B1225"/>
    <w:rsid w:val="005C09F4"/>
    <w:rsid w:val="005C561A"/>
    <w:rsid w:val="005C5B93"/>
    <w:rsid w:val="005C66FF"/>
    <w:rsid w:val="005C7264"/>
    <w:rsid w:val="005C785A"/>
    <w:rsid w:val="005D03CA"/>
    <w:rsid w:val="005D45AB"/>
    <w:rsid w:val="005E4662"/>
    <w:rsid w:val="005F093F"/>
    <w:rsid w:val="005F214A"/>
    <w:rsid w:val="005F6BD6"/>
    <w:rsid w:val="00601C99"/>
    <w:rsid w:val="00607597"/>
    <w:rsid w:val="006255E4"/>
    <w:rsid w:val="00626DB0"/>
    <w:rsid w:val="006325E2"/>
    <w:rsid w:val="00641020"/>
    <w:rsid w:val="006410C1"/>
    <w:rsid w:val="00647E55"/>
    <w:rsid w:val="00647F05"/>
    <w:rsid w:val="006530EF"/>
    <w:rsid w:val="00654D06"/>
    <w:rsid w:val="00661536"/>
    <w:rsid w:val="006678ED"/>
    <w:rsid w:val="0067233D"/>
    <w:rsid w:val="006745AE"/>
    <w:rsid w:val="00675BEF"/>
    <w:rsid w:val="0067687D"/>
    <w:rsid w:val="00676AF3"/>
    <w:rsid w:val="00676D10"/>
    <w:rsid w:val="00680F71"/>
    <w:rsid w:val="00682A53"/>
    <w:rsid w:val="0069174B"/>
    <w:rsid w:val="00693FA1"/>
    <w:rsid w:val="006B05E3"/>
    <w:rsid w:val="006B09BC"/>
    <w:rsid w:val="006B42A0"/>
    <w:rsid w:val="006B4E59"/>
    <w:rsid w:val="006C050A"/>
    <w:rsid w:val="006C18EF"/>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778E9"/>
    <w:rsid w:val="00785465"/>
    <w:rsid w:val="00787656"/>
    <w:rsid w:val="00791C2B"/>
    <w:rsid w:val="007A67EA"/>
    <w:rsid w:val="007B15AF"/>
    <w:rsid w:val="007B429D"/>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76698"/>
    <w:rsid w:val="00880BE3"/>
    <w:rsid w:val="00882588"/>
    <w:rsid w:val="00895792"/>
    <w:rsid w:val="008A3738"/>
    <w:rsid w:val="008A384C"/>
    <w:rsid w:val="008A6981"/>
    <w:rsid w:val="008B298F"/>
    <w:rsid w:val="008B645B"/>
    <w:rsid w:val="008B67B8"/>
    <w:rsid w:val="008B774D"/>
    <w:rsid w:val="008C123E"/>
    <w:rsid w:val="008C1344"/>
    <w:rsid w:val="008C3ED0"/>
    <w:rsid w:val="008C5585"/>
    <w:rsid w:val="008C5E94"/>
    <w:rsid w:val="008C6ABC"/>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16CA4"/>
    <w:rsid w:val="00922289"/>
    <w:rsid w:val="00936F46"/>
    <w:rsid w:val="0094271E"/>
    <w:rsid w:val="00943142"/>
    <w:rsid w:val="00943A29"/>
    <w:rsid w:val="0095197E"/>
    <w:rsid w:val="00952AB2"/>
    <w:rsid w:val="009551E0"/>
    <w:rsid w:val="00955801"/>
    <w:rsid w:val="0095654E"/>
    <w:rsid w:val="00956F3C"/>
    <w:rsid w:val="0095779B"/>
    <w:rsid w:val="00961F53"/>
    <w:rsid w:val="0096485D"/>
    <w:rsid w:val="009900F0"/>
    <w:rsid w:val="00991769"/>
    <w:rsid w:val="00994E9F"/>
    <w:rsid w:val="00996931"/>
    <w:rsid w:val="009A0F18"/>
    <w:rsid w:val="009A4CD8"/>
    <w:rsid w:val="009A6AFA"/>
    <w:rsid w:val="009B3ED1"/>
    <w:rsid w:val="009C13A7"/>
    <w:rsid w:val="009C206F"/>
    <w:rsid w:val="009C433C"/>
    <w:rsid w:val="009C5C96"/>
    <w:rsid w:val="009C76CF"/>
    <w:rsid w:val="009D28B7"/>
    <w:rsid w:val="009D749F"/>
    <w:rsid w:val="009D7E1A"/>
    <w:rsid w:val="009E2162"/>
    <w:rsid w:val="009F2F95"/>
    <w:rsid w:val="00A006EB"/>
    <w:rsid w:val="00A03709"/>
    <w:rsid w:val="00A06C77"/>
    <w:rsid w:val="00A10147"/>
    <w:rsid w:val="00A13D26"/>
    <w:rsid w:val="00A146A5"/>
    <w:rsid w:val="00A17411"/>
    <w:rsid w:val="00A20958"/>
    <w:rsid w:val="00A2223D"/>
    <w:rsid w:val="00A223EF"/>
    <w:rsid w:val="00A30120"/>
    <w:rsid w:val="00A32561"/>
    <w:rsid w:val="00A32871"/>
    <w:rsid w:val="00A34A74"/>
    <w:rsid w:val="00A35351"/>
    <w:rsid w:val="00A42ADE"/>
    <w:rsid w:val="00A60693"/>
    <w:rsid w:val="00A67728"/>
    <w:rsid w:val="00A750D7"/>
    <w:rsid w:val="00A81A4F"/>
    <w:rsid w:val="00A82E14"/>
    <w:rsid w:val="00A901E9"/>
    <w:rsid w:val="00A94733"/>
    <w:rsid w:val="00A9762C"/>
    <w:rsid w:val="00AA0EBF"/>
    <w:rsid w:val="00AA4067"/>
    <w:rsid w:val="00AB1A5B"/>
    <w:rsid w:val="00AC0A54"/>
    <w:rsid w:val="00AC125E"/>
    <w:rsid w:val="00AC4393"/>
    <w:rsid w:val="00AC45DF"/>
    <w:rsid w:val="00AC474D"/>
    <w:rsid w:val="00AC4DFD"/>
    <w:rsid w:val="00AC58FD"/>
    <w:rsid w:val="00AC60CD"/>
    <w:rsid w:val="00AD60E6"/>
    <w:rsid w:val="00AD793A"/>
    <w:rsid w:val="00AE0738"/>
    <w:rsid w:val="00AE3B37"/>
    <w:rsid w:val="00AE457D"/>
    <w:rsid w:val="00AE5956"/>
    <w:rsid w:val="00AE619F"/>
    <w:rsid w:val="00AF373A"/>
    <w:rsid w:val="00AF7EFE"/>
    <w:rsid w:val="00B03BEE"/>
    <w:rsid w:val="00B049AA"/>
    <w:rsid w:val="00B0517E"/>
    <w:rsid w:val="00B056E2"/>
    <w:rsid w:val="00B11314"/>
    <w:rsid w:val="00B1192C"/>
    <w:rsid w:val="00B11B90"/>
    <w:rsid w:val="00B138E3"/>
    <w:rsid w:val="00B20613"/>
    <w:rsid w:val="00B23267"/>
    <w:rsid w:val="00B25891"/>
    <w:rsid w:val="00B27149"/>
    <w:rsid w:val="00B40D26"/>
    <w:rsid w:val="00B4451B"/>
    <w:rsid w:val="00B51316"/>
    <w:rsid w:val="00B61828"/>
    <w:rsid w:val="00B72D62"/>
    <w:rsid w:val="00B744D8"/>
    <w:rsid w:val="00B843C8"/>
    <w:rsid w:val="00B951E2"/>
    <w:rsid w:val="00B96F37"/>
    <w:rsid w:val="00BA607C"/>
    <w:rsid w:val="00BB3E2A"/>
    <w:rsid w:val="00BC06DE"/>
    <w:rsid w:val="00BC16F5"/>
    <w:rsid w:val="00BC287D"/>
    <w:rsid w:val="00BC4A76"/>
    <w:rsid w:val="00BD32E5"/>
    <w:rsid w:val="00BD7ADD"/>
    <w:rsid w:val="00BE2473"/>
    <w:rsid w:val="00BE41C3"/>
    <w:rsid w:val="00BE6767"/>
    <w:rsid w:val="00BE68D7"/>
    <w:rsid w:val="00BF04E9"/>
    <w:rsid w:val="00BF0784"/>
    <w:rsid w:val="00BF7763"/>
    <w:rsid w:val="00C04D5E"/>
    <w:rsid w:val="00C16248"/>
    <w:rsid w:val="00C2386E"/>
    <w:rsid w:val="00C24EA2"/>
    <w:rsid w:val="00C24F70"/>
    <w:rsid w:val="00C25D5B"/>
    <w:rsid w:val="00C27799"/>
    <w:rsid w:val="00C325C4"/>
    <w:rsid w:val="00C33479"/>
    <w:rsid w:val="00C47BA2"/>
    <w:rsid w:val="00C60533"/>
    <w:rsid w:val="00C612DC"/>
    <w:rsid w:val="00C622CB"/>
    <w:rsid w:val="00C64D15"/>
    <w:rsid w:val="00C74F74"/>
    <w:rsid w:val="00C7554B"/>
    <w:rsid w:val="00C80192"/>
    <w:rsid w:val="00C83E31"/>
    <w:rsid w:val="00C87A78"/>
    <w:rsid w:val="00C916A4"/>
    <w:rsid w:val="00CA1E1E"/>
    <w:rsid w:val="00CA2A52"/>
    <w:rsid w:val="00CA2B15"/>
    <w:rsid w:val="00CA6490"/>
    <w:rsid w:val="00CA6C8C"/>
    <w:rsid w:val="00CB05BE"/>
    <w:rsid w:val="00CB5744"/>
    <w:rsid w:val="00CB7022"/>
    <w:rsid w:val="00CB7D89"/>
    <w:rsid w:val="00CD1937"/>
    <w:rsid w:val="00CE214C"/>
    <w:rsid w:val="00CE519C"/>
    <w:rsid w:val="00CE5509"/>
    <w:rsid w:val="00CE5939"/>
    <w:rsid w:val="00CE6858"/>
    <w:rsid w:val="00CF50BE"/>
    <w:rsid w:val="00CF553B"/>
    <w:rsid w:val="00CF6A52"/>
    <w:rsid w:val="00D02F1F"/>
    <w:rsid w:val="00D03583"/>
    <w:rsid w:val="00D117B4"/>
    <w:rsid w:val="00D169F7"/>
    <w:rsid w:val="00D21382"/>
    <w:rsid w:val="00D26885"/>
    <w:rsid w:val="00D26D01"/>
    <w:rsid w:val="00D26DB6"/>
    <w:rsid w:val="00D33DA3"/>
    <w:rsid w:val="00D34ACE"/>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B36BB"/>
    <w:rsid w:val="00DC5665"/>
    <w:rsid w:val="00DD46FC"/>
    <w:rsid w:val="00DD4F44"/>
    <w:rsid w:val="00DD5D8B"/>
    <w:rsid w:val="00DE0DDF"/>
    <w:rsid w:val="00DE0F9E"/>
    <w:rsid w:val="00DE5D76"/>
    <w:rsid w:val="00E04C8D"/>
    <w:rsid w:val="00E128D8"/>
    <w:rsid w:val="00E30D45"/>
    <w:rsid w:val="00E42FE4"/>
    <w:rsid w:val="00E4609D"/>
    <w:rsid w:val="00E46FAA"/>
    <w:rsid w:val="00E50FB5"/>
    <w:rsid w:val="00E5750B"/>
    <w:rsid w:val="00E60E2E"/>
    <w:rsid w:val="00E63A24"/>
    <w:rsid w:val="00E67913"/>
    <w:rsid w:val="00E71A2D"/>
    <w:rsid w:val="00E86040"/>
    <w:rsid w:val="00E8698A"/>
    <w:rsid w:val="00E923F2"/>
    <w:rsid w:val="00E93161"/>
    <w:rsid w:val="00E959C4"/>
    <w:rsid w:val="00EA31CC"/>
    <w:rsid w:val="00EA3ECC"/>
    <w:rsid w:val="00EB14DF"/>
    <w:rsid w:val="00EB2B64"/>
    <w:rsid w:val="00EB3A07"/>
    <w:rsid w:val="00EB4143"/>
    <w:rsid w:val="00EB4728"/>
    <w:rsid w:val="00EB4E7F"/>
    <w:rsid w:val="00EC207A"/>
    <w:rsid w:val="00EC3742"/>
    <w:rsid w:val="00EC3F31"/>
    <w:rsid w:val="00EC566A"/>
    <w:rsid w:val="00ED3C91"/>
    <w:rsid w:val="00ED4112"/>
    <w:rsid w:val="00EF1347"/>
    <w:rsid w:val="00EF2BEB"/>
    <w:rsid w:val="00F01129"/>
    <w:rsid w:val="00F03D93"/>
    <w:rsid w:val="00F03D9E"/>
    <w:rsid w:val="00F045AF"/>
    <w:rsid w:val="00F050E0"/>
    <w:rsid w:val="00F227BF"/>
    <w:rsid w:val="00F22CF3"/>
    <w:rsid w:val="00F374B2"/>
    <w:rsid w:val="00F40AFC"/>
    <w:rsid w:val="00F4730E"/>
    <w:rsid w:val="00F50A92"/>
    <w:rsid w:val="00F53F24"/>
    <w:rsid w:val="00F63341"/>
    <w:rsid w:val="00F7536E"/>
    <w:rsid w:val="00F81F93"/>
    <w:rsid w:val="00F839A8"/>
    <w:rsid w:val="00F86F1B"/>
    <w:rsid w:val="00F90F75"/>
    <w:rsid w:val="00F92A21"/>
    <w:rsid w:val="00F92E9B"/>
    <w:rsid w:val="00F95814"/>
    <w:rsid w:val="00FA01D9"/>
    <w:rsid w:val="00FA031C"/>
    <w:rsid w:val="00FB13C1"/>
    <w:rsid w:val="00FB420B"/>
    <w:rsid w:val="00FC1C5F"/>
    <w:rsid w:val="00FC5A4D"/>
    <w:rsid w:val="00FC5C0C"/>
    <w:rsid w:val="00FC6282"/>
    <w:rsid w:val="00FC64EF"/>
    <w:rsid w:val="00FD13F4"/>
    <w:rsid w:val="00FD2673"/>
    <w:rsid w:val="00FD2D09"/>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53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Title"/>
    <w:next w:val="Normal"/>
    <w:link w:val="Heading1Char"/>
    <w:uiPriority w:val="2"/>
    <w:qFormat/>
    <w:rsid w:val="004D67E0"/>
  </w:style>
  <w:style w:type="paragraph" w:styleId="Heading2">
    <w:name w:val="heading 2"/>
    <w:basedOn w:val="Heading1"/>
    <w:next w:val="Normal"/>
    <w:link w:val="Heading2Char"/>
    <w:uiPriority w:val="2"/>
    <w:qFormat/>
    <w:rsid w:val="004D67E0"/>
    <w:pPr>
      <w:outlineLvl w:val="1"/>
    </w:pPr>
    <w:rPr>
      <w:sz w:val="32"/>
    </w:rPr>
  </w:style>
  <w:style w:type="paragraph" w:styleId="Heading3">
    <w:name w:val="heading 3"/>
    <w:basedOn w:val="Normal"/>
    <w:next w:val="Normal"/>
    <w:link w:val="Heading3Char"/>
    <w:uiPriority w:val="2"/>
    <w:qFormat/>
    <w:rsid w:val="004D67E0"/>
    <w:pPr>
      <w:keepNext/>
      <w:keepLines/>
      <w:spacing w:before="240" w:line="240" w:lineRule="auto"/>
      <w:contextualSpacing/>
      <w:outlineLvl w:val="2"/>
    </w:pPr>
    <w:rPr>
      <w:rFonts w:ascii="Georgia" w:hAnsi="Georgia" w:cs="Arial"/>
      <w:b/>
      <w:bCs/>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791C2B"/>
    <w:pPr>
      <w:spacing w:before="240" w:line="240" w:lineRule="auto"/>
      <w:contextualSpacing/>
      <w:outlineLvl w:val="0"/>
    </w:pPr>
    <w:rPr>
      <w:rFonts w:ascii="Georgia" w:hAnsi="Georgia" w:cs="Arial"/>
      <w:bCs/>
      <w:color w:val="005A70"/>
      <w:spacing w:val="0"/>
      <w:kern w:val="28"/>
      <w:sz w:val="56"/>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4D67E0"/>
    <w:rPr>
      <w:rFonts w:ascii="Georgia" w:hAnsi="Georgia" w:cs="Arial"/>
      <w:bCs/>
      <w:color w:val="005A70"/>
      <w:kern w:val="28"/>
      <w:sz w:val="32"/>
      <w:szCs w:val="32"/>
    </w:rPr>
  </w:style>
  <w:style w:type="character" w:customStyle="1" w:styleId="PullouttextChar">
    <w:name w:val="Pullout text Char"/>
    <w:basedOn w:val="Heading2Char"/>
    <w:link w:val="Pullouttext"/>
    <w:uiPriority w:val="3"/>
    <w:rsid w:val="008A384C"/>
    <w:rPr>
      <w:rFonts w:ascii="Georgia" w:hAnsi="Georgia" w:cs="Arial"/>
      <w:bCs/>
      <w:iCs w:val="0"/>
      <w:color w:val="005A70"/>
      <w:spacing w:val="4"/>
      <w:kern w:val="28"/>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4D67E0"/>
    <w:rPr>
      <w:rFonts w:ascii="Georgia" w:hAnsi="Georgia" w:cs="Arial"/>
      <w:bCs/>
      <w:color w:val="005A70"/>
      <w:kern w:val="28"/>
      <w:sz w:val="56"/>
      <w:szCs w:val="32"/>
    </w:rPr>
  </w:style>
  <w:style w:type="character" w:customStyle="1" w:styleId="Heading3Char">
    <w:name w:val="Heading 3 Char"/>
    <w:basedOn w:val="DefaultParagraphFont"/>
    <w:link w:val="Heading3"/>
    <w:uiPriority w:val="2"/>
    <w:rsid w:val="004D67E0"/>
    <w:rPr>
      <w:rFonts w:ascii="Georgia" w:hAnsi="Georgia" w:cs="Arial"/>
      <w:b/>
      <w:bCs/>
      <w:spacing w:val="4"/>
      <w:sz w:val="24"/>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791C2B"/>
    <w:rPr>
      <w:rFonts w:ascii="Georgia" w:hAnsi="Georgia" w:cs="Arial"/>
      <w:bCs/>
      <w:color w:val="005A70"/>
      <w:kern w:val="28"/>
      <w:sz w:val="56"/>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59364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487">
      <w:bodyDiv w:val="1"/>
      <w:marLeft w:val="0"/>
      <w:marRight w:val="0"/>
      <w:marTop w:val="0"/>
      <w:marBottom w:val="0"/>
      <w:divBdr>
        <w:top w:val="none" w:sz="0" w:space="0" w:color="auto"/>
        <w:left w:val="none" w:sz="0" w:space="0" w:color="auto"/>
        <w:bottom w:val="none" w:sz="0" w:space="0" w:color="auto"/>
        <w:right w:val="none" w:sz="0" w:space="0" w:color="auto"/>
      </w:divBdr>
    </w:div>
    <w:div w:id="5486359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59240099">
      <w:bodyDiv w:val="1"/>
      <w:marLeft w:val="0"/>
      <w:marRight w:val="0"/>
      <w:marTop w:val="0"/>
      <w:marBottom w:val="0"/>
      <w:divBdr>
        <w:top w:val="none" w:sz="0" w:space="0" w:color="auto"/>
        <w:left w:val="none" w:sz="0" w:space="0" w:color="auto"/>
        <w:bottom w:val="none" w:sz="0" w:space="0" w:color="auto"/>
        <w:right w:val="none" w:sz="0" w:space="0" w:color="auto"/>
      </w:divBdr>
      <w:divsChild>
        <w:div w:id="1825004159">
          <w:marLeft w:val="274"/>
          <w:marRight w:val="0"/>
          <w:marTop w:val="0"/>
          <w:marBottom w:val="0"/>
          <w:divBdr>
            <w:top w:val="none" w:sz="0" w:space="0" w:color="auto"/>
            <w:left w:val="none" w:sz="0" w:space="0" w:color="auto"/>
            <w:bottom w:val="none" w:sz="0" w:space="0" w:color="auto"/>
            <w:right w:val="none" w:sz="0" w:space="0" w:color="auto"/>
          </w:divBdr>
        </w:div>
        <w:div w:id="1971595620">
          <w:marLeft w:val="274"/>
          <w:marRight w:val="0"/>
          <w:marTop w:val="0"/>
          <w:marBottom w:val="0"/>
          <w:divBdr>
            <w:top w:val="none" w:sz="0" w:space="0" w:color="auto"/>
            <w:left w:val="none" w:sz="0" w:space="0" w:color="auto"/>
            <w:bottom w:val="none" w:sz="0" w:space="0" w:color="auto"/>
            <w:right w:val="none" w:sz="0" w:space="0" w:color="auto"/>
          </w:divBdr>
        </w:div>
        <w:div w:id="49575487">
          <w:marLeft w:val="274"/>
          <w:marRight w:val="0"/>
          <w:marTop w:val="0"/>
          <w:marBottom w:val="0"/>
          <w:divBdr>
            <w:top w:val="none" w:sz="0" w:space="0" w:color="auto"/>
            <w:left w:val="none" w:sz="0" w:space="0" w:color="auto"/>
            <w:bottom w:val="none" w:sz="0" w:space="0" w:color="auto"/>
            <w:right w:val="none" w:sz="0" w:space="0" w:color="auto"/>
          </w:divBdr>
        </w:div>
        <w:div w:id="614948954">
          <w:marLeft w:val="274"/>
          <w:marRight w:val="0"/>
          <w:marTop w:val="0"/>
          <w:marBottom w:val="0"/>
          <w:divBdr>
            <w:top w:val="none" w:sz="0" w:space="0" w:color="auto"/>
            <w:left w:val="none" w:sz="0" w:space="0" w:color="auto"/>
            <w:bottom w:val="none" w:sz="0" w:space="0" w:color="auto"/>
            <w:right w:val="none" w:sz="0" w:space="0" w:color="auto"/>
          </w:divBdr>
        </w:div>
        <w:div w:id="552347110">
          <w:marLeft w:val="274"/>
          <w:marRight w:val="0"/>
          <w:marTop w:val="0"/>
          <w:marBottom w:val="0"/>
          <w:divBdr>
            <w:top w:val="none" w:sz="0" w:space="0" w:color="auto"/>
            <w:left w:val="none" w:sz="0" w:space="0" w:color="auto"/>
            <w:bottom w:val="none" w:sz="0" w:space="0" w:color="auto"/>
            <w:right w:val="none" w:sz="0" w:space="0" w:color="auto"/>
          </w:divBdr>
        </w:div>
        <w:div w:id="518665207">
          <w:marLeft w:val="274"/>
          <w:marRight w:val="0"/>
          <w:marTop w:val="0"/>
          <w:marBottom w:val="0"/>
          <w:divBdr>
            <w:top w:val="none" w:sz="0" w:space="0" w:color="auto"/>
            <w:left w:val="none" w:sz="0" w:space="0" w:color="auto"/>
            <w:bottom w:val="none" w:sz="0" w:space="0" w:color="auto"/>
            <w:right w:val="none" w:sz="0" w:space="0" w:color="auto"/>
          </w:divBdr>
        </w:div>
        <w:div w:id="601377526">
          <w:marLeft w:val="274"/>
          <w:marRight w:val="0"/>
          <w:marTop w:val="0"/>
          <w:marBottom w:val="0"/>
          <w:divBdr>
            <w:top w:val="none" w:sz="0" w:space="0" w:color="auto"/>
            <w:left w:val="none" w:sz="0" w:space="0" w:color="auto"/>
            <w:bottom w:val="none" w:sz="0" w:space="0" w:color="auto"/>
            <w:right w:val="none" w:sz="0" w:space="0" w:color="auto"/>
          </w:divBdr>
        </w:div>
        <w:div w:id="1272779045">
          <w:marLeft w:val="274"/>
          <w:marRight w:val="0"/>
          <w:marTop w:val="0"/>
          <w:marBottom w:val="0"/>
          <w:divBdr>
            <w:top w:val="none" w:sz="0" w:space="0" w:color="auto"/>
            <w:left w:val="none" w:sz="0" w:space="0" w:color="auto"/>
            <w:bottom w:val="none" w:sz="0" w:space="0" w:color="auto"/>
            <w:right w:val="none" w:sz="0" w:space="0" w:color="auto"/>
          </w:divBdr>
        </w:div>
        <w:div w:id="478424430">
          <w:marLeft w:val="274"/>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age.dss.gov.au/drcausgovrespo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age.dss.gov.au/drcausgovrespon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1E4A-06C0-482F-A29E-8CBC912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5158</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2023-11-21T00:44:00Z</dcterms:created>
  <dcterms:modified xsi:type="dcterms:W3CDTF">2023-11-23T03:29:00Z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29B317ACE86B4ADFB5B74D281CB32D34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2023-11-23T03:29:13Z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254203D4D652E20C6A026A2CE6481BBA</vt:lpwstr>
  </property>
  <property fmtid="{D5CDD505-2E9C-101B-9397-08002B2CF9AE}" pid="21" name="PM_Hash_Salt">
    <vt:lpwstr>108724D0DAE563B66669ADC8D7360EBF</vt:lpwstr>
  </property>
  <property fmtid="{D5CDD505-2E9C-101B-9397-08002B2CF9AE}" pid="22" name="PM_Hash_SHA1">
    <vt:lpwstr>CE9055F52CD2A1C2942280C0883C98D812FF0B83</vt:lpwstr>
  </property>
  <property fmtid="{D5CDD505-2E9C-101B-9397-08002B2CF9AE}" pid="23" name="PM_OriginatorUserAccountName_SHA256">
    <vt:lpwstr>52B97822998D45A5FE76FBF575035034760AD13EE13D3825DB38D567D3AEDC5E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