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8E7C4" w14:textId="089317EF" w:rsidR="0003023F" w:rsidRPr="00DE5707" w:rsidRDefault="00DE5707" w:rsidP="00DE5707">
      <w:pPr>
        <w:pStyle w:val="Heading1"/>
        <w:jc w:val="center"/>
      </w:pPr>
      <w:r w:rsidRPr="00DE5707">
        <w:t>Fa</w:t>
      </w:r>
      <w:r w:rsidR="00DC712A">
        <w:t>milies and Communities Program</w:t>
      </w:r>
      <w:r w:rsidRPr="00DE5707">
        <w:br/>
        <w:t>Communities for Children Facilitating Partner</w:t>
      </w:r>
    </w:p>
    <w:p w14:paraId="70C378C1" w14:textId="5D6A8806" w:rsidR="00D121E7" w:rsidRDefault="00DE5707" w:rsidP="00D121E7">
      <w:pPr>
        <w:pStyle w:val="Heading1"/>
        <w:jc w:val="center"/>
      </w:pPr>
      <w:r w:rsidRPr="00DE5707">
        <w:t>Community Strategic Plan</w:t>
      </w:r>
    </w:p>
    <w:p w14:paraId="00CD3498" w14:textId="7FEA0608" w:rsidR="00DE5707" w:rsidRPr="00DE5707" w:rsidRDefault="00DE5707" w:rsidP="00DE5707">
      <w:pPr>
        <w:rPr>
          <w:b/>
          <w:bCs/>
        </w:rPr>
      </w:pPr>
    </w:p>
    <w:p w14:paraId="5A1827AE" w14:textId="4030EF7C" w:rsidR="0003023F" w:rsidRPr="00DE5707" w:rsidRDefault="00FC57D8" w:rsidP="00EA1703">
      <w:pPr>
        <w:pStyle w:val="Heading2"/>
        <w:keepNext/>
      </w:pPr>
      <w:r>
        <w:t>Overview</w:t>
      </w:r>
    </w:p>
    <w:p w14:paraId="6BB72ADB" w14:textId="0411E135" w:rsidR="00DE5707" w:rsidRDefault="00DE5707" w:rsidP="00DE5707">
      <w:r w:rsidRPr="00441E57">
        <w:t xml:space="preserve">The Community Strategic Plan </w:t>
      </w:r>
      <w:r w:rsidR="00506D6C" w:rsidRPr="00441E57">
        <w:t>(</w:t>
      </w:r>
      <w:r w:rsidR="00A85F17">
        <w:t>CSP</w:t>
      </w:r>
      <w:r w:rsidR="00506D6C" w:rsidRPr="00441E57">
        <w:t xml:space="preserve">) </w:t>
      </w:r>
      <w:r w:rsidR="00327966">
        <w:t xml:space="preserve">is developed by the Communities for Children Facilitating Partner </w:t>
      </w:r>
      <w:r w:rsidR="000E78EA">
        <w:t xml:space="preserve">(CfC FP) </w:t>
      </w:r>
      <w:r w:rsidR="00327966">
        <w:t>and Communities for Children Committee</w:t>
      </w:r>
      <w:r w:rsidR="000E78EA">
        <w:t xml:space="preserve"> and </w:t>
      </w:r>
      <w:r w:rsidR="00327966">
        <w:t xml:space="preserve">sets out </w:t>
      </w:r>
      <w:r w:rsidR="000E78EA">
        <w:t>a</w:t>
      </w:r>
      <w:r w:rsidR="00327966">
        <w:t xml:space="preserve"> broad vision</w:t>
      </w:r>
      <w:r w:rsidR="007648A4">
        <w:t xml:space="preserve"> for the service area</w:t>
      </w:r>
      <w:r w:rsidR="000E78EA">
        <w:t>, identifying</w:t>
      </w:r>
      <w:r w:rsidR="00694AD3">
        <w:t xml:space="preserve"> community needs</w:t>
      </w:r>
      <w:r w:rsidR="000E78EA">
        <w:t xml:space="preserve">, </w:t>
      </w:r>
      <w:r w:rsidR="00694AD3">
        <w:t>priorities and</w:t>
      </w:r>
      <w:r w:rsidR="0088150B" w:rsidRPr="00441E57">
        <w:t xml:space="preserve"> </w:t>
      </w:r>
      <w:r w:rsidR="00D561D1">
        <w:t>key outcomes</w:t>
      </w:r>
      <w:r w:rsidRPr="00441E57">
        <w:t>.</w:t>
      </w:r>
    </w:p>
    <w:p w14:paraId="29C319EF" w14:textId="510AE829" w:rsidR="00FC57D8" w:rsidRPr="00DE5707" w:rsidRDefault="00FC57D8" w:rsidP="00FC57D8">
      <w:r w:rsidRPr="00DE5707">
        <w:t xml:space="preserve">The </w:t>
      </w:r>
      <w:r>
        <w:t>CSP</w:t>
      </w:r>
      <w:r w:rsidRPr="00DE5707">
        <w:t xml:space="preserve"> </w:t>
      </w:r>
      <w:r>
        <w:t xml:space="preserve">is organised into six </w:t>
      </w:r>
      <w:r w:rsidRPr="00DE5707">
        <w:t>sections:</w:t>
      </w:r>
    </w:p>
    <w:p w14:paraId="3CC6B386" w14:textId="77777777" w:rsidR="00FC57D8" w:rsidRPr="007163D8" w:rsidRDefault="00FC57D8" w:rsidP="00FC57D8">
      <w:pPr>
        <w:pStyle w:val="ListParagraph"/>
        <w:numPr>
          <w:ilvl w:val="0"/>
          <w:numId w:val="9"/>
        </w:numPr>
      </w:pPr>
      <w:r w:rsidRPr="00FA06D5">
        <w:t xml:space="preserve">Communities for Children </w:t>
      </w:r>
      <w:r w:rsidRPr="007163D8">
        <w:t>Facilitating Partner’s Details</w:t>
      </w:r>
    </w:p>
    <w:p w14:paraId="2DE20362" w14:textId="56EDDC6B" w:rsidR="00FC57D8" w:rsidRPr="00DE5707" w:rsidRDefault="00FC57D8" w:rsidP="00FC57D8">
      <w:pPr>
        <w:pStyle w:val="ListParagraph"/>
        <w:numPr>
          <w:ilvl w:val="0"/>
          <w:numId w:val="9"/>
        </w:numPr>
      </w:pPr>
      <w:r w:rsidRPr="00DE5707">
        <w:t>Community</w:t>
      </w:r>
      <w:r>
        <w:t xml:space="preserve"> </w:t>
      </w:r>
      <w:r w:rsidR="005841CE">
        <w:t>Needs Assessment</w:t>
      </w:r>
    </w:p>
    <w:p w14:paraId="52A88910" w14:textId="77777777" w:rsidR="00FC57D8" w:rsidRPr="00DE5707" w:rsidRDefault="00FC57D8" w:rsidP="00FC57D8">
      <w:pPr>
        <w:pStyle w:val="ListParagraph"/>
        <w:numPr>
          <w:ilvl w:val="0"/>
          <w:numId w:val="9"/>
        </w:numPr>
      </w:pPr>
      <w:r w:rsidRPr="00DE5707">
        <w:t xml:space="preserve">Community Engagement </w:t>
      </w:r>
    </w:p>
    <w:p w14:paraId="269F0913" w14:textId="77777777" w:rsidR="00FC57D8" w:rsidRPr="00DE5707" w:rsidRDefault="00FC57D8" w:rsidP="00FC57D8">
      <w:pPr>
        <w:pStyle w:val="ListParagraph"/>
        <w:numPr>
          <w:ilvl w:val="0"/>
          <w:numId w:val="9"/>
        </w:numPr>
      </w:pPr>
      <w:r>
        <w:t>Service</w:t>
      </w:r>
      <w:r w:rsidRPr="00DE5707">
        <w:t xml:space="preserve"> Area Vision</w:t>
      </w:r>
    </w:p>
    <w:p w14:paraId="7B7D1DB2" w14:textId="3A18A90B" w:rsidR="00FC57D8" w:rsidRPr="00DE5707" w:rsidRDefault="00FC57D8" w:rsidP="00FC57D8">
      <w:pPr>
        <w:pStyle w:val="ListParagraph"/>
        <w:numPr>
          <w:ilvl w:val="0"/>
          <w:numId w:val="9"/>
        </w:numPr>
      </w:pPr>
      <w:r>
        <w:t>Priority Areas</w:t>
      </w:r>
    </w:p>
    <w:p w14:paraId="3F292D7E" w14:textId="07564FC5" w:rsidR="00FC57D8" w:rsidRPr="00DB4D58" w:rsidRDefault="00FC57D8" w:rsidP="0091798E">
      <w:pPr>
        <w:pStyle w:val="ListParagraph"/>
        <w:numPr>
          <w:ilvl w:val="0"/>
          <w:numId w:val="9"/>
        </w:numPr>
      </w:pPr>
      <w:r>
        <w:t>Key stakeholder</w:t>
      </w:r>
      <w:r w:rsidR="00DD441D">
        <w:t>s</w:t>
      </w:r>
    </w:p>
    <w:p w14:paraId="3D24F18C" w14:textId="5D389D56" w:rsidR="00FC57D8" w:rsidRDefault="00FC57D8" w:rsidP="0019791C">
      <w:r w:rsidRPr="00441E57">
        <w:t xml:space="preserve">It identifies the key </w:t>
      </w:r>
      <w:r w:rsidR="0091798E">
        <w:t xml:space="preserve">strengths, </w:t>
      </w:r>
      <w:r w:rsidRPr="00441E57">
        <w:t xml:space="preserve">needs and service gaps in the community, </w:t>
      </w:r>
      <w:r>
        <w:t>considers</w:t>
      </w:r>
      <w:r w:rsidRPr="00441E57">
        <w:t xml:space="preserve"> ways to </w:t>
      </w:r>
      <w:r>
        <w:t>improve coordination</w:t>
      </w:r>
      <w:r w:rsidRPr="00441E57">
        <w:t xml:space="preserve"> and collaborat</w:t>
      </w:r>
      <w:r>
        <w:t>ion,</w:t>
      </w:r>
      <w:r w:rsidRPr="00441E57">
        <w:t xml:space="preserve"> outlines </w:t>
      </w:r>
      <w:r>
        <w:t xml:space="preserve">priority areas and </w:t>
      </w:r>
      <w:r w:rsidRPr="00441E57">
        <w:t>strategies to address need and improve outcomes for children and families</w:t>
      </w:r>
      <w:r w:rsidR="007648A4">
        <w:t>, and identifies key community stakeholders</w:t>
      </w:r>
      <w:r w:rsidRPr="00441E57">
        <w:t>.</w:t>
      </w:r>
      <w:r w:rsidRPr="00DB4D58">
        <w:t xml:space="preserve"> </w:t>
      </w:r>
    </w:p>
    <w:p w14:paraId="472BEFAE" w14:textId="3C44549F" w:rsidR="00A85F17" w:rsidRDefault="0019791C" w:rsidP="0019791C">
      <w:r w:rsidRPr="00DB4D58">
        <w:t xml:space="preserve">The </w:t>
      </w:r>
      <w:r w:rsidR="00706758">
        <w:t>CSP</w:t>
      </w:r>
      <w:r w:rsidR="00706758" w:rsidRPr="00DB4D58">
        <w:t xml:space="preserve"> </w:t>
      </w:r>
      <w:r w:rsidR="003E0771">
        <w:t>build</w:t>
      </w:r>
      <w:r w:rsidR="00E86F7B">
        <w:t>s</w:t>
      </w:r>
      <w:r w:rsidRPr="00DB4D58">
        <w:t xml:space="preserve"> on </w:t>
      </w:r>
      <w:r w:rsidR="003F6447">
        <w:t xml:space="preserve">the </w:t>
      </w:r>
      <w:r w:rsidR="00772011">
        <w:t>extensive knowledge that F</w:t>
      </w:r>
      <w:r w:rsidR="00A85F17">
        <w:t xml:space="preserve">acilitating </w:t>
      </w:r>
      <w:r w:rsidR="00772011">
        <w:t>P</w:t>
      </w:r>
      <w:r w:rsidR="00A85F17">
        <w:t>artner</w:t>
      </w:r>
      <w:r w:rsidR="00772011">
        <w:t>s</w:t>
      </w:r>
      <w:r w:rsidR="00A85F17">
        <w:t xml:space="preserve"> (FPs)</w:t>
      </w:r>
      <w:r w:rsidR="00772011">
        <w:t xml:space="preserve"> and their Committees have gained in working with their </w:t>
      </w:r>
      <w:r w:rsidR="003E0771">
        <w:t>communities</w:t>
      </w:r>
      <w:r w:rsidR="00772011">
        <w:t>, often over long periods of time</w:t>
      </w:r>
      <w:r w:rsidR="00653991">
        <w:t>.</w:t>
      </w:r>
      <w:r w:rsidR="0010043A">
        <w:t xml:space="preserve"> </w:t>
      </w:r>
      <w:r w:rsidR="00653991">
        <w:t>It will</w:t>
      </w:r>
      <w:r w:rsidR="0010043A">
        <w:t xml:space="preserve"> </w:t>
      </w:r>
      <w:r w:rsidR="00E91246">
        <w:t>consider opportunities for everyone</w:t>
      </w:r>
      <w:r w:rsidR="0010043A">
        <w:t xml:space="preserve"> in </w:t>
      </w:r>
      <w:r w:rsidR="00653991">
        <w:t>the</w:t>
      </w:r>
      <w:r w:rsidR="0010043A">
        <w:t xml:space="preserve"> community</w:t>
      </w:r>
      <w:r w:rsidR="00E91246">
        <w:t xml:space="preserve"> to </w:t>
      </w:r>
      <w:r w:rsidR="0010043A">
        <w:t>work together</w:t>
      </w:r>
      <w:r w:rsidR="00E91246">
        <w:t xml:space="preserve"> to achieve</w:t>
      </w:r>
      <w:r w:rsidR="0010043A">
        <w:t xml:space="preserve"> true change in outcomes</w:t>
      </w:r>
      <w:r w:rsidR="00E86F7B">
        <w:t xml:space="preserve"> for </w:t>
      </w:r>
      <w:r w:rsidR="00A85F17">
        <w:t xml:space="preserve">children and </w:t>
      </w:r>
      <w:r w:rsidR="00E86F7B">
        <w:t>families</w:t>
      </w:r>
      <w:r w:rsidR="0010043A">
        <w:t xml:space="preserve">. This includes </w:t>
      </w:r>
      <w:r w:rsidR="00D5148D">
        <w:t xml:space="preserve">community members, service providers, </w:t>
      </w:r>
      <w:r w:rsidR="0010043A">
        <w:t xml:space="preserve">governments, non-government organisations, </w:t>
      </w:r>
      <w:r w:rsidR="00FC57D8">
        <w:t>researchers and evaluators</w:t>
      </w:r>
      <w:r w:rsidR="00D5148D">
        <w:t xml:space="preserve">, and </w:t>
      </w:r>
      <w:r w:rsidR="0010043A">
        <w:t>business</w:t>
      </w:r>
      <w:r w:rsidR="00772011">
        <w:t xml:space="preserve">. </w:t>
      </w:r>
    </w:p>
    <w:p w14:paraId="55844D68" w14:textId="41F28643" w:rsidR="00FC57D8" w:rsidRDefault="00653991" w:rsidP="0019791C">
      <w:r>
        <w:t>The d</w:t>
      </w:r>
      <w:r w:rsidR="008B0CD6">
        <w:t>evelopment of the</w:t>
      </w:r>
      <w:r w:rsidR="00772011">
        <w:t xml:space="preserve"> </w:t>
      </w:r>
      <w:r w:rsidR="00A85F17">
        <w:t>CSP</w:t>
      </w:r>
      <w:r w:rsidR="00772011">
        <w:t xml:space="preserve"> presents</w:t>
      </w:r>
      <w:r w:rsidR="003F6447">
        <w:t xml:space="preserve"> an opportunity to </w:t>
      </w:r>
      <w:r w:rsidR="00772011">
        <w:t xml:space="preserve">critically reflect on </w:t>
      </w:r>
      <w:r w:rsidR="00FC57D8">
        <w:t>the strengths of local communities, as well as any opportunities, challenges and emerging needs</w:t>
      </w:r>
      <w:r w:rsidR="00772011">
        <w:t xml:space="preserve">. </w:t>
      </w:r>
    </w:p>
    <w:p w14:paraId="2D9E791D" w14:textId="404B5187" w:rsidR="00FC57D8" w:rsidRDefault="00FC57D8" w:rsidP="0019791C">
      <w:r>
        <w:t xml:space="preserve">The CSP is </w:t>
      </w:r>
      <w:r w:rsidR="00E86F7B">
        <w:t>a dynamic document that</w:t>
      </w:r>
      <w:r>
        <w:t xml:space="preserve"> should be reviewed </w:t>
      </w:r>
      <w:r w:rsidR="00E86F7B">
        <w:t xml:space="preserve">as new data becomes available or </w:t>
      </w:r>
      <w:r>
        <w:t>as you become aware of changing needs within the community</w:t>
      </w:r>
      <w:r w:rsidR="00E86F7B">
        <w:t xml:space="preserve">. It should inform the </w:t>
      </w:r>
      <w:r w:rsidR="00A85F17">
        <w:t>deve</w:t>
      </w:r>
      <w:r w:rsidR="00D04E0E">
        <w:t>lopment of Activity Work Plans.</w:t>
      </w:r>
    </w:p>
    <w:p w14:paraId="66B9A123" w14:textId="05CC1B2C" w:rsidR="00BF68DB" w:rsidRDefault="00FC57D8" w:rsidP="008328AC">
      <w:pPr>
        <w:pStyle w:val="Heading2"/>
        <w:keepNext/>
        <w:keepLines/>
      </w:pPr>
      <w:r>
        <w:t>Key dates and documents</w:t>
      </w:r>
    </w:p>
    <w:p w14:paraId="7390925E" w14:textId="3E7C2240" w:rsidR="00BF68DB" w:rsidRPr="00DE5707" w:rsidRDefault="00BF68DB" w:rsidP="00BF68DB">
      <w:r w:rsidRPr="00C41C92">
        <w:t xml:space="preserve">All </w:t>
      </w:r>
      <w:r w:rsidR="00632467">
        <w:t>FPs</w:t>
      </w:r>
      <w:r w:rsidRPr="00C41C92">
        <w:t xml:space="preserve"> are required to provide a</w:t>
      </w:r>
      <w:r w:rsidR="00632467">
        <w:t xml:space="preserve"> </w:t>
      </w:r>
      <w:r w:rsidR="00FC57D8">
        <w:t>CSP</w:t>
      </w:r>
      <w:r w:rsidRPr="00C41C92">
        <w:t xml:space="preserve"> </w:t>
      </w:r>
      <w:r w:rsidR="008328AC" w:rsidRPr="00C41C92">
        <w:t>for each Service Area</w:t>
      </w:r>
      <w:r w:rsidR="008328AC">
        <w:t xml:space="preserve"> </w:t>
      </w:r>
      <w:r w:rsidRPr="00C41C92">
        <w:t xml:space="preserve">by </w:t>
      </w:r>
      <w:r w:rsidR="000A4CB7">
        <w:rPr>
          <w:b/>
        </w:rPr>
        <w:t>1 April</w:t>
      </w:r>
      <w:r w:rsidR="008B0CD6">
        <w:rPr>
          <w:b/>
        </w:rPr>
        <w:t xml:space="preserve"> 202</w:t>
      </w:r>
      <w:r w:rsidR="000A4CB7">
        <w:rPr>
          <w:b/>
        </w:rPr>
        <w:t>2</w:t>
      </w:r>
      <w:r w:rsidRPr="00C41C92">
        <w:t xml:space="preserve"> </w:t>
      </w:r>
      <w:r w:rsidR="00FC57D8">
        <w:t>covering the period</w:t>
      </w:r>
      <w:r w:rsidRPr="00C41C92">
        <w:t xml:space="preserve"> </w:t>
      </w:r>
      <w:r w:rsidR="000A4CB7" w:rsidRPr="004F7073">
        <w:rPr>
          <w:b/>
        </w:rPr>
        <w:t xml:space="preserve">1 July 2022 </w:t>
      </w:r>
      <w:r w:rsidRPr="004F7073">
        <w:rPr>
          <w:b/>
        </w:rPr>
        <w:t xml:space="preserve">to </w:t>
      </w:r>
      <w:r w:rsidR="008B0CD6" w:rsidRPr="0056372C">
        <w:rPr>
          <w:b/>
        </w:rPr>
        <w:t>30 June 202</w:t>
      </w:r>
      <w:r w:rsidR="000A4CB7" w:rsidRPr="00CC27F8">
        <w:rPr>
          <w:b/>
        </w:rPr>
        <w:t>6</w:t>
      </w:r>
      <w:r w:rsidRPr="00C41C92">
        <w:t>.</w:t>
      </w:r>
      <w:r w:rsidRPr="00DE5707">
        <w:t xml:space="preserve"> </w:t>
      </w:r>
      <w:r w:rsidR="00FC57D8">
        <w:t>You will also be required to provide a</w:t>
      </w:r>
      <w:r w:rsidR="0083758D">
        <w:t xml:space="preserve"> brief </w:t>
      </w:r>
      <w:r w:rsidR="00FC57D8">
        <w:t xml:space="preserve">update on the progress of your CSP </w:t>
      </w:r>
      <w:r w:rsidR="00197C99">
        <w:t>with</w:t>
      </w:r>
      <w:r w:rsidR="0083758D">
        <w:t>in</w:t>
      </w:r>
      <w:r w:rsidR="00197C99">
        <w:t xml:space="preserve"> </w:t>
      </w:r>
      <w:r w:rsidR="00FC57D8">
        <w:t xml:space="preserve">your </w:t>
      </w:r>
      <w:r w:rsidR="0083758D">
        <w:t xml:space="preserve">annual </w:t>
      </w:r>
      <w:r w:rsidR="00FC57D8">
        <w:t>Activity Work Plan Report.</w:t>
      </w:r>
    </w:p>
    <w:p w14:paraId="6FF9A5FA" w14:textId="14724A37" w:rsidR="00FC57D8" w:rsidRPr="00121799" w:rsidRDefault="00FC57D8" w:rsidP="00211423">
      <w:r>
        <w:t>Your</w:t>
      </w:r>
      <w:r w:rsidRPr="00BF68DB">
        <w:t xml:space="preserve"> </w:t>
      </w:r>
      <w:r>
        <w:t>CSP</w:t>
      </w:r>
      <w:r w:rsidRPr="00BF68DB">
        <w:t xml:space="preserve"> </w:t>
      </w:r>
      <w:r>
        <w:t>needs to align with the</w:t>
      </w:r>
      <w:r w:rsidRPr="00BF68DB">
        <w:t xml:space="preserve"> </w:t>
      </w:r>
      <w:hyperlink r:id="rId8" w:history="1">
        <w:r w:rsidR="00F5193A" w:rsidRPr="00EC253E">
          <w:rPr>
            <w:rStyle w:val="Hyperlink"/>
          </w:rPr>
          <w:t>Families and Children Activity Outcomes</w:t>
        </w:r>
        <w:r w:rsidR="0032548B" w:rsidRPr="00EC253E">
          <w:rPr>
            <w:rStyle w:val="Hyperlink"/>
          </w:rPr>
          <w:t xml:space="preserve"> Framework</w:t>
        </w:r>
      </w:hyperlink>
      <w:r w:rsidRPr="00BF68DB">
        <w:t xml:space="preserve"> </w:t>
      </w:r>
      <w:r w:rsidR="00EC253E">
        <w:t>(</w:t>
      </w:r>
      <w:r w:rsidR="00016603">
        <w:t xml:space="preserve">at </w:t>
      </w:r>
      <w:r w:rsidR="00016603" w:rsidRPr="00016603">
        <w:rPr>
          <w:b/>
        </w:rPr>
        <w:t>Appendix E</w:t>
      </w:r>
      <w:r w:rsidR="00016603">
        <w:t xml:space="preserve"> of the updated </w:t>
      </w:r>
      <w:hyperlink r:id="rId9" w:history="1">
        <w:r w:rsidR="00EC253E" w:rsidRPr="00016603">
          <w:rPr>
            <w:rStyle w:val="Hyperlink"/>
          </w:rPr>
          <w:t>Operational Guidelines</w:t>
        </w:r>
      </w:hyperlink>
      <w:r w:rsidR="00EC253E">
        <w:t xml:space="preserve">) </w:t>
      </w:r>
      <w:r w:rsidRPr="00BF68DB">
        <w:t>and the Communities for Children F</w:t>
      </w:r>
      <w:r>
        <w:t xml:space="preserve">acilitating </w:t>
      </w:r>
      <w:r w:rsidRPr="00BF68DB">
        <w:t>P</w:t>
      </w:r>
      <w:r>
        <w:t>artners</w:t>
      </w:r>
      <w:r w:rsidRPr="00BF68DB">
        <w:t xml:space="preserve"> objectives</w:t>
      </w:r>
      <w:r w:rsidR="005E41FD">
        <w:t xml:space="preserve"> (see </w:t>
      </w:r>
      <w:r w:rsidR="005E41FD" w:rsidRPr="006679AF">
        <w:rPr>
          <w:b/>
        </w:rPr>
        <w:t>Appendix A</w:t>
      </w:r>
      <w:r w:rsidR="00211423">
        <w:t>).</w:t>
      </w:r>
    </w:p>
    <w:p w14:paraId="115B6777" w14:textId="50509652" w:rsidR="0059690E" w:rsidRPr="00DE5707" w:rsidRDefault="005E41FD" w:rsidP="005B6997">
      <w:pPr>
        <w:keepNext/>
        <w:keepLines/>
      </w:pPr>
      <w:r>
        <w:lastRenderedPageBreak/>
        <w:t>Other key departmental documents that should inform your CSP include</w:t>
      </w:r>
      <w:r w:rsidR="0059690E" w:rsidRPr="00DE5707">
        <w:t>:</w:t>
      </w:r>
    </w:p>
    <w:p w14:paraId="7A9CE817" w14:textId="2B3E0DE3" w:rsidR="0059690E" w:rsidRPr="004F66A2" w:rsidRDefault="007D621D" w:rsidP="005B6997">
      <w:pPr>
        <w:pStyle w:val="ListParagraph"/>
        <w:keepNext/>
        <w:keepLines/>
        <w:numPr>
          <w:ilvl w:val="0"/>
          <w:numId w:val="16"/>
        </w:numPr>
        <w:rPr>
          <w:rStyle w:val="Hyperlink"/>
        </w:rPr>
      </w:pPr>
      <w:r w:rsidRPr="004F66A2">
        <w:rPr>
          <w:rStyle w:val="Hyperlink"/>
        </w:rPr>
        <w:fldChar w:fldCharType="begin"/>
      </w:r>
      <w:r w:rsidRPr="004F66A2">
        <w:rPr>
          <w:rStyle w:val="Hyperlink"/>
        </w:rPr>
        <w:instrText xml:space="preserve"> HYPERLINK "https://www.dss.gov.au/grants/grant-programmes/families-and-children" </w:instrText>
      </w:r>
      <w:r w:rsidRPr="004F66A2">
        <w:rPr>
          <w:rStyle w:val="Hyperlink"/>
        </w:rPr>
        <w:fldChar w:fldCharType="separate"/>
      </w:r>
      <w:r w:rsidR="0059690E" w:rsidRPr="004F66A2">
        <w:rPr>
          <w:rStyle w:val="Hyperlink"/>
        </w:rPr>
        <w:t xml:space="preserve">Families and </w:t>
      </w:r>
      <w:r w:rsidR="00382D7C" w:rsidRPr="004F66A2">
        <w:rPr>
          <w:rStyle w:val="Hyperlink"/>
        </w:rPr>
        <w:t>Children</w:t>
      </w:r>
      <w:r w:rsidR="0059690E" w:rsidRPr="004F66A2">
        <w:rPr>
          <w:rStyle w:val="Hyperlink"/>
        </w:rPr>
        <w:t xml:space="preserve"> </w:t>
      </w:r>
      <w:r w:rsidR="001C5CF7">
        <w:rPr>
          <w:rStyle w:val="Hyperlink"/>
        </w:rPr>
        <w:t>Program</w:t>
      </w:r>
      <w:r w:rsidR="00E228E7" w:rsidRPr="004F66A2">
        <w:rPr>
          <w:rStyle w:val="Hyperlink"/>
        </w:rPr>
        <w:t xml:space="preserve"> </w:t>
      </w:r>
      <w:r w:rsidR="0059690E" w:rsidRPr="004F66A2">
        <w:rPr>
          <w:rStyle w:val="Hyperlink"/>
        </w:rPr>
        <w:t>Guidelines</w:t>
      </w:r>
      <w:r w:rsidR="00382D7C" w:rsidRPr="004F66A2">
        <w:rPr>
          <w:rStyle w:val="Hyperlink"/>
        </w:rPr>
        <w:t xml:space="preserve"> Overview</w:t>
      </w:r>
    </w:p>
    <w:p w14:paraId="7080AC78" w14:textId="65CF65C2" w:rsidR="0059690E" w:rsidRPr="004F66A2" w:rsidRDefault="007D621D" w:rsidP="005B6997">
      <w:pPr>
        <w:pStyle w:val="ListParagraph"/>
        <w:keepNext/>
        <w:keepLines/>
        <w:numPr>
          <w:ilvl w:val="0"/>
          <w:numId w:val="16"/>
        </w:numPr>
        <w:rPr>
          <w:rStyle w:val="Hyperlink"/>
        </w:rPr>
      </w:pPr>
      <w:r w:rsidRPr="004F66A2">
        <w:rPr>
          <w:rStyle w:val="Hyperlink"/>
        </w:rPr>
        <w:fldChar w:fldCharType="end"/>
      </w:r>
      <w:hyperlink r:id="rId10" w:history="1">
        <w:r w:rsidR="0059690E" w:rsidRPr="000E78EA">
          <w:rPr>
            <w:rStyle w:val="Hyperlink"/>
          </w:rPr>
          <w:t>Communities for Children F</w:t>
        </w:r>
        <w:r w:rsidR="005B586D" w:rsidRPr="000E78EA">
          <w:rPr>
            <w:rStyle w:val="Hyperlink"/>
          </w:rPr>
          <w:t xml:space="preserve">acilitating </w:t>
        </w:r>
        <w:r w:rsidR="0059690E" w:rsidRPr="000E78EA">
          <w:rPr>
            <w:rStyle w:val="Hyperlink"/>
          </w:rPr>
          <w:t>P</w:t>
        </w:r>
        <w:r w:rsidR="005B586D" w:rsidRPr="007648A4">
          <w:rPr>
            <w:rStyle w:val="Hyperlink"/>
          </w:rPr>
          <w:t>artner</w:t>
        </w:r>
        <w:r w:rsidR="0059690E" w:rsidRPr="007648A4">
          <w:rPr>
            <w:rStyle w:val="Hyperlink"/>
          </w:rPr>
          <w:t xml:space="preserve"> Operational Guidelines</w:t>
        </w:r>
      </w:hyperlink>
    </w:p>
    <w:p w14:paraId="13656A03" w14:textId="479E4257" w:rsidR="0059690E" w:rsidRPr="004F66A2" w:rsidRDefault="0059690E" w:rsidP="005B6997">
      <w:pPr>
        <w:pStyle w:val="ListParagraph"/>
        <w:keepNext/>
        <w:keepLines/>
        <w:numPr>
          <w:ilvl w:val="0"/>
          <w:numId w:val="16"/>
        </w:numPr>
      </w:pPr>
      <w:r w:rsidRPr="004F66A2">
        <w:t xml:space="preserve">Your </w:t>
      </w:r>
      <w:r w:rsidR="0056372C" w:rsidRPr="004F66A2">
        <w:t>Communities for Children Facilitating Partners</w:t>
      </w:r>
      <w:r w:rsidRPr="004F66A2">
        <w:t xml:space="preserve"> Grant Agreement</w:t>
      </w:r>
    </w:p>
    <w:p w14:paraId="5950B72A" w14:textId="7139E769" w:rsidR="0059690E" w:rsidRPr="004F66A2" w:rsidRDefault="002D5F54" w:rsidP="005B6997">
      <w:pPr>
        <w:pStyle w:val="ListParagraph"/>
        <w:keepNext/>
        <w:keepLines/>
        <w:numPr>
          <w:ilvl w:val="0"/>
          <w:numId w:val="16"/>
        </w:numPr>
        <w:rPr>
          <w:rStyle w:val="Hyperlink"/>
        </w:rPr>
      </w:pPr>
      <w:hyperlink r:id="rId11" w:history="1">
        <w:r w:rsidR="005E41FD" w:rsidRPr="004F66A2">
          <w:rPr>
            <w:rStyle w:val="Hyperlink"/>
          </w:rPr>
          <w:t>Families and Children Access Strategy</w:t>
        </w:r>
      </w:hyperlink>
      <w:r w:rsidR="00B10597" w:rsidRPr="004F66A2">
        <w:rPr>
          <w:rStyle w:val="Hyperlink"/>
        </w:rPr>
        <w:t xml:space="preserve"> Guidelines</w:t>
      </w:r>
    </w:p>
    <w:p w14:paraId="408E30D7" w14:textId="14E640BF" w:rsidR="00216510" w:rsidRDefault="00136471">
      <w:r>
        <w:t xml:space="preserve">The Australian Institute of Family Studies (AIFS) </w:t>
      </w:r>
      <w:hyperlink r:id="rId12" w:history="1">
        <w:r w:rsidRPr="00655111">
          <w:rPr>
            <w:rStyle w:val="Hyperlink"/>
          </w:rPr>
          <w:t>Families and Children Expert Panel Project</w:t>
        </w:r>
      </w:hyperlink>
      <w:r>
        <w:t xml:space="preserve"> website provides a range of resources and supports </w:t>
      </w:r>
      <w:r w:rsidR="005C6B9A">
        <w:t>that you may find useful should you require further guidance when undertaking your strategic planning processes.</w:t>
      </w:r>
    </w:p>
    <w:p w14:paraId="0C0E6D74" w14:textId="223C5AEF" w:rsidR="00506D6C" w:rsidRPr="005B6997" w:rsidRDefault="00506D6C" w:rsidP="00DE5707">
      <w:r>
        <w:t xml:space="preserve">The </w:t>
      </w:r>
      <w:r w:rsidR="00706758">
        <w:t xml:space="preserve">CSP </w:t>
      </w:r>
      <w:r>
        <w:t xml:space="preserve">must be </w:t>
      </w:r>
      <w:r w:rsidR="006067BF">
        <w:t>developed in conjunction with</w:t>
      </w:r>
      <w:r>
        <w:t xml:space="preserve"> your </w:t>
      </w:r>
      <w:r w:rsidRPr="00DE5707">
        <w:t>Comm</w:t>
      </w:r>
      <w:r>
        <w:t xml:space="preserve">unities for Children Committee and signed by an </w:t>
      </w:r>
      <w:r w:rsidRPr="00DE5707">
        <w:t>authorising officer in your organisation</w:t>
      </w:r>
      <w:r>
        <w:t xml:space="preserve"> before is it submitted to </w:t>
      </w:r>
      <w:r w:rsidRPr="00DE5707">
        <w:t xml:space="preserve">your </w:t>
      </w:r>
      <w:r w:rsidR="0010043A">
        <w:t>Funding Arrangement</w:t>
      </w:r>
      <w:r>
        <w:t xml:space="preserve"> </w:t>
      </w:r>
      <w:r w:rsidRPr="005B6997">
        <w:t>Manager for review.</w:t>
      </w:r>
      <w:r w:rsidR="003C32AD" w:rsidRPr="005B6997">
        <w:t xml:space="preserve"> </w:t>
      </w:r>
    </w:p>
    <w:p w14:paraId="423D7DFB" w14:textId="46A8F93B" w:rsidR="00A55A34" w:rsidRDefault="00A55A34" w:rsidP="00A82D7E">
      <w:r>
        <w:t>Please note that CSPs may be submitted at any time prior to the submission deadline.</w:t>
      </w:r>
    </w:p>
    <w:p w14:paraId="49D1436F" w14:textId="2C2F4F6C" w:rsidR="00FE690F" w:rsidRDefault="00FE690F" w:rsidP="00A82D7E">
      <w:r>
        <w:t>Indicative word limits have been applied to the template</w:t>
      </w:r>
      <w:r w:rsidR="005708A8">
        <w:t xml:space="preserve">, however </w:t>
      </w:r>
      <w:r>
        <w:t xml:space="preserve">additional content </w:t>
      </w:r>
      <w:r w:rsidR="005708A8">
        <w:t>may be provided as attachment</w:t>
      </w:r>
      <w:r w:rsidR="00546956">
        <w:t>s</w:t>
      </w:r>
      <w:r>
        <w:t xml:space="preserve">. </w:t>
      </w:r>
    </w:p>
    <w:p w14:paraId="0C4DE7E4" w14:textId="704C6639" w:rsidR="004B6CE6" w:rsidRPr="00CC5C7C" w:rsidRDefault="004B6CE6" w:rsidP="004B6CE6">
      <w:pPr>
        <w:rPr>
          <w:b/>
        </w:rPr>
      </w:pPr>
      <w:r w:rsidRPr="00CC5C7C">
        <w:rPr>
          <w:b/>
        </w:rPr>
        <w:t xml:space="preserve">Please contact your Funding Arrangement Manager </w:t>
      </w:r>
      <w:r>
        <w:rPr>
          <w:b/>
        </w:rPr>
        <w:t xml:space="preserve">in the first instance </w:t>
      </w:r>
      <w:r w:rsidRPr="00CC5C7C">
        <w:rPr>
          <w:b/>
        </w:rPr>
        <w:t>if you need assistance developing your CSP or you have concerns about meeting the 1 April 2022 submission deadline.</w:t>
      </w:r>
    </w:p>
    <w:p w14:paraId="2E06B721" w14:textId="77777777" w:rsidR="004B6CE6" w:rsidRDefault="004B6CE6" w:rsidP="00A82D7E"/>
    <w:p w14:paraId="43F8C3D9" w14:textId="77777777" w:rsidR="00DE5707" w:rsidRPr="00DE5707" w:rsidRDefault="00DE5707" w:rsidP="00DE5707">
      <w:r w:rsidRPr="00DE5707">
        <w:br w:type="page"/>
      </w:r>
    </w:p>
    <w:p w14:paraId="397E2C3B" w14:textId="092E06D9" w:rsidR="0003023F" w:rsidRDefault="00FA06D5" w:rsidP="00A07F0E">
      <w:pPr>
        <w:pStyle w:val="Heading2"/>
        <w:numPr>
          <w:ilvl w:val="0"/>
          <w:numId w:val="12"/>
        </w:numPr>
        <w:spacing w:after="120"/>
      </w:pPr>
      <w:r w:rsidRPr="00250DE5">
        <w:lastRenderedPageBreak/>
        <w:t xml:space="preserve">Communities for Children </w:t>
      </w:r>
      <w:r w:rsidR="007163D8">
        <w:t xml:space="preserve">Facilitating Partner’s </w:t>
      </w:r>
      <w:r w:rsidR="00DE5707" w:rsidRPr="00DE5707">
        <w:t>Details</w:t>
      </w:r>
    </w:p>
    <w:p w14:paraId="0832FF91" w14:textId="15518332" w:rsidR="005E41FD" w:rsidRPr="005E41FD" w:rsidRDefault="005E41FD" w:rsidP="005073BD">
      <w:r>
        <w:t xml:space="preserve">This section must be completed and signed before it is submitted to </w:t>
      </w:r>
      <w:r w:rsidRPr="00DE5707">
        <w:t xml:space="preserve">your </w:t>
      </w:r>
      <w:r>
        <w:t xml:space="preserve">Funding Arrangement </w:t>
      </w:r>
      <w:r w:rsidRPr="005B6997">
        <w:t xml:space="preserve">Manager for review. </w:t>
      </w:r>
    </w:p>
    <w:p w14:paraId="3873A974" w14:textId="77777777" w:rsidR="00DE5707" w:rsidRPr="00DE5707" w:rsidRDefault="00201F41" w:rsidP="00DE5707">
      <w:pPr>
        <w:pStyle w:val="Heading3"/>
        <w:spacing w:after="120"/>
      </w:pPr>
      <w:r>
        <w:t>F</w:t>
      </w:r>
      <w:r w:rsidR="00173CC2">
        <w:t xml:space="preserve">acilitating </w:t>
      </w:r>
      <w:r>
        <w:t>P</w:t>
      </w:r>
      <w:r w:rsidR="00173CC2">
        <w:t>artner</w:t>
      </w:r>
      <w:r w:rsidR="00DE5707" w:rsidRPr="00DE5707">
        <w:t xml:space="preserve"> Details</w:t>
      </w:r>
    </w:p>
    <w:tbl>
      <w:tblPr>
        <w:tblStyle w:val="TableGrid"/>
        <w:tblW w:w="8528" w:type="dxa"/>
        <w:tblLook w:val="01E0" w:firstRow="1" w:lastRow="1" w:firstColumn="1" w:lastColumn="1" w:noHBand="0" w:noVBand="0"/>
        <w:tblCaption w:val="Organisational Details"/>
        <w:tblDescription w:val="Detaiils of organisation servicing the Activity Delivery Area"/>
      </w:tblPr>
      <w:tblGrid>
        <w:gridCol w:w="4264"/>
        <w:gridCol w:w="4264"/>
      </w:tblGrid>
      <w:tr w:rsidR="00DE5707" w:rsidRPr="00DE5707" w14:paraId="404C53A0" w14:textId="77777777" w:rsidTr="0003023F">
        <w:trPr>
          <w:tblHeader/>
        </w:trPr>
        <w:tc>
          <w:tcPr>
            <w:tcW w:w="4264" w:type="dxa"/>
            <w:hideMark/>
          </w:tcPr>
          <w:p w14:paraId="48388EB2" w14:textId="77777777" w:rsidR="00DE5707" w:rsidRPr="00201F41" w:rsidRDefault="00201F41" w:rsidP="00DE5707">
            <w:pPr>
              <w:spacing w:after="200" w:line="276" w:lineRule="auto"/>
              <w:rPr>
                <w:lang w:eastAsia="en-AU"/>
              </w:rPr>
            </w:pPr>
            <w:r w:rsidRPr="00201F41">
              <w:rPr>
                <w:lang w:eastAsia="en-AU"/>
              </w:rPr>
              <w:t>Service</w:t>
            </w:r>
            <w:r w:rsidR="00DE5707" w:rsidRPr="00201F41">
              <w:rPr>
                <w:lang w:eastAsia="en-AU"/>
              </w:rPr>
              <w:t xml:space="preserve"> Area Name </w:t>
            </w:r>
          </w:p>
        </w:tc>
        <w:tc>
          <w:tcPr>
            <w:tcW w:w="4264" w:type="dxa"/>
          </w:tcPr>
          <w:p w14:paraId="3CC72E69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74238C34" w14:textId="77777777" w:rsidTr="0003023F">
        <w:tc>
          <w:tcPr>
            <w:tcW w:w="4264" w:type="dxa"/>
            <w:hideMark/>
          </w:tcPr>
          <w:p w14:paraId="4B310707" w14:textId="77777777" w:rsidR="00DE5707" w:rsidRPr="00DE5707" w:rsidRDefault="00201F41" w:rsidP="00DE5707">
            <w:pPr>
              <w:spacing w:after="200" w:line="276" w:lineRule="auto"/>
              <w:rPr>
                <w:lang w:eastAsia="en-AU"/>
              </w:rPr>
            </w:pPr>
            <w:r w:rsidRPr="005B6997">
              <w:t>FP</w:t>
            </w:r>
            <w:r w:rsidR="00DE5707" w:rsidRPr="00DE5707">
              <w:rPr>
                <w:lang w:eastAsia="en-AU"/>
              </w:rPr>
              <w:t xml:space="preserve"> Name</w:t>
            </w:r>
          </w:p>
        </w:tc>
        <w:tc>
          <w:tcPr>
            <w:tcW w:w="4264" w:type="dxa"/>
          </w:tcPr>
          <w:p w14:paraId="32E77295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4536A37B" w14:textId="77777777" w:rsidTr="0003023F">
        <w:tc>
          <w:tcPr>
            <w:tcW w:w="4264" w:type="dxa"/>
            <w:hideMark/>
          </w:tcPr>
          <w:p w14:paraId="12C68B13" w14:textId="77777777" w:rsidR="00DE5707" w:rsidRPr="00201F41" w:rsidRDefault="00201F41" w:rsidP="00201F41">
            <w:pPr>
              <w:spacing w:after="200" w:line="276" w:lineRule="auto"/>
              <w:rPr>
                <w:i/>
                <w:lang w:eastAsia="en-AU"/>
              </w:rPr>
            </w:pPr>
            <w:r>
              <w:rPr>
                <w:lang w:eastAsia="en-AU"/>
              </w:rPr>
              <w:t>FP Contact Name</w:t>
            </w:r>
          </w:p>
        </w:tc>
        <w:tc>
          <w:tcPr>
            <w:tcW w:w="4264" w:type="dxa"/>
          </w:tcPr>
          <w:p w14:paraId="65D205D5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0D855E96" w14:textId="77777777" w:rsidTr="0003023F">
        <w:tc>
          <w:tcPr>
            <w:tcW w:w="4264" w:type="dxa"/>
            <w:hideMark/>
          </w:tcPr>
          <w:p w14:paraId="5C2A7D20" w14:textId="77777777" w:rsidR="00DE5707" w:rsidRPr="00DE5707" w:rsidRDefault="00201F41" w:rsidP="00201F41">
            <w:pPr>
              <w:spacing w:after="200" w:line="276" w:lineRule="auto"/>
              <w:rPr>
                <w:i/>
                <w:lang w:eastAsia="en-AU"/>
              </w:rPr>
            </w:pPr>
            <w:r>
              <w:rPr>
                <w:lang w:eastAsia="en-AU"/>
              </w:rPr>
              <w:t>FP Contact Title</w:t>
            </w:r>
          </w:p>
        </w:tc>
        <w:tc>
          <w:tcPr>
            <w:tcW w:w="4264" w:type="dxa"/>
          </w:tcPr>
          <w:p w14:paraId="650F0D7D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599C5763" w14:textId="77777777" w:rsidTr="0003023F">
        <w:tc>
          <w:tcPr>
            <w:tcW w:w="4264" w:type="dxa"/>
            <w:hideMark/>
          </w:tcPr>
          <w:p w14:paraId="508A62BA" w14:textId="77777777" w:rsidR="00DE5707" w:rsidRDefault="00DE5707" w:rsidP="00DE5707">
            <w:pPr>
              <w:spacing w:after="200" w:line="276" w:lineRule="auto"/>
              <w:rPr>
                <w:lang w:eastAsia="en-AU"/>
              </w:rPr>
            </w:pPr>
            <w:r w:rsidRPr="00201F41">
              <w:rPr>
                <w:lang w:eastAsia="en-AU"/>
              </w:rPr>
              <w:t>Address</w:t>
            </w:r>
          </w:p>
          <w:p w14:paraId="67FA6949" w14:textId="77777777" w:rsidR="00201F41" w:rsidRPr="00201F41" w:rsidRDefault="00201F41" w:rsidP="00DE5707">
            <w:pPr>
              <w:spacing w:after="200" w:line="276" w:lineRule="auto"/>
              <w:rPr>
                <w:lang w:eastAsia="en-AU"/>
              </w:rPr>
            </w:pPr>
          </w:p>
        </w:tc>
        <w:tc>
          <w:tcPr>
            <w:tcW w:w="4264" w:type="dxa"/>
          </w:tcPr>
          <w:p w14:paraId="0CA60F0F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645E99E4" w14:textId="77777777" w:rsidTr="0003023F">
        <w:tc>
          <w:tcPr>
            <w:tcW w:w="4264" w:type="dxa"/>
            <w:hideMark/>
          </w:tcPr>
          <w:p w14:paraId="5DD15FDB" w14:textId="77777777" w:rsidR="00DE5707" w:rsidRPr="00201F41" w:rsidRDefault="00DE5707" w:rsidP="00201F41">
            <w:pPr>
              <w:spacing w:after="200" w:line="276" w:lineRule="auto"/>
              <w:rPr>
                <w:lang w:eastAsia="en-AU"/>
              </w:rPr>
            </w:pPr>
            <w:r w:rsidRPr="00201F41">
              <w:rPr>
                <w:lang w:eastAsia="en-AU"/>
              </w:rPr>
              <w:t>State/Territory</w:t>
            </w:r>
            <w:r w:rsidR="00201F41" w:rsidRPr="00201F41">
              <w:rPr>
                <w:lang w:eastAsia="en-AU"/>
              </w:rPr>
              <w:t xml:space="preserve"> and Postcode</w:t>
            </w:r>
          </w:p>
        </w:tc>
        <w:tc>
          <w:tcPr>
            <w:tcW w:w="4264" w:type="dxa"/>
          </w:tcPr>
          <w:p w14:paraId="44574E2B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</w:tbl>
    <w:p w14:paraId="1C42AA9A" w14:textId="77777777" w:rsidR="00DE5707" w:rsidRPr="00DE5707" w:rsidRDefault="00DE5707" w:rsidP="00DE5707">
      <w:pPr>
        <w:pStyle w:val="Heading3"/>
        <w:spacing w:after="120"/>
      </w:pPr>
      <w:r w:rsidRPr="00DE5707">
        <w:t xml:space="preserve">Community Strategic </w:t>
      </w:r>
      <w:r>
        <w:t>Plan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Community Strategic Plan Details"/>
        <w:tblDescription w:val="Details of date signed by the Committee and name and signature of Facilitating Partner authorising officer"/>
      </w:tblPr>
      <w:tblGrid>
        <w:gridCol w:w="4264"/>
        <w:gridCol w:w="4264"/>
      </w:tblGrid>
      <w:tr w:rsidR="00DE5707" w:rsidRPr="00DE5707" w14:paraId="00D7A1C5" w14:textId="77777777" w:rsidTr="0003023F">
        <w:trPr>
          <w:tblHeader/>
        </w:trPr>
        <w:tc>
          <w:tcPr>
            <w:tcW w:w="4264" w:type="dxa"/>
            <w:hideMark/>
          </w:tcPr>
          <w:p w14:paraId="4497A991" w14:textId="77777777" w:rsidR="00DE5707" w:rsidRPr="00DE5707" w:rsidRDefault="00DE5707" w:rsidP="00201F41">
            <w:pPr>
              <w:spacing w:line="276" w:lineRule="auto"/>
              <w:rPr>
                <w:b/>
                <w:lang w:eastAsia="en-AU"/>
              </w:rPr>
            </w:pPr>
            <w:r w:rsidRPr="00DE5707">
              <w:rPr>
                <w:b/>
                <w:lang w:eastAsia="en-AU"/>
              </w:rPr>
              <w:t xml:space="preserve">Date </w:t>
            </w:r>
            <w:r w:rsidR="00201F41" w:rsidRPr="00DE5707">
              <w:rPr>
                <w:b/>
                <w:lang w:eastAsia="en-AU"/>
              </w:rPr>
              <w:t xml:space="preserve">Communities for Children Committee </w:t>
            </w:r>
            <w:r w:rsidR="00201F41">
              <w:rPr>
                <w:b/>
                <w:lang w:eastAsia="en-AU"/>
              </w:rPr>
              <w:t xml:space="preserve">agreed to </w:t>
            </w:r>
            <w:r w:rsidRPr="00DE5707">
              <w:rPr>
                <w:b/>
                <w:lang w:eastAsia="en-AU"/>
              </w:rPr>
              <w:t xml:space="preserve">Community Strategic Plan </w:t>
            </w:r>
          </w:p>
        </w:tc>
        <w:tc>
          <w:tcPr>
            <w:tcW w:w="4264" w:type="dxa"/>
          </w:tcPr>
          <w:p w14:paraId="0950EE6E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4D57A864" w14:textId="77777777" w:rsidTr="0003023F">
        <w:trPr>
          <w:trHeight w:val="149"/>
        </w:trPr>
        <w:tc>
          <w:tcPr>
            <w:tcW w:w="4264" w:type="dxa"/>
            <w:hideMark/>
          </w:tcPr>
          <w:p w14:paraId="6B65B1B2" w14:textId="77777777" w:rsidR="00DE5707" w:rsidRPr="00DE5707" w:rsidRDefault="00DE5707" w:rsidP="00DE5707">
            <w:pPr>
              <w:spacing w:after="200" w:line="276" w:lineRule="auto"/>
              <w:rPr>
                <w:b/>
                <w:lang w:eastAsia="en-AU"/>
              </w:rPr>
            </w:pPr>
            <w:r w:rsidRPr="00DE5707">
              <w:rPr>
                <w:b/>
                <w:lang w:eastAsia="en-AU"/>
              </w:rPr>
              <w:t>Name of Facilitating Partner Authorising Officer</w:t>
            </w:r>
          </w:p>
        </w:tc>
        <w:tc>
          <w:tcPr>
            <w:tcW w:w="4264" w:type="dxa"/>
          </w:tcPr>
          <w:p w14:paraId="375EDD2C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176CA7D8" w14:textId="77777777" w:rsidTr="0003023F">
        <w:trPr>
          <w:trHeight w:val="149"/>
        </w:trPr>
        <w:tc>
          <w:tcPr>
            <w:tcW w:w="4264" w:type="dxa"/>
            <w:hideMark/>
          </w:tcPr>
          <w:p w14:paraId="36E3E224" w14:textId="77777777" w:rsidR="00DE5707" w:rsidRPr="00DE5707" w:rsidRDefault="00DE5707" w:rsidP="00DE5707">
            <w:pPr>
              <w:spacing w:after="200" w:line="276" w:lineRule="auto"/>
              <w:rPr>
                <w:b/>
                <w:lang w:eastAsia="en-AU"/>
              </w:rPr>
            </w:pPr>
            <w:r w:rsidRPr="00DE5707">
              <w:rPr>
                <w:b/>
                <w:lang w:eastAsia="en-AU"/>
              </w:rPr>
              <w:t>Signature of Facilitating Partner Authorising Officer</w:t>
            </w:r>
          </w:p>
        </w:tc>
        <w:tc>
          <w:tcPr>
            <w:tcW w:w="4264" w:type="dxa"/>
          </w:tcPr>
          <w:p w14:paraId="5F674270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</w:tbl>
    <w:p w14:paraId="3E6FC530" w14:textId="77777777" w:rsidR="00DE5707" w:rsidRPr="00DE5707" w:rsidRDefault="00DE5707" w:rsidP="00DE5707">
      <w:pPr>
        <w:pStyle w:val="Heading3"/>
        <w:spacing w:after="120"/>
      </w:pPr>
      <w:r w:rsidRPr="00DE5707">
        <w:t>DSS Use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Department of Social Services Use"/>
        <w:tblDescription w:val="Details of date of submission and approval and details of DSS delegate"/>
      </w:tblPr>
      <w:tblGrid>
        <w:gridCol w:w="4264"/>
        <w:gridCol w:w="4264"/>
      </w:tblGrid>
      <w:tr w:rsidR="00DE5707" w:rsidRPr="00DE5707" w14:paraId="583972A1" w14:textId="77777777" w:rsidTr="0003023F">
        <w:trPr>
          <w:tblHeader/>
        </w:trPr>
        <w:tc>
          <w:tcPr>
            <w:tcW w:w="4264" w:type="dxa"/>
            <w:hideMark/>
          </w:tcPr>
          <w:p w14:paraId="60EC935C" w14:textId="77777777" w:rsidR="00DE5707" w:rsidRPr="00DE5707" w:rsidRDefault="00DE5707" w:rsidP="00DE5707">
            <w:pPr>
              <w:spacing w:after="200" w:line="276" w:lineRule="auto"/>
              <w:rPr>
                <w:b/>
                <w:lang w:eastAsia="en-AU"/>
              </w:rPr>
            </w:pPr>
            <w:r w:rsidRPr="00DE5707">
              <w:rPr>
                <w:b/>
                <w:lang w:eastAsia="en-AU"/>
              </w:rPr>
              <w:t>Date of Submission to DSS</w:t>
            </w:r>
          </w:p>
        </w:tc>
        <w:tc>
          <w:tcPr>
            <w:tcW w:w="4264" w:type="dxa"/>
          </w:tcPr>
          <w:p w14:paraId="6EDE10DA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4F7280A6" w14:textId="77777777" w:rsidTr="0003023F">
        <w:trPr>
          <w:trHeight w:val="149"/>
        </w:trPr>
        <w:tc>
          <w:tcPr>
            <w:tcW w:w="4264" w:type="dxa"/>
            <w:hideMark/>
          </w:tcPr>
          <w:p w14:paraId="2EEF7902" w14:textId="77777777" w:rsidR="00DE5707" w:rsidRPr="00DE5707" w:rsidRDefault="00DE5707" w:rsidP="00DE5707">
            <w:pPr>
              <w:spacing w:after="200" w:line="276" w:lineRule="auto"/>
              <w:rPr>
                <w:b/>
                <w:lang w:eastAsia="en-AU"/>
              </w:rPr>
            </w:pPr>
            <w:r w:rsidRPr="00DE5707">
              <w:rPr>
                <w:b/>
                <w:lang w:eastAsia="en-AU"/>
              </w:rPr>
              <w:t>Date of DSS approval</w:t>
            </w:r>
          </w:p>
        </w:tc>
        <w:tc>
          <w:tcPr>
            <w:tcW w:w="4264" w:type="dxa"/>
          </w:tcPr>
          <w:p w14:paraId="3402187F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3201A906" w14:textId="77777777" w:rsidTr="0003023F">
        <w:trPr>
          <w:trHeight w:val="149"/>
        </w:trPr>
        <w:tc>
          <w:tcPr>
            <w:tcW w:w="4264" w:type="dxa"/>
            <w:hideMark/>
          </w:tcPr>
          <w:p w14:paraId="76BE4934" w14:textId="77777777" w:rsidR="00DE5707" w:rsidRPr="002C6A8D" w:rsidRDefault="00DE5707" w:rsidP="00DE5707">
            <w:pPr>
              <w:spacing w:after="200" w:line="276" w:lineRule="auto"/>
              <w:rPr>
                <w:lang w:eastAsia="en-AU"/>
              </w:rPr>
            </w:pPr>
            <w:r w:rsidRPr="002C6A8D">
              <w:rPr>
                <w:lang w:eastAsia="en-AU"/>
              </w:rPr>
              <w:t>DSS Delegate</w:t>
            </w:r>
            <w:r w:rsidR="002C6A8D" w:rsidRPr="002C6A8D">
              <w:rPr>
                <w:lang w:eastAsia="en-AU"/>
              </w:rPr>
              <w:t xml:space="preserve"> Name</w:t>
            </w:r>
          </w:p>
        </w:tc>
        <w:tc>
          <w:tcPr>
            <w:tcW w:w="4264" w:type="dxa"/>
          </w:tcPr>
          <w:p w14:paraId="7D0B351E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322E378C" w14:textId="77777777" w:rsidTr="0003023F">
        <w:trPr>
          <w:trHeight w:val="149"/>
        </w:trPr>
        <w:tc>
          <w:tcPr>
            <w:tcW w:w="4264" w:type="dxa"/>
            <w:hideMark/>
          </w:tcPr>
          <w:p w14:paraId="04BE1F07" w14:textId="77777777" w:rsidR="00DE5707" w:rsidRPr="002C6A8D" w:rsidRDefault="002C6A8D" w:rsidP="002C6A8D">
            <w:pPr>
              <w:spacing w:after="200" w:line="276" w:lineRule="auto"/>
              <w:rPr>
                <w:i/>
                <w:lang w:eastAsia="en-AU"/>
              </w:rPr>
            </w:pPr>
            <w:r w:rsidRPr="002C6A8D">
              <w:rPr>
                <w:lang w:eastAsia="en-AU"/>
              </w:rPr>
              <w:t xml:space="preserve">DSS Delegate </w:t>
            </w:r>
            <w:r>
              <w:rPr>
                <w:lang w:eastAsia="en-AU"/>
              </w:rPr>
              <w:t>Position</w:t>
            </w:r>
          </w:p>
        </w:tc>
        <w:tc>
          <w:tcPr>
            <w:tcW w:w="4264" w:type="dxa"/>
          </w:tcPr>
          <w:p w14:paraId="0CB90CD6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  <w:tr w:rsidR="00DE5707" w:rsidRPr="00DE5707" w14:paraId="3304FE1F" w14:textId="77777777" w:rsidTr="0003023F">
        <w:trPr>
          <w:trHeight w:val="149"/>
        </w:trPr>
        <w:tc>
          <w:tcPr>
            <w:tcW w:w="4264" w:type="dxa"/>
            <w:hideMark/>
          </w:tcPr>
          <w:p w14:paraId="3215CC7A" w14:textId="77777777" w:rsidR="00DE5707" w:rsidRPr="002C6A8D" w:rsidRDefault="002C6A8D" w:rsidP="002C6A8D">
            <w:pPr>
              <w:spacing w:after="200" w:line="276" w:lineRule="auto"/>
              <w:rPr>
                <w:i/>
                <w:lang w:eastAsia="en-AU"/>
              </w:rPr>
            </w:pPr>
            <w:r w:rsidRPr="002C6A8D">
              <w:rPr>
                <w:lang w:eastAsia="en-AU"/>
              </w:rPr>
              <w:t xml:space="preserve">DSS Delegate </w:t>
            </w:r>
            <w:r>
              <w:rPr>
                <w:lang w:eastAsia="en-AU"/>
              </w:rPr>
              <w:t>Signature</w:t>
            </w:r>
          </w:p>
        </w:tc>
        <w:tc>
          <w:tcPr>
            <w:tcW w:w="4264" w:type="dxa"/>
          </w:tcPr>
          <w:p w14:paraId="09523D44" w14:textId="77777777" w:rsidR="00DE5707" w:rsidRPr="00DE5707" w:rsidRDefault="00DE5707" w:rsidP="00DE5707">
            <w:pPr>
              <w:spacing w:after="200" w:line="276" w:lineRule="auto"/>
              <w:rPr>
                <w:lang w:eastAsia="en-AU"/>
              </w:rPr>
            </w:pPr>
          </w:p>
        </w:tc>
      </w:tr>
    </w:tbl>
    <w:p w14:paraId="6195A960" w14:textId="77777777" w:rsidR="00DE5707" w:rsidRPr="00DE5707" w:rsidRDefault="00DE5707" w:rsidP="00DE5707"/>
    <w:p w14:paraId="458FB7F8" w14:textId="77777777" w:rsidR="00201F41" w:rsidRDefault="00201F41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14:paraId="359174BE" w14:textId="549D237B" w:rsidR="0003023F" w:rsidRPr="00DE5707" w:rsidRDefault="00382D7C" w:rsidP="00DE5707">
      <w:pPr>
        <w:pStyle w:val="Heading2"/>
        <w:numPr>
          <w:ilvl w:val="0"/>
          <w:numId w:val="12"/>
        </w:numPr>
        <w:spacing w:after="120"/>
      </w:pPr>
      <w:r>
        <w:lastRenderedPageBreak/>
        <w:t>Community</w:t>
      </w:r>
      <w:r w:rsidR="004C0F98">
        <w:t xml:space="preserve"> </w:t>
      </w:r>
      <w:r w:rsidR="00694AD3">
        <w:t>Needs Assessment</w:t>
      </w:r>
    </w:p>
    <w:p w14:paraId="28387A16" w14:textId="5DE8DA81" w:rsidR="002F223F" w:rsidRDefault="005E41FD" w:rsidP="00DE5707">
      <w:r>
        <w:t>In this section you will d</w:t>
      </w:r>
      <w:r w:rsidR="006914F2">
        <w:t xml:space="preserve">escribe the </w:t>
      </w:r>
      <w:r w:rsidR="006914F2" w:rsidRPr="006914F2">
        <w:rPr>
          <w:b/>
        </w:rPr>
        <w:t>key needs</w:t>
      </w:r>
      <w:r w:rsidR="006914F2">
        <w:t xml:space="preserve"> of </w:t>
      </w:r>
      <w:r w:rsidR="00DB76B5">
        <w:t xml:space="preserve">children and families experiencing vulnerability </w:t>
      </w:r>
      <w:r w:rsidR="006914F2">
        <w:t xml:space="preserve">and disadvantage in your </w:t>
      </w:r>
      <w:r w:rsidR="00382D7C">
        <w:t>community</w:t>
      </w:r>
      <w:r w:rsidR="002F223F">
        <w:t xml:space="preserve">, and the </w:t>
      </w:r>
      <w:r w:rsidR="002F223F" w:rsidRPr="002F223F">
        <w:rPr>
          <w:b/>
        </w:rPr>
        <w:t>current services and service gaps</w:t>
      </w:r>
      <w:r w:rsidR="002F223F">
        <w:t xml:space="preserve"> within your service area.</w:t>
      </w:r>
    </w:p>
    <w:p w14:paraId="19B06866" w14:textId="0682A10E" w:rsidR="002F223F" w:rsidRDefault="005E41FD" w:rsidP="00DE5707">
      <w:r>
        <w:t>Consider these questions</w:t>
      </w:r>
      <w:r w:rsidR="002F223F">
        <w:t>:</w:t>
      </w:r>
    </w:p>
    <w:p w14:paraId="0A806637" w14:textId="7B34583D" w:rsidR="00E679F8" w:rsidRDefault="00E679F8" w:rsidP="00C77B33">
      <w:pPr>
        <w:pStyle w:val="ListParagraph"/>
        <w:numPr>
          <w:ilvl w:val="0"/>
          <w:numId w:val="24"/>
        </w:numPr>
      </w:pPr>
      <w:r>
        <w:t>What outcomes are you aiming to achieve in your service area (relevant to CfC FP objectives)?</w:t>
      </w:r>
    </w:p>
    <w:p w14:paraId="7C66918F" w14:textId="7B421B90" w:rsidR="00E46809" w:rsidRDefault="00E46809" w:rsidP="00C77B33">
      <w:pPr>
        <w:pStyle w:val="ListParagraph"/>
        <w:numPr>
          <w:ilvl w:val="0"/>
          <w:numId w:val="24"/>
        </w:numPr>
      </w:pPr>
      <w:r>
        <w:t>Who is at risk of poorer than average outcomes? How many are at risk?</w:t>
      </w:r>
    </w:p>
    <w:p w14:paraId="1FA1D2B2" w14:textId="0561B9D7" w:rsidR="002F223F" w:rsidRDefault="00C77B33" w:rsidP="00C77B33">
      <w:pPr>
        <w:pStyle w:val="ListParagraph"/>
        <w:numPr>
          <w:ilvl w:val="0"/>
          <w:numId w:val="24"/>
        </w:numPr>
      </w:pPr>
      <w:r w:rsidRPr="00C77B33">
        <w:t xml:space="preserve">What are the key needs of families at risk of poor outcomes </w:t>
      </w:r>
      <w:r>
        <w:t>in your</w:t>
      </w:r>
      <w:r w:rsidR="005467BC">
        <w:t xml:space="preserve"> service area</w:t>
      </w:r>
      <w:r>
        <w:t>?</w:t>
      </w:r>
    </w:p>
    <w:p w14:paraId="15402516" w14:textId="1251B54F" w:rsidR="00E379B4" w:rsidRDefault="0018590F" w:rsidP="00BD774E">
      <w:pPr>
        <w:pStyle w:val="ListParagraph"/>
        <w:numPr>
          <w:ilvl w:val="0"/>
          <w:numId w:val="24"/>
        </w:numPr>
      </w:pPr>
      <w:r>
        <w:t>For example,</w:t>
      </w:r>
      <w:r w:rsidR="00E679F8">
        <w:t xml:space="preserve"> w</w:t>
      </w:r>
      <w:r w:rsidR="00E379B4">
        <w:t>hat are the strengths</w:t>
      </w:r>
      <w:r w:rsidR="002C37FB">
        <w:t>, assets</w:t>
      </w:r>
      <w:r w:rsidR="00E379B4">
        <w:t xml:space="preserve"> and opportunities within your service area that could be further developed?</w:t>
      </w:r>
    </w:p>
    <w:p w14:paraId="2293D03D" w14:textId="228E00C6" w:rsidR="00DB76B5" w:rsidRDefault="0036257C" w:rsidP="0036257C">
      <w:pPr>
        <w:pStyle w:val="ListParagraph"/>
        <w:numPr>
          <w:ilvl w:val="0"/>
          <w:numId w:val="24"/>
        </w:numPr>
      </w:pPr>
      <w:r w:rsidRPr="00C77B33">
        <w:t>What are the existing children and family serv</w:t>
      </w:r>
      <w:r>
        <w:t>ices doing to meet those needs?</w:t>
      </w:r>
      <w:r w:rsidRPr="00C77B33">
        <w:t xml:space="preserve"> </w:t>
      </w:r>
      <w:r>
        <w:t>Are there gaps?</w:t>
      </w:r>
      <w:r w:rsidR="00A275FF">
        <w:t xml:space="preserve"> </w:t>
      </w:r>
      <w:r w:rsidR="005E41FD">
        <w:t>How will you address those gaps?</w:t>
      </w:r>
    </w:p>
    <w:p w14:paraId="68314D97" w14:textId="77777777" w:rsidR="00DB76B5" w:rsidRDefault="00A275FF" w:rsidP="00DB76B5">
      <w:pPr>
        <w:pStyle w:val="ListParagraph"/>
        <w:numPr>
          <w:ilvl w:val="0"/>
          <w:numId w:val="24"/>
        </w:numPr>
      </w:pPr>
      <w:r>
        <w:t xml:space="preserve">How will the CfC FP program interact with other programs and services? </w:t>
      </w:r>
    </w:p>
    <w:p w14:paraId="29B8EB8C" w14:textId="37A7A95D" w:rsidR="00DB76B5" w:rsidRDefault="0087465C" w:rsidP="00DB76B5">
      <w:pPr>
        <w:pStyle w:val="ListParagraph"/>
        <w:numPr>
          <w:ilvl w:val="0"/>
          <w:numId w:val="24"/>
        </w:numPr>
      </w:pPr>
      <w:r>
        <w:t xml:space="preserve">Are there emerging needs for </w:t>
      </w:r>
      <w:r w:rsidR="005123E7">
        <w:t>your community that you</w:t>
      </w:r>
      <w:r>
        <w:t xml:space="preserve"> need to </w:t>
      </w:r>
      <w:r w:rsidR="00DB76B5">
        <w:t>be proactive</w:t>
      </w:r>
      <w:r>
        <w:t xml:space="preserve"> in addressing?</w:t>
      </w:r>
      <w:r w:rsidR="00DB76B5">
        <w:t xml:space="preserve"> </w:t>
      </w:r>
    </w:p>
    <w:p w14:paraId="36191885" w14:textId="59A94457" w:rsidR="00425C5B" w:rsidRDefault="00425C5B" w:rsidP="00DB76B5">
      <w:pPr>
        <w:pStyle w:val="ListParagraph"/>
        <w:numPr>
          <w:ilvl w:val="0"/>
          <w:numId w:val="24"/>
        </w:numPr>
      </w:pPr>
      <w:r>
        <w:t xml:space="preserve">What are the </w:t>
      </w:r>
      <w:r w:rsidR="002C5DFA">
        <w:t>issues, risks and protective factors associated with the prioritised needs?</w:t>
      </w:r>
    </w:p>
    <w:p w14:paraId="03377A79" w14:textId="1DDD3554" w:rsidR="002F223F" w:rsidRDefault="002F223F" w:rsidP="002F223F">
      <w:r w:rsidRPr="00DE5707">
        <w:t xml:space="preserve">You should draw </w:t>
      </w:r>
      <w:r w:rsidR="005E41FD">
        <w:t>from multiple sources to answer these questions. For instance, research evidence, published data about your community, Data Exchange (DEX) data,</w:t>
      </w:r>
      <w:r w:rsidR="004E62DA" w:rsidRPr="00256518">
        <w:t xml:space="preserve"> community consultation</w:t>
      </w:r>
      <w:r w:rsidR="003824BC">
        <w:t>s</w:t>
      </w:r>
      <w:r w:rsidR="004E62DA">
        <w:t>,</w:t>
      </w:r>
      <w:r w:rsidR="004E62DA" w:rsidRPr="00256518">
        <w:t xml:space="preserve"> </w:t>
      </w:r>
      <w:r w:rsidR="005E41FD">
        <w:t xml:space="preserve">and </w:t>
      </w:r>
      <w:r w:rsidRPr="00DE5707">
        <w:t xml:space="preserve">your </w:t>
      </w:r>
      <w:r w:rsidR="005E41FD">
        <w:t xml:space="preserve">own </w:t>
      </w:r>
      <w:r w:rsidRPr="00DE5707">
        <w:t>knowledge of the community’s demographics and social issues</w:t>
      </w:r>
      <w:r w:rsidR="007F4F4F">
        <w:t>.</w:t>
      </w:r>
      <w:r w:rsidR="00D70159">
        <w:t xml:space="preserve"> </w:t>
      </w:r>
      <w:r w:rsidR="00E46809">
        <w:t>Practice wisdom, while valuable, should be included as one part of a balanced evidence-informed approach that includes research / data and community / participant perspectives.</w:t>
      </w:r>
    </w:p>
    <w:p w14:paraId="0B4796BA" w14:textId="4A598A3D" w:rsidR="002F223F" w:rsidRPr="00DE5707" w:rsidRDefault="00A839E8" w:rsidP="00A839E8">
      <w:r>
        <w:t xml:space="preserve">A range of selected data sources that may be useful when conducting needs assessments is available at </w:t>
      </w:r>
      <w:r w:rsidR="006679AF">
        <w:rPr>
          <w:b/>
        </w:rPr>
        <w:t>Appendix B</w:t>
      </w:r>
      <w:r w:rsidR="009601C9">
        <w:t>.</w:t>
      </w:r>
    </w:p>
    <w:p w14:paraId="06EF6DF2" w14:textId="5B0D364D" w:rsidR="005E41FD" w:rsidRDefault="005E41FD" w:rsidP="005E41FD">
      <w:r>
        <w:t>S</w:t>
      </w:r>
      <w:r w:rsidR="002F223F" w:rsidRPr="00DE5707">
        <w:t xml:space="preserve">tate and territory </w:t>
      </w:r>
      <w:r>
        <w:t xml:space="preserve">agencies will have additional data on </w:t>
      </w:r>
      <w:r w:rsidR="002F223F" w:rsidRPr="00DE5707">
        <w:t>school attendance, domestic violence, child protection and crime.</w:t>
      </w:r>
      <w:r w:rsidRPr="005E41FD">
        <w:t xml:space="preserve"> </w:t>
      </w:r>
      <w:r w:rsidR="009601C9">
        <w:t>For example:</w:t>
      </w:r>
    </w:p>
    <w:p w14:paraId="067B8C04" w14:textId="77777777" w:rsidR="009601C9" w:rsidRDefault="002D5F54" w:rsidP="009601C9">
      <w:pPr>
        <w:pStyle w:val="ListParagraph"/>
        <w:numPr>
          <w:ilvl w:val="0"/>
          <w:numId w:val="24"/>
        </w:numPr>
      </w:pPr>
      <w:hyperlink r:id="rId13" w:history="1">
        <w:r w:rsidR="009601C9" w:rsidRPr="00267AF6">
          <w:rPr>
            <w:rStyle w:val="Hyperlink"/>
          </w:rPr>
          <w:t>Mapping Economic Disadvantage in NSW</w:t>
        </w:r>
      </w:hyperlink>
      <w:r w:rsidR="009601C9">
        <w:t xml:space="preserve"> – NSW Council of Social Service</w:t>
      </w:r>
    </w:p>
    <w:p w14:paraId="544D98DE" w14:textId="3EE632BA" w:rsidR="005E41FD" w:rsidRDefault="005E41FD" w:rsidP="005E41FD">
      <w:r>
        <w:t xml:space="preserve">If you want to undertake a formal needs assessment process, the </w:t>
      </w:r>
      <w:r w:rsidR="001B6F32">
        <w:t>AIFS</w:t>
      </w:r>
      <w:r>
        <w:t xml:space="preserve"> Expert Panel Project</w:t>
      </w:r>
      <w:r w:rsidR="004B6CE6">
        <w:t xml:space="preserve"> has developed a </w:t>
      </w:r>
      <w:hyperlink r:id="rId14" w:history="1">
        <w:r w:rsidR="004B6CE6" w:rsidRPr="004B6CE6">
          <w:rPr>
            <w:rStyle w:val="Hyperlink"/>
          </w:rPr>
          <w:t>Needs Assessment</w:t>
        </w:r>
      </w:hyperlink>
      <w:r w:rsidR="004B6CE6">
        <w:t xml:space="preserve"> resource that </w:t>
      </w:r>
      <w:r>
        <w:t>may be helpful.</w:t>
      </w:r>
      <w:r w:rsidR="001B6F32">
        <w:t xml:space="preserve"> </w:t>
      </w:r>
    </w:p>
    <w:p w14:paraId="7A2B47D8" w14:textId="71F31781" w:rsidR="005E41FD" w:rsidRPr="00A34672" w:rsidRDefault="005E41FD" w:rsidP="009601C9">
      <w:pPr>
        <w:keepNext/>
        <w:rPr>
          <w:b/>
        </w:rPr>
      </w:pPr>
      <w:r w:rsidRPr="00A34672">
        <w:rPr>
          <w:b/>
        </w:rPr>
        <w:lastRenderedPageBreak/>
        <w:t>Outline information about community needs a</w:t>
      </w:r>
      <w:r w:rsidR="002124D6" w:rsidRPr="00A34672">
        <w:rPr>
          <w:b/>
        </w:rPr>
        <w:t>nd</w:t>
      </w:r>
      <w:r w:rsidR="00A34672">
        <w:rPr>
          <w:b/>
        </w:rPr>
        <w:t xml:space="preserve"> service provision below: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Community and Service Mapping"/>
        <w:tblDescription w:val="Description of current services and service gaps"/>
      </w:tblPr>
      <w:tblGrid>
        <w:gridCol w:w="9016"/>
      </w:tblGrid>
      <w:tr w:rsidR="002F223F" w:rsidRPr="00DE5707" w14:paraId="6C697F7B" w14:textId="77777777" w:rsidTr="009601C9">
        <w:trPr>
          <w:trHeight w:val="11855"/>
          <w:tblHeader/>
        </w:trPr>
        <w:tc>
          <w:tcPr>
            <w:tcW w:w="9227" w:type="dxa"/>
          </w:tcPr>
          <w:p w14:paraId="54F4E834" w14:textId="77777777" w:rsidR="005E41FD" w:rsidRPr="00C914A5" w:rsidRDefault="005E41FD" w:rsidP="009601C9">
            <w:pPr>
              <w:pStyle w:val="Heading4"/>
              <w:keepNext/>
              <w:outlineLvl w:val="3"/>
              <w:rPr>
                <w:b w:val="0"/>
                <w:bCs w:val="0"/>
                <w:i w:val="0"/>
                <w:iCs w:val="0"/>
                <w:lang w:eastAsia="en-AU"/>
              </w:rPr>
            </w:pPr>
            <w:r w:rsidRPr="00C914A5">
              <w:rPr>
                <w:i w:val="0"/>
                <w:iCs w:val="0"/>
              </w:rPr>
              <w:t>Key needs within the community – guiding questions</w:t>
            </w:r>
          </w:p>
          <w:p w14:paraId="0A061207" w14:textId="771296D4" w:rsidR="00D561D1" w:rsidRDefault="00D561D1" w:rsidP="006C422D">
            <w:pPr>
              <w:pStyle w:val="ListParagraph"/>
              <w:keepNext/>
              <w:numPr>
                <w:ilvl w:val="0"/>
                <w:numId w:val="30"/>
              </w:numPr>
            </w:pPr>
            <w:r>
              <w:t>What are the key outcomes you are aiming to achieve in your service area?</w:t>
            </w:r>
          </w:p>
          <w:p w14:paraId="527CE4DD" w14:textId="7EF0114A" w:rsidR="005E41FD" w:rsidRDefault="005E41FD" w:rsidP="006C422D">
            <w:pPr>
              <w:pStyle w:val="ListParagraph"/>
              <w:keepNext/>
              <w:numPr>
                <w:ilvl w:val="0"/>
                <w:numId w:val="30"/>
              </w:numPr>
            </w:pPr>
            <w:r w:rsidRPr="00C77B33">
              <w:t xml:space="preserve">What are the key needs of families at risk of poor outcomes </w:t>
            </w:r>
            <w:r>
              <w:t>in your service area</w:t>
            </w:r>
            <w:r w:rsidR="0094623D">
              <w:t>, and what evidence do you base this assessment on (short hand</w:t>
            </w:r>
            <w:r w:rsidR="00E325C7">
              <w:t>,</w:t>
            </w:r>
            <w:r w:rsidR="0094623D">
              <w:t xml:space="preserve"> not long data / evidence lists needed)</w:t>
            </w:r>
            <w:r>
              <w:t>?</w:t>
            </w:r>
          </w:p>
          <w:p w14:paraId="1C64C130" w14:textId="77777777" w:rsidR="005E41FD" w:rsidRDefault="005E41FD" w:rsidP="006C422D">
            <w:pPr>
              <w:pStyle w:val="ListParagraph"/>
              <w:keepNext/>
              <w:numPr>
                <w:ilvl w:val="0"/>
                <w:numId w:val="30"/>
              </w:numPr>
            </w:pPr>
            <w:r w:rsidRPr="00C77B33">
              <w:t>What are the existing children and family serv</w:t>
            </w:r>
            <w:r>
              <w:t>ices doing to meet those needs?</w:t>
            </w:r>
            <w:r w:rsidRPr="00C77B33">
              <w:t xml:space="preserve"> </w:t>
            </w:r>
          </w:p>
          <w:p w14:paraId="60540C2D" w14:textId="3483BA14" w:rsidR="005E41FD" w:rsidRDefault="005E41FD" w:rsidP="006C422D">
            <w:pPr>
              <w:pStyle w:val="ListParagraph"/>
              <w:keepNext/>
              <w:numPr>
                <w:ilvl w:val="0"/>
                <w:numId w:val="30"/>
              </w:numPr>
            </w:pPr>
            <w:r>
              <w:t xml:space="preserve">Are there emerging needs for your community that you need to be proactive in addressing? </w:t>
            </w:r>
          </w:p>
          <w:p w14:paraId="0A35C3BD" w14:textId="3E6FB78B" w:rsidR="00A81D4B" w:rsidRDefault="00A81D4B" w:rsidP="006C422D">
            <w:pPr>
              <w:pStyle w:val="ListParagraph"/>
              <w:keepNext/>
              <w:numPr>
                <w:ilvl w:val="0"/>
                <w:numId w:val="30"/>
              </w:numPr>
            </w:pPr>
            <w:r>
              <w:t>What are the strengths, assets and opportunities within your service area that could be further developed?</w:t>
            </w:r>
          </w:p>
          <w:p w14:paraId="5EE13300" w14:textId="6A5E80E8" w:rsidR="006C422D" w:rsidRDefault="00623F25" w:rsidP="00CC5C7C">
            <w:pPr>
              <w:pStyle w:val="ListParagraph"/>
              <w:numPr>
                <w:ilvl w:val="0"/>
                <w:numId w:val="30"/>
              </w:numPr>
            </w:pPr>
            <w:r>
              <w:t>In relation to the prioritised needs, w</w:t>
            </w:r>
            <w:r w:rsidR="006C422D">
              <w:t>hat are the</w:t>
            </w:r>
            <w:r>
              <w:t xml:space="preserve"> associated</w:t>
            </w:r>
            <w:r w:rsidR="006C422D">
              <w:t xml:space="preserve"> issues, risks and protective factors</w:t>
            </w:r>
            <w:r>
              <w:t>?</w:t>
            </w:r>
          </w:p>
          <w:p w14:paraId="13640DF7" w14:textId="77777777" w:rsidR="005E41FD" w:rsidRPr="00C914A5" w:rsidRDefault="005E41FD" w:rsidP="009601C9">
            <w:pPr>
              <w:pStyle w:val="ListParagraph"/>
              <w:keepNext/>
            </w:pPr>
          </w:p>
          <w:p w14:paraId="00787AA0" w14:textId="77777777" w:rsidR="005E41FD" w:rsidRDefault="005E41FD" w:rsidP="009601C9">
            <w:pPr>
              <w:keepNext/>
              <w:spacing w:after="200" w:line="276" w:lineRule="auto"/>
              <w:rPr>
                <w:b/>
                <w:bCs/>
                <w:lang w:eastAsia="en-AU"/>
              </w:rPr>
            </w:pPr>
          </w:p>
          <w:p w14:paraId="290500F4" w14:textId="77777777" w:rsidR="005E41FD" w:rsidRDefault="005E41FD" w:rsidP="009601C9">
            <w:pPr>
              <w:keepNext/>
              <w:spacing w:after="200" w:line="276" w:lineRule="auto"/>
              <w:rPr>
                <w:b/>
                <w:bCs/>
                <w:lang w:eastAsia="en-AU"/>
              </w:rPr>
            </w:pPr>
          </w:p>
          <w:p w14:paraId="4002464A" w14:textId="77777777" w:rsidR="005E41FD" w:rsidRDefault="005E41FD" w:rsidP="009601C9">
            <w:pPr>
              <w:keepNext/>
              <w:spacing w:after="200" w:line="276" w:lineRule="auto"/>
              <w:rPr>
                <w:b/>
                <w:bCs/>
                <w:lang w:eastAsia="en-AU"/>
              </w:rPr>
            </w:pPr>
          </w:p>
          <w:p w14:paraId="324F6C53" w14:textId="58811E77" w:rsidR="005E41FD" w:rsidRDefault="005E41FD" w:rsidP="009601C9">
            <w:pPr>
              <w:keepNext/>
              <w:spacing w:after="200" w:line="276" w:lineRule="auto"/>
              <w:rPr>
                <w:b/>
                <w:bCs/>
                <w:lang w:eastAsia="en-AU"/>
              </w:rPr>
            </w:pPr>
          </w:p>
          <w:p w14:paraId="6C7AAB05" w14:textId="6B765B72" w:rsidR="009601C9" w:rsidRDefault="009601C9" w:rsidP="009601C9">
            <w:pPr>
              <w:keepNext/>
              <w:spacing w:after="200" w:line="276" w:lineRule="auto"/>
              <w:rPr>
                <w:b/>
                <w:bCs/>
                <w:lang w:eastAsia="en-AU"/>
              </w:rPr>
            </w:pPr>
          </w:p>
          <w:p w14:paraId="369F1B1A" w14:textId="7D169022" w:rsidR="009601C9" w:rsidRDefault="009601C9" w:rsidP="009601C9">
            <w:pPr>
              <w:keepNext/>
              <w:spacing w:after="200" w:line="276" w:lineRule="auto"/>
              <w:rPr>
                <w:b/>
                <w:bCs/>
                <w:lang w:eastAsia="en-AU"/>
              </w:rPr>
            </w:pPr>
          </w:p>
          <w:p w14:paraId="65A45CF0" w14:textId="64703271" w:rsidR="009601C9" w:rsidRDefault="00606A9C" w:rsidP="00CC5C7C">
            <w:pPr>
              <w:keepNext/>
              <w:spacing w:after="200" w:line="276" w:lineRule="auto"/>
              <w:jc w:val="right"/>
              <w:rPr>
                <w:b/>
                <w:bCs/>
                <w:lang w:eastAsia="en-AU"/>
              </w:rPr>
            </w:pPr>
            <w:r w:rsidRPr="006015BF">
              <w:rPr>
                <w:i/>
                <w:lang w:eastAsia="en-AU"/>
              </w:rPr>
              <w:t xml:space="preserve">(Up to </w:t>
            </w:r>
            <w:r>
              <w:rPr>
                <w:i/>
                <w:lang w:eastAsia="en-AU"/>
              </w:rPr>
              <w:t>1,0</w:t>
            </w:r>
            <w:r w:rsidRPr="006015BF">
              <w:rPr>
                <w:i/>
                <w:lang w:eastAsia="en-AU"/>
              </w:rPr>
              <w:t>00 words)</w:t>
            </w:r>
          </w:p>
          <w:p w14:paraId="2BFB6972" w14:textId="77777777" w:rsidR="005E41FD" w:rsidRDefault="005E41FD" w:rsidP="009601C9">
            <w:pPr>
              <w:keepNext/>
              <w:spacing w:after="200" w:line="276" w:lineRule="auto"/>
              <w:rPr>
                <w:b/>
                <w:bCs/>
                <w:lang w:eastAsia="en-AU"/>
              </w:rPr>
            </w:pPr>
          </w:p>
          <w:p w14:paraId="67090437" w14:textId="77777777" w:rsidR="005E41FD" w:rsidRPr="00C914A5" w:rsidRDefault="005E41FD" w:rsidP="009601C9">
            <w:pPr>
              <w:keepNext/>
              <w:rPr>
                <w:b/>
                <w:bCs/>
              </w:rPr>
            </w:pPr>
            <w:r w:rsidRPr="00AC6302">
              <w:rPr>
                <w:b/>
                <w:bCs/>
              </w:rPr>
              <w:t xml:space="preserve">Current service and service gaps – guiding questions </w:t>
            </w:r>
          </w:p>
          <w:p w14:paraId="5FF3AEF6" w14:textId="77777777" w:rsidR="005E41FD" w:rsidRPr="007A7403" w:rsidRDefault="005E41FD" w:rsidP="006C422D">
            <w:pPr>
              <w:pStyle w:val="ListParagraph"/>
              <w:keepNext/>
              <w:numPr>
                <w:ilvl w:val="0"/>
                <w:numId w:val="30"/>
              </w:numPr>
            </w:pPr>
            <w:r>
              <w:t>If there are gaps in existing service provision, what are they?</w:t>
            </w:r>
          </w:p>
          <w:p w14:paraId="228BEC4F" w14:textId="77777777" w:rsidR="005E41FD" w:rsidRPr="00C914A5" w:rsidRDefault="005E41FD" w:rsidP="006C422D">
            <w:pPr>
              <w:pStyle w:val="ListParagraph"/>
              <w:keepNext/>
              <w:numPr>
                <w:ilvl w:val="0"/>
                <w:numId w:val="30"/>
              </w:numPr>
              <w:rPr>
                <w:b/>
                <w:bCs/>
                <w:lang w:eastAsia="en-AU"/>
              </w:rPr>
            </w:pPr>
            <w:r>
              <w:t>How will you address identified gaps?</w:t>
            </w:r>
          </w:p>
          <w:p w14:paraId="6CF55D7A" w14:textId="77777777" w:rsidR="005E41FD" w:rsidRDefault="005E41FD" w:rsidP="006C422D">
            <w:pPr>
              <w:pStyle w:val="ListParagraph"/>
              <w:keepNext/>
              <w:numPr>
                <w:ilvl w:val="0"/>
                <w:numId w:val="30"/>
              </w:numPr>
            </w:pPr>
            <w:r>
              <w:t xml:space="preserve">How will the CfC FP program interact with other programs and services? </w:t>
            </w:r>
          </w:p>
          <w:p w14:paraId="503ECC85" w14:textId="77777777" w:rsidR="002F223F" w:rsidRDefault="002F223F" w:rsidP="009601C9">
            <w:pPr>
              <w:keepNext/>
              <w:spacing w:after="200" w:line="276" w:lineRule="auto"/>
              <w:rPr>
                <w:lang w:eastAsia="en-AU"/>
              </w:rPr>
            </w:pPr>
          </w:p>
          <w:p w14:paraId="198A3E24" w14:textId="77777777" w:rsidR="00606A9C" w:rsidRDefault="00606A9C" w:rsidP="009601C9">
            <w:pPr>
              <w:keepNext/>
              <w:spacing w:after="200" w:line="276" w:lineRule="auto"/>
              <w:rPr>
                <w:lang w:eastAsia="en-AU"/>
              </w:rPr>
            </w:pPr>
          </w:p>
          <w:p w14:paraId="32720904" w14:textId="77777777" w:rsidR="00606A9C" w:rsidRDefault="00606A9C" w:rsidP="009601C9">
            <w:pPr>
              <w:keepNext/>
              <w:spacing w:after="200" w:line="276" w:lineRule="auto"/>
              <w:rPr>
                <w:lang w:eastAsia="en-AU"/>
              </w:rPr>
            </w:pPr>
          </w:p>
          <w:p w14:paraId="48E16398" w14:textId="77777777" w:rsidR="00606A9C" w:rsidRDefault="00606A9C" w:rsidP="009601C9">
            <w:pPr>
              <w:keepNext/>
              <w:spacing w:after="200" w:line="276" w:lineRule="auto"/>
              <w:rPr>
                <w:lang w:eastAsia="en-AU"/>
              </w:rPr>
            </w:pPr>
          </w:p>
          <w:p w14:paraId="3F7DC3A0" w14:textId="77777777" w:rsidR="00606A9C" w:rsidRDefault="00606A9C" w:rsidP="009601C9">
            <w:pPr>
              <w:keepNext/>
              <w:spacing w:after="200" w:line="276" w:lineRule="auto"/>
              <w:rPr>
                <w:lang w:eastAsia="en-AU"/>
              </w:rPr>
            </w:pPr>
          </w:p>
          <w:p w14:paraId="68D91ABD" w14:textId="77777777" w:rsidR="00606A9C" w:rsidRDefault="00606A9C" w:rsidP="009601C9">
            <w:pPr>
              <w:keepNext/>
              <w:spacing w:after="200" w:line="276" w:lineRule="auto"/>
              <w:rPr>
                <w:lang w:eastAsia="en-AU"/>
              </w:rPr>
            </w:pPr>
          </w:p>
          <w:p w14:paraId="5065CCAA" w14:textId="6D2D1D05" w:rsidR="00606A9C" w:rsidRPr="00DE5707" w:rsidRDefault="00606A9C" w:rsidP="00CC5C7C">
            <w:pPr>
              <w:keepNext/>
              <w:spacing w:after="200" w:line="276" w:lineRule="auto"/>
              <w:jc w:val="right"/>
              <w:rPr>
                <w:lang w:eastAsia="en-AU"/>
              </w:rPr>
            </w:pPr>
            <w:r w:rsidRPr="006015BF">
              <w:rPr>
                <w:i/>
                <w:lang w:eastAsia="en-AU"/>
              </w:rPr>
              <w:t xml:space="preserve">(Up to </w:t>
            </w:r>
            <w:r>
              <w:rPr>
                <w:i/>
                <w:lang w:eastAsia="en-AU"/>
              </w:rPr>
              <w:t>8</w:t>
            </w:r>
            <w:r w:rsidRPr="006015BF">
              <w:rPr>
                <w:i/>
                <w:lang w:eastAsia="en-AU"/>
              </w:rPr>
              <w:t>00 words)</w:t>
            </w:r>
          </w:p>
        </w:tc>
      </w:tr>
    </w:tbl>
    <w:p w14:paraId="264C76D7" w14:textId="77777777" w:rsidR="00DE5707" w:rsidRPr="00DE5707" w:rsidRDefault="00DE5707" w:rsidP="00DE5707"/>
    <w:p w14:paraId="5E77D1F9" w14:textId="77777777" w:rsidR="00DE5707" w:rsidRPr="00DE5707" w:rsidRDefault="00DE5707" w:rsidP="00DE5707">
      <w:pPr>
        <w:rPr>
          <w:b/>
          <w:bCs/>
        </w:rPr>
      </w:pPr>
      <w:r w:rsidRPr="00DE5707">
        <w:br w:type="page"/>
      </w:r>
    </w:p>
    <w:p w14:paraId="35BF1C51" w14:textId="55C99D61" w:rsidR="00314EAB" w:rsidRPr="00DE5707" w:rsidRDefault="00314EAB" w:rsidP="00851C2D">
      <w:pPr>
        <w:pStyle w:val="Heading2"/>
        <w:numPr>
          <w:ilvl w:val="0"/>
          <w:numId w:val="12"/>
        </w:numPr>
        <w:spacing w:after="120"/>
      </w:pPr>
      <w:r w:rsidRPr="00DE5707">
        <w:lastRenderedPageBreak/>
        <w:t>Community Engagement</w:t>
      </w:r>
    </w:p>
    <w:p w14:paraId="44748A13" w14:textId="0B93BA73" w:rsidR="00482B3E" w:rsidRPr="00DE5707" w:rsidRDefault="00164DF1" w:rsidP="00482B3E">
      <w:r>
        <w:t>In this section</w:t>
      </w:r>
      <w:r w:rsidR="00482B3E">
        <w:t xml:space="preserve"> you will outline </w:t>
      </w:r>
      <w:r w:rsidR="00482B3E" w:rsidRPr="00DE5707">
        <w:t xml:space="preserve">the </w:t>
      </w:r>
      <w:r w:rsidR="00482B3E" w:rsidRPr="00DE5707">
        <w:rPr>
          <w:b/>
        </w:rPr>
        <w:t>community</w:t>
      </w:r>
      <w:r w:rsidR="00482B3E" w:rsidRPr="00DE5707">
        <w:t xml:space="preserve"> </w:t>
      </w:r>
      <w:r w:rsidR="00482B3E" w:rsidRPr="00DE5707">
        <w:rPr>
          <w:b/>
        </w:rPr>
        <w:t xml:space="preserve">engagement </w:t>
      </w:r>
      <w:r w:rsidR="00482B3E">
        <w:rPr>
          <w:b/>
        </w:rPr>
        <w:t>strategies</w:t>
      </w:r>
      <w:r w:rsidR="00482B3E" w:rsidRPr="00DE5707">
        <w:t xml:space="preserve"> </w:t>
      </w:r>
      <w:r w:rsidR="00482B3E">
        <w:t>you</w:t>
      </w:r>
      <w:r w:rsidR="00482B3E" w:rsidRPr="00DE5707">
        <w:t xml:space="preserve"> </w:t>
      </w:r>
      <w:r w:rsidR="00482B3E">
        <w:t xml:space="preserve">plan to use in your Service Area. </w:t>
      </w:r>
      <w:r w:rsidR="00482B3E" w:rsidRPr="00DE5707">
        <w:t>Your response should include</w:t>
      </w:r>
      <w:r w:rsidR="00482B3E">
        <w:t xml:space="preserve"> information about</w:t>
      </w:r>
      <w:r w:rsidR="00482B3E" w:rsidRPr="00DE5707">
        <w:t>:</w:t>
      </w:r>
    </w:p>
    <w:p w14:paraId="45E1DFFB" w14:textId="1244BF59" w:rsidR="00482B3E" w:rsidRDefault="00482B3E" w:rsidP="00482B3E">
      <w:pPr>
        <w:pStyle w:val="ListParagraph"/>
        <w:numPr>
          <w:ilvl w:val="0"/>
          <w:numId w:val="18"/>
        </w:numPr>
      </w:pPr>
      <w:r>
        <w:t>W</w:t>
      </w:r>
      <w:r w:rsidRPr="00DE5707">
        <w:t>ho you will engage with</w:t>
      </w:r>
      <w:r>
        <w:t xml:space="preserve"> and why</w:t>
      </w:r>
    </w:p>
    <w:p w14:paraId="7B38E7A6" w14:textId="1C4C88A0" w:rsidR="00482B3E" w:rsidRDefault="00482B3E" w:rsidP="00482B3E">
      <w:pPr>
        <w:pStyle w:val="ListParagraph"/>
        <w:numPr>
          <w:ilvl w:val="0"/>
          <w:numId w:val="18"/>
        </w:numPr>
      </w:pPr>
      <w:r>
        <w:t>How you will engage to ensure ongoing involvement/participation</w:t>
      </w:r>
    </w:p>
    <w:p w14:paraId="511BD1BA" w14:textId="1B21AAAB" w:rsidR="00482B3E" w:rsidRPr="00382D7C" w:rsidRDefault="00482B3E" w:rsidP="00482B3E">
      <w:pPr>
        <w:pStyle w:val="ListParagraph"/>
        <w:numPr>
          <w:ilvl w:val="0"/>
          <w:numId w:val="18"/>
        </w:numPr>
      </w:pPr>
      <w:r>
        <w:t>Any challenges or barriers you see in engaging</w:t>
      </w:r>
      <w:r w:rsidR="00F37ED8" w:rsidRPr="00F37ED8">
        <w:t xml:space="preserve"> </w:t>
      </w:r>
      <w:r w:rsidR="00F37ED8">
        <w:t xml:space="preserve">with particular groups or individuals e.g. children, business etc., also giving consideration to impacts of Covid-19 and other local contexts (i.e. bushfires / flooding) </w:t>
      </w:r>
      <w:r>
        <w:t>and the strategies you will use to try to overcome them.</w:t>
      </w:r>
    </w:p>
    <w:p w14:paraId="1A91D791" w14:textId="5EBE4D6C" w:rsidR="00482B3E" w:rsidRDefault="00482B3E" w:rsidP="00382D7C">
      <w:pPr>
        <w:keepNext/>
        <w:widowControl w:val="0"/>
        <w:suppressAutoHyphens/>
      </w:pPr>
      <w:r>
        <w:t>When completing this section, think about the target groups you want to engage with in a broad sense</w:t>
      </w:r>
      <w:r w:rsidR="005B78D1">
        <w:t xml:space="preserve">, as well as how </w:t>
      </w:r>
      <w:r w:rsidR="00606A9C">
        <w:t xml:space="preserve">you will </w:t>
      </w:r>
      <w:r w:rsidR="004E0F1E">
        <w:t xml:space="preserve">engage to </w:t>
      </w:r>
      <w:r w:rsidR="005B78D1">
        <w:t>best ensure the voice of the beneficiary is heard</w:t>
      </w:r>
      <w:r>
        <w:t xml:space="preserve">. For instance, you may wish to engage with </w:t>
      </w:r>
      <w:r w:rsidRPr="00C77B33">
        <w:t>individuals/families,</w:t>
      </w:r>
      <w:r>
        <w:t xml:space="preserve"> directly with children, with particular</w:t>
      </w:r>
      <w:r w:rsidRPr="00C77B33">
        <w:t xml:space="preserve"> neighbourhoods, </w:t>
      </w:r>
      <w:r>
        <w:t xml:space="preserve">philanthropic organisations, </w:t>
      </w:r>
      <w:r w:rsidRPr="00C77B33">
        <w:t>school</w:t>
      </w:r>
      <w:r>
        <w:t>s</w:t>
      </w:r>
      <w:r w:rsidRPr="00C77B33">
        <w:t>,</w:t>
      </w:r>
      <w:r>
        <w:t xml:space="preserve"> academia/researchers, other service systems, local media and business.</w:t>
      </w:r>
      <w:r w:rsidR="005B78D1">
        <w:t xml:space="preserve"> </w:t>
      </w:r>
    </w:p>
    <w:p w14:paraId="2A6A7D0E" w14:textId="7744A463" w:rsidR="00482B3E" w:rsidRDefault="00482B3E" w:rsidP="00482B3E">
      <w:pPr>
        <w:keepNext/>
        <w:widowControl w:val="0"/>
        <w:suppressAutoHyphens/>
      </w:pPr>
      <w:r>
        <w:t>Reflect on why you want to engage with each target group. Is it to explore</w:t>
      </w:r>
      <w:r w:rsidRPr="00C77B33">
        <w:t xml:space="preserve"> innovation</w:t>
      </w:r>
      <w:r>
        <w:t>? Encourage</w:t>
      </w:r>
      <w:r w:rsidRPr="00C77B33">
        <w:t xml:space="preserve"> collaboration and service integration</w:t>
      </w:r>
      <w:r>
        <w:t>? Consult on</w:t>
      </w:r>
      <w:r w:rsidRPr="00C77B33">
        <w:t xml:space="preserve"> activity design</w:t>
      </w:r>
      <w:r>
        <w:t>?</w:t>
      </w:r>
      <w:r w:rsidRPr="00C77B33">
        <w:t xml:space="preserve"> </w:t>
      </w:r>
      <w:r>
        <w:t>Build enthusiasm for the agenda? Contribute to the sustainability of initiatives?</w:t>
      </w:r>
      <w:r w:rsidRPr="00C77B33">
        <w:t xml:space="preserve"> </w:t>
      </w:r>
      <w:r>
        <w:t>Evaluate progress?</w:t>
      </w:r>
    </w:p>
    <w:p w14:paraId="1A1CAE73" w14:textId="5183A4F8" w:rsidR="004E0F1E" w:rsidRDefault="009A587B" w:rsidP="00382D7C">
      <w:pPr>
        <w:keepNext/>
        <w:widowControl w:val="0"/>
        <w:suppressAutoHyphens/>
      </w:pPr>
      <w:r>
        <w:t>Undertaking b</w:t>
      </w:r>
      <w:r w:rsidR="004E0F1E">
        <w:t xml:space="preserve">road community engagement brings valuable, representative voices to the discussion and is an important aspect of strong local collaboration. </w:t>
      </w:r>
    </w:p>
    <w:p w14:paraId="7FAE279D" w14:textId="7EEE616E" w:rsidR="00D3158B" w:rsidRDefault="00482B3E" w:rsidP="00382D7C">
      <w:pPr>
        <w:keepNext/>
        <w:widowControl w:val="0"/>
        <w:suppressAutoHyphens/>
      </w:pPr>
      <w:r>
        <w:t xml:space="preserve">You should also think about how well your </w:t>
      </w:r>
      <w:r w:rsidR="00C77B33" w:rsidRPr="00C77B33">
        <w:t>governance</w:t>
      </w:r>
      <w:r>
        <w:t xml:space="preserve"> structures</w:t>
      </w:r>
      <w:r w:rsidR="00C77B33" w:rsidRPr="00C77B33">
        <w:t xml:space="preserve"> and community </w:t>
      </w:r>
      <w:r w:rsidR="007F2086">
        <w:t xml:space="preserve">feedback </w:t>
      </w:r>
      <w:r>
        <w:t xml:space="preserve">mechanisms are working </w:t>
      </w:r>
      <w:r w:rsidR="00164DF1">
        <w:t>and identify any</w:t>
      </w:r>
      <w:r w:rsidR="00C77B33" w:rsidRPr="00C77B33">
        <w:t xml:space="preserve"> gaps in communication and pa</w:t>
      </w:r>
      <w:r w:rsidR="007F2086">
        <w:t>rticipation of particular</w:t>
      </w:r>
      <w:r w:rsidR="00C77B33" w:rsidRPr="00C77B33">
        <w:t xml:space="preserve"> groups. </w:t>
      </w:r>
    </w:p>
    <w:p w14:paraId="0422F65B" w14:textId="1235DEBA" w:rsidR="00482B3E" w:rsidRDefault="00482B3E" w:rsidP="00DD65DF">
      <w:pPr>
        <w:keepNext/>
        <w:widowControl w:val="0"/>
        <w:shd w:val="clear" w:color="auto" w:fill="FFFFFF" w:themeFill="background1"/>
        <w:suppressAutoHyphens/>
      </w:pPr>
      <w:r w:rsidRPr="00DD65DF">
        <w:t xml:space="preserve">Your strategy needs to address the </w:t>
      </w:r>
      <w:hyperlink r:id="rId15" w:history="1">
        <w:r w:rsidRPr="00DD65DF">
          <w:rPr>
            <w:rStyle w:val="Hyperlink"/>
          </w:rPr>
          <w:t>Families and Children Access Strategy</w:t>
        </w:r>
      </w:hyperlink>
      <w:r w:rsidRPr="00DD65DF">
        <w:t xml:space="preserve"> requirements.</w:t>
      </w:r>
    </w:p>
    <w:p w14:paraId="48E1275E" w14:textId="2921805F" w:rsidR="00482B3E" w:rsidRDefault="00482B3E" w:rsidP="00A56C41">
      <w:pPr>
        <w:pStyle w:val="Heading3"/>
        <w:spacing w:before="360" w:after="120" w:line="276" w:lineRule="auto"/>
      </w:pPr>
      <w:r>
        <w:t>Interaction with other initiatives</w:t>
      </w:r>
    </w:p>
    <w:p w14:paraId="240B3171" w14:textId="13CFCA52" w:rsidR="00A55202" w:rsidRDefault="00482B3E" w:rsidP="00382D7C">
      <w:pPr>
        <w:keepNext/>
        <w:widowControl w:val="0"/>
        <w:suppressAutoHyphens/>
      </w:pPr>
      <w:r>
        <w:t xml:space="preserve">If </w:t>
      </w:r>
      <w:hyperlink r:id="rId16" w:history="1">
        <w:r w:rsidR="00A55202" w:rsidRPr="00553F44">
          <w:rPr>
            <w:rStyle w:val="Hyperlink"/>
          </w:rPr>
          <w:t>Stronger Places Stronger People</w:t>
        </w:r>
      </w:hyperlink>
      <w:r w:rsidR="00A55202">
        <w:t xml:space="preserve"> (SPSP) </w:t>
      </w:r>
      <w:r w:rsidR="004843B4">
        <w:t xml:space="preserve">or </w:t>
      </w:r>
      <w:hyperlink r:id="rId17" w:history="1">
        <w:r w:rsidR="004843B4" w:rsidRPr="00553F44">
          <w:rPr>
            <w:rStyle w:val="Hyperlink"/>
          </w:rPr>
          <w:t>Empowered Communities</w:t>
        </w:r>
      </w:hyperlink>
      <w:r w:rsidR="004843B4">
        <w:t xml:space="preserve"> are</w:t>
      </w:r>
      <w:r w:rsidR="00A55202">
        <w:t xml:space="preserve"> active in your service </w:t>
      </w:r>
      <w:r w:rsidR="004843B4">
        <w:t>area</w:t>
      </w:r>
      <w:r>
        <w:t xml:space="preserve">, consider </w:t>
      </w:r>
      <w:r w:rsidR="008931D5">
        <w:t xml:space="preserve">please encourage </w:t>
      </w:r>
      <w:r>
        <w:t>engag</w:t>
      </w:r>
      <w:r w:rsidR="008931D5">
        <w:t>ement</w:t>
      </w:r>
      <w:bookmarkStart w:id="0" w:name="_GoBack"/>
      <w:bookmarkEnd w:id="0"/>
      <w:r>
        <w:t xml:space="preserve"> with</w:t>
      </w:r>
      <w:r w:rsidR="004843B4">
        <w:t xml:space="preserve"> </w:t>
      </w:r>
      <w:r w:rsidR="00553F44">
        <w:t>relevant</w:t>
      </w:r>
      <w:r w:rsidR="004843B4">
        <w:t xml:space="preserve"> leadership groups </w:t>
      </w:r>
      <w:r>
        <w:t>as part of</w:t>
      </w:r>
      <w:r w:rsidR="004843B4">
        <w:t xml:space="preserve"> your strategy.</w:t>
      </w:r>
    </w:p>
    <w:p w14:paraId="7E5C86B3" w14:textId="2DF8115E" w:rsidR="00BC7F62" w:rsidRDefault="00482B3E" w:rsidP="00800903">
      <w:r>
        <w:t>Below are some resources on how to engage and collaborate with communities and partner organisations and evaluate inter-agency partnerships.</w:t>
      </w:r>
    </w:p>
    <w:p w14:paraId="3D68A060" w14:textId="77777777" w:rsidR="00482B3E" w:rsidRPr="00737EF8" w:rsidRDefault="00482B3E" w:rsidP="00A56C41">
      <w:pPr>
        <w:pStyle w:val="Heading3"/>
        <w:spacing w:before="360" w:after="120" w:line="276" w:lineRule="auto"/>
      </w:pPr>
      <w:r>
        <w:t>Community engagement and inter-agency partnership approaches</w:t>
      </w:r>
    </w:p>
    <w:p w14:paraId="252CD318" w14:textId="77777777" w:rsidR="001C5CF7" w:rsidRDefault="002D5F54" w:rsidP="001C5CF7">
      <w:pPr>
        <w:pStyle w:val="ListParagraph"/>
        <w:numPr>
          <w:ilvl w:val="0"/>
          <w:numId w:val="28"/>
        </w:numPr>
      </w:pPr>
      <w:hyperlink r:id="rId18" w:history="1">
        <w:r w:rsidR="001C5CF7" w:rsidRPr="00E9691A">
          <w:rPr>
            <w:rStyle w:val="Hyperlink"/>
          </w:rPr>
          <w:t>Creating change through partnerships</w:t>
        </w:r>
      </w:hyperlink>
      <w:r w:rsidR="001C5CF7">
        <w:t xml:space="preserve"> – SNAICC guide to establishing partnerships between Aboriginal and Torres Strait Islander organisations and non-Indigenous child and family organisations</w:t>
      </w:r>
    </w:p>
    <w:p w14:paraId="71DD4855" w14:textId="77777777" w:rsidR="00482B3E" w:rsidRPr="00C914A5" w:rsidRDefault="002D5F54" w:rsidP="00482B3E">
      <w:pPr>
        <w:pStyle w:val="ListParagraph"/>
        <w:numPr>
          <w:ilvl w:val="0"/>
          <w:numId w:val="28"/>
        </w:numPr>
        <w:rPr>
          <w:lang w:val="en-US"/>
        </w:rPr>
      </w:pPr>
      <w:hyperlink r:id="rId19" w:history="1">
        <w:r w:rsidR="00482B3E" w:rsidRPr="00BC7F62">
          <w:rPr>
            <w:rStyle w:val="Hyperlink"/>
          </w:rPr>
          <w:t>Community engagement: A key strategy for improving outcomes for Australian families</w:t>
        </w:r>
      </w:hyperlink>
      <w:r w:rsidR="00482B3E">
        <w:t xml:space="preserve"> – </w:t>
      </w:r>
      <w:r w:rsidR="00482B3E">
        <w:rPr>
          <w:lang w:val="en-US"/>
        </w:rPr>
        <w:t>AIFS</w:t>
      </w:r>
      <w:r w:rsidR="00482B3E" w:rsidRPr="0020091C">
        <w:rPr>
          <w:lang w:val="en-US"/>
        </w:rPr>
        <w:t xml:space="preserve"> paper </w:t>
      </w:r>
      <w:r w:rsidR="00482B3E">
        <w:rPr>
          <w:lang w:val="en-US"/>
        </w:rPr>
        <w:t xml:space="preserve">about adopting </w:t>
      </w:r>
      <w:r w:rsidR="00482B3E" w:rsidRPr="0020091C">
        <w:rPr>
          <w:lang w:val="en-US"/>
        </w:rPr>
        <w:t>community engagement</w:t>
      </w:r>
      <w:r w:rsidR="00482B3E">
        <w:rPr>
          <w:lang w:val="en-US"/>
        </w:rPr>
        <w:t xml:space="preserve"> strategies</w:t>
      </w:r>
      <w:r w:rsidR="00482B3E" w:rsidRPr="0020091C">
        <w:rPr>
          <w:lang w:val="en-US"/>
        </w:rPr>
        <w:t xml:space="preserve"> </w:t>
      </w:r>
      <w:r w:rsidR="00482B3E">
        <w:rPr>
          <w:lang w:val="en-US"/>
        </w:rPr>
        <w:t>in practice</w:t>
      </w:r>
    </w:p>
    <w:p w14:paraId="512CCD54" w14:textId="77777777" w:rsidR="00482B3E" w:rsidRDefault="002D5F54" w:rsidP="00482B3E">
      <w:pPr>
        <w:pStyle w:val="ListParagraph"/>
        <w:numPr>
          <w:ilvl w:val="0"/>
          <w:numId w:val="28"/>
        </w:numPr>
      </w:pPr>
      <w:hyperlink r:id="rId20" w:history="1">
        <w:r w:rsidR="00482B3E" w:rsidRPr="003F67F3">
          <w:rPr>
            <w:rStyle w:val="Hyperlink"/>
          </w:rPr>
          <w:t>Collective Impact: Evidence and implications for practice</w:t>
        </w:r>
      </w:hyperlink>
      <w:r w:rsidR="00482B3E">
        <w:t xml:space="preserve"> – AIFS paper that explores the collective impact framework</w:t>
      </w:r>
    </w:p>
    <w:p w14:paraId="3ECDF173" w14:textId="77777777" w:rsidR="00482B3E" w:rsidRDefault="002D5F54" w:rsidP="00482B3E">
      <w:pPr>
        <w:pStyle w:val="ListParagraph"/>
        <w:numPr>
          <w:ilvl w:val="0"/>
          <w:numId w:val="28"/>
        </w:numPr>
      </w:pPr>
      <w:hyperlink r:id="rId21" w:history="1">
        <w:r w:rsidR="00482B3E" w:rsidRPr="0089720F">
          <w:rPr>
            <w:rStyle w:val="Hyperlink"/>
          </w:rPr>
          <w:t xml:space="preserve">Interagency Collaboration </w:t>
        </w:r>
      </w:hyperlink>
      <w:r w:rsidR="00482B3E" w:rsidRPr="00C914A5">
        <w:t>– AIFS paper about how to maximise the effectiveness of interagency collaboration</w:t>
      </w:r>
    </w:p>
    <w:p w14:paraId="2C17AE8E" w14:textId="45AAD238" w:rsidR="006A4AEE" w:rsidRPr="00644C2C" w:rsidRDefault="002D5F54" w:rsidP="002070BF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hyperlink r:id="rId22" w:history="1">
        <w:r w:rsidR="00833F72" w:rsidRPr="00833F72">
          <w:rPr>
            <w:rStyle w:val="Hyperlink"/>
          </w:rPr>
          <w:t>Deep Collaboration</w:t>
        </w:r>
      </w:hyperlink>
      <w:r w:rsidR="006A4AEE">
        <w:t xml:space="preserve"> – an approach to collaboration and shared leadership created by First Nations and other multicultural Australians</w:t>
      </w:r>
    </w:p>
    <w:p w14:paraId="1262A085" w14:textId="5F6E9BF1" w:rsidR="00482B3E" w:rsidRDefault="002D5F54" w:rsidP="00482B3E">
      <w:pPr>
        <w:pStyle w:val="ListParagraph"/>
        <w:numPr>
          <w:ilvl w:val="0"/>
          <w:numId w:val="31"/>
        </w:numPr>
      </w:pPr>
      <w:hyperlink r:id="rId23" w:history="1">
        <w:r w:rsidR="00482B3E" w:rsidRPr="009B7A80">
          <w:rPr>
            <w:color w:val="0000FF"/>
            <w:u w:val="single"/>
          </w:rPr>
          <w:t>Partnering with Indigenous organisations for a sustainable environment</w:t>
        </w:r>
      </w:hyperlink>
      <w:r w:rsidR="00482B3E" w:rsidRPr="009B7A80">
        <w:rPr>
          <w:color w:val="0000FF"/>
        </w:rPr>
        <w:t xml:space="preserve"> </w:t>
      </w:r>
      <w:r w:rsidR="00482B3E">
        <w:t xml:space="preserve">– Department of Environment and Energy guide for non-Indigenous organisations partnering with Indigenous organisations and communities </w:t>
      </w:r>
    </w:p>
    <w:p w14:paraId="3161603E" w14:textId="7A0011B3" w:rsidR="006A4AEE" w:rsidRPr="006C341C" w:rsidRDefault="002D5F54" w:rsidP="007818FF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hyperlink r:id="rId24" w:history="1">
        <w:r w:rsidR="006A4AEE">
          <w:rPr>
            <w:rStyle w:val="Hyperlink"/>
          </w:rPr>
          <w:t>Working together to keep children and families safe: Strategies for developing collaborative competence</w:t>
        </w:r>
      </w:hyperlink>
      <w:r w:rsidR="006A4AEE">
        <w:t xml:space="preserve"> – AIFS practice paper focused on improving cross-sectoral relationships between child protection and child and family welfare practitioners</w:t>
      </w:r>
    </w:p>
    <w:p w14:paraId="6FB3FFC7" w14:textId="7A1276D9" w:rsidR="00112F63" w:rsidRPr="00A56C41" w:rsidRDefault="002D5F54" w:rsidP="007818FF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hyperlink r:id="rId25" w:history="1">
        <w:r w:rsidR="00112F63" w:rsidRPr="00112F63">
          <w:rPr>
            <w:rStyle w:val="Hyperlink"/>
          </w:rPr>
          <w:t>Platform C</w:t>
        </w:r>
      </w:hyperlink>
      <w:r w:rsidR="00112F63">
        <w:t xml:space="preserve"> Resource Hub – A useful library of tools and resources for collective change</w:t>
      </w:r>
      <w:r w:rsidR="006C341C">
        <w:t>.</w:t>
      </w:r>
    </w:p>
    <w:p w14:paraId="31665420" w14:textId="5A221C60" w:rsidR="00734C09" w:rsidRPr="007818FF" w:rsidRDefault="002D5F54" w:rsidP="007818FF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hyperlink r:id="rId26" w:history="1">
        <w:r w:rsidR="00734C09" w:rsidRPr="007E69BF">
          <w:rPr>
            <w:rStyle w:val="Hyperlink"/>
          </w:rPr>
          <w:t>Most Significant Change</w:t>
        </w:r>
        <w:r w:rsidR="007E69BF">
          <w:rPr>
            <w:rStyle w:val="Hyperlink"/>
          </w:rPr>
          <w:t xml:space="preserve"> (MSC)</w:t>
        </w:r>
        <w:r w:rsidR="00734C09" w:rsidRPr="007E69BF">
          <w:rPr>
            <w:rStyle w:val="Hyperlink"/>
          </w:rPr>
          <w:t xml:space="preserve"> technique</w:t>
        </w:r>
      </w:hyperlink>
      <w:r w:rsidR="00734C09">
        <w:t xml:space="preserve"> – an approach to help monitor </w:t>
      </w:r>
      <w:r w:rsidR="007E69BF">
        <w:t>and evaluate soci</w:t>
      </w:r>
      <w:r w:rsidR="007E29DA">
        <w:t>al change programs and projects, particularly at the community level.</w:t>
      </w:r>
    </w:p>
    <w:p w14:paraId="6CB4B859" w14:textId="77777777" w:rsidR="00482B3E" w:rsidRDefault="00482B3E" w:rsidP="00A56C41">
      <w:pPr>
        <w:pStyle w:val="Heading3"/>
        <w:spacing w:before="360" w:after="120" w:line="276" w:lineRule="auto"/>
      </w:pPr>
      <w:r w:rsidRPr="00737EF8">
        <w:t>Tools for measuring inter-agency partnerships</w:t>
      </w:r>
    </w:p>
    <w:p w14:paraId="6C112AB6" w14:textId="77777777" w:rsidR="00482B3E" w:rsidRPr="00CB54FD" w:rsidRDefault="002D5F54" w:rsidP="007818FF">
      <w:pPr>
        <w:pStyle w:val="ListParagraph"/>
        <w:keepNext/>
        <w:keepLines/>
        <w:numPr>
          <w:ilvl w:val="0"/>
          <w:numId w:val="31"/>
        </w:numPr>
      </w:pPr>
      <w:hyperlink r:id="rId27" w:history="1">
        <w:r w:rsidR="00482B3E">
          <w:rPr>
            <w:rStyle w:val="Hyperlink"/>
          </w:rPr>
          <w:t>SNAICC partnership audit tool</w:t>
        </w:r>
      </w:hyperlink>
      <w:r w:rsidR="00482B3E" w:rsidRPr="00C914A5">
        <w:t xml:space="preserve"> –</w:t>
      </w:r>
      <w:r w:rsidR="00482B3E">
        <w:t xml:space="preserve"> Measures</w:t>
      </w:r>
      <w:r w:rsidR="00482B3E" w:rsidRPr="00CB54FD">
        <w:t xml:space="preserve"> progress towards genuine partnerships where Aboriginal and Torres Strait Islander families are concerned</w:t>
      </w:r>
    </w:p>
    <w:p w14:paraId="69A07609" w14:textId="77777777" w:rsidR="00482B3E" w:rsidRPr="00C914A5" w:rsidRDefault="002D5F54" w:rsidP="00482B3E">
      <w:pPr>
        <w:pStyle w:val="ListParagraph"/>
        <w:numPr>
          <w:ilvl w:val="0"/>
          <w:numId w:val="31"/>
        </w:numPr>
        <w:rPr>
          <w:lang w:val="en-US"/>
        </w:rPr>
      </w:pPr>
      <w:hyperlink r:id="rId28" w:history="1">
        <w:r w:rsidR="00482B3E" w:rsidRPr="0001795C">
          <w:rPr>
            <w:rStyle w:val="Hyperlink"/>
          </w:rPr>
          <w:t>Collaboration Health Assessment Tool (CHAT)</w:t>
        </w:r>
      </w:hyperlink>
      <w:r w:rsidR="00482B3E">
        <w:t xml:space="preserve"> – Measures</w:t>
      </w:r>
      <w:r w:rsidR="00482B3E" w:rsidRPr="0001795C">
        <w:rPr>
          <w:lang w:val="en-US"/>
        </w:rPr>
        <w:t xml:space="preserve"> how collaborators are working together now and into the future</w:t>
      </w:r>
    </w:p>
    <w:p w14:paraId="58EE963A" w14:textId="1074CB17" w:rsidR="00DD441D" w:rsidRDefault="002D5F54" w:rsidP="009B7A80">
      <w:pPr>
        <w:pStyle w:val="ListParagraph"/>
        <w:numPr>
          <w:ilvl w:val="0"/>
          <w:numId w:val="31"/>
        </w:numPr>
      </w:pPr>
      <w:hyperlink r:id="rId29" w:history="1">
        <w:r w:rsidR="00482B3E">
          <w:rPr>
            <w:rStyle w:val="Hyperlink"/>
          </w:rPr>
          <w:t>VicHealth partnerships analysis tool</w:t>
        </w:r>
      </w:hyperlink>
      <w:r w:rsidR="00482B3E">
        <w:t xml:space="preserve"> – Helps organisations entering into new partnerships assess, monitor and maximise effectiveness</w:t>
      </w:r>
    </w:p>
    <w:p w14:paraId="1D51D174" w14:textId="77777777" w:rsidR="006C341C" w:rsidRDefault="002D5F54" w:rsidP="006C341C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</w:pPr>
      <w:hyperlink r:id="rId30" w:history="1">
        <w:r w:rsidR="006C341C" w:rsidRPr="003E7AE1">
          <w:rPr>
            <w:rStyle w:val="Hyperlink"/>
          </w:rPr>
          <w:t xml:space="preserve">Change </w:t>
        </w:r>
        <w:r w:rsidR="006C341C">
          <w:rPr>
            <w:rStyle w:val="Hyperlink"/>
          </w:rPr>
          <w:t>c</w:t>
        </w:r>
        <w:r w:rsidR="006C341C" w:rsidRPr="003E7AE1">
          <w:rPr>
            <w:rStyle w:val="Hyperlink"/>
          </w:rPr>
          <w:t xml:space="preserve">ycle </w:t>
        </w:r>
        <w:r w:rsidR="006C341C">
          <w:rPr>
            <w:rStyle w:val="Hyperlink"/>
          </w:rPr>
          <w:t>p</w:t>
        </w:r>
        <w:r w:rsidR="006C341C" w:rsidRPr="003E7AE1">
          <w:rPr>
            <w:rStyle w:val="Hyperlink"/>
          </w:rPr>
          <w:t xml:space="preserve">rogress </w:t>
        </w:r>
        <w:r w:rsidR="006C341C">
          <w:rPr>
            <w:rStyle w:val="Hyperlink"/>
          </w:rPr>
          <w:t>m</w:t>
        </w:r>
        <w:r w:rsidR="006C341C" w:rsidRPr="003E7AE1">
          <w:rPr>
            <w:rStyle w:val="Hyperlink"/>
          </w:rPr>
          <w:t xml:space="preserve">apping </w:t>
        </w:r>
        <w:r w:rsidR="006C341C">
          <w:rPr>
            <w:rStyle w:val="Hyperlink"/>
          </w:rPr>
          <w:t>t</w:t>
        </w:r>
        <w:r w:rsidR="006C341C" w:rsidRPr="003E7AE1">
          <w:rPr>
            <w:rStyle w:val="Hyperlink"/>
          </w:rPr>
          <w:t>ool</w:t>
        </w:r>
      </w:hyperlink>
      <w:r w:rsidR="006C341C">
        <w:t xml:space="preserve"> – Helps collaborators to understand which phase of the collaborative change cycle they are in and what can be done to continue making progress.</w:t>
      </w:r>
    </w:p>
    <w:p w14:paraId="36B1486C" w14:textId="0C879FB0" w:rsidR="00B92797" w:rsidRPr="007E29DA" w:rsidRDefault="00482B3E" w:rsidP="007E29DA">
      <w:pPr>
        <w:pStyle w:val="Heading3"/>
        <w:spacing w:before="360" w:after="120" w:line="276" w:lineRule="auto"/>
      </w:pPr>
      <w:r w:rsidRPr="00C07824">
        <w:t xml:space="preserve">Outline </w:t>
      </w:r>
      <w:r w:rsidR="00DD441D" w:rsidRPr="00C07824">
        <w:t>your community engagement strategy below.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Community and Service Mapping"/>
        <w:tblDescription w:val="Description of current services and service gaps"/>
      </w:tblPr>
      <w:tblGrid>
        <w:gridCol w:w="9016"/>
      </w:tblGrid>
      <w:tr w:rsidR="00DB384C" w:rsidRPr="00DE5707" w14:paraId="4C601933" w14:textId="77777777" w:rsidTr="00A56C41">
        <w:trPr>
          <w:trHeight w:val="5549"/>
          <w:tblHeader/>
        </w:trPr>
        <w:tc>
          <w:tcPr>
            <w:tcW w:w="9227" w:type="dxa"/>
          </w:tcPr>
          <w:p w14:paraId="0C1F71E4" w14:textId="5C131F62" w:rsidR="00DD441D" w:rsidRPr="00C914A5" w:rsidRDefault="00DD441D" w:rsidP="00DD441D">
            <w:pPr>
              <w:rPr>
                <w:b/>
                <w:bCs/>
                <w:lang w:eastAsia="en-AU"/>
              </w:rPr>
            </w:pPr>
            <w:r w:rsidRPr="00C914A5">
              <w:rPr>
                <w:b/>
                <w:bCs/>
              </w:rPr>
              <w:t>Guiding questions</w:t>
            </w:r>
          </w:p>
          <w:p w14:paraId="2D60EF5A" w14:textId="491563CA" w:rsidR="00DD441D" w:rsidRDefault="00DD441D" w:rsidP="00DD441D">
            <w:pPr>
              <w:pStyle w:val="ListParagraph"/>
              <w:numPr>
                <w:ilvl w:val="0"/>
                <w:numId w:val="18"/>
              </w:numPr>
            </w:pPr>
            <w:r>
              <w:t>W</w:t>
            </w:r>
            <w:r w:rsidRPr="00DE5707">
              <w:t xml:space="preserve">ho </w:t>
            </w:r>
            <w:r>
              <w:t>in the community will you</w:t>
            </w:r>
            <w:r w:rsidRPr="00DE5707">
              <w:t xml:space="preserve"> engage with</w:t>
            </w:r>
            <w:r>
              <w:t>?</w:t>
            </w:r>
            <w:r w:rsidR="00F37ED8">
              <w:t xml:space="preserve"> (</w:t>
            </w:r>
            <w:r w:rsidR="005A2228">
              <w:t>g</w:t>
            </w:r>
            <w:r w:rsidR="00F37ED8">
              <w:t>iving consideration also to the groups described under Section 2)</w:t>
            </w:r>
          </w:p>
          <w:p w14:paraId="7ACB1A05" w14:textId="1915112E" w:rsidR="00DD441D" w:rsidRDefault="00DD441D" w:rsidP="00DD441D">
            <w:pPr>
              <w:pStyle w:val="ListParagraph"/>
              <w:numPr>
                <w:ilvl w:val="0"/>
                <w:numId w:val="18"/>
              </w:numPr>
            </w:pPr>
            <w:r>
              <w:t xml:space="preserve">Why are </w:t>
            </w:r>
            <w:r w:rsidR="007818FF">
              <w:t xml:space="preserve">you </w:t>
            </w:r>
            <w:r>
              <w:t>engaging with them?</w:t>
            </w:r>
          </w:p>
          <w:p w14:paraId="5CB23936" w14:textId="77777777" w:rsidR="00DD441D" w:rsidRDefault="00DD441D" w:rsidP="00DD441D">
            <w:pPr>
              <w:pStyle w:val="ListParagraph"/>
              <w:numPr>
                <w:ilvl w:val="0"/>
                <w:numId w:val="18"/>
              </w:numPr>
            </w:pPr>
            <w:r>
              <w:t xml:space="preserve">How will you ensure their ongoing involvement/participation? </w:t>
            </w:r>
          </w:p>
          <w:p w14:paraId="3C49AF26" w14:textId="29B8A9DE" w:rsidR="00DD441D" w:rsidRDefault="00DD441D" w:rsidP="00DD441D">
            <w:pPr>
              <w:pStyle w:val="ListParagraph"/>
              <w:numPr>
                <w:ilvl w:val="0"/>
                <w:numId w:val="18"/>
              </w:numPr>
            </w:pPr>
            <w:r>
              <w:t xml:space="preserve">Do you foresee any </w:t>
            </w:r>
            <w:r w:rsidRPr="006D0A68">
              <w:t>particular challenges</w:t>
            </w:r>
            <w:r>
              <w:t xml:space="preserve"> or barriers</w:t>
            </w:r>
            <w:r w:rsidRPr="006D0A68">
              <w:t xml:space="preserve"> </w:t>
            </w:r>
            <w:r>
              <w:t>in</w:t>
            </w:r>
            <w:r w:rsidRPr="006D0A68">
              <w:t xml:space="preserve"> engaging with particular groups</w:t>
            </w:r>
            <w:r w:rsidR="007818FF">
              <w:t xml:space="preserve"> (e.g.</w:t>
            </w:r>
            <w:r w:rsidRPr="006D0A68">
              <w:t xml:space="preserve"> children</w:t>
            </w:r>
            <w:r>
              <w:t>)? What strategies will you use to address these challenges?</w:t>
            </w:r>
          </w:p>
          <w:p w14:paraId="2C597B2C" w14:textId="2397CA2F" w:rsidR="00F37ED8" w:rsidRDefault="00F37ED8" w:rsidP="00DD441D">
            <w:pPr>
              <w:pStyle w:val="ListParagraph"/>
              <w:numPr>
                <w:ilvl w:val="0"/>
                <w:numId w:val="18"/>
              </w:numPr>
            </w:pPr>
            <w:r>
              <w:t xml:space="preserve">Considering </w:t>
            </w:r>
            <w:r w:rsidR="00C83C5F">
              <w:t xml:space="preserve">the </w:t>
            </w:r>
            <w:r>
              <w:t>impacts of Covid-19 and other local contexts (i.e. bushfires / flooding), will there be new or modified ways of engaging with the community?</w:t>
            </w:r>
          </w:p>
          <w:p w14:paraId="44990608" w14:textId="77777777" w:rsidR="00DB384C" w:rsidRDefault="00DB384C" w:rsidP="0003023F">
            <w:pPr>
              <w:spacing w:after="200" w:line="276" w:lineRule="auto"/>
              <w:rPr>
                <w:lang w:eastAsia="en-AU"/>
              </w:rPr>
            </w:pPr>
          </w:p>
          <w:p w14:paraId="4AC9239A" w14:textId="77777777" w:rsidR="006159ED" w:rsidRDefault="006159ED" w:rsidP="0003023F">
            <w:pPr>
              <w:spacing w:after="200" w:line="276" w:lineRule="auto"/>
              <w:rPr>
                <w:lang w:eastAsia="en-AU"/>
              </w:rPr>
            </w:pPr>
          </w:p>
          <w:p w14:paraId="28650FD0" w14:textId="77777777" w:rsidR="00E325C7" w:rsidRDefault="00E325C7" w:rsidP="00CC5C7C">
            <w:pPr>
              <w:spacing w:after="200" w:line="276" w:lineRule="auto"/>
              <w:ind w:left="360"/>
              <w:jc w:val="right"/>
              <w:rPr>
                <w:i/>
                <w:lang w:eastAsia="en-AU"/>
              </w:rPr>
            </w:pPr>
          </w:p>
          <w:p w14:paraId="4C049F99" w14:textId="77777777" w:rsidR="00E325C7" w:rsidRDefault="00E325C7" w:rsidP="00CC5C7C">
            <w:pPr>
              <w:spacing w:after="200" w:line="276" w:lineRule="auto"/>
              <w:ind w:left="360"/>
              <w:jc w:val="right"/>
              <w:rPr>
                <w:i/>
                <w:lang w:eastAsia="en-AU"/>
              </w:rPr>
            </w:pPr>
          </w:p>
          <w:p w14:paraId="374ECA9F" w14:textId="77777777" w:rsidR="002474F0" w:rsidRDefault="002474F0" w:rsidP="00CC5C7C">
            <w:pPr>
              <w:spacing w:after="200" w:line="276" w:lineRule="auto"/>
              <w:ind w:left="360"/>
              <w:jc w:val="right"/>
              <w:rPr>
                <w:i/>
                <w:lang w:eastAsia="en-AU"/>
              </w:rPr>
            </w:pPr>
          </w:p>
          <w:p w14:paraId="01729951" w14:textId="77777777" w:rsidR="002474F0" w:rsidRDefault="002474F0" w:rsidP="00CC5C7C">
            <w:pPr>
              <w:spacing w:after="200" w:line="276" w:lineRule="auto"/>
              <w:ind w:left="360"/>
              <w:jc w:val="right"/>
              <w:rPr>
                <w:i/>
                <w:lang w:eastAsia="en-AU"/>
              </w:rPr>
            </w:pPr>
          </w:p>
          <w:p w14:paraId="4A341D97" w14:textId="1D452A40" w:rsidR="006159ED" w:rsidRPr="00DE5707" w:rsidRDefault="006159ED" w:rsidP="00CC5C7C">
            <w:pPr>
              <w:spacing w:after="200" w:line="276" w:lineRule="auto"/>
              <w:ind w:left="360"/>
              <w:jc w:val="right"/>
              <w:rPr>
                <w:lang w:eastAsia="en-AU"/>
              </w:rPr>
            </w:pPr>
            <w:r w:rsidRPr="006015BF">
              <w:rPr>
                <w:i/>
                <w:lang w:eastAsia="en-AU"/>
              </w:rPr>
              <w:t xml:space="preserve">(Up to </w:t>
            </w:r>
            <w:r>
              <w:rPr>
                <w:i/>
                <w:lang w:eastAsia="en-AU"/>
              </w:rPr>
              <w:t>8</w:t>
            </w:r>
            <w:r w:rsidRPr="006015BF">
              <w:rPr>
                <w:i/>
                <w:lang w:eastAsia="en-AU"/>
              </w:rPr>
              <w:t>00 words)</w:t>
            </w:r>
          </w:p>
        </w:tc>
      </w:tr>
    </w:tbl>
    <w:p w14:paraId="3E8D4CA1" w14:textId="77777777" w:rsidR="00E325C7" w:rsidRDefault="00E325C7" w:rsidP="00A56C41">
      <w:pPr>
        <w:pStyle w:val="Heading2"/>
        <w:spacing w:before="360" w:after="120"/>
      </w:pPr>
    </w:p>
    <w:p w14:paraId="6D344845" w14:textId="7AD486A5" w:rsidR="0003023F" w:rsidRPr="00DE5707" w:rsidRDefault="00E325C7" w:rsidP="007E29DA">
      <w:pPr>
        <w:pStyle w:val="Heading2"/>
        <w:numPr>
          <w:ilvl w:val="0"/>
          <w:numId w:val="12"/>
        </w:numPr>
        <w:spacing w:before="360" w:after="120"/>
        <w:ind w:left="641" w:hanging="357"/>
      </w:pPr>
      <w:r>
        <w:br w:type="page"/>
      </w:r>
      <w:r w:rsidR="00DE5707" w:rsidRPr="00DE5707">
        <w:lastRenderedPageBreak/>
        <w:t>Service Area Vision</w:t>
      </w:r>
    </w:p>
    <w:p w14:paraId="5231500E" w14:textId="1F22CFAB" w:rsidR="00DB7916" w:rsidRPr="00DE5707" w:rsidRDefault="005123E7" w:rsidP="00DE5707">
      <w:r>
        <w:t>Drawing on</w:t>
      </w:r>
      <w:r w:rsidR="00FB4FAD">
        <w:t xml:space="preserve"> your community</w:t>
      </w:r>
      <w:r w:rsidR="00164E21">
        <w:t xml:space="preserve"> needs assessment</w:t>
      </w:r>
      <w:r w:rsidR="00DE5707" w:rsidRPr="00DE5707">
        <w:t xml:space="preserve"> and community engagement processes, describe the </w:t>
      </w:r>
      <w:r w:rsidR="00DE5707" w:rsidRPr="00DE5707">
        <w:rPr>
          <w:b/>
        </w:rPr>
        <w:t>vision</w:t>
      </w:r>
      <w:r w:rsidR="00DE5707" w:rsidRPr="00DE5707">
        <w:t xml:space="preserve"> for your Service Area. </w:t>
      </w:r>
      <w:r w:rsidR="0037637A">
        <w:t xml:space="preserve">The vision should provide a clear and concise statement of the aspirations for the future of the service area. </w:t>
      </w:r>
      <w:r w:rsidR="00DE5707" w:rsidRPr="00DE5707">
        <w:t>Ensure that your vision encompasses the</w:t>
      </w:r>
      <w:r>
        <w:t xml:space="preserve"> Families and Children Activity </w:t>
      </w:r>
      <w:r w:rsidR="00D9367A" w:rsidRPr="00D9367A">
        <w:t>outcomes</w:t>
      </w:r>
      <w:r>
        <w:t xml:space="preserve"> and the</w:t>
      </w:r>
      <w:r w:rsidR="00DE5707" w:rsidRPr="00DE5707">
        <w:t xml:space="preserve"> </w:t>
      </w:r>
      <w:r>
        <w:t xml:space="preserve">Communities for Children Facilitating Partner </w:t>
      </w:r>
      <w:r w:rsidR="0013308C">
        <w:t>objectives</w:t>
      </w:r>
      <w:r w:rsidR="00164E21">
        <w:t xml:space="preserve"> (</w:t>
      </w:r>
      <w:r w:rsidR="00164E21" w:rsidRPr="009B7A80">
        <w:rPr>
          <w:b/>
        </w:rPr>
        <w:t xml:space="preserve">Appendix </w:t>
      </w:r>
      <w:r w:rsidR="006679AF">
        <w:rPr>
          <w:b/>
        </w:rPr>
        <w:t>A</w:t>
      </w:r>
      <w:r w:rsidR="00164E21">
        <w:t>)</w:t>
      </w:r>
      <w:r w:rsidR="0013308C"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Community and Service Mapping"/>
        <w:tblDescription w:val="Description of current services and service gaps"/>
      </w:tblPr>
      <w:tblGrid>
        <w:gridCol w:w="9016"/>
      </w:tblGrid>
      <w:tr w:rsidR="00DB384C" w:rsidRPr="00DE5707" w14:paraId="63F730B2" w14:textId="77777777" w:rsidTr="00A56C41">
        <w:trPr>
          <w:trHeight w:val="3529"/>
          <w:tblHeader/>
        </w:trPr>
        <w:tc>
          <w:tcPr>
            <w:tcW w:w="9227" w:type="dxa"/>
          </w:tcPr>
          <w:p w14:paraId="0E78C3FC" w14:textId="77777777" w:rsidR="00DB384C" w:rsidRDefault="00DB384C" w:rsidP="0003023F">
            <w:pPr>
              <w:spacing w:after="200" w:line="276" w:lineRule="auto"/>
              <w:rPr>
                <w:lang w:eastAsia="en-AU"/>
              </w:rPr>
            </w:pPr>
          </w:p>
          <w:p w14:paraId="6ED38F67" w14:textId="77777777" w:rsidR="00430787" w:rsidRDefault="00430787" w:rsidP="0003023F">
            <w:pPr>
              <w:spacing w:after="200" w:line="276" w:lineRule="auto"/>
              <w:rPr>
                <w:lang w:eastAsia="en-AU"/>
              </w:rPr>
            </w:pPr>
          </w:p>
          <w:p w14:paraId="253F2ECE" w14:textId="77777777" w:rsidR="00430787" w:rsidRDefault="00430787" w:rsidP="0003023F">
            <w:pPr>
              <w:spacing w:after="200" w:line="276" w:lineRule="auto"/>
              <w:rPr>
                <w:lang w:eastAsia="en-AU"/>
              </w:rPr>
            </w:pPr>
          </w:p>
          <w:p w14:paraId="40764497" w14:textId="77777777" w:rsidR="00430787" w:rsidRDefault="00430787" w:rsidP="0003023F">
            <w:pPr>
              <w:spacing w:after="200" w:line="276" w:lineRule="auto"/>
              <w:rPr>
                <w:lang w:eastAsia="en-AU"/>
              </w:rPr>
            </w:pPr>
          </w:p>
          <w:p w14:paraId="04BD54CA" w14:textId="77777777" w:rsidR="00430787" w:rsidRDefault="00430787" w:rsidP="0003023F">
            <w:pPr>
              <w:spacing w:after="200" w:line="276" w:lineRule="auto"/>
              <w:rPr>
                <w:lang w:eastAsia="en-AU"/>
              </w:rPr>
            </w:pPr>
          </w:p>
          <w:p w14:paraId="70E629B4" w14:textId="77777777" w:rsidR="002474F0" w:rsidRDefault="002474F0" w:rsidP="00CC5C7C">
            <w:pPr>
              <w:spacing w:after="200" w:line="276" w:lineRule="auto"/>
              <w:jc w:val="right"/>
              <w:rPr>
                <w:i/>
              </w:rPr>
            </w:pPr>
          </w:p>
          <w:p w14:paraId="34EBC0C2" w14:textId="77777777" w:rsidR="002474F0" w:rsidRDefault="002474F0" w:rsidP="00CC5C7C">
            <w:pPr>
              <w:spacing w:after="200" w:line="276" w:lineRule="auto"/>
              <w:jc w:val="right"/>
              <w:rPr>
                <w:i/>
              </w:rPr>
            </w:pPr>
          </w:p>
          <w:p w14:paraId="74971B17" w14:textId="1A5E7644" w:rsidR="00430787" w:rsidRPr="00CC5C7C" w:rsidRDefault="00430787" w:rsidP="00CC5C7C">
            <w:pPr>
              <w:spacing w:after="200" w:line="276" w:lineRule="auto"/>
              <w:jc w:val="right"/>
              <w:rPr>
                <w:i/>
                <w:lang w:eastAsia="en-AU"/>
              </w:rPr>
            </w:pPr>
            <w:r w:rsidRPr="00CC5C7C">
              <w:rPr>
                <w:i/>
              </w:rPr>
              <w:t xml:space="preserve">(Up to </w:t>
            </w:r>
            <w:r w:rsidR="006159ED">
              <w:rPr>
                <w:i/>
                <w:lang w:eastAsia="en-AU"/>
              </w:rPr>
              <w:t>5</w:t>
            </w:r>
            <w:r w:rsidRPr="00CC5C7C">
              <w:rPr>
                <w:i/>
              </w:rPr>
              <w:t>00 words)</w:t>
            </w:r>
          </w:p>
        </w:tc>
      </w:tr>
    </w:tbl>
    <w:p w14:paraId="09B2428A" w14:textId="77777777" w:rsidR="00E325C7" w:rsidRDefault="00E325C7" w:rsidP="00A56C41">
      <w:pPr>
        <w:pStyle w:val="Heading2"/>
        <w:spacing w:before="360" w:after="120"/>
      </w:pPr>
    </w:p>
    <w:p w14:paraId="619F12BA" w14:textId="77777777" w:rsidR="00E325C7" w:rsidRDefault="00E325C7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14:paraId="055D1BCC" w14:textId="16AF6414" w:rsidR="00650DE9" w:rsidRPr="000E78EA" w:rsidRDefault="00650DE9" w:rsidP="00BB75EF">
      <w:pPr>
        <w:pStyle w:val="Heading2"/>
        <w:numPr>
          <w:ilvl w:val="0"/>
          <w:numId w:val="12"/>
        </w:numPr>
        <w:spacing w:before="360" w:after="120"/>
        <w:ind w:left="641" w:hanging="357"/>
      </w:pPr>
      <w:r w:rsidRPr="000B4E03">
        <w:lastRenderedPageBreak/>
        <w:t>Priority Areas</w:t>
      </w:r>
    </w:p>
    <w:p w14:paraId="7E37088D" w14:textId="0EB95B6B" w:rsidR="00650DE9" w:rsidRPr="000B4E03" w:rsidRDefault="00650DE9" w:rsidP="00650DE9">
      <w:r>
        <w:rPr>
          <w:rFonts w:eastAsiaTheme="majorEastAsia" w:cs="Arial"/>
          <w:bCs/>
        </w:rPr>
        <w:t>Drawing on the Community Needs Assessment and Community Engagement strategy, i</w:t>
      </w:r>
      <w:r w:rsidRPr="000B4E03">
        <w:rPr>
          <w:rFonts w:eastAsiaTheme="majorEastAsia" w:cs="Arial"/>
          <w:bCs/>
        </w:rPr>
        <w:t>n this section, describe the priority areas that you need to focus on to achieve your vision.</w:t>
      </w:r>
      <w:r w:rsidRPr="000B4E03">
        <w:t xml:space="preserve"> </w:t>
      </w:r>
    </w:p>
    <w:p w14:paraId="205001C9" w14:textId="24CE7E60" w:rsidR="00650DE9" w:rsidRPr="000B4E03" w:rsidRDefault="00650DE9" w:rsidP="00650DE9">
      <w:pPr>
        <w:rPr>
          <w:rFonts w:eastAsiaTheme="majorEastAsia" w:cs="Arial"/>
          <w:bCs/>
        </w:rPr>
      </w:pPr>
      <w:r w:rsidRPr="000B4E03">
        <w:rPr>
          <w:rFonts w:eastAsiaTheme="majorEastAsia" w:cs="Arial"/>
          <w:bCs/>
        </w:rPr>
        <w:t>Priority Areas are the areas that the community wants you to focus on. The priority area may be a particular target group (e.g. young parents), a service gap (e.g. parent education), or systemic issue (e.g. adult services being disconnected from children’s services</w:t>
      </w:r>
      <w:r>
        <w:rPr>
          <w:rFonts w:eastAsiaTheme="majorEastAsia" w:cs="Arial"/>
          <w:bCs/>
        </w:rPr>
        <w:t>; low rates of literacy</w:t>
      </w:r>
      <w:r w:rsidRPr="000B4E03">
        <w:rPr>
          <w:rFonts w:eastAsiaTheme="majorEastAsia" w:cs="Arial"/>
          <w:bCs/>
        </w:rPr>
        <w:t>).</w:t>
      </w:r>
    </w:p>
    <w:p w14:paraId="38613989" w14:textId="77777777" w:rsidR="00650DE9" w:rsidRPr="000B4E03" w:rsidRDefault="00650DE9" w:rsidP="00A56C41">
      <w:pPr>
        <w:spacing w:after="120"/>
        <w:rPr>
          <w:rFonts w:eastAsiaTheme="majorEastAsia" w:cs="Arial"/>
          <w:bCs/>
        </w:rPr>
      </w:pPr>
      <w:r w:rsidRPr="000B4E03">
        <w:rPr>
          <w:rFonts w:eastAsiaTheme="majorEastAsia" w:cs="Arial"/>
          <w:bCs/>
        </w:rPr>
        <w:t xml:space="preserve">Information about each priority area should include: </w:t>
      </w:r>
    </w:p>
    <w:p w14:paraId="04E91B7C" w14:textId="56B8D16B" w:rsidR="00650DE9" w:rsidRPr="000B4E03" w:rsidRDefault="00650DE9" w:rsidP="00650DE9">
      <w:pPr>
        <w:numPr>
          <w:ilvl w:val="0"/>
          <w:numId w:val="27"/>
        </w:numPr>
        <w:contextualSpacing/>
        <w:rPr>
          <w:rFonts w:eastAsiaTheme="majorEastAsia" w:cs="Arial"/>
          <w:bCs/>
        </w:rPr>
      </w:pPr>
      <w:r w:rsidRPr="000B4E03">
        <w:rPr>
          <w:rFonts w:eastAsiaTheme="majorEastAsia" w:cs="Arial"/>
          <w:bCs/>
        </w:rPr>
        <w:t>An overview of the priority area</w:t>
      </w:r>
    </w:p>
    <w:p w14:paraId="7DD007EF" w14:textId="3AF05D82" w:rsidR="00650DE9" w:rsidRPr="000B4E03" w:rsidRDefault="00650DE9" w:rsidP="00650DE9">
      <w:pPr>
        <w:numPr>
          <w:ilvl w:val="0"/>
          <w:numId w:val="27"/>
        </w:numPr>
        <w:contextualSpacing/>
        <w:rPr>
          <w:rFonts w:eastAsiaTheme="majorEastAsia" w:cs="Arial"/>
          <w:bCs/>
        </w:rPr>
      </w:pPr>
      <w:r w:rsidRPr="000B4E03">
        <w:rPr>
          <w:rFonts w:eastAsiaTheme="majorEastAsia" w:cs="Arial"/>
          <w:bCs/>
        </w:rPr>
        <w:t>Why you have chosen it as a priority area</w:t>
      </w:r>
      <w:r w:rsidR="00851C2D">
        <w:rPr>
          <w:rFonts w:eastAsiaTheme="majorEastAsia" w:cs="Arial"/>
          <w:bCs/>
        </w:rPr>
        <w:t xml:space="preserve"> </w:t>
      </w:r>
    </w:p>
    <w:p w14:paraId="30CD5C41" w14:textId="77777777" w:rsidR="00650DE9" w:rsidRPr="000B4E03" w:rsidRDefault="00650DE9" w:rsidP="00650DE9">
      <w:pPr>
        <w:numPr>
          <w:ilvl w:val="0"/>
          <w:numId w:val="27"/>
        </w:numPr>
        <w:contextualSpacing/>
        <w:rPr>
          <w:rFonts w:eastAsiaTheme="majorEastAsia" w:cs="Arial"/>
          <w:bCs/>
        </w:rPr>
      </w:pPr>
      <w:r w:rsidRPr="000B4E03">
        <w:rPr>
          <w:rFonts w:eastAsiaTheme="majorEastAsia" w:cs="Arial"/>
          <w:bCs/>
        </w:rPr>
        <w:t>How it relates to the Families and Children Activity’s outcomes and Communities for Children FP objectives</w:t>
      </w:r>
    </w:p>
    <w:p w14:paraId="6CF1AEEB" w14:textId="707B129E" w:rsidR="00851C2D" w:rsidRDefault="00851C2D" w:rsidP="00650DE9">
      <w:pPr>
        <w:numPr>
          <w:ilvl w:val="0"/>
          <w:numId w:val="27"/>
        </w:numPr>
        <w:contextualSpacing/>
        <w:rPr>
          <w:rFonts w:eastAsiaTheme="majorEastAsia" w:cs="Arial"/>
          <w:bCs/>
        </w:rPr>
      </w:pPr>
      <w:r>
        <w:rPr>
          <w:rFonts w:eastAsiaTheme="majorEastAsia" w:cs="Arial"/>
          <w:bCs/>
        </w:rPr>
        <w:t xml:space="preserve">What </w:t>
      </w:r>
      <w:r w:rsidR="00A31D66">
        <w:rPr>
          <w:rFonts w:eastAsiaTheme="majorEastAsia" w:cs="Arial"/>
          <w:bCs/>
        </w:rPr>
        <w:t xml:space="preserve">would </w:t>
      </w:r>
      <w:r>
        <w:rPr>
          <w:rFonts w:eastAsiaTheme="majorEastAsia" w:cs="Arial"/>
          <w:bCs/>
        </w:rPr>
        <w:t>success look like</w:t>
      </w:r>
    </w:p>
    <w:p w14:paraId="008E5AD5" w14:textId="6851D110" w:rsidR="00851C2D" w:rsidRDefault="00650DE9" w:rsidP="00650DE9">
      <w:pPr>
        <w:numPr>
          <w:ilvl w:val="0"/>
          <w:numId w:val="27"/>
        </w:numPr>
        <w:contextualSpacing/>
        <w:rPr>
          <w:rFonts w:eastAsiaTheme="majorEastAsia" w:cs="Arial"/>
          <w:bCs/>
        </w:rPr>
      </w:pPr>
      <w:r w:rsidRPr="000B4E03">
        <w:rPr>
          <w:rFonts w:eastAsiaTheme="majorEastAsia" w:cs="Arial"/>
          <w:bCs/>
        </w:rPr>
        <w:t>What strategies you will use to achieve improved outcomes in this priority area. For instance, funded direct service delivery or other actions a FP and its Committee could undertake such as improving service delivery capability, building community awareness, or engaging with other relevant service providers, such as adult services.</w:t>
      </w:r>
      <w:r w:rsidR="00851C2D">
        <w:rPr>
          <w:rFonts w:eastAsiaTheme="majorEastAsia" w:cs="Arial"/>
          <w:bCs/>
        </w:rPr>
        <w:t xml:space="preserve"> </w:t>
      </w:r>
    </w:p>
    <w:p w14:paraId="5158E9FA" w14:textId="2C597FF3" w:rsidR="00650DE9" w:rsidRPr="000B4E03" w:rsidRDefault="00650DE9" w:rsidP="00650DE9">
      <w:pPr>
        <w:numPr>
          <w:ilvl w:val="0"/>
          <w:numId w:val="27"/>
        </w:numPr>
        <w:contextualSpacing/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What assets, resources, strengths can be used to address each priority area.</w:t>
      </w:r>
    </w:p>
    <w:p w14:paraId="5B14F6C8" w14:textId="3C661143" w:rsidR="00650DE9" w:rsidRPr="000B4E03" w:rsidRDefault="00650DE9" w:rsidP="00650DE9">
      <w:pPr>
        <w:numPr>
          <w:ilvl w:val="0"/>
          <w:numId w:val="27"/>
        </w:numPr>
        <w:contextualSpacing/>
        <w:rPr>
          <w:rFonts w:eastAsiaTheme="majorEastAsia" w:cs="Arial"/>
          <w:bCs/>
        </w:rPr>
      </w:pPr>
      <w:r w:rsidRPr="000B4E03">
        <w:rPr>
          <w:rFonts w:eastAsiaTheme="majorEastAsia" w:cs="Arial"/>
          <w:bCs/>
        </w:rPr>
        <w:t xml:space="preserve">The method you will use to </w:t>
      </w:r>
      <w:r>
        <w:rPr>
          <w:rFonts w:eastAsiaTheme="majorEastAsia" w:cs="Arial"/>
          <w:bCs/>
        </w:rPr>
        <w:t xml:space="preserve">collect information and </w:t>
      </w:r>
      <w:r w:rsidRPr="000B4E03">
        <w:rPr>
          <w:rFonts w:eastAsiaTheme="majorEastAsia" w:cs="Arial"/>
          <w:bCs/>
        </w:rPr>
        <w:t xml:space="preserve">measure whether outcomes in this priority area change over time. </w:t>
      </w:r>
    </w:p>
    <w:p w14:paraId="4E4C4420" w14:textId="77777777" w:rsidR="00650DE9" w:rsidRPr="000B4E03" w:rsidRDefault="00650DE9" w:rsidP="00650DE9">
      <w:pPr>
        <w:numPr>
          <w:ilvl w:val="0"/>
          <w:numId w:val="27"/>
        </w:numPr>
        <w:contextualSpacing/>
        <w:rPr>
          <w:rFonts w:eastAsiaTheme="majorEastAsia" w:cs="Arial"/>
          <w:bCs/>
        </w:rPr>
      </w:pPr>
      <w:r w:rsidRPr="000B4E03">
        <w:rPr>
          <w:rFonts w:eastAsiaTheme="majorEastAsia" w:cs="Arial"/>
          <w:bCs/>
        </w:rPr>
        <w:t>Outline the key stakeholders that will be critical for success.</w:t>
      </w:r>
    </w:p>
    <w:p w14:paraId="5EDE67EC" w14:textId="77777777" w:rsidR="00650DE9" w:rsidRPr="000B4E03" w:rsidRDefault="00650DE9" w:rsidP="00650DE9">
      <w:pPr>
        <w:contextualSpacing/>
        <w:rPr>
          <w:rFonts w:eastAsiaTheme="majorEastAsia" w:cs="Arial"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  <w:tblCaption w:val="Priority Area One"/>
        <w:tblDescription w:val="Outline, in up to 800 words, what the community wants you to focus on."/>
      </w:tblPr>
      <w:tblGrid>
        <w:gridCol w:w="9016"/>
      </w:tblGrid>
      <w:tr w:rsidR="00304EA6" w:rsidRPr="000B4E03" w14:paraId="1B7C9812" w14:textId="77777777" w:rsidTr="00934A5B">
        <w:trPr>
          <w:tblHeader/>
        </w:trPr>
        <w:tc>
          <w:tcPr>
            <w:tcW w:w="9242" w:type="dxa"/>
          </w:tcPr>
          <w:p w14:paraId="1545C2F2" w14:textId="77777777" w:rsidR="00650DE9" w:rsidRPr="000B4E03" w:rsidRDefault="00650DE9" w:rsidP="00851C2D">
            <w:pPr>
              <w:spacing w:after="200" w:line="276" w:lineRule="auto"/>
              <w:rPr>
                <w:rFonts w:eastAsiaTheme="majorEastAsia" w:cs="Arial"/>
                <w:b/>
                <w:bCs/>
                <w:lang w:eastAsia="en-AU"/>
              </w:rPr>
            </w:pPr>
            <w:r w:rsidRPr="000B4E03">
              <w:rPr>
                <w:rFonts w:eastAsiaTheme="majorEastAsia" w:cs="Arial"/>
                <w:b/>
                <w:bCs/>
                <w:lang w:eastAsia="en-AU"/>
              </w:rPr>
              <w:t>Priority Area One</w:t>
            </w:r>
          </w:p>
          <w:p w14:paraId="30547B35" w14:textId="33DE1AD5" w:rsidR="00650DE9" w:rsidRPr="000B4E03" w:rsidRDefault="00650DE9" w:rsidP="00851C2D">
            <w:pPr>
              <w:spacing w:after="200" w:line="276" w:lineRule="auto"/>
              <w:rPr>
                <w:rFonts w:eastAsiaTheme="majorEastAsia" w:cs="Arial"/>
                <w:b/>
                <w:bCs/>
                <w:lang w:eastAsia="en-AU"/>
              </w:rPr>
            </w:pPr>
          </w:p>
          <w:p w14:paraId="34076A0F" w14:textId="6145D51D" w:rsidR="00650DE9" w:rsidRPr="000B4E03" w:rsidRDefault="006159ED" w:rsidP="00CC5C7C">
            <w:pPr>
              <w:spacing w:after="200" w:line="276" w:lineRule="auto"/>
              <w:jc w:val="right"/>
              <w:rPr>
                <w:rFonts w:eastAsiaTheme="majorEastAsia" w:cs="Arial"/>
                <w:bCs/>
                <w:lang w:eastAsia="en-AU"/>
              </w:rPr>
            </w:pPr>
            <w:r w:rsidRPr="006015BF">
              <w:rPr>
                <w:i/>
                <w:lang w:eastAsia="en-AU"/>
              </w:rPr>
              <w:t xml:space="preserve">(Up to </w:t>
            </w:r>
            <w:r>
              <w:rPr>
                <w:i/>
                <w:lang w:eastAsia="en-AU"/>
              </w:rPr>
              <w:t>8</w:t>
            </w:r>
            <w:r w:rsidRPr="006015BF">
              <w:rPr>
                <w:i/>
                <w:lang w:eastAsia="en-AU"/>
              </w:rPr>
              <w:t>00 words)</w:t>
            </w:r>
          </w:p>
        </w:tc>
      </w:tr>
    </w:tbl>
    <w:p w14:paraId="15E29D1E" w14:textId="77777777" w:rsidR="00650DE9" w:rsidRPr="000B4E03" w:rsidRDefault="00650DE9" w:rsidP="00650DE9">
      <w:pPr>
        <w:spacing w:after="120"/>
        <w:contextualSpacing/>
        <w:outlineLvl w:val="0"/>
        <w:rPr>
          <w:rFonts w:eastAsiaTheme="majorEastAsia" w:cs="Arial"/>
          <w:b/>
          <w:bCs/>
          <w:sz w:val="32"/>
          <w:szCs w:val="32"/>
          <w:highlight w:val="yellow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  <w:tblCaption w:val="Priority Area Two"/>
        <w:tblDescription w:val="Outline, in up to 800 words, what the community wants you to focus on."/>
      </w:tblPr>
      <w:tblGrid>
        <w:gridCol w:w="9016"/>
      </w:tblGrid>
      <w:tr w:rsidR="00304EA6" w:rsidRPr="000B4E03" w14:paraId="7EE0D388" w14:textId="77777777" w:rsidTr="00934A5B">
        <w:trPr>
          <w:tblHeader/>
        </w:trPr>
        <w:tc>
          <w:tcPr>
            <w:tcW w:w="9242" w:type="dxa"/>
          </w:tcPr>
          <w:p w14:paraId="31B252AE" w14:textId="77777777" w:rsidR="00650DE9" w:rsidRPr="000B4E03" w:rsidRDefault="00650DE9" w:rsidP="00851C2D">
            <w:pPr>
              <w:spacing w:after="200" w:line="276" w:lineRule="auto"/>
              <w:rPr>
                <w:rFonts w:eastAsiaTheme="majorEastAsia" w:cs="Arial"/>
                <w:b/>
                <w:bCs/>
                <w:lang w:eastAsia="en-AU"/>
              </w:rPr>
            </w:pPr>
            <w:r w:rsidRPr="000B4E03">
              <w:rPr>
                <w:rFonts w:eastAsiaTheme="majorEastAsia" w:cs="Arial"/>
                <w:b/>
                <w:bCs/>
                <w:lang w:eastAsia="en-AU"/>
              </w:rPr>
              <w:t>Priority Area Two</w:t>
            </w:r>
          </w:p>
          <w:p w14:paraId="211A9B54" w14:textId="77777777" w:rsidR="00650DE9" w:rsidRPr="000B4E03" w:rsidRDefault="00650DE9" w:rsidP="00851C2D">
            <w:pPr>
              <w:spacing w:after="200" w:line="276" w:lineRule="auto"/>
              <w:rPr>
                <w:rFonts w:eastAsiaTheme="majorEastAsia" w:cs="Arial"/>
                <w:b/>
                <w:bCs/>
                <w:lang w:eastAsia="en-AU"/>
              </w:rPr>
            </w:pPr>
          </w:p>
          <w:p w14:paraId="14C5AF3F" w14:textId="26D25D1D" w:rsidR="00650DE9" w:rsidRPr="000B4E03" w:rsidRDefault="006159ED" w:rsidP="00CC5C7C">
            <w:pPr>
              <w:spacing w:after="200" w:line="276" w:lineRule="auto"/>
              <w:jc w:val="right"/>
              <w:rPr>
                <w:rFonts w:eastAsiaTheme="majorEastAsia" w:cs="Arial"/>
                <w:bCs/>
                <w:lang w:eastAsia="en-AU"/>
              </w:rPr>
            </w:pPr>
            <w:r w:rsidRPr="006015BF">
              <w:rPr>
                <w:i/>
                <w:lang w:eastAsia="en-AU"/>
              </w:rPr>
              <w:t xml:space="preserve">(Up to </w:t>
            </w:r>
            <w:r>
              <w:rPr>
                <w:i/>
                <w:lang w:eastAsia="en-AU"/>
              </w:rPr>
              <w:t>8</w:t>
            </w:r>
            <w:r w:rsidRPr="006015BF">
              <w:rPr>
                <w:i/>
                <w:lang w:eastAsia="en-AU"/>
              </w:rPr>
              <w:t>00 words)</w:t>
            </w:r>
          </w:p>
        </w:tc>
      </w:tr>
    </w:tbl>
    <w:p w14:paraId="12200BD5" w14:textId="77777777" w:rsidR="00650DE9" w:rsidRPr="000B4E03" w:rsidRDefault="00650DE9" w:rsidP="00650DE9">
      <w:pPr>
        <w:spacing w:after="120"/>
        <w:contextualSpacing/>
        <w:outlineLvl w:val="0"/>
        <w:rPr>
          <w:rFonts w:eastAsiaTheme="majorEastAsia" w:cs="Arial"/>
          <w:b/>
          <w:bCs/>
          <w:sz w:val="32"/>
          <w:szCs w:val="3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  <w:tblCaption w:val="Priority Area Three"/>
        <w:tblDescription w:val="Outline, in up to 800 words, what the community wants you to focus on."/>
      </w:tblPr>
      <w:tblGrid>
        <w:gridCol w:w="9016"/>
      </w:tblGrid>
      <w:tr w:rsidR="00304EA6" w:rsidRPr="000B4E03" w14:paraId="7514A711" w14:textId="77777777" w:rsidTr="00934A5B">
        <w:trPr>
          <w:tblHeader/>
        </w:trPr>
        <w:tc>
          <w:tcPr>
            <w:tcW w:w="9242" w:type="dxa"/>
          </w:tcPr>
          <w:p w14:paraId="7272B4EE" w14:textId="77777777" w:rsidR="00650DE9" w:rsidRPr="000B4E03" w:rsidRDefault="00650DE9" w:rsidP="00851C2D">
            <w:pPr>
              <w:spacing w:after="200" w:line="276" w:lineRule="auto"/>
              <w:rPr>
                <w:rFonts w:eastAsiaTheme="majorEastAsia" w:cs="Arial"/>
                <w:b/>
                <w:bCs/>
                <w:lang w:eastAsia="en-AU"/>
              </w:rPr>
            </w:pPr>
            <w:r w:rsidRPr="000B4E03">
              <w:rPr>
                <w:rFonts w:eastAsiaTheme="majorEastAsia" w:cs="Arial"/>
                <w:b/>
                <w:bCs/>
                <w:lang w:eastAsia="en-AU"/>
              </w:rPr>
              <w:t>Priority Area Three</w:t>
            </w:r>
          </w:p>
          <w:p w14:paraId="35940466" w14:textId="77777777" w:rsidR="00650DE9" w:rsidRPr="000B4E03" w:rsidRDefault="00650DE9" w:rsidP="00851C2D">
            <w:pPr>
              <w:spacing w:after="200" w:line="276" w:lineRule="auto"/>
              <w:rPr>
                <w:rFonts w:eastAsiaTheme="majorEastAsia" w:cs="Arial"/>
                <w:b/>
                <w:bCs/>
                <w:lang w:eastAsia="en-AU"/>
              </w:rPr>
            </w:pPr>
          </w:p>
          <w:p w14:paraId="0A79934D" w14:textId="1597BA2B" w:rsidR="00650DE9" w:rsidRPr="000B4E03" w:rsidRDefault="006159ED" w:rsidP="00CC5C7C">
            <w:pPr>
              <w:spacing w:after="200" w:line="276" w:lineRule="auto"/>
              <w:jc w:val="right"/>
              <w:rPr>
                <w:rFonts w:eastAsiaTheme="majorEastAsia" w:cs="Arial"/>
                <w:b/>
                <w:bCs/>
                <w:lang w:eastAsia="en-AU"/>
              </w:rPr>
            </w:pPr>
            <w:r w:rsidRPr="006015BF">
              <w:rPr>
                <w:i/>
                <w:lang w:eastAsia="en-AU"/>
              </w:rPr>
              <w:t xml:space="preserve">(Up to </w:t>
            </w:r>
            <w:r>
              <w:rPr>
                <w:i/>
                <w:lang w:eastAsia="en-AU"/>
              </w:rPr>
              <w:t>8</w:t>
            </w:r>
            <w:r w:rsidRPr="006015BF">
              <w:rPr>
                <w:i/>
                <w:lang w:eastAsia="en-AU"/>
              </w:rPr>
              <w:t>00 words)</w:t>
            </w:r>
          </w:p>
        </w:tc>
      </w:tr>
    </w:tbl>
    <w:p w14:paraId="345A3CEC" w14:textId="77777777" w:rsidR="00650DE9" w:rsidRPr="000B4E03" w:rsidRDefault="00650DE9" w:rsidP="00650DE9">
      <w:pPr>
        <w:spacing w:after="120"/>
        <w:contextualSpacing/>
        <w:outlineLvl w:val="0"/>
        <w:rPr>
          <w:rFonts w:eastAsiaTheme="majorEastAsia" w:cs="Arial"/>
          <w:b/>
          <w:bCs/>
          <w:sz w:val="32"/>
          <w:szCs w:val="32"/>
          <w:highlight w:val="yellow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  <w:tblCaption w:val="Priority Area Four"/>
        <w:tblDescription w:val="Outline, in up to 800 words, what the community wants you to focus on."/>
      </w:tblPr>
      <w:tblGrid>
        <w:gridCol w:w="9016"/>
      </w:tblGrid>
      <w:tr w:rsidR="00304EA6" w:rsidRPr="000B4E03" w14:paraId="4CAE1D66" w14:textId="77777777" w:rsidTr="00934A5B">
        <w:trPr>
          <w:tblHeader/>
        </w:trPr>
        <w:tc>
          <w:tcPr>
            <w:tcW w:w="9242" w:type="dxa"/>
          </w:tcPr>
          <w:p w14:paraId="04E00C6B" w14:textId="77777777" w:rsidR="00650DE9" w:rsidRPr="000B4E03" w:rsidRDefault="00650DE9" w:rsidP="00851C2D">
            <w:pPr>
              <w:spacing w:after="200" w:line="276" w:lineRule="auto"/>
              <w:rPr>
                <w:rFonts w:eastAsiaTheme="majorEastAsia" w:cs="Arial"/>
                <w:b/>
                <w:bCs/>
                <w:lang w:eastAsia="en-AU"/>
              </w:rPr>
            </w:pPr>
            <w:r w:rsidRPr="000B4E03">
              <w:rPr>
                <w:rFonts w:eastAsiaTheme="majorEastAsia" w:cs="Arial"/>
                <w:b/>
                <w:bCs/>
                <w:lang w:eastAsia="en-AU"/>
              </w:rPr>
              <w:t>Priority Area Four</w:t>
            </w:r>
          </w:p>
          <w:p w14:paraId="224920D1" w14:textId="77777777" w:rsidR="00650DE9" w:rsidRPr="000B4E03" w:rsidRDefault="00650DE9" w:rsidP="00851C2D">
            <w:pPr>
              <w:spacing w:after="200" w:line="276" w:lineRule="auto"/>
              <w:rPr>
                <w:rFonts w:eastAsiaTheme="majorEastAsia" w:cs="Arial"/>
                <w:b/>
                <w:bCs/>
                <w:lang w:eastAsia="en-AU"/>
              </w:rPr>
            </w:pPr>
          </w:p>
          <w:p w14:paraId="6A7CB163" w14:textId="58363ED5" w:rsidR="00650DE9" w:rsidRPr="000B4E03" w:rsidRDefault="006159ED" w:rsidP="00CC5C7C">
            <w:pPr>
              <w:spacing w:after="200" w:line="276" w:lineRule="auto"/>
              <w:jc w:val="right"/>
              <w:rPr>
                <w:rFonts w:eastAsiaTheme="majorEastAsia" w:cs="Arial"/>
                <w:b/>
                <w:bCs/>
                <w:lang w:eastAsia="en-AU"/>
              </w:rPr>
            </w:pPr>
            <w:r w:rsidRPr="006015BF">
              <w:rPr>
                <w:i/>
                <w:lang w:eastAsia="en-AU"/>
              </w:rPr>
              <w:t xml:space="preserve">(Up to </w:t>
            </w:r>
            <w:r>
              <w:rPr>
                <w:i/>
                <w:lang w:eastAsia="en-AU"/>
              </w:rPr>
              <w:t>8</w:t>
            </w:r>
            <w:r w:rsidRPr="006015BF">
              <w:rPr>
                <w:i/>
                <w:lang w:eastAsia="en-AU"/>
              </w:rPr>
              <w:t>00 words)</w:t>
            </w:r>
          </w:p>
        </w:tc>
      </w:tr>
    </w:tbl>
    <w:p w14:paraId="036C0F0F" w14:textId="0B12221A" w:rsidR="00650DE9" w:rsidRDefault="00650DE9" w:rsidP="00650DE9">
      <w:pPr>
        <w:pStyle w:val="Heading2"/>
        <w:spacing w:after="120"/>
      </w:pPr>
    </w:p>
    <w:p w14:paraId="246DE83A" w14:textId="79924DD0" w:rsidR="00D9367A" w:rsidRDefault="00F05589" w:rsidP="00DA1F80">
      <w:pPr>
        <w:pStyle w:val="Heading2"/>
        <w:keepNext/>
        <w:numPr>
          <w:ilvl w:val="0"/>
          <w:numId w:val="12"/>
        </w:numPr>
        <w:spacing w:after="120"/>
        <w:rPr>
          <w:bCs w:val="0"/>
        </w:rPr>
      </w:pPr>
      <w:r w:rsidRPr="00F05589">
        <w:rPr>
          <w:bCs w:val="0"/>
        </w:rPr>
        <w:t>Key Stakeholders</w:t>
      </w:r>
      <w:r w:rsidR="00C45FBF">
        <w:rPr>
          <w:bCs w:val="0"/>
        </w:rPr>
        <w:t xml:space="preserve"> </w:t>
      </w:r>
    </w:p>
    <w:p w14:paraId="25CD3C1B" w14:textId="0A92668A" w:rsidR="008C2A7C" w:rsidRDefault="00DD441D" w:rsidP="00DA1F80">
      <w:pPr>
        <w:rPr>
          <w:rFonts w:cs="Arial"/>
        </w:rPr>
      </w:pPr>
      <w:r>
        <w:rPr>
          <w:rFonts w:eastAsiaTheme="majorEastAsia" w:cs="Arial"/>
          <w:bCs/>
        </w:rPr>
        <w:t xml:space="preserve">In this section, you will provide </w:t>
      </w:r>
      <w:r w:rsidR="00F05589">
        <w:rPr>
          <w:rFonts w:eastAsiaTheme="majorEastAsia" w:cs="Arial"/>
          <w:bCs/>
        </w:rPr>
        <w:t>details of key stakeholders</w:t>
      </w:r>
      <w:r w:rsidR="00C45FBF">
        <w:rPr>
          <w:rFonts w:eastAsiaTheme="majorEastAsia" w:cs="Arial"/>
          <w:bCs/>
        </w:rPr>
        <w:t>, collective networks, partnerships or initiatives that will need to be engaged to support the implementation of the CSP.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Key Stakeholders"/>
        <w:tblDescription w:val="In this table, organisations will enter details of key stakeholders to be engaged as part of the community strategic plan development and implementation."/>
      </w:tblPr>
      <w:tblGrid>
        <w:gridCol w:w="4508"/>
        <w:gridCol w:w="4508"/>
      </w:tblGrid>
      <w:tr w:rsidR="00636144" w:rsidRPr="003F2FDB" w14:paraId="7B4C2451" w14:textId="77777777" w:rsidTr="004F19CB">
        <w:trPr>
          <w:trHeight w:val="441"/>
          <w:tblHeader/>
        </w:trPr>
        <w:tc>
          <w:tcPr>
            <w:tcW w:w="4508" w:type="dxa"/>
            <w:shd w:val="clear" w:color="auto" w:fill="F2F2F2" w:themeFill="background1" w:themeFillShade="F2"/>
          </w:tcPr>
          <w:p w14:paraId="4A7E9EBF" w14:textId="3A193234" w:rsidR="00636144" w:rsidRPr="00DA1F80" w:rsidRDefault="00636144" w:rsidP="008C2A7C">
            <w:pPr>
              <w:rPr>
                <w:rFonts w:eastAsiaTheme="majorEastAsia" w:cs="Arial"/>
                <w:b/>
                <w:bCs/>
              </w:rPr>
            </w:pPr>
            <w:r w:rsidRPr="00DA1F80">
              <w:rPr>
                <w:rFonts w:eastAsiaTheme="majorEastAsia" w:cs="Arial"/>
                <w:b/>
                <w:bCs/>
              </w:rPr>
              <w:t>Stakeholder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769CE00C" w14:textId="1E9CBC55" w:rsidR="00636144" w:rsidRPr="00DA1F80" w:rsidRDefault="00CD279E" w:rsidP="00CD279E">
            <w:pPr>
              <w:rPr>
                <w:rFonts w:eastAsiaTheme="majorEastAsia" w:cs="Arial"/>
                <w:b/>
                <w:bCs/>
              </w:rPr>
            </w:pPr>
            <w:r>
              <w:rPr>
                <w:rFonts w:eastAsiaTheme="majorEastAsia" w:cs="Arial"/>
                <w:b/>
                <w:bCs/>
              </w:rPr>
              <w:t xml:space="preserve">How the </w:t>
            </w:r>
            <w:r w:rsidR="00636144" w:rsidRPr="00DA1F80">
              <w:rPr>
                <w:rFonts w:eastAsiaTheme="majorEastAsia" w:cs="Arial"/>
                <w:b/>
                <w:bCs/>
              </w:rPr>
              <w:t xml:space="preserve">stakeholder </w:t>
            </w:r>
            <w:r>
              <w:rPr>
                <w:rFonts w:eastAsiaTheme="majorEastAsia" w:cs="Arial"/>
                <w:b/>
                <w:bCs/>
              </w:rPr>
              <w:t>will be involved</w:t>
            </w:r>
          </w:p>
        </w:tc>
      </w:tr>
      <w:tr w:rsidR="00636144" w14:paraId="3FA96DDF" w14:textId="77777777" w:rsidTr="00636144">
        <w:tc>
          <w:tcPr>
            <w:tcW w:w="4508" w:type="dxa"/>
          </w:tcPr>
          <w:p w14:paraId="4F790E91" w14:textId="08E4B5FD" w:rsidR="00636144" w:rsidRPr="00DA1F80" w:rsidRDefault="00636144" w:rsidP="00636144">
            <w:pPr>
              <w:rPr>
                <w:rFonts w:eastAsiaTheme="majorEastAsia" w:cs="Arial"/>
                <w:bCs/>
                <w:i/>
                <w:color w:val="808080" w:themeColor="background1" w:themeShade="80"/>
              </w:rPr>
            </w:pPr>
            <w:r w:rsidRPr="00DA1F80">
              <w:rPr>
                <w:rFonts w:eastAsiaTheme="majorEastAsia" w:cs="Arial"/>
                <w:bCs/>
                <w:i/>
                <w:color w:val="808080" w:themeColor="background1" w:themeShade="80"/>
              </w:rPr>
              <w:t>Please provide details of key stakeholders</w:t>
            </w:r>
            <w:r w:rsidR="003F2FDB" w:rsidRPr="00DA1F80">
              <w:rPr>
                <w:rFonts w:eastAsiaTheme="majorEastAsia" w:cs="Arial"/>
                <w:bCs/>
                <w:i/>
                <w:color w:val="808080" w:themeColor="background1" w:themeShade="80"/>
              </w:rPr>
              <w:t xml:space="preserve"> that will need to be engaged as part of the CSP</w:t>
            </w:r>
          </w:p>
          <w:p w14:paraId="331A3049" w14:textId="0B02DF86" w:rsidR="00636144" w:rsidRDefault="00636144" w:rsidP="008C2A7C">
            <w:pPr>
              <w:rPr>
                <w:rFonts w:eastAsiaTheme="majorEastAsia" w:cs="Arial"/>
                <w:bCs/>
              </w:rPr>
            </w:pPr>
          </w:p>
        </w:tc>
        <w:tc>
          <w:tcPr>
            <w:tcW w:w="4508" w:type="dxa"/>
          </w:tcPr>
          <w:p w14:paraId="07C8EE15" w14:textId="77777777" w:rsidR="00CD279E" w:rsidRDefault="00CD279E" w:rsidP="00CD279E">
            <w:pPr>
              <w:rPr>
                <w:rFonts w:eastAsiaTheme="majorEastAsia" w:cs="Arial"/>
                <w:bCs/>
                <w:i/>
                <w:color w:val="808080" w:themeColor="background1" w:themeShade="80"/>
              </w:rPr>
            </w:pPr>
            <w:r>
              <w:rPr>
                <w:rFonts w:eastAsiaTheme="majorEastAsia" w:cs="Arial"/>
                <w:bCs/>
                <w:i/>
                <w:color w:val="808080" w:themeColor="background1" w:themeShade="80"/>
              </w:rPr>
              <w:t xml:space="preserve">How will the stakeholder be involved? </w:t>
            </w:r>
          </w:p>
          <w:p w14:paraId="21FB2A63" w14:textId="77777777" w:rsidR="00636144" w:rsidRDefault="00CD279E" w:rsidP="00CD279E">
            <w:pPr>
              <w:rPr>
                <w:rFonts w:eastAsiaTheme="majorEastAsia" w:cs="Arial"/>
                <w:bCs/>
                <w:i/>
                <w:color w:val="808080" w:themeColor="background1" w:themeShade="80"/>
              </w:rPr>
            </w:pPr>
            <w:r>
              <w:rPr>
                <w:rFonts w:eastAsiaTheme="majorEastAsia" w:cs="Arial"/>
                <w:bCs/>
                <w:i/>
                <w:color w:val="808080" w:themeColor="background1" w:themeShade="80"/>
              </w:rPr>
              <w:t>W</w:t>
            </w:r>
            <w:r w:rsidR="003F2FDB" w:rsidRPr="00DA1F80">
              <w:rPr>
                <w:rFonts w:eastAsiaTheme="majorEastAsia" w:cs="Arial"/>
                <w:bCs/>
                <w:i/>
                <w:color w:val="808080" w:themeColor="background1" w:themeShade="80"/>
              </w:rPr>
              <w:t xml:space="preserve">hat benefits does this partnership or engagement have on supporting the delivery of services and achieving outcomes for families and </w:t>
            </w:r>
            <w:r w:rsidR="003F2FDB" w:rsidRPr="003F2FDB">
              <w:rPr>
                <w:rFonts w:eastAsiaTheme="majorEastAsia" w:cs="Arial"/>
                <w:bCs/>
                <w:i/>
                <w:color w:val="808080" w:themeColor="background1" w:themeShade="80"/>
              </w:rPr>
              <w:t>children?</w:t>
            </w:r>
          </w:p>
          <w:p w14:paraId="0EBB39EA" w14:textId="005D9A75" w:rsidR="00D121E7" w:rsidRPr="00DA1F80" w:rsidRDefault="00D121E7" w:rsidP="00CD279E">
            <w:pPr>
              <w:rPr>
                <w:rFonts w:eastAsiaTheme="majorEastAsia" w:cs="Arial"/>
                <w:bCs/>
                <w:i/>
                <w:color w:val="808080" w:themeColor="background1" w:themeShade="80"/>
              </w:rPr>
            </w:pPr>
          </w:p>
        </w:tc>
      </w:tr>
      <w:tr w:rsidR="00636144" w14:paraId="6D64EB97" w14:textId="77777777" w:rsidTr="00636144">
        <w:tc>
          <w:tcPr>
            <w:tcW w:w="4508" w:type="dxa"/>
          </w:tcPr>
          <w:p w14:paraId="2A435684" w14:textId="77777777" w:rsidR="00636144" w:rsidRDefault="00636144" w:rsidP="008C2A7C">
            <w:pPr>
              <w:rPr>
                <w:rFonts w:eastAsiaTheme="majorEastAsia" w:cs="Arial"/>
                <w:bCs/>
              </w:rPr>
            </w:pPr>
          </w:p>
          <w:p w14:paraId="61E8CFC3" w14:textId="16B7F51F" w:rsidR="00D121E7" w:rsidRDefault="00D121E7" w:rsidP="008C2A7C">
            <w:pPr>
              <w:rPr>
                <w:rFonts w:eastAsiaTheme="majorEastAsia" w:cs="Arial"/>
                <w:bCs/>
              </w:rPr>
            </w:pPr>
          </w:p>
        </w:tc>
        <w:tc>
          <w:tcPr>
            <w:tcW w:w="4508" w:type="dxa"/>
          </w:tcPr>
          <w:p w14:paraId="3B775E2E" w14:textId="77777777" w:rsidR="00636144" w:rsidRDefault="00636144" w:rsidP="008C2A7C">
            <w:pPr>
              <w:rPr>
                <w:rFonts w:eastAsiaTheme="majorEastAsia" w:cs="Arial"/>
                <w:bCs/>
              </w:rPr>
            </w:pPr>
          </w:p>
        </w:tc>
      </w:tr>
      <w:tr w:rsidR="00636144" w14:paraId="7DF04D69" w14:textId="77777777" w:rsidTr="00636144">
        <w:tc>
          <w:tcPr>
            <w:tcW w:w="4508" w:type="dxa"/>
          </w:tcPr>
          <w:p w14:paraId="2427C2EB" w14:textId="77777777" w:rsidR="00636144" w:rsidRDefault="00636144" w:rsidP="008C2A7C">
            <w:pPr>
              <w:rPr>
                <w:rFonts w:eastAsiaTheme="majorEastAsia" w:cs="Arial"/>
                <w:bCs/>
              </w:rPr>
            </w:pPr>
          </w:p>
          <w:p w14:paraId="53AEFABD" w14:textId="747AC014" w:rsidR="00D121E7" w:rsidRDefault="00D121E7" w:rsidP="008C2A7C">
            <w:pPr>
              <w:rPr>
                <w:rFonts w:eastAsiaTheme="majorEastAsia" w:cs="Arial"/>
                <w:bCs/>
              </w:rPr>
            </w:pPr>
          </w:p>
        </w:tc>
        <w:tc>
          <w:tcPr>
            <w:tcW w:w="4508" w:type="dxa"/>
          </w:tcPr>
          <w:p w14:paraId="7AD5FA4D" w14:textId="77777777" w:rsidR="00636144" w:rsidRDefault="00636144" w:rsidP="008C2A7C">
            <w:pPr>
              <w:rPr>
                <w:rFonts w:eastAsiaTheme="majorEastAsia" w:cs="Arial"/>
                <w:bCs/>
              </w:rPr>
            </w:pPr>
          </w:p>
        </w:tc>
      </w:tr>
    </w:tbl>
    <w:p w14:paraId="129481EF" w14:textId="5E4EE97C" w:rsidR="00636144" w:rsidRDefault="00636144">
      <w:pPr>
        <w:rPr>
          <w:rFonts w:cs="Arial"/>
          <w:b/>
          <w:bCs/>
        </w:rPr>
      </w:pPr>
    </w:p>
    <w:p w14:paraId="14602D4A" w14:textId="48B6314C" w:rsidR="00DD441D" w:rsidRDefault="00DD441D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67A91E3" w14:textId="3B55D4BA" w:rsidR="006679AF" w:rsidRDefault="006679AF">
      <w:pPr>
        <w:rPr>
          <w:rFonts w:eastAsiaTheme="majorEastAsia" w:cstheme="majorBidi"/>
          <w:b/>
          <w:bCs/>
          <w:sz w:val="32"/>
          <w:szCs w:val="28"/>
        </w:rPr>
      </w:pPr>
    </w:p>
    <w:p w14:paraId="65BC492C" w14:textId="03FA70CC" w:rsidR="006679AF" w:rsidRDefault="006679AF" w:rsidP="006679AF">
      <w:pPr>
        <w:pStyle w:val="Heading1"/>
      </w:pPr>
      <w:r>
        <w:t>Appendix A - Communities for Children Facilitating Partners objectives</w:t>
      </w:r>
    </w:p>
    <w:p w14:paraId="03501360" w14:textId="77777777" w:rsidR="006679AF" w:rsidRPr="00DD441D" w:rsidRDefault="006679AF" w:rsidP="006679AF"/>
    <w:p w14:paraId="3203FD0D" w14:textId="77777777" w:rsidR="006679AF" w:rsidRPr="00BF68DB" w:rsidRDefault="006679AF" w:rsidP="006679AF">
      <w:pPr>
        <w:numPr>
          <w:ilvl w:val="0"/>
          <w:numId w:val="22"/>
        </w:numPr>
        <w:ind w:left="851"/>
      </w:pPr>
      <w:r w:rsidRPr="00BF68DB">
        <w:t>To improve the health and well-being of families and the development of young children, from before birth through to age 12 years, paying special attention to:</w:t>
      </w:r>
    </w:p>
    <w:p w14:paraId="5E0FB7E3" w14:textId="77777777" w:rsidR="006679AF" w:rsidRPr="00BF68DB" w:rsidRDefault="006679AF" w:rsidP="006679AF">
      <w:pPr>
        <w:numPr>
          <w:ilvl w:val="1"/>
          <w:numId w:val="22"/>
        </w:numPr>
        <w:ind w:left="1276"/>
      </w:pPr>
      <w:r w:rsidRPr="00BF68DB">
        <w:t>Healthy young families — supporting parents to care for their children before and after birth and throughout the early years;</w:t>
      </w:r>
    </w:p>
    <w:p w14:paraId="1C0E59FB" w14:textId="77777777" w:rsidR="006679AF" w:rsidRPr="00BF68DB" w:rsidRDefault="006679AF" w:rsidP="006679AF">
      <w:pPr>
        <w:numPr>
          <w:ilvl w:val="1"/>
          <w:numId w:val="22"/>
        </w:numPr>
        <w:ind w:left="1276"/>
      </w:pPr>
      <w:r w:rsidRPr="00BF68DB">
        <w:t>Supporting families and parents — support for parents to provide children with secure attachment, consistent discipline and quality environments that are stable, positive, stimulating, safe and secure;</w:t>
      </w:r>
    </w:p>
    <w:p w14:paraId="6D9EB5D7" w14:textId="77777777" w:rsidR="006679AF" w:rsidRPr="00BF68DB" w:rsidRDefault="006679AF" w:rsidP="006679AF">
      <w:pPr>
        <w:numPr>
          <w:ilvl w:val="1"/>
          <w:numId w:val="22"/>
        </w:numPr>
        <w:ind w:left="1276"/>
      </w:pPr>
      <w:r w:rsidRPr="00BF68DB">
        <w:t>Early learning — provide access to high quality early learning opportunities in the years before school; provide early identification and support for children at risk of developmental and behavioural problems; assist parents with ways they can stimulate and promote child development and learning from birth; and</w:t>
      </w:r>
    </w:p>
    <w:p w14:paraId="7CB2FA21" w14:textId="77777777" w:rsidR="006679AF" w:rsidRPr="00BF68DB" w:rsidRDefault="006679AF" w:rsidP="006679AF">
      <w:pPr>
        <w:numPr>
          <w:ilvl w:val="1"/>
          <w:numId w:val="22"/>
        </w:numPr>
        <w:ind w:left="1276"/>
      </w:pPr>
      <w:r w:rsidRPr="00BF68DB">
        <w:t>School transition and engagement - support children and families to make a smooth transition to school and work with local schools to assist children and families with their ongoing engagement with school.</w:t>
      </w:r>
    </w:p>
    <w:p w14:paraId="7932BC18" w14:textId="77777777" w:rsidR="006679AF" w:rsidRPr="00BF68DB" w:rsidRDefault="006679AF" w:rsidP="006679AF">
      <w:pPr>
        <w:numPr>
          <w:ilvl w:val="0"/>
          <w:numId w:val="22"/>
        </w:numPr>
        <w:ind w:left="851"/>
      </w:pPr>
      <w:r w:rsidRPr="00BF68DB">
        <w:t>To create strong child-friendly communities that understand the importance of children and apply this capacity to maximise the health, well-being and early development of young children at the local level.</w:t>
      </w:r>
    </w:p>
    <w:p w14:paraId="2A66EB84" w14:textId="77777777" w:rsidR="006679AF" w:rsidRPr="00DD441D" w:rsidRDefault="006679AF" w:rsidP="006679AF"/>
    <w:p w14:paraId="1BF74233" w14:textId="77777777" w:rsidR="009B7A80" w:rsidRDefault="009B7A80" w:rsidP="00DD441D">
      <w:pPr>
        <w:pStyle w:val="Heading1"/>
        <w:sectPr w:rsidR="009B7A80" w:rsidSect="00A56C41">
          <w:headerReference w:type="default" r:id="rId31"/>
          <w:footerReference w:type="default" r:id="rId32"/>
          <w:pgSz w:w="11906" w:h="16838"/>
          <w:pgMar w:top="1276" w:right="1440" w:bottom="993" w:left="1440" w:header="708" w:footer="555" w:gutter="0"/>
          <w:cols w:space="708"/>
          <w:docGrid w:linePitch="360"/>
        </w:sectPr>
      </w:pPr>
    </w:p>
    <w:p w14:paraId="4DB8F263" w14:textId="46689448" w:rsidR="003A5D9D" w:rsidRDefault="006679AF" w:rsidP="00A94F80">
      <w:pPr>
        <w:pStyle w:val="Heading1"/>
        <w:spacing w:before="120" w:after="120"/>
      </w:pPr>
      <w:r>
        <w:lastRenderedPageBreak/>
        <w:t>Appendix B</w:t>
      </w:r>
      <w:r w:rsidR="00A4798A">
        <w:t xml:space="preserve"> -</w:t>
      </w:r>
      <w:r w:rsidR="003A5D9D" w:rsidRPr="003A5D9D">
        <w:t xml:space="preserve"> Selected data sources that may be useful when conducting needs assessments</w:t>
      </w:r>
    </w:p>
    <w:p w14:paraId="350D5D0F" w14:textId="655431B6" w:rsidR="004F19CB" w:rsidRPr="004F19CB" w:rsidRDefault="004F19CB" w:rsidP="004F19CB">
      <w:r>
        <w:t>This table lists a range of selected data sources that may be useful when conducting needs assessments.</w:t>
      </w:r>
    </w:p>
    <w:tbl>
      <w:tblPr>
        <w:tblStyle w:val="TableGrid1"/>
        <w:tblW w:w="15452" w:type="dxa"/>
        <w:tblInd w:w="-431" w:type="dxa"/>
        <w:tblLayout w:type="fixed"/>
        <w:tblLook w:val="04A0" w:firstRow="1" w:lastRow="0" w:firstColumn="1" w:lastColumn="0" w:noHBand="0" w:noVBand="1"/>
        <w:tblCaption w:val="Appendix B - Selected data sources that may be useful when conducting needs assessments"/>
        <w:tblDescription w:val="This table lists a range of selected data sources from national and state datasets that may be useful when conducting needs assessments."/>
      </w:tblPr>
      <w:tblGrid>
        <w:gridCol w:w="4536"/>
        <w:gridCol w:w="889"/>
        <w:gridCol w:w="2372"/>
        <w:gridCol w:w="1843"/>
        <w:gridCol w:w="2646"/>
        <w:gridCol w:w="3166"/>
      </w:tblGrid>
      <w:tr w:rsidR="003A5D9D" w:rsidRPr="003A5D9D" w14:paraId="1FE2D69B" w14:textId="77777777" w:rsidTr="00211423">
        <w:trPr>
          <w:trHeight w:val="286"/>
          <w:tblHeader/>
        </w:trPr>
        <w:tc>
          <w:tcPr>
            <w:tcW w:w="4536" w:type="dxa"/>
          </w:tcPr>
          <w:p w14:paraId="4B37ADCF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Data source</w:t>
            </w:r>
          </w:p>
        </w:tc>
        <w:tc>
          <w:tcPr>
            <w:tcW w:w="889" w:type="dxa"/>
          </w:tcPr>
          <w:p w14:paraId="3213C2FB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Most recent</w:t>
            </w:r>
          </w:p>
        </w:tc>
        <w:tc>
          <w:tcPr>
            <w:tcW w:w="2372" w:type="dxa"/>
          </w:tcPr>
          <w:p w14:paraId="3B2BD66C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Author/Source</w:t>
            </w:r>
          </w:p>
        </w:tc>
        <w:tc>
          <w:tcPr>
            <w:tcW w:w="1843" w:type="dxa"/>
          </w:tcPr>
          <w:p w14:paraId="1BCDD2C4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Smallest geographical area covered</w:t>
            </w:r>
          </w:p>
        </w:tc>
        <w:tc>
          <w:tcPr>
            <w:tcW w:w="2646" w:type="dxa"/>
          </w:tcPr>
          <w:p w14:paraId="421B6166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Main topics covered</w:t>
            </w:r>
          </w:p>
        </w:tc>
        <w:tc>
          <w:tcPr>
            <w:tcW w:w="3166" w:type="dxa"/>
          </w:tcPr>
          <w:p w14:paraId="2F7468BD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Website</w:t>
            </w:r>
          </w:p>
        </w:tc>
      </w:tr>
      <w:tr w:rsidR="003A5D9D" w:rsidRPr="003A5D9D" w14:paraId="46DF87CA" w14:textId="77777777" w:rsidTr="00211423">
        <w:trPr>
          <w:trHeight w:val="406"/>
        </w:trPr>
        <w:tc>
          <w:tcPr>
            <w:tcW w:w="4536" w:type="dxa"/>
            <w:shd w:val="clear" w:color="auto" w:fill="E7E6E6"/>
          </w:tcPr>
          <w:p w14:paraId="5C4FB7C5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National datasets</w:t>
            </w:r>
          </w:p>
        </w:tc>
        <w:tc>
          <w:tcPr>
            <w:tcW w:w="889" w:type="dxa"/>
            <w:shd w:val="clear" w:color="auto" w:fill="E7E6E6"/>
          </w:tcPr>
          <w:p w14:paraId="7949FAFF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shd w:val="clear" w:color="auto" w:fill="E7E6E6"/>
          </w:tcPr>
          <w:p w14:paraId="262F0133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E7E6E6"/>
          </w:tcPr>
          <w:p w14:paraId="744DBF0A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46" w:type="dxa"/>
            <w:shd w:val="clear" w:color="auto" w:fill="E7E6E6"/>
          </w:tcPr>
          <w:p w14:paraId="65A6E7B4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shd w:val="clear" w:color="auto" w:fill="E7E6E6"/>
          </w:tcPr>
          <w:p w14:paraId="4F13D502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A5D9D" w:rsidRPr="003A5D9D" w14:paraId="1B1F7029" w14:textId="77777777" w:rsidTr="00211423">
        <w:trPr>
          <w:trHeight w:val="286"/>
        </w:trPr>
        <w:tc>
          <w:tcPr>
            <w:tcW w:w="4536" w:type="dxa"/>
          </w:tcPr>
          <w:p w14:paraId="086936F7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 xml:space="preserve">Australian Bureau of Statistics (ABS) Community Profiles </w:t>
            </w:r>
          </w:p>
        </w:tc>
        <w:tc>
          <w:tcPr>
            <w:tcW w:w="889" w:type="dxa"/>
          </w:tcPr>
          <w:p w14:paraId="476E4865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372" w:type="dxa"/>
          </w:tcPr>
          <w:p w14:paraId="6CDC1A0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ABS</w:t>
            </w:r>
          </w:p>
        </w:tc>
        <w:tc>
          <w:tcPr>
            <w:tcW w:w="1843" w:type="dxa"/>
          </w:tcPr>
          <w:p w14:paraId="52DFD92F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Postal area, suburb, local government area (LGA)</w:t>
            </w:r>
          </w:p>
        </w:tc>
        <w:tc>
          <w:tcPr>
            <w:tcW w:w="2646" w:type="dxa"/>
          </w:tcPr>
          <w:p w14:paraId="709BBB1C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Social, economic and demographic characteristics</w:t>
            </w:r>
          </w:p>
        </w:tc>
        <w:tc>
          <w:tcPr>
            <w:tcW w:w="3166" w:type="dxa"/>
          </w:tcPr>
          <w:p w14:paraId="2166159D" w14:textId="77777777" w:rsidR="003A5D9D" w:rsidRPr="003A5D9D" w:rsidRDefault="002D5F54" w:rsidP="003A5D9D">
            <w:pPr>
              <w:spacing w:after="120"/>
              <w:rPr>
                <w:rFonts w:eastAsia="Calibri" w:cs="Arial"/>
                <w:sz w:val="20"/>
                <w:szCs w:val="20"/>
              </w:rPr>
            </w:pPr>
            <w:hyperlink r:id="rId33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https://www.abs.gov.au/websitedbs/D3310114.nsf/Home/2016%20Census%20Community%20Profiles</w:t>
              </w:r>
            </w:hyperlink>
          </w:p>
          <w:p w14:paraId="6457E600" w14:textId="77777777" w:rsidR="003A5D9D" w:rsidRPr="003A5D9D" w:rsidRDefault="003A5D9D" w:rsidP="003A5D9D">
            <w:pPr>
              <w:spacing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003A5D9D" w:rsidRPr="003A5D9D" w14:paraId="3607BEAE" w14:textId="77777777" w:rsidTr="00211423">
        <w:trPr>
          <w:trHeight w:val="300"/>
        </w:trPr>
        <w:tc>
          <w:tcPr>
            <w:tcW w:w="4536" w:type="dxa"/>
          </w:tcPr>
          <w:p w14:paraId="201E866D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ABS Table Builder</w:t>
            </w:r>
          </w:p>
        </w:tc>
        <w:tc>
          <w:tcPr>
            <w:tcW w:w="889" w:type="dxa"/>
          </w:tcPr>
          <w:p w14:paraId="4E17B98C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372" w:type="dxa"/>
          </w:tcPr>
          <w:p w14:paraId="7F36014E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ABS</w:t>
            </w:r>
          </w:p>
        </w:tc>
        <w:tc>
          <w:tcPr>
            <w:tcW w:w="1843" w:type="dxa"/>
          </w:tcPr>
          <w:p w14:paraId="55DCF82F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Postal area, suburb, LGA</w:t>
            </w:r>
          </w:p>
        </w:tc>
        <w:tc>
          <w:tcPr>
            <w:tcW w:w="2646" w:type="dxa"/>
          </w:tcPr>
          <w:p w14:paraId="1929FDD1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Social, economic and demographic characteristics</w:t>
            </w:r>
          </w:p>
        </w:tc>
        <w:tc>
          <w:tcPr>
            <w:tcW w:w="3166" w:type="dxa"/>
          </w:tcPr>
          <w:p w14:paraId="7AFAED20" w14:textId="77777777" w:rsidR="003A5D9D" w:rsidRPr="003A5D9D" w:rsidRDefault="002D5F54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  <w:hyperlink r:id="rId34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https://www.abs.gov.au/websitedbs/d3310114.nsf/home/about+tablebuilder</w:t>
              </w:r>
            </w:hyperlink>
          </w:p>
          <w:p w14:paraId="0767D94B" w14:textId="77777777" w:rsidR="003A5D9D" w:rsidRPr="003A5D9D" w:rsidRDefault="003A5D9D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29F6D4C7" w14:textId="77777777" w:rsidTr="00211423">
        <w:trPr>
          <w:trHeight w:val="286"/>
        </w:trPr>
        <w:tc>
          <w:tcPr>
            <w:tcW w:w="4536" w:type="dxa"/>
          </w:tcPr>
          <w:p w14:paraId="622AE809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ABS Socio economic indexes by LGA</w:t>
            </w:r>
          </w:p>
        </w:tc>
        <w:tc>
          <w:tcPr>
            <w:tcW w:w="889" w:type="dxa"/>
          </w:tcPr>
          <w:p w14:paraId="23147E68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372" w:type="dxa"/>
          </w:tcPr>
          <w:p w14:paraId="64422D27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ABS</w:t>
            </w:r>
          </w:p>
        </w:tc>
        <w:tc>
          <w:tcPr>
            <w:tcW w:w="1843" w:type="dxa"/>
          </w:tcPr>
          <w:p w14:paraId="59CB150C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Postal area, suburb, LGA</w:t>
            </w:r>
          </w:p>
        </w:tc>
        <w:tc>
          <w:tcPr>
            <w:tcW w:w="2646" w:type="dxa"/>
          </w:tcPr>
          <w:p w14:paraId="5EF34C11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Socio-economic advantage and disadvantage</w:t>
            </w:r>
          </w:p>
        </w:tc>
        <w:tc>
          <w:tcPr>
            <w:tcW w:w="3166" w:type="dxa"/>
          </w:tcPr>
          <w:p w14:paraId="36BA18CB" w14:textId="77777777" w:rsidR="003A5D9D" w:rsidRPr="003A5D9D" w:rsidRDefault="002D5F54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  <w:hyperlink r:id="rId35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https://www.abs.gov.au/ausstats/abs@.nsf/mf/2033.0.55.001</w:t>
              </w:r>
            </w:hyperlink>
          </w:p>
          <w:p w14:paraId="1C55FDD0" w14:textId="77777777" w:rsidR="003A5D9D" w:rsidRPr="003A5D9D" w:rsidRDefault="003A5D9D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49363F79" w14:textId="77777777" w:rsidTr="00211423">
        <w:trPr>
          <w:trHeight w:val="286"/>
        </w:trPr>
        <w:tc>
          <w:tcPr>
            <w:tcW w:w="4536" w:type="dxa"/>
          </w:tcPr>
          <w:p w14:paraId="7D4DA351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.id community demographics</w:t>
            </w:r>
          </w:p>
        </w:tc>
        <w:tc>
          <w:tcPr>
            <w:tcW w:w="889" w:type="dxa"/>
          </w:tcPr>
          <w:p w14:paraId="267F502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372" w:type="dxa"/>
          </w:tcPr>
          <w:p w14:paraId="7D32365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.id</w:t>
            </w:r>
          </w:p>
        </w:tc>
        <w:tc>
          <w:tcPr>
            <w:tcW w:w="1843" w:type="dxa"/>
          </w:tcPr>
          <w:p w14:paraId="0A5B8977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 xml:space="preserve">LGA (data not available for all LGAs) </w:t>
            </w:r>
          </w:p>
        </w:tc>
        <w:tc>
          <w:tcPr>
            <w:tcW w:w="2646" w:type="dxa"/>
          </w:tcPr>
          <w:p w14:paraId="74B55665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 xml:space="preserve">Population, age, ethnicity, employment, income, disadvantage, family structure, housing </w:t>
            </w:r>
          </w:p>
        </w:tc>
        <w:tc>
          <w:tcPr>
            <w:tcW w:w="3166" w:type="dxa"/>
          </w:tcPr>
          <w:p w14:paraId="6BC05B6C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hyperlink r:id="rId36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https://profile.id.com.au/</w:t>
              </w:r>
            </w:hyperlink>
          </w:p>
          <w:p w14:paraId="4D802C7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17EC8511" w14:textId="77777777" w:rsidTr="00211423">
        <w:trPr>
          <w:trHeight w:val="286"/>
        </w:trPr>
        <w:tc>
          <w:tcPr>
            <w:tcW w:w="4536" w:type="dxa"/>
          </w:tcPr>
          <w:p w14:paraId="412DDCEC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 xml:space="preserve">Dropping off the Edge </w:t>
            </w:r>
          </w:p>
        </w:tc>
        <w:tc>
          <w:tcPr>
            <w:tcW w:w="889" w:type="dxa"/>
          </w:tcPr>
          <w:p w14:paraId="17812D0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372" w:type="dxa"/>
          </w:tcPr>
          <w:p w14:paraId="51A8BFC7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Jesuit Social Services &amp; Catholic Social Services Australia</w:t>
            </w:r>
          </w:p>
        </w:tc>
        <w:tc>
          <w:tcPr>
            <w:tcW w:w="1843" w:type="dxa"/>
          </w:tcPr>
          <w:p w14:paraId="51D2208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Postcode, suburb</w:t>
            </w:r>
          </w:p>
        </w:tc>
        <w:tc>
          <w:tcPr>
            <w:tcW w:w="2646" w:type="dxa"/>
          </w:tcPr>
          <w:p w14:paraId="05363F0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Disadvantage</w:t>
            </w:r>
          </w:p>
        </w:tc>
        <w:tc>
          <w:tcPr>
            <w:tcW w:w="3166" w:type="dxa"/>
          </w:tcPr>
          <w:p w14:paraId="0D1C7F35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hyperlink r:id="rId37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https://dote.org.au/</w:t>
              </w:r>
            </w:hyperlink>
          </w:p>
          <w:p w14:paraId="1948C64F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1B89C5E6" w14:textId="77777777" w:rsidTr="00211423">
        <w:trPr>
          <w:trHeight w:val="286"/>
        </w:trPr>
        <w:tc>
          <w:tcPr>
            <w:tcW w:w="4536" w:type="dxa"/>
          </w:tcPr>
          <w:p w14:paraId="67B991C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Social Health Atlases of Australia</w:t>
            </w:r>
          </w:p>
        </w:tc>
        <w:tc>
          <w:tcPr>
            <w:tcW w:w="889" w:type="dxa"/>
          </w:tcPr>
          <w:p w14:paraId="551A466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varies</w:t>
            </w:r>
          </w:p>
        </w:tc>
        <w:tc>
          <w:tcPr>
            <w:tcW w:w="2372" w:type="dxa"/>
          </w:tcPr>
          <w:p w14:paraId="6C0B9F5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Torrens University</w:t>
            </w:r>
          </w:p>
        </w:tc>
        <w:tc>
          <w:tcPr>
            <w:tcW w:w="1843" w:type="dxa"/>
          </w:tcPr>
          <w:p w14:paraId="14ED39E8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LGA</w:t>
            </w:r>
          </w:p>
        </w:tc>
        <w:tc>
          <w:tcPr>
            <w:tcW w:w="2646" w:type="dxa"/>
          </w:tcPr>
          <w:p w14:paraId="6BD336A5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Health, demographics, disadvantage, housing</w:t>
            </w:r>
          </w:p>
        </w:tc>
        <w:tc>
          <w:tcPr>
            <w:tcW w:w="3166" w:type="dxa"/>
          </w:tcPr>
          <w:p w14:paraId="20E44F14" w14:textId="77777777" w:rsidR="003A5D9D" w:rsidRPr="003A5D9D" w:rsidRDefault="002D5F54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  <w:hyperlink r:id="rId38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https://phidu.torrens.edu.au/social-health-atlases</w:t>
              </w:r>
            </w:hyperlink>
          </w:p>
          <w:p w14:paraId="71BA84E9" w14:textId="77777777" w:rsidR="003A5D9D" w:rsidRPr="003A5D9D" w:rsidRDefault="003A5D9D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58B8F048" w14:textId="77777777" w:rsidTr="00211423">
        <w:trPr>
          <w:trHeight w:val="286"/>
        </w:trPr>
        <w:tc>
          <w:tcPr>
            <w:tcW w:w="4536" w:type="dxa"/>
          </w:tcPr>
          <w:p w14:paraId="0F79C7B9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Primary Health Network (PHN) Area Profiles</w:t>
            </w:r>
          </w:p>
        </w:tc>
        <w:tc>
          <w:tcPr>
            <w:tcW w:w="889" w:type="dxa"/>
          </w:tcPr>
          <w:p w14:paraId="4DEFBC67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varies</w:t>
            </w:r>
          </w:p>
        </w:tc>
        <w:tc>
          <w:tcPr>
            <w:tcW w:w="2372" w:type="dxa"/>
          </w:tcPr>
          <w:p w14:paraId="011B9E1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Commonwealth Dept. Health</w:t>
            </w:r>
          </w:p>
        </w:tc>
        <w:tc>
          <w:tcPr>
            <w:tcW w:w="1843" w:type="dxa"/>
          </w:tcPr>
          <w:p w14:paraId="1B8D076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PHN region</w:t>
            </w:r>
          </w:p>
        </w:tc>
        <w:tc>
          <w:tcPr>
            <w:tcW w:w="2646" w:type="dxa"/>
          </w:tcPr>
          <w:p w14:paraId="0C6146CC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Health and demographics. Detailed information can be found on individual PHN websites</w:t>
            </w:r>
          </w:p>
        </w:tc>
        <w:tc>
          <w:tcPr>
            <w:tcW w:w="3166" w:type="dxa"/>
          </w:tcPr>
          <w:p w14:paraId="0AE5B952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hyperlink r:id="rId39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https://www1.health.gov.au/internet/main/publishing.nsf/Content/PHN-Home</w:t>
              </w:r>
            </w:hyperlink>
          </w:p>
          <w:p w14:paraId="2A03394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345C6EE3" w14:textId="77777777" w:rsidTr="00211423">
        <w:trPr>
          <w:trHeight w:val="286"/>
        </w:trPr>
        <w:tc>
          <w:tcPr>
            <w:tcW w:w="4536" w:type="dxa"/>
          </w:tcPr>
          <w:p w14:paraId="49E6E50B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lastRenderedPageBreak/>
              <w:t>Australian Early Development Census</w:t>
            </w:r>
          </w:p>
        </w:tc>
        <w:tc>
          <w:tcPr>
            <w:tcW w:w="889" w:type="dxa"/>
          </w:tcPr>
          <w:p w14:paraId="39EDA1ED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372" w:type="dxa"/>
          </w:tcPr>
          <w:p w14:paraId="6C69CD2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Australian government</w:t>
            </w:r>
          </w:p>
        </w:tc>
        <w:tc>
          <w:tcPr>
            <w:tcW w:w="1843" w:type="dxa"/>
          </w:tcPr>
          <w:p w14:paraId="31F012A8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LGA</w:t>
            </w:r>
          </w:p>
        </w:tc>
        <w:tc>
          <w:tcPr>
            <w:tcW w:w="2646" w:type="dxa"/>
          </w:tcPr>
          <w:p w14:paraId="6208879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 xml:space="preserve">Indicators of early childhood development </w:t>
            </w:r>
          </w:p>
        </w:tc>
        <w:tc>
          <w:tcPr>
            <w:tcW w:w="3166" w:type="dxa"/>
          </w:tcPr>
          <w:p w14:paraId="7C461CB7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</w:rPr>
            </w:pPr>
            <w:hyperlink r:id="rId40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Australian Early Development Census (aedc.gov.au)</w:t>
              </w:r>
            </w:hyperlink>
          </w:p>
          <w:p w14:paraId="28C8A48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7682E309" w14:textId="77777777" w:rsidTr="00211423">
        <w:trPr>
          <w:trHeight w:val="586"/>
        </w:trPr>
        <w:tc>
          <w:tcPr>
            <w:tcW w:w="4536" w:type="dxa"/>
          </w:tcPr>
          <w:p w14:paraId="5916DBDF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Mothers, Babies and Children report</w:t>
            </w:r>
          </w:p>
          <w:p w14:paraId="5CFDD8F2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Supplementary table-Births</w:t>
            </w:r>
          </w:p>
        </w:tc>
        <w:tc>
          <w:tcPr>
            <w:tcW w:w="889" w:type="dxa"/>
          </w:tcPr>
          <w:p w14:paraId="11789B13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372" w:type="dxa"/>
          </w:tcPr>
          <w:p w14:paraId="5AE1F59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Consultative Council on Obstetric and Paediatric Mortality and Morbidity</w:t>
            </w:r>
          </w:p>
        </w:tc>
        <w:tc>
          <w:tcPr>
            <w:tcW w:w="1843" w:type="dxa"/>
          </w:tcPr>
          <w:p w14:paraId="2997FCA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LGA (Tables 62-65)</w:t>
            </w:r>
          </w:p>
        </w:tc>
        <w:tc>
          <w:tcPr>
            <w:tcW w:w="2646" w:type="dxa"/>
          </w:tcPr>
          <w:p w14:paraId="46C42EC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Maternal, perinatal, paediatric mortality and morbidity, and birth outcomes</w:t>
            </w:r>
          </w:p>
        </w:tc>
        <w:tc>
          <w:tcPr>
            <w:tcW w:w="3166" w:type="dxa"/>
          </w:tcPr>
          <w:p w14:paraId="6F42F376" w14:textId="77777777" w:rsidR="003A5D9D" w:rsidRPr="003A5D9D" w:rsidRDefault="002D5F54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  <w:hyperlink r:id="rId41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</w:rPr>
                <w:t>https://www.bettersafercare.vic.gov.au/publications/mothers-babies-and-children-2018</w:t>
              </w:r>
            </w:hyperlink>
          </w:p>
        </w:tc>
      </w:tr>
      <w:tr w:rsidR="003A5D9D" w:rsidRPr="003A5D9D" w14:paraId="26CDF5F5" w14:textId="77777777" w:rsidTr="00211423">
        <w:trPr>
          <w:trHeight w:val="873"/>
        </w:trPr>
        <w:tc>
          <w:tcPr>
            <w:tcW w:w="4536" w:type="dxa"/>
          </w:tcPr>
          <w:p w14:paraId="164CC323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Data tables for Australia's mothers and babies</w:t>
            </w:r>
          </w:p>
        </w:tc>
        <w:tc>
          <w:tcPr>
            <w:tcW w:w="889" w:type="dxa"/>
          </w:tcPr>
          <w:p w14:paraId="19E6DAB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372" w:type="dxa"/>
          </w:tcPr>
          <w:p w14:paraId="4861D03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Australian Institute of Health and Welfare</w:t>
            </w:r>
          </w:p>
        </w:tc>
        <w:tc>
          <w:tcPr>
            <w:tcW w:w="1843" w:type="dxa"/>
          </w:tcPr>
          <w:p w14:paraId="6B7D7BC2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Statistical Area Level 3, PHN</w:t>
            </w:r>
          </w:p>
        </w:tc>
        <w:tc>
          <w:tcPr>
            <w:tcW w:w="2646" w:type="dxa"/>
          </w:tcPr>
          <w:p w14:paraId="4801C101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Pregnancy, childbirth and babies</w:t>
            </w:r>
          </w:p>
        </w:tc>
        <w:tc>
          <w:tcPr>
            <w:tcW w:w="3166" w:type="dxa"/>
          </w:tcPr>
          <w:p w14:paraId="06562333" w14:textId="77777777" w:rsidR="003A5D9D" w:rsidRPr="003A5D9D" w:rsidRDefault="002D5F54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  <w:hyperlink r:id="rId42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https://www.aihw.gov.au/reports/mothers-babies/australias-mothers-and-babies-2018-in-brief/data</w:t>
              </w:r>
            </w:hyperlink>
          </w:p>
          <w:p w14:paraId="31911B38" w14:textId="77777777" w:rsidR="003A5D9D" w:rsidRPr="003A5D9D" w:rsidRDefault="003A5D9D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769971A7" w14:textId="77777777" w:rsidTr="00211423">
        <w:trPr>
          <w:trHeight w:val="873"/>
        </w:trPr>
        <w:tc>
          <w:tcPr>
            <w:tcW w:w="4536" w:type="dxa"/>
          </w:tcPr>
          <w:p w14:paraId="46617DD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Settlement reports</w:t>
            </w:r>
          </w:p>
        </w:tc>
        <w:tc>
          <w:tcPr>
            <w:tcW w:w="889" w:type="dxa"/>
          </w:tcPr>
          <w:p w14:paraId="25255FAC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372" w:type="dxa"/>
          </w:tcPr>
          <w:p w14:paraId="25D416A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Dept. Home Affairs</w:t>
            </w:r>
          </w:p>
        </w:tc>
        <w:tc>
          <w:tcPr>
            <w:tcW w:w="1843" w:type="dxa"/>
          </w:tcPr>
          <w:p w14:paraId="54762EAE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LGA</w:t>
            </w:r>
          </w:p>
        </w:tc>
        <w:tc>
          <w:tcPr>
            <w:tcW w:w="2646" w:type="dxa"/>
          </w:tcPr>
          <w:p w14:paraId="54E9A885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Demographics of people granted permanent or provisional visas</w:t>
            </w:r>
          </w:p>
        </w:tc>
        <w:tc>
          <w:tcPr>
            <w:tcW w:w="3166" w:type="dxa"/>
          </w:tcPr>
          <w:p w14:paraId="22F2D1F5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hyperlink r:id="rId43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https://data.gov.au/data/dataset/8d1b90a9-a4d7-4b10-ad6a-8273722c8628</w:t>
              </w:r>
            </w:hyperlink>
          </w:p>
          <w:p w14:paraId="586D5D19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47A64898" w14:textId="77777777" w:rsidTr="00211423">
        <w:trPr>
          <w:trHeight w:val="873"/>
        </w:trPr>
        <w:tc>
          <w:tcPr>
            <w:tcW w:w="4536" w:type="dxa"/>
          </w:tcPr>
          <w:p w14:paraId="77AA113F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Australian open government data</w:t>
            </w:r>
          </w:p>
        </w:tc>
        <w:tc>
          <w:tcPr>
            <w:tcW w:w="889" w:type="dxa"/>
          </w:tcPr>
          <w:p w14:paraId="5264883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varies</w:t>
            </w:r>
          </w:p>
        </w:tc>
        <w:tc>
          <w:tcPr>
            <w:tcW w:w="2372" w:type="dxa"/>
          </w:tcPr>
          <w:p w14:paraId="75CA4FDD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Federal, state and local government agencies</w:t>
            </w:r>
          </w:p>
        </w:tc>
        <w:tc>
          <w:tcPr>
            <w:tcW w:w="1843" w:type="dxa"/>
          </w:tcPr>
          <w:p w14:paraId="6D66BFB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2646" w:type="dxa"/>
          </w:tcPr>
          <w:p w14:paraId="19D638E2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A range of topics, including crime, domestic violence and school attendance</w:t>
            </w:r>
          </w:p>
        </w:tc>
        <w:tc>
          <w:tcPr>
            <w:tcW w:w="3166" w:type="dxa"/>
          </w:tcPr>
          <w:p w14:paraId="4A5108BF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hyperlink r:id="rId44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https://data.gov.au</w:t>
              </w:r>
            </w:hyperlink>
          </w:p>
          <w:p w14:paraId="21C96EA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7A76E7DB" w14:textId="77777777" w:rsidTr="00211423">
        <w:trPr>
          <w:trHeight w:val="873"/>
        </w:trPr>
        <w:tc>
          <w:tcPr>
            <w:tcW w:w="4536" w:type="dxa"/>
          </w:tcPr>
          <w:p w14:paraId="513BBFD7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Longitudinal Data Sets</w:t>
            </w:r>
          </w:p>
        </w:tc>
        <w:tc>
          <w:tcPr>
            <w:tcW w:w="889" w:type="dxa"/>
          </w:tcPr>
          <w:p w14:paraId="7C3B860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varies</w:t>
            </w:r>
          </w:p>
        </w:tc>
        <w:tc>
          <w:tcPr>
            <w:tcW w:w="2372" w:type="dxa"/>
          </w:tcPr>
          <w:p w14:paraId="12919C1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National Centre for Longitudinal Data (NCLD)</w:t>
            </w:r>
          </w:p>
        </w:tc>
        <w:tc>
          <w:tcPr>
            <w:tcW w:w="1843" w:type="dxa"/>
          </w:tcPr>
          <w:p w14:paraId="771E581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2646" w:type="dxa"/>
          </w:tcPr>
          <w:p w14:paraId="2F24DFC5" w14:textId="77777777" w:rsidR="003A5D9D" w:rsidRDefault="003A5D9D" w:rsidP="003A5D9D">
            <w:pPr>
              <w:rPr>
                <w:rFonts w:eastAsia="Calibri" w:cs="Arial"/>
                <w:sz w:val="20"/>
                <w:szCs w:val="20"/>
              </w:rPr>
            </w:pPr>
            <w:r w:rsidRPr="003A5D9D">
              <w:rPr>
                <w:rFonts w:eastAsia="Calibri" w:cs="Arial"/>
                <w:sz w:val="20"/>
                <w:szCs w:val="20"/>
              </w:rPr>
              <w:t xml:space="preserve">Including </w:t>
            </w:r>
            <w:r w:rsidR="00773079" w:rsidRPr="003A5D9D">
              <w:rPr>
                <w:rFonts w:eastAsia="Calibri" w:cs="Arial"/>
                <w:sz w:val="20"/>
                <w:szCs w:val="20"/>
              </w:rPr>
              <w:t>Household, Income and Labour Dynamics in Australia (HILDA) Survey, Growing up in Australia: The Longitudinal Study of Australian Children (LSAC), Footprints in Time: The Longitudinal Study of Indigenous Children (LSIC), and Building a New Life in Australia (BNLA): The Longitudinal Study of Humanitarian Migrants)</w:t>
            </w:r>
          </w:p>
          <w:p w14:paraId="6226C24C" w14:textId="33C5323B" w:rsidR="00A353A4" w:rsidRPr="003A5D9D" w:rsidRDefault="00A353A4" w:rsidP="003A5D9D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03F8CA56" w14:textId="77777777" w:rsidR="003A5D9D" w:rsidRPr="003A5D9D" w:rsidRDefault="002D5F54" w:rsidP="003A5D9D">
            <w:pPr>
              <w:rPr>
                <w:rFonts w:ascii="Calibri" w:eastAsia="Calibri" w:hAnsi="Calibri" w:cs="Times New Roman"/>
              </w:rPr>
            </w:pPr>
            <w:hyperlink r:id="rId45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https://www.dss.gov.au/national-centre-for-longitudinal-data-ncld/access-to-dss-longitudinal-datasets</w:t>
              </w:r>
            </w:hyperlink>
          </w:p>
        </w:tc>
      </w:tr>
      <w:tr w:rsidR="003A5D9D" w:rsidRPr="00211423" w14:paraId="261F37CA" w14:textId="77777777" w:rsidTr="00211423">
        <w:trPr>
          <w:trHeight w:val="317"/>
        </w:trPr>
        <w:tc>
          <w:tcPr>
            <w:tcW w:w="4536" w:type="dxa"/>
            <w:shd w:val="clear" w:color="auto" w:fill="E7E6E6"/>
          </w:tcPr>
          <w:p w14:paraId="10429C06" w14:textId="450D126C" w:rsidR="003A5D9D" w:rsidRPr="003A5D9D" w:rsidRDefault="009D1704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211423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lastRenderedPageBreak/>
              <w:br w:type="page"/>
            </w:r>
            <w:r w:rsidR="003A5D9D" w:rsidRPr="003A5D9D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State datasets</w:t>
            </w:r>
          </w:p>
        </w:tc>
        <w:tc>
          <w:tcPr>
            <w:tcW w:w="889" w:type="dxa"/>
            <w:shd w:val="clear" w:color="auto" w:fill="E7E6E6"/>
          </w:tcPr>
          <w:p w14:paraId="66683971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shd w:val="clear" w:color="auto" w:fill="E7E6E6"/>
          </w:tcPr>
          <w:p w14:paraId="477084C8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E7E6E6"/>
          </w:tcPr>
          <w:p w14:paraId="42A2D99A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46" w:type="dxa"/>
            <w:shd w:val="clear" w:color="auto" w:fill="E7E6E6"/>
          </w:tcPr>
          <w:p w14:paraId="7C82C6D4" w14:textId="77777777" w:rsidR="003A5D9D" w:rsidRPr="003A5D9D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shd w:val="clear" w:color="auto" w:fill="E7E6E6"/>
          </w:tcPr>
          <w:p w14:paraId="4012A3B5" w14:textId="77777777" w:rsidR="003A5D9D" w:rsidRPr="00211423" w:rsidRDefault="003A5D9D" w:rsidP="003A5D9D">
            <w:pP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A5D9D" w:rsidRPr="003A5D9D" w14:paraId="2856C09D" w14:textId="77777777" w:rsidTr="00211423">
        <w:trPr>
          <w:trHeight w:val="286"/>
        </w:trPr>
        <w:tc>
          <w:tcPr>
            <w:tcW w:w="4536" w:type="dxa"/>
            <w:shd w:val="clear" w:color="auto" w:fill="auto"/>
          </w:tcPr>
          <w:p w14:paraId="16ABFC7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 xml:space="preserve">VicHealth Indicators </w:t>
            </w:r>
          </w:p>
        </w:tc>
        <w:tc>
          <w:tcPr>
            <w:tcW w:w="889" w:type="dxa"/>
            <w:shd w:val="clear" w:color="auto" w:fill="auto"/>
          </w:tcPr>
          <w:p w14:paraId="5F01A1B8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372" w:type="dxa"/>
            <w:shd w:val="clear" w:color="auto" w:fill="auto"/>
          </w:tcPr>
          <w:p w14:paraId="5CA60208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VicHealth</w:t>
            </w:r>
          </w:p>
        </w:tc>
        <w:tc>
          <w:tcPr>
            <w:tcW w:w="1843" w:type="dxa"/>
            <w:shd w:val="clear" w:color="auto" w:fill="auto"/>
          </w:tcPr>
          <w:p w14:paraId="67A8E637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LGA</w:t>
            </w:r>
          </w:p>
        </w:tc>
        <w:tc>
          <w:tcPr>
            <w:tcW w:w="2646" w:type="dxa"/>
            <w:shd w:val="clear" w:color="auto" w:fill="auto"/>
          </w:tcPr>
          <w:p w14:paraId="5594A8BE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Health and wellbeing of Victorian adults</w:t>
            </w:r>
          </w:p>
        </w:tc>
        <w:tc>
          <w:tcPr>
            <w:tcW w:w="3166" w:type="dxa"/>
            <w:shd w:val="clear" w:color="auto" w:fill="auto"/>
          </w:tcPr>
          <w:p w14:paraId="431A55EB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hyperlink r:id="rId46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https://www.vichealth.vic.gov.au/programs-and-projects/vichealth-indicators-survey-2015</w:t>
              </w:r>
            </w:hyperlink>
          </w:p>
          <w:p w14:paraId="645EEA7E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39B04406" w14:textId="77777777" w:rsidTr="00211423">
        <w:trPr>
          <w:trHeight w:val="586"/>
        </w:trPr>
        <w:tc>
          <w:tcPr>
            <w:tcW w:w="4536" w:type="dxa"/>
          </w:tcPr>
          <w:p w14:paraId="2327FC89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 xml:space="preserve">Victorian Population Health Survey </w:t>
            </w:r>
          </w:p>
        </w:tc>
        <w:tc>
          <w:tcPr>
            <w:tcW w:w="889" w:type="dxa"/>
          </w:tcPr>
          <w:p w14:paraId="500FE1C5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372" w:type="dxa"/>
          </w:tcPr>
          <w:p w14:paraId="0C551FC8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Better Safer Care</w:t>
            </w:r>
          </w:p>
        </w:tc>
        <w:tc>
          <w:tcPr>
            <w:tcW w:w="1843" w:type="dxa"/>
          </w:tcPr>
          <w:p w14:paraId="38B0EDA2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Dashboard data at Dept. Health Region and PHN level</w:t>
            </w:r>
          </w:p>
        </w:tc>
        <w:tc>
          <w:tcPr>
            <w:tcW w:w="2646" w:type="dxa"/>
          </w:tcPr>
          <w:p w14:paraId="76993F9B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Health and wellbeing of Victorian adults</w:t>
            </w:r>
          </w:p>
        </w:tc>
        <w:tc>
          <w:tcPr>
            <w:tcW w:w="3166" w:type="dxa"/>
          </w:tcPr>
          <w:p w14:paraId="1B843349" w14:textId="5B67838F" w:rsidR="003A5D9D" w:rsidRPr="003A5D9D" w:rsidRDefault="002D5F54" w:rsidP="003A5D9D">
            <w:pPr>
              <w:spacing w:after="120"/>
              <w:rPr>
                <w:rFonts w:eastAsia="Calibri" w:cs="Arial"/>
                <w:sz w:val="20"/>
                <w:szCs w:val="20"/>
                <w:lang w:val="en-US"/>
              </w:rPr>
            </w:pPr>
            <w:hyperlink r:id="rId47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https://www.bettersafercare.vic.gov.au/reports-and-publications/vphs2018</w:t>
              </w:r>
            </w:hyperlink>
          </w:p>
        </w:tc>
      </w:tr>
      <w:tr w:rsidR="003A5D9D" w:rsidRPr="003A5D9D" w14:paraId="76F7C744" w14:textId="77777777" w:rsidTr="00211423">
        <w:trPr>
          <w:trHeight w:val="873"/>
        </w:trPr>
        <w:tc>
          <w:tcPr>
            <w:tcW w:w="4536" w:type="dxa"/>
          </w:tcPr>
          <w:p w14:paraId="3A2E5F1D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Victorian Child and Adolescent Monitoring System (VCAMS)</w:t>
            </w:r>
          </w:p>
        </w:tc>
        <w:tc>
          <w:tcPr>
            <w:tcW w:w="889" w:type="dxa"/>
          </w:tcPr>
          <w:p w14:paraId="2003B993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varies</w:t>
            </w:r>
          </w:p>
        </w:tc>
        <w:tc>
          <w:tcPr>
            <w:tcW w:w="2372" w:type="dxa"/>
          </w:tcPr>
          <w:p w14:paraId="49F2EE4E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Victorian Dept. Education and Training</w:t>
            </w:r>
          </w:p>
        </w:tc>
        <w:tc>
          <w:tcPr>
            <w:tcW w:w="1843" w:type="dxa"/>
          </w:tcPr>
          <w:p w14:paraId="07ACFF21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Postcode for some indicators</w:t>
            </w:r>
          </w:p>
        </w:tc>
        <w:tc>
          <w:tcPr>
            <w:tcW w:w="2646" w:type="dxa"/>
          </w:tcPr>
          <w:p w14:paraId="12C451D5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Key outcome indicators for children and young people</w:t>
            </w:r>
          </w:p>
        </w:tc>
        <w:tc>
          <w:tcPr>
            <w:tcW w:w="3166" w:type="dxa"/>
          </w:tcPr>
          <w:p w14:paraId="10841EBD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hyperlink r:id="rId48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https://www.education.vic.gov.au/about/research/Pages/vcamsindicator.aspx</w:t>
              </w:r>
            </w:hyperlink>
          </w:p>
          <w:p w14:paraId="379C01A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3A5D9D" w:rsidRPr="003A5D9D" w14:paraId="1BA86E6A" w14:textId="77777777" w:rsidTr="00211423">
        <w:trPr>
          <w:trHeight w:val="873"/>
        </w:trPr>
        <w:tc>
          <w:tcPr>
            <w:tcW w:w="4536" w:type="dxa"/>
          </w:tcPr>
          <w:p w14:paraId="1AA481FA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Domestic violence (NSW)</w:t>
            </w:r>
          </w:p>
        </w:tc>
        <w:tc>
          <w:tcPr>
            <w:tcW w:w="889" w:type="dxa"/>
          </w:tcPr>
          <w:p w14:paraId="341B1A7B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372" w:type="dxa"/>
          </w:tcPr>
          <w:p w14:paraId="0ED39F2D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NSW Police Force</w:t>
            </w:r>
          </w:p>
        </w:tc>
        <w:tc>
          <w:tcPr>
            <w:tcW w:w="1843" w:type="dxa"/>
          </w:tcPr>
          <w:p w14:paraId="678E478E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LGA</w:t>
            </w:r>
          </w:p>
        </w:tc>
        <w:tc>
          <w:tcPr>
            <w:tcW w:w="2646" w:type="dxa"/>
          </w:tcPr>
          <w:p w14:paraId="585BF3FE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Domestic violence incidents</w:t>
            </w:r>
          </w:p>
        </w:tc>
        <w:tc>
          <w:tcPr>
            <w:tcW w:w="3166" w:type="dxa"/>
          </w:tcPr>
          <w:p w14:paraId="5AAC3635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hyperlink r:id="rId49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https://www.bocsar.nsw.gov.au/Pages/bocsar_pages/Domestic-Violence.aspx</w:t>
              </w:r>
            </w:hyperlink>
          </w:p>
        </w:tc>
      </w:tr>
      <w:tr w:rsidR="003A5D9D" w:rsidRPr="003A5D9D" w14:paraId="1EBCD82B" w14:textId="77777777" w:rsidTr="00211423">
        <w:trPr>
          <w:trHeight w:val="873"/>
        </w:trPr>
        <w:tc>
          <w:tcPr>
            <w:tcW w:w="4536" w:type="dxa"/>
          </w:tcPr>
          <w:p w14:paraId="27A0A63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School attendance (Queensland)</w:t>
            </w:r>
          </w:p>
        </w:tc>
        <w:tc>
          <w:tcPr>
            <w:tcW w:w="889" w:type="dxa"/>
          </w:tcPr>
          <w:p w14:paraId="591526F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372" w:type="dxa"/>
          </w:tcPr>
          <w:p w14:paraId="1B844778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Queensland Education Dept.</w:t>
            </w:r>
          </w:p>
        </w:tc>
        <w:tc>
          <w:tcPr>
            <w:tcW w:w="1843" w:type="dxa"/>
          </w:tcPr>
          <w:p w14:paraId="3CB67E7E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2646" w:type="dxa"/>
          </w:tcPr>
          <w:p w14:paraId="401F6E95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School attendance</w:t>
            </w:r>
          </w:p>
        </w:tc>
        <w:tc>
          <w:tcPr>
            <w:tcW w:w="3166" w:type="dxa"/>
          </w:tcPr>
          <w:p w14:paraId="10E2168F" w14:textId="77777777" w:rsidR="003A5D9D" w:rsidRPr="003A5D9D" w:rsidRDefault="002D5F54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hyperlink r:id="rId50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https://qed.qld.gov.au/publications/reports/statistics/schooling/students</w:t>
              </w:r>
            </w:hyperlink>
          </w:p>
          <w:p w14:paraId="4C8829EA" w14:textId="77777777" w:rsidR="003A5D9D" w:rsidRPr="003A5D9D" w:rsidRDefault="003A5D9D" w:rsidP="003A5D9D">
            <w:pPr>
              <w:rPr>
                <w:rFonts w:eastAsia="Calibri" w:cs="Arial"/>
                <w:lang w:val="en-US"/>
              </w:rPr>
            </w:pPr>
          </w:p>
        </w:tc>
      </w:tr>
      <w:tr w:rsidR="003A5D9D" w:rsidRPr="003A5D9D" w14:paraId="32820ED3" w14:textId="77777777" w:rsidTr="00211423">
        <w:trPr>
          <w:trHeight w:val="873"/>
        </w:trPr>
        <w:tc>
          <w:tcPr>
            <w:tcW w:w="4536" w:type="dxa"/>
          </w:tcPr>
          <w:p w14:paraId="4DBD9B26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School attendance (South Australia)</w:t>
            </w:r>
          </w:p>
        </w:tc>
        <w:tc>
          <w:tcPr>
            <w:tcW w:w="889" w:type="dxa"/>
          </w:tcPr>
          <w:p w14:paraId="7DF5DD1D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372" w:type="dxa"/>
          </w:tcPr>
          <w:p w14:paraId="5C309958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South Australian Education Dept.</w:t>
            </w:r>
          </w:p>
        </w:tc>
        <w:tc>
          <w:tcPr>
            <w:tcW w:w="1843" w:type="dxa"/>
          </w:tcPr>
          <w:p w14:paraId="4F77AFE4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2646" w:type="dxa"/>
          </w:tcPr>
          <w:p w14:paraId="3DA39F63" w14:textId="77777777" w:rsidR="003A5D9D" w:rsidRPr="003A5D9D" w:rsidRDefault="003A5D9D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 w:rsidRPr="003A5D9D">
              <w:rPr>
                <w:rFonts w:eastAsia="Calibri" w:cs="Arial"/>
                <w:sz w:val="20"/>
                <w:szCs w:val="20"/>
                <w:lang w:val="en-US"/>
              </w:rPr>
              <w:t>School attendance</w:t>
            </w:r>
          </w:p>
        </w:tc>
        <w:tc>
          <w:tcPr>
            <w:tcW w:w="3166" w:type="dxa"/>
          </w:tcPr>
          <w:p w14:paraId="49265F79" w14:textId="77777777" w:rsidR="003A5D9D" w:rsidRPr="003A5D9D" w:rsidRDefault="002D5F54" w:rsidP="003A5D9D">
            <w:pPr>
              <w:tabs>
                <w:tab w:val="left" w:pos="1041"/>
              </w:tabs>
              <w:rPr>
                <w:rFonts w:eastAsia="Calibri" w:cs="Arial"/>
                <w:sz w:val="20"/>
                <w:szCs w:val="20"/>
                <w:lang w:val="en-US"/>
              </w:rPr>
            </w:pPr>
            <w:hyperlink r:id="rId51" w:history="1">
              <w:r w:rsidR="003A5D9D" w:rsidRPr="003A5D9D">
                <w:rPr>
                  <w:rFonts w:eastAsia="Calibri" w:cs="Arial"/>
                  <w:color w:val="0563C1"/>
                  <w:sz w:val="20"/>
                  <w:szCs w:val="20"/>
                  <w:u w:val="single"/>
                  <w:lang w:val="en-US"/>
                </w:rPr>
                <w:t>https://data.gov.au/dataset/ds-sa-6ace352b-1329-4054-a849-9ef26b88ce6f/details?q=school%20attendance</w:t>
              </w:r>
            </w:hyperlink>
          </w:p>
          <w:p w14:paraId="60297BDF" w14:textId="77777777" w:rsidR="003A5D9D" w:rsidRPr="003A5D9D" w:rsidRDefault="003A5D9D" w:rsidP="003A5D9D">
            <w:pPr>
              <w:tabs>
                <w:tab w:val="left" w:pos="1041"/>
              </w:tabs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CC2E51" w:rsidRPr="003A5D9D" w14:paraId="17C10CA1" w14:textId="77777777" w:rsidTr="00211423">
        <w:trPr>
          <w:trHeight w:val="1703"/>
        </w:trPr>
        <w:tc>
          <w:tcPr>
            <w:tcW w:w="4536" w:type="dxa"/>
          </w:tcPr>
          <w:p w14:paraId="6B320993" w14:textId="77777777" w:rsidR="00817321" w:rsidRDefault="00817321" w:rsidP="000E78EA">
            <w:pPr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“Mapping the Potential: Understanding persistent disadvantage to inform community change” </w:t>
            </w:r>
          </w:p>
          <w:p w14:paraId="57B0F2D0" w14:textId="5B995F52" w:rsidR="00CC2E51" w:rsidRPr="00CC5C7C" w:rsidRDefault="00CC2E51" w:rsidP="000E78EA">
            <w:pPr>
              <w:rPr>
                <w:rFonts w:eastAsia="Calibr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</w:tcPr>
          <w:p w14:paraId="3A5FF4CC" w14:textId="5AD9777E" w:rsidR="00CC2E51" w:rsidRPr="003A5D9D" w:rsidRDefault="00CC2E51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372" w:type="dxa"/>
          </w:tcPr>
          <w:p w14:paraId="0E3F0AC8" w14:textId="4108B81F" w:rsidR="009D1704" w:rsidRDefault="00CC2E51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ANU Centre for Social Methods and 21 CSSA member project partners</w:t>
            </w:r>
          </w:p>
          <w:p w14:paraId="68FB16D4" w14:textId="77777777" w:rsidR="00CC2E51" w:rsidRPr="000E78EA" w:rsidRDefault="00CC2E51" w:rsidP="00CC5C7C">
            <w:pPr>
              <w:jc w:val="righ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38D57E0" w14:textId="5A77A4CB" w:rsidR="00CC2E51" w:rsidRPr="003A5D9D" w:rsidRDefault="007D36D7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SA2</w:t>
            </w:r>
          </w:p>
        </w:tc>
        <w:tc>
          <w:tcPr>
            <w:tcW w:w="2646" w:type="dxa"/>
          </w:tcPr>
          <w:p w14:paraId="0070EF37" w14:textId="4ACFF815" w:rsidR="00CC2E51" w:rsidRPr="003A5D9D" w:rsidRDefault="00CC2E51" w:rsidP="003A5D9D">
            <w:pPr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Investigates four drivers of </w:t>
            </w:r>
            <w:r w:rsidR="007D36D7">
              <w:rPr>
                <w:rFonts w:eastAsia="Calibri" w:cs="Arial"/>
                <w:sz w:val="20"/>
                <w:szCs w:val="20"/>
                <w:lang w:val="en-US"/>
              </w:rPr>
              <w:t xml:space="preserve">persistent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disadvantage: economic, education, health and social</w:t>
            </w:r>
            <w:r w:rsidR="007D36D7">
              <w:rPr>
                <w:rFonts w:eastAsia="Calibri" w:cs="Arial"/>
                <w:sz w:val="20"/>
                <w:szCs w:val="20"/>
                <w:lang w:val="en-US"/>
              </w:rPr>
              <w:t xml:space="preserve"> factors</w:t>
            </w:r>
            <w:r w:rsidR="00810DC6">
              <w:rPr>
                <w:rFonts w:eastAsia="Calibri" w:cs="Arial"/>
                <w:sz w:val="20"/>
                <w:szCs w:val="20"/>
                <w:lang w:val="en-US"/>
              </w:rPr>
              <w:t>. Drivers drawn from a range of data sets.</w:t>
            </w:r>
          </w:p>
        </w:tc>
        <w:tc>
          <w:tcPr>
            <w:tcW w:w="3166" w:type="dxa"/>
          </w:tcPr>
          <w:p w14:paraId="0795C55C" w14:textId="3C2052B6" w:rsidR="00CC2E51" w:rsidRDefault="00CC2E51" w:rsidP="003A5D9D">
            <w:pPr>
              <w:tabs>
                <w:tab w:val="left" w:pos="1041"/>
              </w:tabs>
            </w:pPr>
            <w:r w:rsidRPr="00CC5C7C">
              <w:rPr>
                <w:rFonts w:eastAsia="Calibri" w:cs="Arial"/>
                <w:color w:val="0563C1"/>
                <w:sz w:val="20"/>
                <w:szCs w:val="20"/>
                <w:u w:val="single"/>
                <w:lang w:val="en-US"/>
              </w:rPr>
              <w:t>https://mappingthepotential.cssa.org.au/</w:t>
            </w:r>
          </w:p>
        </w:tc>
      </w:tr>
    </w:tbl>
    <w:p w14:paraId="5646C125" w14:textId="7115448F" w:rsidR="009B7A80" w:rsidRPr="00934A5B" w:rsidRDefault="009B7A80" w:rsidP="00934A5B">
      <w:pPr>
        <w:tabs>
          <w:tab w:val="left" w:pos="1926"/>
        </w:tabs>
      </w:pPr>
    </w:p>
    <w:sectPr w:rsidR="009B7A80" w:rsidRPr="00934A5B" w:rsidSect="00CC5C7C">
      <w:headerReference w:type="even" r:id="rId52"/>
      <w:headerReference w:type="default" r:id="rId53"/>
      <w:headerReference w:type="first" r:id="rId54"/>
      <w:pgSz w:w="16838" w:h="11906" w:orient="landscape"/>
      <w:pgMar w:top="1276" w:right="709" w:bottom="1440" w:left="993" w:header="708" w:footer="5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9CE1" w16cex:dateUtc="2021-03-01T06:03:00Z"/>
  <w16cex:commentExtensible w16cex:durableId="23E73525" w16cex:dateUtc="2021-02-28T22:40:00Z"/>
  <w16cex:commentExtensible w16cex:durableId="23E73972" w16cex:dateUtc="2021-02-28T22:59:00Z"/>
  <w16cex:commentExtensible w16cex:durableId="23E2302B" w16cex:dateUtc="2021-02-25T03:18:00Z"/>
  <w16cex:commentExtensible w16cex:durableId="23E2306D" w16cex:dateUtc="2021-02-25T03:19:00Z"/>
  <w16cex:commentExtensible w16cex:durableId="23E2321A" w16cex:dateUtc="2021-02-25T03:26:00Z"/>
  <w16cex:commentExtensible w16cex:durableId="23E23224" w16cex:dateUtc="2021-02-25T03:26:00Z"/>
  <w16cex:commentExtensible w16cex:durableId="23E7619E" w16cex:dateUtc="2021-03-01T01:50:00Z"/>
  <w16cex:commentExtensible w16cex:durableId="23E795F3" w16cex:dateUtc="2021-03-01T05:33:00Z"/>
  <w16cex:commentExtensible w16cex:durableId="23E74095" w16cex:dateUtc="2021-02-28T23:29:00Z"/>
  <w16cex:commentExtensible w16cex:durableId="23E79982" w16cex:dateUtc="2021-03-01T05:49:00Z"/>
  <w16cex:commentExtensible w16cex:durableId="23E75CFE" w16cex:dateUtc="2021-03-01T01:30:00Z"/>
  <w16cex:commentExtensible w16cex:durableId="23E7971C" w16cex:dateUtc="2021-03-01T05:38:00Z"/>
  <w16cex:commentExtensible w16cex:durableId="23E78F13" w16cex:dateUtc="2021-03-01T05:04:00Z"/>
  <w16cex:commentExtensible w16cex:durableId="23E238C5" w16cex:dateUtc="2021-02-25T03:55:00Z"/>
  <w16cex:commentExtensible w16cex:durableId="23E75D62" w16cex:dateUtc="2021-03-01T01:32:00Z"/>
  <w16cex:commentExtensible w16cex:durableId="23E79946" w16cex:dateUtc="2021-03-01T05:48:00Z"/>
  <w16cex:commentExtensible w16cex:durableId="23E7979D" w16cex:dateUtc="2021-03-01T05:41:00Z"/>
  <w16cex:commentExtensible w16cex:durableId="23E75DB6" w16cex:dateUtc="2021-03-01T01:33:00Z"/>
  <w16cex:commentExtensible w16cex:durableId="23E75DD6" w16cex:dateUtc="2021-03-01T01:34:00Z"/>
  <w16cex:commentExtensible w16cex:durableId="23E2262E" w16cex:dateUtc="2021-02-25T02:35:00Z"/>
  <w16cex:commentExtensible w16cex:durableId="23E21E73" w16cex:dateUtc="2021-02-25T02:02:00Z"/>
  <w16cex:commentExtensible w16cex:durableId="23E76006" w16cex:dateUtc="2021-03-01T01:43:00Z"/>
  <w16cex:commentExtensible w16cex:durableId="23E76056" w16cex:dateUtc="2021-03-01T01:45:00Z"/>
  <w16cex:commentExtensible w16cex:durableId="23E79B46" w16cex:dateUtc="2021-03-01T05:56:00Z"/>
  <w16cex:commentExtensible w16cex:durableId="23E75FB5" w16cex:dateUtc="2021-03-01T01:42:00Z"/>
  <w16cex:commentExtensible w16cex:durableId="23E7613C" w16cex:dateUtc="2021-03-01T01:49:00Z"/>
  <w16cex:commentExtensible w16cex:durableId="23E79BA4" w16cex:dateUtc="2021-03-01T05:58:00Z"/>
  <w16cex:commentExtensible w16cex:durableId="23E236FC" w16cex:dateUtc="2021-02-25T03:47:00Z"/>
  <w16cex:commentExtensible w16cex:durableId="23E7616B" w16cex:dateUtc="2021-03-01T01:49:00Z"/>
  <w16cex:commentExtensible w16cex:durableId="23E79BE4" w16cex:dateUtc="2021-03-01T05:59:00Z"/>
  <w16cex:commentExtensible w16cex:durableId="23E2494F" w16cex:dateUtc="2021-02-25T05:05:00Z"/>
  <w16cex:commentExtensible w16cex:durableId="23E761CF" w16cex:dateUtc="2021-03-01T01:51:00Z"/>
  <w16cex:commentExtensible w16cex:durableId="23E76238" w16cex:dateUtc="2021-03-01T01:53:00Z"/>
  <w16cex:commentExtensible w16cex:durableId="23E7635D" w16cex:dateUtc="2021-03-01T01:58:00Z"/>
  <w16cex:commentExtensible w16cex:durableId="23E79D7E" w16cex:dateUtc="2021-03-01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5B781C" w16cid:durableId="23E22DD5"/>
  <w16cid:commentId w16cid:paraId="0AB541AC" w16cid:durableId="23E79CE1"/>
  <w16cid:commentId w16cid:paraId="7F0CA4A3" w16cid:durableId="23E73525"/>
  <w16cid:commentId w16cid:paraId="473007D7" w16cid:durableId="23E73972"/>
  <w16cid:commentId w16cid:paraId="6B3981DA" w16cid:durableId="23E22DD6"/>
  <w16cid:commentId w16cid:paraId="2C03BC60" w16cid:durableId="23E2302B"/>
  <w16cid:commentId w16cid:paraId="4F574ED5" w16cid:durableId="23E2306D"/>
  <w16cid:commentId w16cid:paraId="488BBC96" w16cid:durableId="23E2321A"/>
  <w16cid:commentId w16cid:paraId="61A968A1" w16cid:durableId="23E23224"/>
  <w16cid:commentId w16cid:paraId="54DF53BE" w16cid:durableId="23E7619E"/>
  <w16cid:commentId w16cid:paraId="720F2BF4" w16cid:durableId="23E795F3"/>
  <w16cid:commentId w16cid:paraId="236981A8" w16cid:durableId="23E74095"/>
  <w16cid:commentId w16cid:paraId="14088F81" w16cid:durableId="23E79982"/>
  <w16cid:commentId w16cid:paraId="37E3C025" w16cid:durableId="23E75CFE"/>
  <w16cid:commentId w16cid:paraId="73AE3068" w16cid:durableId="23E7971C"/>
  <w16cid:commentId w16cid:paraId="3D8EAF29" w16cid:durableId="23E78F13"/>
  <w16cid:commentId w16cid:paraId="0C1660C7" w16cid:durableId="23E238C5"/>
  <w16cid:commentId w16cid:paraId="7A205F89" w16cid:durableId="23E75D62"/>
  <w16cid:commentId w16cid:paraId="3B709853" w16cid:durableId="23E79946"/>
  <w16cid:commentId w16cid:paraId="10C5DC09" w16cid:durableId="23E7979D"/>
  <w16cid:commentId w16cid:paraId="243C3C1A" w16cid:durableId="23E75DB6"/>
  <w16cid:commentId w16cid:paraId="409F1317" w16cid:durableId="23E75DD6"/>
  <w16cid:commentId w16cid:paraId="4C51A83F" w16cid:durableId="23E0F541"/>
  <w16cid:commentId w16cid:paraId="73B052A6" w16cid:durableId="23E2262E"/>
  <w16cid:commentId w16cid:paraId="5CAA93A0" w16cid:durableId="23E22DD7"/>
  <w16cid:commentId w16cid:paraId="4DEFED9E" w16cid:durableId="23E21E73"/>
  <w16cid:commentId w16cid:paraId="1B181737" w16cid:durableId="23E76006"/>
  <w16cid:commentId w16cid:paraId="0381304F" w16cid:durableId="23E76056"/>
  <w16cid:commentId w16cid:paraId="54BE4F81" w16cid:durableId="23E79B46"/>
  <w16cid:commentId w16cid:paraId="0E65B366" w16cid:durableId="23E22DD8"/>
  <w16cid:commentId w16cid:paraId="05E7A14C" w16cid:durableId="23E22DD9"/>
  <w16cid:commentId w16cid:paraId="363DB4EF" w16cid:durableId="23E75FB5"/>
  <w16cid:commentId w16cid:paraId="40EC61BD" w16cid:durableId="23E7613C"/>
  <w16cid:commentId w16cid:paraId="068279D9" w16cid:durableId="23E79BA4"/>
  <w16cid:commentId w16cid:paraId="5F9B66D4" w16cid:durableId="23E236FC"/>
  <w16cid:commentId w16cid:paraId="6437F871" w16cid:durableId="23E7616B"/>
  <w16cid:commentId w16cid:paraId="2C1BC566" w16cid:durableId="23E79BE4"/>
  <w16cid:commentId w16cid:paraId="65CB4F18" w16cid:durableId="23E2494F"/>
  <w16cid:commentId w16cid:paraId="512AEA18" w16cid:durableId="23E761CF"/>
  <w16cid:commentId w16cid:paraId="62ADCBD7" w16cid:durableId="23E76238"/>
  <w16cid:commentId w16cid:paraId="672B6F00" w16cid:durableId="23E22DDA"/>
  <w16cid:commentId w16cid:paraId="173380F0" w16cid:durableId="23E7635D"/>
  <w16cid:commentId w16cid:paraId="3129BE88" w16cid:durableId="23E79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EE6ED" w14:textId="77777777" w:rsidR="001E3085" w:rsidRDefault="001E3085">
      <w:pPr>
        <w:spacing w:after="0" w:line="240" w:lineRule="auto"/>
      </w:pPr>
      <w:r>
        <w:separator/>
      </w:r>
    </w:p>
  </w:endnote>
  <w:endnote w:type="continuationSeparator" w:id="0">
    <w:p w14:paraId="78BF8736" w14:textId="77777777" w:rsidR="001E3085" w:rsidRDefault="001E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6869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29E5CE7" w14:textId="1B0DC75D" w:rsidR="00851C2D" w:rsidRPr="006E1939" w:rsidRDefault="00851C2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6E1939">
          <w:rPr>
            <w:rFonts w:ascii="Arial" w:hAnsi="Arial" w:cs="Arial"/>
            <w:sz w:val="20"/>
            <w:szCs w:val="20"/>
          </w:rPr>
          <w:fldChar w:fldCharType="begin"/>
        </w:r>
        <w:r w:rsidRPr="006E19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E1939">
          <w:rPr>
            <w:rFonts w:ascii="Arial" w:hAnsi="Arial" w:cs="Arial"/>
            <w:sz w:val="20"/>
            <w:szCs w:val="20"/>
          </w:rPr>
          <w:fldChar w:fldCharType="separate"/>
        </w:r>
        <w:r w:rsidR="002D5F54">
          <w:rPr>
            <w:rFonts w:ascii="Arial" w:hAnsi="Arial" w:cs="Arial"/>
            <w:noProof/>
            <w:sz w:val="20"/>
            <w:szCs w:val="20"/>
          </w:rPr>
          <w:t>2</w:t>
        </w:r>
        <w:r w:rsidRPr="006E19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FB83C" w14:textId="77777777" w:rsidR="001E3085" w:rsidRDefault="001E3085">
      <w:pPr>
        <w:spacing w:after="0" w:line="240" w:lineRule="auto"/>
      </w:pPr>
      <w:r>
        <w:separator/>
      </w:r>
    </w:p>
  </w:footnote>
  <w:footnote w:type="continuationSeparator" w:id="0">
    <w:p w14:paraId="56C2F60A" w14:textId="77777777" w:rsidR="001E3085" w:rsidRDefault="001E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881B1" w14:textId="13232AA8" w:rsidR="00851C2D" w:rsidRDefault="00851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9E27" w14:textId="77777777" w:rsidR="00851C2D" w:rsidRDefault="00851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4BE2" w14:textId="77777777" w:rsidR="00851C2D" w:rsidRPr="00934A5B" w:rsidRDefault="00851C2D" w:rsidP="00934A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6A6BF" w14:textId="77777777" w:rsidR="00851C2D" w:rsidRDefault="00851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25A"/>
    <w:multiLevelType w:val="hybridMultilevel"/>
    <w:tmpl w:val="7D640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35EE"/>
    <w:multiLevelType w:val="hybridMultilevel"/>
    <w:tmpl w:val="3EDE2A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6686E"/>
    <w:multiLevelType w:val="hybridMultilevel"/>
    <w:tmpl w:val="A6209C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96E34"/>
    <w:multiLevelType w:val="hybridMultilevel"/>
    <w:tmpl w:val="0436D72E"/>
    <w:lvl w:ilvl="0" w:tplc="C35E8F7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0A91"/>
    <w:multiLevelType w:val="hybridMultilevel"/>
    <w:tmpl w:val="2C24C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2AB"/>
    <w:multiLevelType w:val="hybridMultilevel"/>
    <w:tmpl w:val="04545F9A"/>
    <w:lvl w:ilvl="0" w:tplc="C35E8F7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6AF1"/>
    <w:multiLevelType w:val="hybridMultilevel"/>
    <w:tmpl w:val="E032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CD9"/>
    <w:multiLevelType w:val="hybridMultilevel"/>
    <w:tmpl w:val="FE545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1536"/>
    <w:multiLevelType w:val="hybridMultilevel"/>
    <w:tmpl w:val="F98404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523009"/>
    <w:multiLevelType w:val="hybridMultilevel"/>
    <w:tmpl w:val="1E6C5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A3A0A"/>
    <w:multiLevelType w:val="hybridMultilevel"/>
    <w:tmpl w:val="E8E2B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14D54"/>
    <w:multiLevelType w:val="hybridMultilevel"/>
    <w:tmpl w:val="BC547992"/>
    <w:lvl w:ilvl="0" w:tplc="C35E8F7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A3E49"/>
    <w:multiLevelType w:val="hybridMultilevel"/>
    <w:tmpl w:val="718C9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E6A3E"/>
    <w:multiLevelType w:val="hybridMultilevel"/>
    <w:tmpl w:val="362A79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5238E"/>
    <w:multiLevelType w:val="hybridMultilevel"/>
    <w:tmpl w:val="6706B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24E5A"/>
    <w:multiLevelType w:val="hybridMultilevel"/>
    <w:tmpl w:val="4B242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A436B"/>
    <w:multiLevelType w:val="hybridMultilevel"/>
    <w:tmpl w:val="37A8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30335"/>
    <w:multiLevelType w:val="hybridMultilevel"/>
    <w:tmpl w:val="7B528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D31CF"/>
    <w:multiLevelType w:val="hybridMultilevel"/>
    <w:tmpl w:val="D5C0C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F2C5A"/>
    <w:multiLevelType w:val="hybridMultilevel"/>
    <w:tmpl w:val="42CAAB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26F02"/>
    <w:multiLevelType w:val="hybridMultilevel"/>
    <w:tmpl w:val="5A82A94A"/>
    <w:lvl w:ilvl="0" w:tplc="AA2E35E8"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BCA48A7"/>
    <w:multiLevelType w:val="hybridMultilevel"/>
    <w:tmpl w:val="53E2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8709B"/>
    <w:multiLevelType w:val="hybridMultilevel"/>
    <w:tmpl w:val="6820182A"/>
    <w:lvl w:ilvl="0" w:tplc="C35E8F7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07DB8"/>
    <w:multiLevelType w:val="hybridMultilevel"/>
    <w:tmpl w:val="B1C678C8"/>
    <w:lvl w:ilvl="0" w:tplc="C35E8F7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3443"/>
    <w:multiLevelType w:val="hybridMultilevel"/>
    <w:tmpl w:val="7C5E9AA6"/>
    <w:lvl w:ilvl="0" w:tplc="C35E8F7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6517C"/>
    <w:multiLevelType w:val="hybridMultilevel"/>
    <w:tmpl w:val="7E6A35AC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43FDA"/>
    <w:multiLevelType w:val="hybridMultilevel"/>
    <w:tmpl w:val="8A9AA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01818"/>
    <w:multiLevelType w:val="hybridMultilevel"/>
    <w:tmpl w:val="F49ED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E67C5"/>
    <w:multiLevelType w:val="hybridMultilevel"/>
    <w:tmpl w:val="9C2A60E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EA5A6E"/>
    <w:multiLevelType w:val="hybridMultilevel"/>
    <w:tmpl w:val="0144C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4081F"/>
    <w:multiLevelType w:val="hybridMultilevel"/>
    <w:tmpl w:val="8AD0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A5859"/>
    <w:multiLevelType w:val="hybridMultilevel"/>
    <w:tmpl w:val="4E5EBA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8741B"/>
    <w:multiLevelType w:val="hybridMultilevel"/>
    <w:tmpl w:val="C16CE4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2"/>
  </w:num>
  <w:num w:numId="4">
    <w:abstractNumId w:val="24"/>
  </w:num>
  <w:num w:numId="5">
    <w:abstractNumId w:val="23"/>
  </w:num>
  <w:num w:numId="6">
    <w:abstractNumId w:val="5"/>
  </w:num>
  <w:num w:numId="7">
    <w:abstractNumId w:val="19"/>
  </w:num>
  <w:num w:numId="8">
    <w:abstractNumId w:val="10"/>
  </w:num>
  <w:num w:numId="9">
    <w:abstractNumId w:val="28"/>
  </w:num>
  <w:num w:numId="10">
    <w:abstractNumId w:val="13"/>
  </w:num>
  <w:num w:numId="11">
    <w:abstractNumId w:val="8"/>
  </w:num>
  <w:num w:numId="12">
    <w:abstractNumId w:val="25"/>
  </w:num>
  <w:num w:numId="13">
    <w:abstractNumId w:val="1"/>
  </w:num>
  <w:num w:numId="14">
    <w:abstractNumId w:val="9"/>
  </w:num>
  <w:num w:numId="15">
    <w:abstractNumId w:val="4"/>
  </w:num>
  <w:num w:numId="16">
    <w:abstractNumId w:val="26"/>
  </w:num>
  <w:num w:numId="17">
    <w:abstractNumId w:val="18"/>
  </w:num>
  <w:num w:numId="18">
    <w:abstractNumId w:val="7"/>
  </w:num>
  <w:num w:numId="19">
    <w:abstractNumId w:val="17"/>
  </w:num>
  <w:num w:numId="20">
    <w:abstractNumId w:val="15"/>
  </w:num>
  <w:num w:numId="21">
    <w:abstractNumId w:val="32"/>
  </w:num>
  <w:num w:numId="22">
    <w:abstractNumId w:val="2"/>
  </w:num>
  <w:num w:numId="23">
    <w:abstractNumId w:val="29"/>
  </w:num>
  <w:num w:numId="24">
    <w:abstractNumId w:val="0"/>
  </w:num>
  <w:num w:numId="25">
    <w:abstractNumId w:val="18"/>
  </w:num>
  <w:num w:numId="26">
    <w:abstractNumId w:val="12"/>
  </w:num>
  <w:num w:numId="27">
    <w:abstractNumId w:val="14"/>
  </w:num>
  <w:num w:numId="28">
    <w:abstractNumId w:val="3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7"/>
  </w:num>
  <w:num w:numId="33">
    <w:abstractNumId w:val="2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7"/>
    <w:rsid w:val="00006D1E"/>
    <w:rsid w:val="000132C8"/>
    <w:rsid w:val="00016603"/>
    <w:rsid w:val="000219F0"/>
    <w:rsid w:val="0002620E"/>
    <w:rsid w:val="0003023F"/>
    <w:rsid w:val="000319C5"/>
    <w:rsid w:val="00031CCA"/>
    <w:rsid w:val="00034B08"/>
    <w:rsid w:val="00041EC2"/>
    <w:rsid w:val="000452E4"/>
    <w:rsid w:val="00062DF1"/>
    <w:rsid w:val="000813FB"/>
    <w:rsid w:val="00083C39"/>
    <w:rsid w:val="000918A6"/>
    <w:rsid w:val="00093C4F"/>
    <w:rsid w:val="000A4CB7"/>
    <w:rsid w:val="000A4E3B"/>
    <w:rsid w:val="000A6ECB"/>
    <w:rsid w:val="000B2051"/>
    <w:rsid w:val="000B4E03"/>
    <w:rsid w:val="000B541D"/>
    <w:rsid w:val="000B5D18"/>
    <w:rsid w:val="000C5C98"/>
    <w:rsid w:val="000C66F8"/>
    <w:rsid w:val="000D30CE"/>
    <w:rsid w:val="000D54E2"/>
    <w:rsid w:val="000E4BA1"/>
    <w:rsid w:val="000E78EA"/>
    <w:rsid w:val="000F066E"/>
    <w:rsid w:val="0010043A"/>
    <w:rsid w:val="00101FFA"/>
    <w:rsid w:val="00112F63"/>
    <w:rsid w:val="001163D2"/>
    <w:rsid w:val="00121799"/>
    <w:rsid w:val="0012282F"/>
    <w:rsid w:val="0013308C"/>
    <w:rsid w:val="00136471"/>
    <w:rsid w:val="00141D60"/>
    <w:rsid w:val="00146AEB"/>
    <w:rsid w:val="00155A78"/>
    <w:rsid w:val="00164DF1"/>
    <w:rsid w:val="00164E21"/>
    <w:rsid w:val="00166B17"/>
    <w:rsid w:val="00173CC2"/>
    <w:rsid w:val="00174FC4"/>
    <w:rsid w:val="00176381"/>
    <w:rsid w:val="00180265"/>
    <w:rsid w:val="0018590F"/>
    <w:rsid w:val="0019791C"/>
    <w:rsid w:val="00197C99"/>
    <w:rsid w:val="001A46ED"/>
    <w:rsid w:val="001B0E1A"/>
    <w:rsid w:val="001B22F3"/>
    <w:rsid w:val="001B6F32"/>
    <w:rsid w:val="001C509F"/>
    <w:rsid w:val="001C5CF7"/>
    <w:rsid w:val="001D1945"/>
    <w:rsid w:val="001E3085"/>
    <w:rsid w:val="001E586E"/>
    <w:rsid w:val="001E630D"/>
    <w:rsid w:val="001E7DAD"/>
    <w:rsid w:val="00201E02"/>
    <w:rsid w:val="00201F41"/>
    <w:rsid w:val="002070BF"/>
    <w:rsid w:val="00211423"/>
    <w:rsid w:val="002124D6"/>
    <w:rsid w:val="002162E0"/>
    <w:rsid w:val="00216510"/>
    <w:rsid w:val="00223A53"/>
    <w:rsid w:val="002276F6"/>
    <w:rsid w:val="00243652"/>
    <w:rsid w:val="002474F0"/>
    <w:rsid w:val="002476BC"/>
    <w:rsid w:val="00256518"/>
    <w:rsid w:val="00267AF6"/>
    <w:rsid w:val="00271390"/>
    <w:rsid w:val="00275E96"/>
    <w:rsid w:val="002760CB"/>
    <w:rsid w:val="0028566C"/>
    <w:rsid w:val="00291957"/>
    <w:rsid w:val="002931B2"/>
    <w:rsid w:val="00294A8F"/>
    <w:rsid w:val="0029690E"/>
    <w:rsid w:val="002B118B"/>
    <w:rsid w:val="002B76B2"/>
    <w:rsid w:val="002C37FB"/>
    <w:rsid w:val="002C442C"/>
    <w:rsid w:val="002C5DFA"/>
    <w:rsid w:val="002C6A8D"/>
    <w:rsid w:val="002D5F54"/>
    <w:rsid w:val="002F223F"/>
    <w:rsid w:val="00304EA6"/>
    <w:rsid w:val="00314EAB"/>
    <w:rsid w:val="0032548B"/>
    <w:rsid w:val="00327966"/>
    <w:rsid w:val="00331C59"/>
    <w:rsid w:val="003372DE"/>
    <w:rsid w:val="00354180"/>
    <w:rsid w:val="00355A0C"/>
    <w:rsid w:val="0036257C"/>
    <w:rsid w:val="00365052"/>
    <w:rsid w:val="003651A2"/>
    <w:rsid w:val="00375037"/>
    <w:rsid w:val="0037637A"/>
    <w:rsid w:val="00376EB5"/>
    <w:rsid w:val="003824BC"/>
    <w:rsid w:val="00382D7C"/>
    <w:rsid w:val="00391DF4"/>
    <w:rsid w:val="00392951"/>
    <w:rsid w:val="003A5D9D"/>
    <w:rsid w:val="003A7088"/>
    <w:rsid w:val="003B08B6"/>
    <w:rsid w:val="003B2BB8"/>
    <w:rsid w:val="003C32AD"/>
    <w:rsid w:val="003D34FF"/>
    <w:rsid w:val="003E0771"/>
    <w:rsid w:val="003E7AE1"/>
    <w:rsid w:val="003F2FDB"/>
    <w:rsid w:val="003F3267"/>
    <w:rsid w:val="003F6447"/>
    <w:rsid w:val="003F67F3"/>
    <w:rsid w:val="00401228"/>
    <w:rsid w:val="00404E5A"/>
    <w:rsid w:val="00407BA2"/>
    <w:rsid w:val="004117F4"/>
    <w:rsid w:val="004137EF"/>
    <w:rsid w:val="00417438"/>
    <w:rsid w:val="00422C52"/>
    <w:rsid w:val="00425C5B"/>
    <w:rsid w:val="00427A7F"/>
    <w:rsid w:val="00430787"/>
    <w:rsid w:val="00441DB8"/>
    <w:rsid w:val="00441E57"/>
    <w:rsid w:val="00443F1E"/>
    <w:rsid w:val="00446C92"/>
    <w:rsid w:val="00465407"/>
    <w:rsid w:val="00465E99"/>
    <w:rsid w:val="0046758C"/>
    <w:rsid w:val="00480272"/>
    <w:rsid w:val="00482B1C"/>
    <w:rsid w:val="00482B3E"/>
    <w:rsid w:val="004843B4"/>
    <w:rsid w:val="004B54CA"/>
    <w:rsid w:val="004B6CE6"/>
    <w:rsid w:val="004C0F98"/>
    <w:rsid w:val="004C2512"/>
    <w:rsid w:val="004C422B"/>
    <w:rsid w:val="004C7A7C"/>
    <w:rsid w:val="004C7F3F"/>
    <w:rsid w:val="004E0F1E"/>
    <w:rsid w:val="004E2792"/>
    <w:rsid w:val="004E5CBF"/>
    <w:rsid w:val="004E62DA"/>
    <w:rsid w:val="004E7EB9"/>
    <w:rsid w:val="004F19CB"/>
    <w:rsid w:val="004F57DA"/>
    <w:rsid w:val="004F60F9"/>
    <w:rsid w:val="004F66A2"/>
    <w:rsid w:val="004F7073"/>
    <w:rsid w:val="00500E98"/>
    <w:rsid w:val="00503BAF"/>
    <w:rsid w:val="00506D6C"/>
    <w:rsid w:val="005073BD"/>
    <w:rsid w:val="005123E7"/>
    <w:rsid w:val="00522166"/>
    <w:rsid w:val="00524261"/>
    <w:rsid w:val="005252B6"/>
    <w:rsid w:val="005270D4"/>
    <w:rsid w:val="00527AA0"/>
    <w:rsid w:val="00527CDD"/>
    <w:rsid w:val="005467BC"/>
    <w:rsid w:val="00546956"/>
    <w:rsid w:val="0055194A"/>
    <w:rsid w:val="00552449"/>
    <w:rsid w:val="00553F44"/>
    <w:rsid w:val="00561DA8"/>
    <w:rsid w:val="0056372C"/>
    <w:rsid w:val="005708A8"/>
    <w:rsid w:val="005837A0"/>
    <w:rsid w:val="005841CE"/>
    <w:rsid w:val="00584652"/>
    <w:rsid w:val="00585E54"/>
    <w:rsid w:val="005908A8"/>
    <w:rsid w:val="0059384F"/>
    <w:rsid w:val="00593A45"/>
    <w:rsid w:val="0059690E"/>
    <w:rsid w:val="005A2228"/>
    <w:rsid w:val="005B3F57"/>
    <w:rsid w:val="005B586D"/>
    <w:rsid w:val="005B5DE2"/>
    <w:rsid w:val="005B6997"/>
    <w:rsid w:val="005B78D1"/>
    <w:rsid w:val="005B7AC9"/>
    <w:rsid w:val="005C327A"/>
    <w:rsid w:val="005C3AA9"/>
    <w:rsid w:val="005C4C63"/>
    <w:rsid w:val="005C6B9A"/>
    <w:rsid w:val="005E41FD"/>
    <w:rsid w:val="00601313"/>
    <w:rsid w:val="00603C2A"/>
    <w:rsid w:val="006067BF"/>
    <w:rsid w:val="00606A9C"/>
    <w:rsid w:val="00607800"/>
    <w:rsid w:val="00610423"/>
    <w:rsid w:val="0061331F"/>
    <w:rsid w:val="00615159"/>
    <w:rsid w:val="00615560"/>
    <w:rsid w:val="006159ED"/>
    <w:rsid w:val="006227DB"/>
    <w:rsid w:val="00623F25"/>
    <w:rsid w:val="00632467"/>
    <w:rsid w:val="0063337B"/>
    <w:rsid w:val="00633388"/>
    <w:rsid w:val="00636144"/>
    <w:rsid w:val="006437ED"/>
    <w:rsid w:val="00644C2C"/>
    <w:rsid w:val="006464D4"/>
    <w:rsid w:val="00650DE9"/>
    <w:rsid w:val="006526FD"/>
    <w:rsid w:val="00653991"/>
    <w:rsid w:val="00655111"/>
    <w:rsid w:val="006679AF"/>
    <w:rsid w:val="006825E6"/>
    <w:rsid w:val="006914F2"/>
    <w:rsid w:val="00694AD3"/>
    <w:rsid w:val="00696039"/>
    <w:rsid w:val="006A4AEE"/>
    <w:rsid w:val="006A4CE7"/>
    <w:rsid w:val="006B1568"/>
    <w:rsid w:val="006B1AFC"/>
    <w:rsid w:val="006C341C"/>
    <w:rsid w:val="006C422D"/>
    <w:rsid w:val="006D0A68"/>
    <w:rsid w:val="006D0E7C"/>
    <w:rsid w:val="006E1939"/>
    <w:rsid w:val="006E1E12"/>
    <w:rsid w:val="006E65A2"/>
    <w:rsid w:val="006F1D13"/>
    <w:rsid w:val="0070654D"/>
    <w:rsid w:val="00706758"/>
    <w:rsid w:val="007163D8"/>
    <w:rsid w:val="0073130F"/>
    <w:rsid w:val="007332AD"/>
    <w:rsid w:val="00734C09"/>
    <w:rsid w:val="007416A7"/>
    <w:rsid w:val="007648A4"/>
    <w:rsid w:val="00770AD1"/>
    <w:rsid w:val="00772011"/>
    <w:rsid w:val="00773079"/>
    <w:rsid w:val="007818FF"/>
    <w:rsid w:val="00781C63"/>
    <w:rsid w:val="00785261"/>
    <w:rsid w:val="0078643F"/>
    <w:rsid w:val="007B0256"/>
    <w:rsid w:val="007B142C"/>
    <w:rsid w:val="007C078D"/>
    <w:rsid w:val="007C2E55"/>
    <w:rsid w:val="007C453E"/>
    <w:rsid w:val="007D2AB7"/>
    <w:rsid w:val="007D36D7"/>
    <w:rsid w:val="007D621D"/>
    <w:rsid w:val="007D7EBD"/>
    <w:rsid w:val="007E29DA"/>
    <w:rsid w:val="007E69BF"/>
    <w:rsid w:val="007F2086"/>
    <w:rsid w:val="007F4F4F"/>
    <w:rsid w:val="007F7195"/>
    <w:rsid w:val="00800903"/>
    <w:rsid w:val="00806F9F"/>
    <w:rsid w:val="00810DC6"/>
    <w:rsid w:val="00811EC8"/>
    <w:rsid w:val="00817321"/>
    <w:rsid w:val="00817EFC"/>
    <w:rsid w:val="008328AC"/>
    <w:rsid w:val="00833F72"/>
    <w:rsid w:val="0083508F"/>
    <w:rsid w:val="0083758D"/>
    <w:rsid w:val="00844738"/>
    <w:rsid w:val="0084788C"/>
    <w:rsid w:val="00851C2D"/>
    <w:rsid w:val="0085463B"/>
    <w:rsid w:val="008562B9"/>
    <w:rsid w:val="00864207"/>
    <w:rsid w:val="0087465C"/>
    <w:rsid w:val="0088150B"/>
    <w:rsid w:val="008821F1"/>
    <w:rsid w:val="008931D5"/>
    <w:rsid w:val="008946DF"/>
    <w:rsid w:val="0089720F"/>
    <w:rsid w:val="008A33D1"/>
    <w:rsid w:val="008B0CD6"/>
    <w:rsid w:val="008C00AE"/>
    <w:rsid w:val="008C2A7C"/>
    <w:rsid w:val="008D4316"/>
    <w:rsid w:val="008E3BCA"/>
    <w:rsid w:val="00906502"/>
    <w:rsid w:val="00912E91"/>
    <w:rsid w:val="0091798E"/>
    <w:rsid w:val="009207EF"/>
    <w:rsid w:val="009225F0"/>
    <w:rsid w:val="0092478A"/>
    <w:rsid w:val="009249FB"/>
    <w:rsid w:val="00934A5B"/>
    <w:rsid w:val="00945E8A"/>
    <w:rsid w:val="0094623D"/>
    <w:rsid w:val="009601C9"/>
    <w:rsid w:val="00960F7E"/>
    <w:rsid w:val="00972C56"/>
    <w:rsid w:val="00973A66"/>
    <w:rsid w:val="009763F0"/>
    <w:rsid w:val="00982B20"/>
    <w:rsid w:val="009A121B"/>
    <w:rsid w:val="009A587B"/>
    <w:rsid w:val="009A7DD0"/>
    <w:rsid w:val="009B17BF"/>
    <w:rsid w:val="009B7A80"/>
    <w:rsid w:val="009D1704"/>
    <w:rsid w:val="009E315F"/>
    <w:rsid w:val="009F1004"/>
    <w:rsid w:val="009F3490"/>
    <w:rsid w:val="009F6816"/>
    <w:rsid w:val="00A068B3"/>
    <w:rsid w:val="00A07F0E"/>
    <w:rsid w:val="00A20CE0"/>
    <w:rsid w:val="00A275FF"/>
    <w:rsid w:val="00A31D66"/>
    <w:rsid w:val="00A34672"/>
    <w:rsid w:val="00A353A4"/>
    <w:rsid w:val="00A3785D"/>
    <w:rsid w:val="00A37DED"/>
    <w:rsid w:val="00A4798A"/>
    <w:rsid w:val="00A5159C"/>
    <w:rsid w:val="00A55202"/>
    <w:rsid w:val="00A55A34"/>
    <w:rsid w:val="00A56C41"/>
    <w:rsid w:val="00A775BC"/>
    <w:rsid w:val="00A81D4B"/>
    <w:rsid w:val="00A82D7E"/>
    <w:rsid w:val="00A839E8"/>
    <w:rsid w:val="00A85F17"/>
    <w:rsid w:val="00A94F80"/>
    <w:rsid w:val="00AA3BF0"/>
    <w:rsid w:val="00AA56EB"/>
    <w:rsid w:val="00AA646B"/>
    <w:rsid w:val="00AB3BD9"/>
    <w:rsid w:val="00AB7F71"/>
    <w:rsid w:val="00AC1259"/>
    <w:rsid w:val="00AC2F61"/>
    <w:rsid w:val="00AE091D"/>
    <w:rsid w:val="00AE5DD9"/>
    <w:rsid w:val="00AF58AE"/>
    <w:rsid w:val="00AF6CCD"/>
    <w:rsid w:val="00B10597"/>
    <w:rsid w:val="00B11363"/>
    <w:rsid w:val="00B1234A"/>
    <w:rsid w:val="00B17F38"/>
    <w:rsid w:val="00B20A2B"/>
    <w:rsid w:val="00B23295"/>
    <w:rsid w:val="00B238D4"/>
    <w:rsid w:val="00B36FE2"/>
    <w:rsid w:val="00B6687E"/>
    <w:rsid w:val="00B71EA0"/>
    <w:rsid w:val="00B72C8C"/>
    <w:rsid w:val="00B7595E"/>
    <w:rsid w:val="00B81DA9"/>
    <w:rsid w:val="00B92797"/>
    <w:rsid w:val="00BA18AB"/>
    <w:rsid w:val="00BA2DB9"/>
    <w:rsid w:val="00BA64A9"/>
    <w:rsid w:val="00BB75EF"/>
    <w:rsid w:val="00BC7F62"/>
    <w:rsid w:val="00BD57C9"/>
    <w:rsid w:val="00BD774E"/>
    <w:rsid w:val="00BD78BF"/>
    <w:rsid w:val="00BE155B"/>
    <w:rsid w:val="00BE7148"/>
    <w:rsid w:val="00BF68DB"/>
    <w:rsid w:val="00C01DCE"/>
    <w:rsid w:val="00C07824"/>
    <w:rsid w:val="00C34328"/>
    <w:rsid w:val="00C41C92"/>
    <w:rsid w:val="00C45FBF"/>
    <w:rsid w:val="00C54D4C"/>
    <w:rsid w:val="00C56089"/>
    <w:rsid w:val="00C64C4E"/>
    <w:rsid w:val="00C77B33"/>
    <w:rsid w:val="00C83C5F"/>
    <w:rsid w:val="00C856B6"/>
    <w:rsid w:val="00CA13B2"/>
    <w:rsid w:val="00CA426B"/>
    <w:rsid w:val="00CB09D0"/>
    <w:rsid w:val="00CC27F8"/>
    <w:rsid w:val="00CC2E51"/>
    <w:rsid w:val="00CC5C7C"/>
    <w:rsid w:val="00CD21A3"/>
    <w:rsid w:val="00CD279E"/>
    <w:rsid w:val="00CD49D7"/>
    <w:rsid w:val="00CE0A6C"/>
    <w:rsid w:val="00CE2A14"/>
    <w:rsid w:val="00CE4FA7"/>
    <w:rsid w:val="00D04E0E"/>
    <w:rsid w:val="00D10A5D"/>
    <w:rsid w:val="00D11D92"/>
    <w:rsid w:val="00D121E7"/>
    <w:rsid w:val="00D20110"/>
    <w:rsid w:val="00D3158B"/>
    <w:rsid w:val="00D329E0"/>
    <w:rsid w:val="00D444C8"/>
    <w:rsid w:val="00D5148D"/>
    <w:rsid w:val="00D561D1"/>
    <w:rsid w:val="00D57C51"/>
    <w:rsid w:val="00D64DCC"/>
    <w:rsid w:val="00D70159"/>
    <w:rsid w:val="00D85BB7"/>
    <w:rsid w:val="00D9367A"/>
    <w:rsid w:val="00DA1F80"/>
    <w:rsid w:val="00DA525C"/>
    <w:rsid w:val="00DA7363"/>
    <w:rsid w:val="00DB384C"/>
    <w:rsid w:val="00DB4BC9"/>
    <w:rsid w:val="00DB4D58"/>
    <w:rsid w:val="00DB7145"/>
    <w:rsid w:val="00DB76B5"/>
    <w:rsid w:val="00DB7916"/>
    <w:rsid w:val="00DC712A"/>
    <w:rsid w:val="00DD441D"/>
    <w:rsid w:val="00DD65DF"/>
    <w:rsid w:val="00DD7F88"/>
    <w:rsid w:val="00DE5618"/>
    <w:rsid w:val="00DE5707"/>
    <w:rsid w:val="00DF5006"/>
    <w:rsid w:val="00DF5FDC"/>
    <w:rsid w:val="00E14270"/>
    <w:rsid w:val="00E228E7"/>
    <w:rsid w:val="00E265F5"/>
    <w:rsid w:val="00E27984"/>
    <w:rsid w:val="00E325C7"/>
    <w:rsid w:val="00E379B4"/>
    <w:rsid w:val="00E46809"/>
    <w:rsid w:val="00E64E93"/>
    <w:rsid w:val="00E679F8"/>
    <w:rsid w:val="00E7107F"/>
    <w:rsid w:val="00E86F7B"/>
    <w:rsid w:val="00E91246"/>
    <w:rsid w:val="00E91358"/>
    <w:rsid w:val="00E93B5E"/>
    <w:rsid w:val="00EA1703"/>
    <w:rsid w:val="00EA1957"/>
    <w:rsid w:val="00EA6269"/>
    <w:rsid w:val="00EA62A2"/>
    <w:rsid w:val="00EB5F0C"/>
    <w:rsid w:val="00EC253E"/>
    <w:rsid w:val="00ED1B82"/>
    <w:rsid w:val="00F046F4"/>
    <w:rsid w:val="00F05589"/>
    <w:rsid w:val="00F37ED8"/>
    <w:rsid w:val="00F41286"/>
    <w:rsid w:val="00F42F34"/>
    <w:rsid w:val="00F5193A"/>
    <w:rsid w:val="00F542D8"/>
    <w:rsid w:val="00F721D6"/>
    <w:rsid w:val="00F81D99"/>
    <w:rsid w:val="00F82C55"/>
    <w:rsid w:val="00F9331D"/>
    <w:rsid w:val="00FA06D5"/>
    <w:rsid w:val="00FB4FAD"/>
    <w:rsid w:val="00FC3516"/>
    <w:rsid w:val="00FC4BFA"/>
    <w:rsid w:val="00FC57D8"/>
    <w:rsid w:val="00FE690F"/>
    <w:rsid w:val="00FF0DBA"/>
    <w:rsid w:val="00FF2C3E"/>
    <w:rsid w:val="00FF52E2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51CD03"/>
  <w15:docId w15:val="{1FA7D713-2B5D-9342-905E-433DC5D2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DE570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570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57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570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D19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19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194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1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18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18B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9F6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C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72C"/>
    <w:rPr>
      <w:rFonts w:ascii="Arial" w:hAnsi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41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70BF"/>
    <w:pPr>
      <w:spacing w:after="0" w:line="240" w:lineRule="auto"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39"/>
    <w:rsid w:val="003A5D9D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4E0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s.ncoss.org.au/" TargetMode="External"/><Relationship Id="rId18" Type="http://schemas.openxmlformats.org/officeDocument/2006/relationships/hyperlink" Target="https://www.snaicc.org.au/wp-content/uploads/2020/02/1148_SNAICC_PartnershipBook_LR-Final.pdf" TargetMode="External"/><Relationship Id="rId26" Type="http://schemas.openxmlformats.org/officeDocument/2006/relationships/hyperlink" Target="https://www.clearhorizonacademy.com/wp-content/uploads/2020/05/MSC-user-guide-2005.pdf" TargetMode="External"/><Relationship Id="rId39" Type="http://schemas.openxmlformats.org/officeDocument/2006/relationships/hyperlink" Target="https://www1.health.gov.au/internet/main/publishing.nsf/Content/PHN-Home" TargetMode="External"/><Relationship Id="rId21" Type="http://schemas.openxmlformats.org/officeDocument/2006/relationships/hyperlink" Target="http://www.google.com.au/url?url=http://www.aifs.gov.au/afrc/pubs/briefing/b021/bp21a.pdf&amp;rct=j&amp;frm=1&amp;q=&amp;esrc=s&amp;sa=U&amp;ei=Ya6nU_b4C8PgkAXhvYCoCw&amp;ved=0CBQQFjAA&amp;usg=AFQjCNFZMpbMv_tOAOVIlsJV2bbCchkN7A" TargetMode="External"/><Relationship Id="rId34" Type="http://schemas.openxmlformats.org/officeDocument/2006/relationships/hyperlink" Target="https://www.abs.gov.au/websitedbs/d3310114.nsf/home/about+tablebuilder" TargetMode="External"/><Relationship Id="rId42" Type="http://schemas.openxmlformats.org/officeDocument/2006/relationships/hyperlink" Target="https://www.aihw.gov.au/reports/mothers-babies/australias-mothers-and-babies-2018-in-brief/data" TargetMode="External"/><Relationship Id="rId47" Type="http://schemas.openxmlformats.org/officeDocument/2006/relationships/hyperlink" Target="https://www.bettersafercare.vic.gov.au/reports-and-publications/vphs2018" TargetMode="External"/><Relationship Id="rId50" Type="http://schemas.openxmlformats.org/officeDocument/2006/relationships/hyperlink" Target="https://qed.qld.gov.au/publications/reports/statistics/schooling/students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ifs.gov.au/cfca/expert-panel-project" TargetMode="External"/><Relationship Id="rId17" Type="http://schemas.openxmlformats.org/officeDocument/2006/relationships/hyperlink" Target="https://empoweredcommunities.org.au/" TargetMode="External"/><Relationship Id="rId25" Type="http://schemas.openxmlformats.org/officeDocument/2006/relationships/hyperlink" Target="https://platformc.org/tools-and-resources?f%5B0%5D=tool_type%3A62" TargetMode="External"/><Relationship Id="rId33" Type="http://schemas.openxmlformats.org/officeDocument/2006/relationships/hyperlink" Target="https://www.abs.gov.au/websitedbs/D3310114.nsf/Home/2016%20Census%20Community%20Profiles" TargetMode="External"/><Relationship Id="rId38" Type="http://schemas.openxmlformats.org/officeDocument/2006/relationships/hyperlink" Target="https://phidu.torrens.edu.au/social-health-atlases" TargetMode="External"/><Relationship Id="rId46" Type="http://schemas.openxmlformats.org/officeDocument/2006/relationships/hyperlink" Target="https://www.vichealth.vic.gov.au/programs-and-projects/vichealth-indicators-survey-2015" TargetMode="External"/><Relationship Id="rId59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www.dss.gov.au/families-and-children-programs-services/stronger-places-stronger-people" TargetMode="External"/><Relationship Id="rId20" Type="http://schemas.openxmlformats.org/officeDocument/2006/relationships/hyperlink" Target="https://aifs.gov.au/cfca/publications/collective-impact-evidence-and-implications-practice" TargetMode="External"/><Relationship Id="rId29" Type="http://schemas.openxmlformats.org/officeDocument/2006/relationships/hyperlink" Target="https://www.vichealth.vic.gov.au/media-and-resources/publications/the-partnerships-analysis-tool" TargetMode="External"/><Relationship Id="rId41" Type="http://schemas.openxmlformats.org/officeDocument/2006/relationships/hyperlink" Target="https://www.bettersafercare.vic.gov.au/publications/mothers-babies-and-children-2018" TargetMode="Externa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sites/default/files/documents/07_2014/families_and_children_access_strategy_guidelines.pdf" TargetMode="External"/><Relationship Id="rId24" Type="http://schemas.openxmlformats.org/officeDocument/2006/relationships/hyperlink" Target="https://aifs.gov.au/cfca/publications/working-together-keep-children-and-families-safe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dote.org.au/" TargetMode="External"/><Relationship Id="rId40" Type="http://schemas.openxmlformats.org/officeDocument/2006/relationships/hyperlink" Target="https://www.aedc.gov.au/" TargetMode="External"/><Relationship Id="rId45" Type="http://schemas.openxmlformats.org/officeDocument/2006/relationships/hyperlink" Target="https://www.dss.gov.au/national-centre-for-longitudinal-data-ncld/access-to-dss-longitudinal-datasets" TargetMode="External"/><Relationship Id="rId53" Type="http://schemas.openxmlformats.org/officeDocument/2006/relationships/header" Target="header3.xml"/><Relationship Id="rId58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dss.gov.au/sites/default/files/documents/07_2014/families_and_children_access_strategy_guidelines.pdf" TargetMode="External"/><Relationship Id="rId23" Type="http://schemas.openxmlformats.org/officeDocument/2006/relationships/hyperlink" Target="http://www.environment.gov.au/system/files/resources/1d5f8a1e-0eb8-408f-a90b-fbedf532e12d/files/partnering-indigenous-organisations-guide.pdf" TargetMode="External"/><Relationship Id="rId28" Type="http://schemas.openxmlformats.org/officeDocument/2006/relationships/hyperlink" Target="https://www.csi.edu.au/research/project/collaboration-health-assessment-tool/" TargetMode="External"/><Relationship Id="rId36" Type="http://schemas.openxmlformats.org/officeDocument/2006/relationships/hyperlink" Target="https://profile.id.com.au/" TargetMode="External"/><Relationship Id="rId49" Type="http://schemas.openxmlformats.org/officeDocument/2006/relationships/hyperlink" Target="https://www.bocsar.nsw.gov.au/Pages/bocsar_pages/Domestic-Violence.aspx" TargetMode="External"/><Relationship Id="rId10" Type="http://schemas.openxmlformats.org/officeDocument/2006/relationships/hyperlink" Target="https://www.dss.gov.au/communities-for-children-facilitating-partners-cfc-fp-operational-guidelines" TargetMode="External"/><Relationship Id="rId19" Type="http://schemas.openxmlformats.org/officeDocument/2006/relationships/hyperlink" Target="https://aifs.gov.au/cfca/publications/community-engagement" TargetMode="External"/><Relationship Id="rId31" Type="http://schemas.openxmlformats.org/officeDocument/2006/relationships/header" Target="header1.xml"/><Relationship Id="rId44" Type="http://schemas.openxmlformats.org/officeDocument/2006/relationships/hyperlink" Target="https://data.gov.au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dss.gov.au/communities-for-children-facilitating-partners-cfc-fp-operational-guidelines" TargetMode="External"/><Relationship Id="rId14" Type="http://schemas.openxmlformats.org/officeDocument/2006/relationships/hyperlink" Target="https://aifs.gov.au/cfca/publications/families-and-children-expert-panel-project-resource/needs-assessment" TargetMode="External"/><Relationship Id="rId22" Type="http://schemas.openxmlformats.org/officeDocument/2006/relationships/hyperlink" Target="https://platformc.org/deepcollaboration/about" TargetMode="External"/><Relationship Id="rId27" Type="http://schemas.openxmlformats.org/officeDocument/2006/relationships/hyperlink" Target="https://www.snaicc.org.au/wp-content/uploads/2016/03/Partnership-Audit-Tool-2014.pdf" TargetMode="External"/><Relationship Id="rId30" Type="http://schemas.openxmlformats.org/officeDocument/2006/relationships/hyperlink" Target="https://platformc.org/tools-and-resources?f%5B0%5D=tool_type%3A62" TargetMode="External"/><Relationship Id="rId35" Type="http://schemas.openxmlformats.org/officeDocument/2006/relationships/hyperlink" Target="https://www.abs.gov.au/ausstats/abs@.nsf/mf/2033.0.55.001" TargetMode="External"/><Relationship Id="rId43" Type="http://schemas.openxmlformats.org/officeDocument/2006/relationships/hyperlink" Target="https://data.gov.au/data/dataset/8d1b90a9-a4d7-4b10-ad6a-8273722c8628" TargetMode="External"/><Relationship Id="rId48" Type="http://schemas.openxmlformats.org/officeDocument/2006/relationships/hyperlink" Target="https://www.education.vic.gov.au/about/research/Pages/vcamsindicator.asp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dss.gov.au/communities-for-children-facilitating-partners-cfc-fp-operational-guidelines" TargetMode="External"/><Relationship Id="rId51" Type="http://schemas.openxmlformats.org/officeDocument/2006/relationships/hyperlink" Target="https://data.gov.au/dataset/ds-sa-6ace352b-1329-4054-a849-9ef26b88ce6f/details?q=school%20attendanc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2B02-BB59-4235-BE83-1C09C246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2765</Words>
  <Characters>17389</Characters>
  <Application>Microsoft Office Word</Application>
  <DocSecurity>4</DocSecurity>
  <Lines>613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bm0005</dc:creator>
  <cp:keywords>[SEC=OFFICIAL]</cp:keywords>
  <dc:description/>
  <cp:lastModifiedBy>ROGERS, Teila</cp:lastModifiedBy>
  <cp:revision>2</cp:revision>
  <cp:lastPrinted>2021-05-11T04:54:00Z</cp:lastPrinted>
  <dcterms:created xsi:type="dcterms:W3CDTF">2022-03-17T03:31:00Z</dcterms:created>
  <dcterms:modified xsi:type="dcterms:W3CDTF">2022-03-17T03:31:00Z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CD5420E8F9924461845FFF7DE24184FE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7F6C96FE6C25E4471B87EF18550B863C108AD14C</vt:lpwstr>
  </property>
  <property fmtid="{D5CDD505-2E9C-101B-9397-08002B2CF9AE}" pid="11" name="PM_OriginationTimeStamp">
    <vt:lpwstr>2022-03-17T03:31:23Z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48861F76E5B392FA9FE75100F276BCAC</vt:lpwstr>
  </property>
  <property fmtid="{D5CDD505-2E9C-101B-9397-08002B2CF9AE}" pid="21" name="PM_Hash_Salt">
    <vt:lpwstr>A2F41B859189314484D6C068CBAAF8F5</vt:lpwstr>
  </property>
  <property fmtid="{D5CDD505-2E9C-101B-9397-08002B2CF9AE}" pid="22" name="PM_Hash_SHA1">
    <vt:lpwstr>7760E5735E06FDC997EF81B988CFADF9000696D6</vt:lpwstr>
  </property>
  <property fmtid="{D5CDD505-2E9C-101B-9397-08002B2CF9AE}" pid="23" name="PM_OriginatorUserAccountName_SHA256">
    <vt:lpwstr>AD2D8C23F689B2DAF8AB23AB8D0286BF644F6CF1D333B6BE7681FD31AAE4D6FC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