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3DD84" w14:textId="785066A2" w:rsidR="00AA217F" w:rsidRPr="00F1232D" w:rsidRDefault="00830283" w:rsidP="00A4064D">
      <w:pPr>
        <w:spacing w:before="2000" w:after="3000"/>
        <w:jc w:val="center"/>
        <w:rPr>
          <w:b/>
          <w:color w:val="1F4E79" w:themeColor="accent1" w:themeShade="80"/>
          <w:sz w:val="48"/>
          <w:szCs w:val="48"/>
        </w:rPr>
      </w:pPr>
      <w:r w:rsidRPr="00F1232D">
        <w:rPr>
          <w:rFonts w:ascii="Book Antiqua" w:eastAsia="Times New Roman" w:hAnsi="Book Antiqua"/>
          <w:b/>
          <w:noProof/>
          <w:color w:val="1F4E79" w:themeColor="accent1" w:themeShade="80"/>
          <w:sz w:val="48"/>
          <w:szCs w:val="48"/>
          <w:lang w:eastAsia="en-AU"/>
        </w:rPr>
        <w:drawing>
          <wp:anchor distT="0" distB="0" distL="114300" distR="114300" simplePos="0" relativeHeight="251659264" behindDoc="1" locked="0" layoutInCell="1" allowOverlap="1" wp14:anchorId="5AE1AF48" wp14:editId="1F0E490E">
            <wp:simplePos x="0" y="0"/>
            <wp:positionH relativeFrom="page">
              <wp:align>right</wp:align>
            </wp:positionH>
            <wp:positionV relativeFrom="page">
              <wp:align>top</wp:align>
            </wp:positionV>
            <wp:extent cx="7556877" cy="1704975"/>
            <wp:effectExtent l="0" t="0" r="6350" b="0"/>
            <wp:wrapNone/>
            <wp:docPr id="45" name="Picture 45" descr="The University of Adela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7556877" cy="170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232D">
        <w:rPr>
          <w:b/>
          <w:color w:val="1F4E79" w:themeColor="accent1" w:themeShade="80"/>
          <w:sz w:val="48"/>
          <w:szCs w:val="48"/>
        </w:rPr>
        <w:t>Cashless Debit Card Baseline Data Collection in the Bundaberg</w:t>
      </w:r>
      <w:r w:rsidR="00E94E20">
        <w:rPr>
          <w:b/>
          <w:color w:val="1F4E79" w:themeColor="accent1" w:themeShade="80"/>
          <w:sz w:val="48"/>
          <w:szCs w:val="48"/>
        </w:rPr>
        <w:t xml:space="preserve"> and </w:t>
      </w:r>
      <w:r w:rsidRPr="00F1232D">
        <w:rPr>
          <w:b/>
          <w:color w:val="1F4E79" w:themeColor="accent1" w:themeShade="80"/>
          <w:sz w:val="48"/>
          <w:szCs w:val="48"/>
        </w:rPr>
        <w:t xml:space="preserve">Hervey Bay Region: </w:t>
      </w:r>
      <w:r w:rsidR="00AA217F">
        <w:rPr>
          <w:b/>
          <w:color w:val="1F4E79" w:themeColor="accent1" w:themeShade="80"/>
          <w:sz w:val="48"/>
          <w:szCs w:val="48"/>
        </w:rPr>
        <w:t>Quantitative Data Snapshot</w:t>
      </w:r>
    </w:p>
    <w:p w14:paraId="7C5ACABE" w14:textId="77777777" w:rsidR="00830283" w:rsidRPr="00A4064D" w:rsidRDefault="00830283" w:rsidP="00A4064D">
      <w:pPr>
        <w:spacing w:after="3600"/>
        <w:ind w:right="-330"/>
        <w:jc w:val="center"/>
        <w:rPr>
          <w:sz w:val="40"/>
          <w:szCs w:val="40"/>
        </w:rPr>
      </w:pPr>
      <w:r w:rsidRPr="00A4064D">
        <w:rPr>
          <w:sz w:val="40"/>
          <w:szCs w:val="40"/>
        </w:rPr>
        <w:t>K</w:t>
      </w:r>
      <w:r w:rsidR="007614B1" w:rsidRPr="00A4064D">
        <w:rPr>
          <w:sz w:val="40"/>
          <w:szCs w:val="40"/>
        </w:rPr>
        <w:t>ostas</w:t>
      </w:r>
      <w:r w:rsidRPr="00A4064D">
        <w:rPr>
          <w:sz w:val="40"/>
          <w:szCs w:val="40"/>
        </w:rPr>
        <w:t xml:space="preserve"> </w:t>
      </w:r>
      <w:proofErr w:type="spellStart"/>
      <w:r w:rsidRPr="00A4064D">
        <w:rPr>
          <w:sz w:val="40"/>
          <w:szCs w:val="40"/>
        </w:rPr>
        <w:t>Mavromaras</w:t>
      </w:r>
      <w:proofErr w:type="spellEnd"/>
      <w:r w:rsidRPr="00A4064D">
        <w:rPr>
          <w:sz w:val="40"/>
          <w:szCs w:val="40"/>
        </w:rPr>
        <w:t>, S</w:t>
      </w:r>
      <w:r w:rsidR="007614B1" w:rsidRPr="00A4064D">
        <w:rPr>
          <w:sz w:val="40"/>
          <w:szCs w:val="40"/>
        </w:rPr>
        <w:t>tephane</w:t>
      </w:r>
      <w:r w:rsidRPr="00A4064D">
        <w:rPr>
          <w:sz w:val="40"/>
          <w:szCs w:val="40"/>
        </w:rPr>
        <w:t xml:space="preserve"> </w:t>
      </w:r>
      <w:proofErr w:type="spellStart"/>
      <w:r w:rsidRPr="00A4064D">
        <w:rPr>
          <w:sz w:val="40"/>
          <w:szCs w:val="40"/>
        </w:rPr>
        <w:t>Mahuteau</w:t>
      </w:r>
      <w:proofErr w:type="spellEnd"/>
      <w:r w:rsidRPr="00A4064D">
        <w:rPr>
          <w:sz w:val="40"/>
          <w:szCs w:val="40"/>
        </w:rPr>
        <w:t xml:space="preserve"> and Zhang Wei</w:t>
      </w:r>
    </w:p>
    <w:p w14:paraId="6373AE76" w14:textId="78DC0897" w:rsidR="00830283" w:rsidRPr="00F1232D" w:rsidRDefault="00742304" w:rsidP="00A4064D">
      <w:pPr>
        <w:spacing w:after="1400"/>
        <w:jc w:val="center"/>
        <w:rPr>
          <w:sz w:val="40"/>
          <w:szCs w:val="40"/>
          <w:shd w:val="clear" w:color="auto" w:fill="FFFFFF"/>
        </w:rPr>
      </w:pPr>
      <w:r>
        <w:rPr>
          <w:sz w:val="40"/>
          <w:szCs w:val="40"/>
          <w:shd w:val="clear" w:color="auto" w:fill="FFFFFF"/>
        </w:rPr>
        <w:t>April</w:t>
      </w:r>
      <w:r w:rsidR="00830283" w:rsidRPr="00F1232D">
        <w:rPr>
          <w:sz w:val="40"/>
          <w:szCs w:val="40"/>
          <w:shd w:val="clear" w:color="auto" w:fill="FFFFFF"/>
        </w:rPr>
        <w:t xml:space="preserve"> 2020</w:t>
      </w:r>
    </w:p>
    <w:p w14:paraId="30A44A5C" w14:textId="77777777" w:rsidR="00453EA5" w:rsidRPr="00F1232D" w:rsidRDefault="00830283" w:rsidP="00F1232D">
      <w:pPr>
        <w:jc w:val="center"/>
        <w:rPr>
          <w:sz w:val="40"/>
          <w:szCs w:val="40"/>
        </w:rPr>
      </w:pPr>
      <w:r w:rsidRPr="00F1232D">
        <w:rPr>
          <w:sz w:val="40"/>
          <w:szCs w:val="40"/>
          <w:shd w:val="clear" w:color="auto" w:fill="FFFFFF"/>
          <w:lang w:val="en-NZ" w:eastAsia="en-NZ"/>
        </w:rPr>
        <w:t>Future of Employment and Skills Research Centre (FES)</w:t>
      </w:r>
    </w:p>
    <w:p w14:paraId="29C57980" w14:textId="77777777" w:rsidR="00453EA5" w:rsidRPr="00F1232D" w:rsidRDefault="00453EA5" w:rsidP="0079482A">
      <w:pPr>
        <w:rPr>
          <w:sz w:val="40"/>
          <w:szCs w:val="40"/>
        </w:rPr>
        <w:sectPr w:rsidR="00453EA5" w:rsidRPr="00F1232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7D2E152" w14:textId="77777777" w:rsidR="00453EA5" w:rsidRPr="00CD154F" w:rsidRDefault="00CD154F" w:rsidP="0079482A">
      <w:pPr>
        <w:rPr>
          <w:color w:val="2E74B5" w:themeColor="accent1" w:themeShade="BF"/>
          <w:sz w:val="32"/>
          <w:szCs w:val="32"/>
        </w:rPr>
      </w:pPr>
      <w:r w:rsidRPr="00CD154F">
        <w:rPr>
          <w:color w:val="2E74B5" w:themeColor="accent1" w:themeShade="BF"/>
          <w:sz w:val="32"/>
          <w:szCs w:val="32"/>
        </w:rPr>
        <w:lastRenderedPageBreak/>
        <w:t>Table of content</w:t>
      </w:r>
      <w:r w:rsidR="00F1232D">
        <w:rPr>
          <w:color w:val="2E74B5" w:themeColor="accent1" w:themeShade="BF"/>
          <w:sz w:val="32"/>
          <w:szCs w:val="32"/>
        </w:rPr>
        <w:t>s</w:t>
      </w:r>
    </w:p>
    <w:p w14:paraId="101AB4A6" w14:textId="77777777" w:rsidR="00CD154F" w:rsidRPr="00B246E0" w:rsidRDefault="00230A2A" w:rsidP="0079482A">
      <w:pPr>
        <w:rPr>
          <w:b/>
        </w:rPr>
      </w:pPr>
      <w:r w:rsidRPr="00B246E0">
        <w:rPr>
          <w:b/>
        </w:rPr>
        <w:t>Key Messages</w:t>
      </w:r>
    </w:p>
    <w:p w14:paraId="6B90FE12" w14:textId="70265C24" w:rsidR="005F4374" w:rsidRDefault="00CD154F">
      <w:pPr>
        <w:pStyle w:val="TOC1"/>
        <w:tabs>
          <w:tab w:val="left" w:pos="440"/>
          <w:tab w:val="right" w:leader="dot" w:pos="9016"/>
        </w:tabs>
        <w:rPr>
          <w:rFonts w:eastAsiaTheme="minorEastAsia"/>
          <w:b w:val="0"/>
          <w:bCs w:val="0"/>
          <w:caps w:val="0"/>
          <w:noProof/>
          <w:sz w:val="22"/>
          <w:szCs w:val="22"/>
          <w:lang w:val="en-MY" w:eastAsia="en-MY"/>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37258344" w:history="1">
        <w:r w:rsidR="005F4374" w:rsidRPr="00A06632">
          <w:rPr>
            <w:rStyle w:val="Hyperlink"/>
            <w:noProof/>
          </w:rPr>
          <w:t>1</w:t>
        </w:r>
        <w:r w:rsidR="005F4374">
          <w:rPr>
            <w:rFonts w:eastAsiaTheme="minorEastAsia"/>
            <w:b w:val="0"/>
            <w:bCs w:val="0"/>
            <w:caps w:val="0"/>
            <w:noProof/>
            <w:sz w:val="22"/>
            <w:szCs w:val="22"/>
            <w:lang w:val="en-MY" w:eastAsia="en-MY"/>
          </w:rPr>
          <w:tab/>
        </w:r>
        <w:r w:rsidR="005F4374" w:rsidRPr="00A06632">
          <w:rPr>
            <w:rStyle w:val="Hyperlink"/>
            <w:noProof/>
          </w:rPr>
          <w:t>Introduction</w:t>
        </w:r>
        <w:r w:rsidR="005F4374">
          <w:rPr>
            <w:noProof/>
            <w:webHidden/>
          </w:rPr>
          <w:tab/>
        </w:r>
        <w:r w:rsidR="005F4374">
          <w:rPr>
            <w:noProof/>
            <w:webHidden/>
          </w:rPr>
          <w:fldChar w:fldCharType="begin"/>
        </w:r>
        <w:r w:rsidR="005F4374">
          <w:rPr>
            <w:noProof/>
            <w:webHidden/>
          </w:rPr>
          <w:instrText xml:space="preserve"> PAGEREF _Toc37258344 \h </w:instrText>
        </w:r>
        <w:r w:rsidR="005F4374">
          <w:rPr>
            <w:noProof/>
            <w:webHidden/>
          </w:rPr>
        </w:r>
        <w:r w:rsidR="005F4374">
          <w:rPr>
            <w:noProof/>
            <w:webHidden/>
          </w:rPr>
          <w:fldChar w:fldCharType="separate"/>
        </w:r>
        <w:r w:rsidR="00276423">
          <w:rPr>
            <w:noProof/>
            <w:webHidden/>
          </w:rPr>
          <w:t>12</w:t>
        </w:r>
        <w:r w:rsidR="005F4374">
          <w:rPr>
            <w:noProof/>
            <w:webHidden/>
          </w:rPr>
          <w:fldChar w:fldCharType="end"/>
        </w:r>
      </w:hyperlink>
    </w:p>
    <w:p w14:paraId="346FFA77" w14:textId="376D98D0" w:rsidR="005F4374" w:rsidRDefault="006C0554">
      <w:pPr>
        <w:pStyle w:val="TOC1"/>
        <w:tabs>
          <w:tab w:val="left" w:pos="440"/>
          <w:tab w:val="right" w:leader="dot" w:pos="9016"/>
        </w:tabs>
        <w:rPr>
          <w:rFonts w:eastAsiaTheme="minorEastAsia"/>
          <w:b w:val="0"/>
          <w:bCs w:val="0"/>
          <w:caps w:val="0"/>
          <w:noProof/>
          <w:sz w:val="22"/>
          <w:szCs w:val="22"/>
          <w:lang w:val="en-MY" w:eastAsia="en-MY"/>
        </w:rPr>
      </w:pPr>
      <w:hyperlink w:anchor="_Toc37258345" w:history="1">
        <w:r w:rsidR="005F4374" w:rsidRPr="00A06632">
          <w:rPr>
            <w:rStyle w:val="Hyperlink"/>
            <w:noProof/>
          </w:rPr>
          <w:t>2</w:t>
        </w:r>
        <w:r w:rsidR="005F4374">
          <w:rPr>
            <w:rFonts w:eastAsiaTheme="minorEastAsia"/>
            <w:b w:val="0"/>
            <w:bCs w:val="0"/>
            <w:caps w:val="0"/>
            <w:noProof/>
            <w:sz w:val="22"/>
            <w:szCs w:val="22"/>
            <w:lang w:val="en-MY" w:eastAsia="en-MY"/>
          </w:rPr>
          <w:tab/>
        </w:r>
        <w:r w:rsidR="005F4374" w:rsidRPr="00A06632">
          <w:rPr>
            <w:rStyle w:val="Hyperlink"/>
            <w:noProof/>
          </w:rPr>
          <w:t>Descriptive Statistics on the Bundaberg and Hervey Bay Region Using Community Level Data</w:t>
        </w:r>
        <w:r w:rsidR="005F4374">
          <w:rPr>
            <w:noProof/>
            <w:webHidden/>
          </w:rPr>
          <w:tab/>
        </w:r>
        <w:r w:rsidR="005F4374">
          <w:rPr>
            <w:noProof/>
            <w:webHidden/>
          </w:rPr>
          <w:fldChar w:fldCharType="begin"/>
        </w:r>
        <w:r w:rsidR="005F4374">
          <w:rPr>
            <w:noProof/>
            <w:webHidden/>
          </w:rPr>
          <w:instrText xml:space="preserve"> PAGEREF _Toc37258345 \h </w:instrText>
        </w:r>
        <w:r w:rsidR="005F4374">
          <w:rPr>
            <w:noProof/>
            <w:webHidden/>
          </w:rPr>
        </w:r>
        <w:r w:rsidR="005F4374">
          <w:rPr>
            <w:noProof/>
            <w:webHidden/>
          </w:rPr>
          <w:fldChar w:fldCharType="separate"/>
        </w:r>
        <w:r w:rsidR="00276423">
          <w:rPr>
            <w:noProof/>
            <w:webHidden/>
          </w:rPr>
          <w:t>15</w:t>
        </w:r>
        <w:r w:rsidR="005F4374">
          <w:rPr>
            <w:noProof/>
            <w:webHidden/>
          </w:rPr>
          <w:fldChar w:fldCharType="end"/>
        </w:r>
      </w:hyperlink>
    </w:p>
    <w:p w14:paraId="46E87FDF" w14:textId="12F5DE16"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46" w:history="1">
        <w:r w:rsidR="005F4374" w:rsidRPr="00A06632">
          <w:rPr>
            <w:rStyle w:val="Hyperlink"/>
            <w:noProof/>
          </w:rPr>
          <w:t>2.1</w:t>
        </w:r>
        <w:r w:rsidR="005F4374">
          <w:rPr>
            <w:rFonts w:eastAsiaTheme="minorEastAsia"/>
            <w:smallCaps w:val="0"/>
            <w:noProof/>
            <w:sz w:val="22"/>
            <w:szCs w:val="22"/>
            <w:lang w:val="en-MY" w:eastAsia="en-MY"/>
          </w:rPr>
          <w:tab/>
        </w:r>
        <w:r w:rsidR="005F4374" w:rsidRPr="00A06632">
          <w:rPr>
            <w:rStyle w:val="Hyperlink"/>
            <w:noProof/>
          </w:rPr>
          <w:t>Hospital presentations in 2018</w:t>
        </w:r>
        <w:r w:rsidR="005F4374">
          <w:rPr>
            <w:noProof/>
            <w:webHidden/>
          </w:rPr>
          <w:tab/>
        </w:r>
        <w:r w:rsidR="005F4374">
          <w:rPr>
            <w:noProof/>
            <w:webHidden/>
          </w:rPr>
          <w:fldChar w:fldCharType="begin"/>
        </w:r>
        <w:r w:rsidR="005F4374">
          <w:rPr>
            <w:noProof/>
            <w:webHidden/>
          </w:rPr>
          <w:instrText xml:space="preserve"> PAGEREF _Toc37258346 \h </w:instrText>
        </w:r>
        <w:r w:rsidR="005F4374">
          <w:rPr>
            <w:noProof/>
            <w:webHidden/>
          </w:rPr>
        </w:r>
        <w:r w:rsidR="005F4374">
          <w:rPr>
            <w:noProof/>
            <w:webHidden/>
          </w:rPr>
          <w:fldChar w:fldCharType="separate"/>
        </w:r>
        <w:r w:rsidR="00276423">
          <w:rPr>
            <w:noProof/>
            <w:webHidden/>
          </w:rPr>
          <w:t>15</w:t>
        </w:r>
        <w:r w:rsidR="005F4374">
          <w:rPr>
            <w:noProof/>
            <w:webHidden/>
          </w:rPr>
          <w:fldChar w:fldCharType="end"/>
        </w:r>
      </w:hyperlink>
    </w:p>
    <w:p w14:paraId="607E6347" w14:textId="3D6ED132"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47" w:history="1">
        <w:r w:rsidR="005F4374" w:rsidRPr="00A06632">
          <w:rPr>
            <w:rStyle w:val="Hyperlink"/>
            <w:noProof/>
          </w:rPr>
          <w:t>2.2</w:t>
        </w:r>
        <w:r w:rsidR="005F4374">
          <w:rPr>
            <w:rFonts w:eastAsiaTheme="minorEastAsia"/>
            <w:smallCaps w:val="0"/>
            <w:noProof/>
            <w:sz w:val="22"/>
            <w:szCs w:val="22"/>
            <w:lang w:val="en-MY" w:eastAsia="en-MY"/>
          </w:rPr>
          <w:tab/>
        </w:r>
        <w:r w:rsidR="005F4374" w:rsidRPr="00A06632">
          <w:rPr>
            <w:rStyle w:val="Hyperlink"/>
            <w:noProof/>
          </w:rPr>
          <w:t>Offences and crime in 2018</w:t>
        </w:r>
        <w:r w:rsidR="005F4374">
          <w:rPr>
            <w:noProof/>
            <w:webHidden/>
          </w:rPr>
          <w:tab/>
        </w:r>
        <w:r w:rsidR="005F4374">
          <w:rPr>
            <w:noProof/>
            <w:webHidden/>
          </w:rPr>
          <w:fldChar w:fldCharType="begin"/>
        </w:r>
        <w:r w:rsidR="005F4374">
          <w:rPr>
            <w:noProof/>
            <w:webHidden/>
          </w:rPr>
          <w:instrText xml:space="preserve"> PAGEREF _Toc37258347 \h </w:instrText>
        </w:r>
        <w:r w:rsidR="005F4374">
          <w:rPr>
            <w:noProof/>
            <w:webHidden/>
          </w:rPr>
        </w:r>
        <w:r w:rsidR="005F4374">
          <w:rPr>
            <w:noProof/>
            <w:webHidden/>
          </w:rPr>
          <w:fldChar w:fldCharType="separate"/>
        </w:r>
        <w:r w:rsidR="00276423">
          <w:rPr>
            <w:noProof/>
            <w:webHidden/>
          </w:rPr>
          <w:t>19</w:t>
        </w:r>
        <w:r w:rsidR="005F4374">
          <w:rPr>
            <w:noProof/>
            <w:webHidden/>
          </w:rPr>
          <w:fldChar w:fldCharType="end"/>
        </w:r>
      </w:hyperlink>
    </w:p>
    <w:p w14:paraId="6BB38FC1" w14:textId="4CFE9015"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48" w:history="1">
        <w:r w:rsidR="005F4374" w:rsidRPr="00A06632">
          <w:rPr>
            <w:rStyle w:val="Hyperlink"/>
            <w:noProof/>
          </w:rPr>
          <w:t>2.3</w:t>
        </w:r>
        <w:r w:rsidR="005F4374">
          <w:rPr>
            <w:rFonts w:eastAsiaTheme="minorEastAsia"/>
            <w:smallCaps w:val="0"/>
            <w:noProof/>
            <w:sz w:val="22"/>
            <w:szCs w:val="22"/>
            <w:lang w:val="en-MY" w:eastAsia="en-MY"/>
          </w:rPr>
          <w:tab/>
        </w:r>
        <w:r w:rsidR="005F4374" w:rsidRPr="00A06632">
          <w:rPr>
            <w:rStyle w:val="Hyperlink"/>
            <w:noProof/>
          </w:rPr>
          <w:t>Gaming in hotels</w:t>
        </w:r>
        <w:r w:rsidR="005F4374">
          <w:rPr>
            <w:noProof/>
            <w:webHidden/>
          </w:rPr>
          <w:tab/>
        </w:r>
        <w:r w:rsidR="005F4374">
          <w:rPr>
            <w:noProof/>
            <w:webHidden/>
          </w:rPr>
          <w:fldChar w:fldCharType="begin"/>
        </w:r>
        <w:r w:rsidR="005F4374">
          <w:rPr>
            <w:noProof/>
            <w:webHidden/>
          </w:rPr>
          <w:instrText xml:space="preserve"> PAGEREF _Toc37258348 \h </w:instrText>
        </w:r>
        <w:r w:rsidR="005F4374">
          <w:rPr>
            <w:noProof/>
            <w:webHidden/>
          </w:rPr>
        </w:r>
        <w:r w:rsidR="005F4374">
          <w:rPr>
            <w:noProof/>
            <w:webHidden/>
          </w:rPr>
          <w:fldChar w:fldCharType="separate"/>
        </w:r>
        <w:r w:rsidR="00276423">
          <w:rPr>
            <w:noProof/>
            <w:webHidden/>
          </w:rPr>
          <w:t>22</w:t>
        </w:r>
        <w:r w:rsidR="005F4374">
          <w:rPr>
            <w:noProof/>
            <w:webHidden/>
          </w:rPr>
          <w:fldChar w:fldCharType="end"/>
        </w:r>
      </w:hyperlink>
    </w:p>
    <w:p w14:paraId="629ECDB5" w14:textId="2A6EE192"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49" w:history="1">
        <w:r w:rsidR="005F4374" w:rsidRPr="00A06632">
          <w:rPr>
            <w:rStyle w:val="Hyperlink"/>
            <w:noProof/>
          </w:rPr>
          <w:t>2.4</w:t>
        </w:r>
        <w:r w:rsidR="005F4374">
          <w:rPr>
            <w:rFonts w:eastAsiaTheme="minorEastAsia"/>
            <w:smallCaps w:val="0"/>
            <w:noProof/>
            <w:sz w:val="22"/>
            <w:szCs w:val="22"/>
            <w:lang w:val="en-MY" w:eastAsia="en-MY"/>
          </w:rPr>
          <w:tab/>
        </w:r>
        <w:r w:rsidR="005F4374" w:rsidRPr="00A06632">
          <w:rPr>
            <w:rStyle w:val="Hyperlink"/>
            <w:noProof/>
          </w:rPr>
          <w:t>Labour force participation and employment</w:t>
        </w:r>
        <w:r w:rsidR="005F4374">
          <w:rPr>
            <w:noProof/>
            <w:webHidden/>
          </w:rPr>
          <w:tab/>
        </w:r>
        <w:r w:rsidR="005F4374">
          <w:rPr>
            <w:noProof/>
            <w:webHidden/>
          </w:rPr>
          <w:fldChar w:fldCharType="begin"/>
        </w:r>
        <w:r w:rsidR="005F4374">
          <w:rPr>
            <w:noProof/>
            <w:webHidden/>
          </w:rPr>
          <w:instrText xml:space="preserve"> PAGEREF _Toc37258349 \h </w:instrText>
        </w:r>
        <w:r w:rsidR="005F4374">
          <w:rPr>
            <w:noProof/>
            <w:webHidden/>
          </w:rPr>
        </w:r>
        <w:r w:rsidR="005F4374">
          <w:rPr>
            <w:noProof/>
            <w:webHidden/>
          </w:rPr>
          <w:fldChar w:fldCharType="separate"/>
        </w:r>
        <w:r w:rsidR="00276423">
          <w:rPr>
            <w:noProof/>
            <w:webHidden/>
          </w:rPr>
          <w:t>24</w:t>
        </w:r>
        <w:r w:rsidR="005F4374">
          <w:rPr>
            <w:noProof/>
            <w:webHidden/>
          </w:rPr>
          <w:fldChar w:fldCharType="end"/>
        </w:r>
      </w:hyperlink>
    </w:p>
    <w:p w14:paraId="0146767E" w14:textId="2671F401"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50" w:history="1">
        <w:r w:rsidR="005F4374" w:rsidRPr="00A06632">
          <w:rPr>
            <w:rStyle w:val="Hyperlink"/>
            <w:noProof/>
          </w:rPr>
          <w:t>2.5</w:t>
        </w:r>
        <w:r w:rsidR="005F4374">
          <w:rPr>
            <w:rFonts w:eastAsiaTheme="minorEastAsia"/>
            <w:smallCaps w:val="0"/>
            <w:noProof/>
            <w:sz w:val="22"/>
            <w:szCs w:val="22"/>
            <w:lang w:val="en-MY" w:eastAsia="en-MY"/>
          </w:rPr>
          <w:tab/>
        </w:r>
        <w:r w:rsidR="005F4374" w:rsidRPr="00A06632">
          <w:rPr>
            <w:rStyle w:val="Hyperlink"/>
            <w:noProof/>
          </w:rPr>
          <w:t>Household characteristics</w:t>
        </w:r>
        <w:r w:rsidR="005F4374">
          <w:rPr>
            <w:noProof/>
            <w:webHidden/>
          </w:rPr>
          <w:tab/>
        </w:r>
        <w:r w:rsidR="005F4374">
          <w:rPr>
            <w:noProof/>
            <w:webHidden/>
          </w:rPr>
          <w:fldChar w:fldCharType="begin"/>
        </w:r>
        <w:r w:rsidR="005F4374">
          <w:rPr>
            <w:noProof/>
            <w:webHidden/>
          </w:rPr>
          <w:instrText xml:space="preserve"> PAGEREF _Toc37258350 \h </w:instrText>
        </w:r>
        <w:r w:rsidR="005F4374">
          <w:rPr>
            <w:noProof/>
            <w:webHidden/>
          </w:rPr>
        </w:r>
        <w:r w:rsidR="005F4374">
          <w:rPr>
            <w:noProof/>
            <w:webHidden/>
          </w:rPr>
          <w:fldChar w:fldCharType="separate"/>
        </w:r>
        <w:r w:rsidR="00276423">
          <w:rPr>
            <w:noProof/>
            <w:webHidden/>
          </w:rPr>
          <w:t>28</w:t>
        </w:r>
        <w:r w:rsidR="005F4374">
          <w:rPr>
            <w:noProof/>
            <w:webHidden/>
          </w:rPr>
          <w:fldChar w:fldCharType="end"/>
        </w:r>
      </w:hyperlink>
    </w:p>
    <w:p w14:paraId="073C7C2B" w14:textId="36ACD01E"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51" w:history="1">
        <w:r w:rsidR="005F4374" w:rsidRPr="00A06632">
          <w:rPr>
            <w:rStyle w:val="Hyperlink"/>
            <w:noProof/>
          </w:rPr>
          <w:t>2.6</w:t>
        </w:r>
        <w:r w:rsidR="005F4374">
          <w:rPr>
            <w:rFonts w:eastAsiaTheme="minorEastAsia"/>
            <w:smallCaps w:val="0"/>
            <w:noProof/>
            <w:sz w:val="22"/>
            <w:szCs w:val="22"/>
            <w:lang w:val="en-MY" w:eastAsia="en-MY"/>
          </w:rPr>
          <w:tab/>
        </w:r>
        <w:r w:rsidR="005F4374" w:rsidRPr="00A06632">
          <w:rPr>
            <w:rStyle w:val="Hyperlink"/>
            <w:noProof/>
          </w:rPr>
          <w:t>Socio-economic status</w:t>
        </w:r>
        <w:r w:rsidR="005F4374">
          <w:rPr>
            <w:noProof/>
            <w:webHidden/>
          </w:rPr>
          <w:tab/>
        </w:r>
        <w:r w:rsidR="005F4374">
          <w:rPr>
            <w:noProof/>
            <w:webHidden/>
          </w:rPr>
          <w:fldChar w:fldCharType="begin"/>
        </w:r>
        <w:r w:rsidR="005F4374">
          <w:rPr>
            <w:noProof/>
            <w:webHidden/>
          </w:rPr>
          <w:instrText xml:space="preserve"> PAGEREF _Toc37258351 \h </w:instrText>
        </w:r>
        <w:r w:rsidR="005F4374">
          <w:rPr>
            <w:noProof/>
            <w:webHidden/>
          </w:rPr>
        </w:r>
        <w:r w:rsidR="005F4374">
          <w:rPr>
            <w:noProof/>
            <w:webHidden/>
          </w:rPr>
          <w:fldChar w:fldCharType="separate"/>
        </w:r>
        <w:r w:rsidR="00276423">
          <w:rPr>
            <w:noProof/>
            <w:webHidden/>
          </w:rPr>
          <w:t>30</w:t>
        </w:r>
        <w:r w:rsidR="005F4374">
          <w:rPr>
            <w:noProof/>
            <w:webHidden/>
          </w:rPr>
          <w:fldChar w:fldCharType="end"/>
        </w:r>
      </w:hyperlink>
    </w:p>
    <w:p w14:paraId="36744089" w14:textId="37F05EE2"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52" w:history="1">
        <w:r w:rsidR="005F4374" w:rsidRPr="00A06632">
          <w:rPr>
            <w:rStyle w:val="Hyperlink"/>
            <w:noProof/>
          </w:rPr>
          <w:t>2.7</w:t>
        </w:r>
        <w:r w:rsidR="005F4374">
          <w:rPr>
            <w:rFonts w:eastAsiaTheme="minorEastAsia"/>
            <w:smallCaps w:val="0"/>
            <w:noProof/>
            <w:sz w:val="22"/>
            <w:szCs w:val="22"/>
            <w:lang w:val="en-MY" w:eastAsia="en-MY"/>
          </w:rPr>
          <w:tab/>
        </w:r>
        <w:r w:rsidR="005F4374" w:rsidRPr="00A06632">
          <w:rPr>
            <w:rStyle w:val="Hyperlink"/>
            <w:noProof/>
          </w:rPr>
          <w:t>Education and training</w:t>
        </w:r>
        <w:r w:rsidR="005F4374">
          <w:rPr>
            <w:noProof/>
            <w:webHidden/>
          </w:rPr>
          <w:tab/>
        </w:r>
        <w:r w:rsidR="005F4374">
          <w:rPr>
            <w:noProof/>
            <w:webHidden/>
          </w:rPr>
          <w:fldChar w:fldCharType="begin"/>
        </w:r>
        <w:r w:rsidR="005F4374">
          <w:rPr>
            <w:noProof/>
            <w:webHidden/>
          </w:rPr>
          <w:instrText xml:space="preserve"> PAGEREF _Toc37258352 \h </w:instrText>
        </w:r>
        <w:r w:rsidR="005F4374">
          <w:rPr>
            <w:noProof/>
            <w:webHidden/>
          </w:rPr>
        </w:r>
        <w:r w:rsidR="005F4374">
          <w:rPr>
            <w:noProof/>
            <w:webHidden/>
          </w:rPr>
          <w:fldChar w:fldCharType="separate"/>
        </w:r>
        <w:r w:rsidR="00276423">
          <w:rPr>
            <w:noProof/>
            <w:webHidden/>
          </w:rPr>
          <w:t>33</w:t>
        </w:r>
        <w:r w:rsidR="005F4374">
          <w:rPr>
            <w:noProof/>
            <w:webHidden/>
          </w:rPr>
          <w:fldChar w:fldCharType="end"/>
        </w:r>
      </w:hyperlink>
    </w:p>
    <w:p w14:paraId="24DC8E9E" w14:textId="6C650460"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53" w:history="1">
        <w:r w:rsidR="005F4374" w:rsidRPr="00A06632">
          <w:rPr>
            <w:rStyle w:val="Hyperlink"/>
            <w:noProof/>
          </w:rPr>
          <w:t>2.8</w:t>
        </w:r>
        <w:r w:rsidR="005F4374">
          <w:rPr>
            <w:rFonts w:eastAsiaTheme="minorEastAsia"/>
            <w:smallCaps w:val="0"/>
            <w:noProof/>
            <w:sz w:val="22"/>
            <w:szCs w:val="22"/>
            <w:lang w:val="en-MY" w:eastAsia="en-MY"/>
          </w:rPr>
          <w:tab/>
        </w:r>
        <w:r w:rsidR="005F4374" w:rsidRPr="00A06632">
          <w:rPr>
            <w:rStyle w:val="Hyperlink"/>
            <w:noProof/>
          </w:rPr>
          <w:t>Child development outcomes</w:t>
        </w:r>
        <w:r w:rsidR="005F4374">
          <w:rPr>
            <w:noProof/>
            <w:webHidden/>
          </w:rPr>
          <w:tab/>
        </w:r>
        <w:r w:rsidR="005F4374">
          <w:rPr>
            <w:noProof/>
            <w:webHidden/>
          </w:rPr>
          <w:fldChar w:fldCharType="begin"/>
        </w:r>
        <w:r w:rsidR="005F4374">
          <w:rPr>
            <w:noProof/>
            <w:webHidden/>
          </w:rPr>
          <w:instrText xml:space="preserve"> PAGEREF _Toc37258353 \h </w:instrText>
        </w:r>
        <w:r w:rsidR="005F4374">
          <w:rPr>
            <w:noProof/>
            <w:webHidden/>
          </w:rPr>
        </w:r>
        <w:r w:rsidR="005F4374">
          <w:rPr>
            <w:noProof/>
            <w:webHidden/>
          </w:rPr>
          <w:fldChar w:fldCharType="separate"/>
        </w:r>
        <w:r w:rsidR="00276423">
          <w:rPr>
            <w:noProof/>
            <w:webHidden/>
          </w:rPr>
          <w:t>39</w:t>
        </w:r>
        <w:r w:rsidR="005F4374">
          <w:rPr>
            <w:noProof/>
            <w:webHidden/>
          </w:rPr>
          <w:fldChar w:fldCharType="end"/>
        </w:r>
      </w:hyperlink>
    </w:p>
    <w:p w14:paraId="3C580017" w14:textId="6F9D42B6" w:rsidR="005F4374" w:rsidRDefault="006C0554">
      <w:pPr>
        <w:pStyle w:val="TOC1"/>
        <w:tabs>
          <w:tab w:val="left" w:pos="440"/>
          <w:tab w:val="right" w:leader="dot" w:pos="9016"/>
        </w:tabs>
        <w:rPr>
          <w:rFonts w:eastAsiaTheme="minorEastAsia"/>
          <w:b w:val="0"/>
          <w:bCs w:val="0"/>
          <w:caps w:val="0"/>
          <w:noProof/>
          <w:sz w:val="22"/>
          <w:szCs w:val="22"/>
          <w:lang w:val="en-MY" w:eastAsia="en-MY"/>
        </w:rPr>
      </w:pPr>
      <w:hyperlink w:anchor="_Toc37258354" w:history="1">
        <w:r w:rsidR="005F4374" w:rsidRPr="00A06632">
          <w:rPr>
            <w:rStyle w:val="Hyperlink"/>
            <w:noProof/>
          </w:rPr>
          <w:t>3</w:t>
        </w:r>
        <w:r w:rsidR="005F4374">
          <w:rPr>
            <w:rFonts w:eastAsiaTheme="minorEastAsia"/>
            <w:b w:val="0"/>
            <w:bCs w:val="0"/>
            <w:caps w:val="0"/>
            <w:noProof/>
            <w:sz w:val="22"/>
            <w:szCs w:val="22"/>
            <w:lang w:val="en-MY" w:eastAsia="en-MY"/>
          </w:rPr>
          <w:tab/>
        </w:r>
        <w:r w:rsidR="005F4374" w:rsidRPr="00A06632">
          <w:rPr>
            <w:rStyle w:val="Hyperlink"/>
            <w:noProof/>
          </w:rPr>
          <w:t>Descriptive Statistics on the Bundaberg and Hervey Bay Region Using Australian Government Administrative Data</w:t>
        </w:r>
        <w:r w:rsidR="005F4374">
          <w:rPr>
            <w:noProof/>
            <w:webHidden/>
          </w:rPr>
          <w:tab/>
        </w:r>
        <w:r w:rsidR="005F4374">
          <w:rPr>
            <w:noProof/>
            <w:webHidden/>
          </w:rPr>
          <w:fldChar w:fldCharType="begin"/>
        </w:r>
        <w:r w:rsidR="005F4374">
          <w:rPr>
            <w:noProof/>
            <w:webHidden/>
          </w:rPr>
          <w:instrText xml:space="preserve"> PAGEREF _Toc37258354 \h </w:instrText>
        </w:r>
        <w:r w:rsidR="005F4374">
          <w:rPr>
            <w:noProof/>
            <w:webHidden/>
          </w:rPr>
        </w:r>
        <w:r w:rsidR="005F4374">
          <w:rPr>
            <w:noProof/>
            <w:webHidden/>
          </w:rPr>
          <w:fldChar w:fldCharType="separate"/>
        </w:r>
        <w:r w:rsidR="00276423">
          <w:rPr>
            <w:noProof/>
            <w:webHidden/>
          </w:rPr>
          <w:t>46</w:t>
        </w:r>
        <w:r w:rsidR="005F4374">
          <w:rPr>
            <w:noProof/>
            <w:webHidden/>
          </w:rPr>
          <w:fldChar w:fldCharType="end"/>
        </w:r>
      </w:hyperlink>
    </w:p>
    <w:p w14:paraId="17085125" w14:textId="36B529CB"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55" w:history="1">
        <w:r w:rsidR="005F4374" w:rsidRPr="00A06632">
          <w:rPr>
            <w:rStyle w:val="Hyperlink"/>
            <w:noProof/>
          </w:rPr>
          <w:t>3.1</w:t>
        </w:r>
        <w:r w:rsidR="005F4374">
          <w:rPr>
            <w:rFonts w:eastAsiaTheme="minorEastAsia"/>
            <w:smallCaps w:val="0"/>
            <w:noProof/>
            <w:sz w:val="22"/>
            <w:szCs w:val="22"/>
            <w:lang w:val="en-MY" w:eastAsia="en-MY"/>
          </w:rPr>
          <w:tab/>
        </w:r>
        <w:r w:rsidR="005F4374" w:rsidRPr="00A06632">
          <w:rPr>
            <w:rStyle w:val="Hyperlink"/>
            <w:noProof/>
          </w:rPr>
          <w:t>Demographics, location and type of benefit payment received</w:t>
        </w:r>
        <w:r w:rsidR="005F4374">
          <w:rPr>
            <w:noProof/>
            <w:webHidden/>
          </w:rPr>
          <w:tab/>
        </w:r>
        <w:r w:rsidR="005F4374">
          <w:rPr>
            <w:noProof/>
            <w:webHidden/>
          </w:rPr>
          <w:fldChar w:fldCharType="begin"/>
        </w:r>
        <w:r w:rsidR="005F4374">
          <w:rPr>
            <w:noProof/>
            <w:webHidden/>
          </w:rPr>
          <w:instrText xml:space="preserve"> PAGEREF _Toc37258355 \h </w:instrText>
        </w:r>
        <w:r w:rsidR="005F4374">
          <w:rPr>
            <w:noProof/>
            <w:webHidden/>
          </w:rPr>
        </w:r>
        <w:r w:rsidR="005F4374">
          <w:rPr>
            <w:noProof/>
            <w:webHidden/>
          </w:rPr>
          <w:fldChar w:fldCharType="separate"/>
        </w:r>
        <w:r w:rsidR="00276423">
          <w:rPr>
            <w:noProof/>
            <w:webHidden/>
          </w:rPr>
          <w:t>46</w:t>
        </w:r>
        <w:r w:rsidR="005F4374">
          <w:rPr>
            <w:noProof/>
            <w:webHidden/>
          </w:rPr>
          <w:fldChar w:fldCharType="end"/>
        </w:r>
      </w:hyperlink>
    </w:p>
    <w:p w14:paraId="351DA34D" w14:textId="0E2DD321"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56" w:history="1">
        <w:r w:rsidR="005F4374" w:rsidRPr="00A06632">
          <w:rPr>
            <w:rStyle w:val="Hyperlink"/>
            <w:noProof/>
          </w:rPr>
          <w:t>3.2</w:t>
        </w:r>
        <w:r w:rsidR="005F4374">
          <w:rPr>
            <w:rFonts w:eastAsiaTheme="minorEastAsia"/>
            <w:smallCaps w:val="0"/>
            <w:noProof/>
            <w:sz w:val="22"/>
            <w:szCs w:val="22"/>
            <w:lang w:val="en-MY" w:eastAsia="en-MY"/>
          </w:rPr>
          <w:tab/>
        </w:r>
        <w:r w:rsidR="005F4374" w:rsidRPr="00A06632">
          <w:rPr>
            <w:rStyle w:val="Hyperlink"/>
            <w:noProof/>
          </w:rPr>
          <w:t>Crisis Payments</w:t>
        </w:r>
        <w:r w:rsidR="005F4374">
          <w:rPr>
            <w:noProof/>
            <w:webHidden/>
          </w:rPr>
          <w:tab/>
        </w:r>
        <w:r w:rsidR="005F4374">
          <w:rPr>
            <w:noProof/>
            <w:webHidden/>
          </w:rPr>
          <w:fldChar w:fldCharType="begin"/>
        </w:r>
        <w:r w:rsidR="005F4374">
          <w:rPr>
            <w:noProof/>
            <w:webHidden/>
          </w:rPr>
          <w:instrText xml:space="preserve"> PAGEREF _Toc37258356 \h </w:instrText>
        </w:r>
        <w:r w:rsidR="005F4374">
          <w:rPr>
            <w:noProof/>
            <w:webHidden/>
          </w:rPr>
        </w:r>
        <w:r w:rsidR="005F4374">
          <w:rPr>
            <w:noProof/>
            <w:webHidden/>
          </w:rPr>
          <w:fldChar w:fldCharType="separate"/>
        </w:r>
        <w:r w:rsidR="00276423">
          <w:rPr>
            <w:noProof/>
            <w:webHidden/>
          </w:rPr>
          <w:t>53</w:t>
        </w:r>
        <w:r w:rsidR="005F4374">
          <w:rPr>
            <w:noProof/>
            <w:webHidden/>
          </w:rPr>
          <w:fldChar w:fldCharType="end"/>
        </w:r>
      </w:hyperlink>
    </w:p>
    <w:p w14:paraId="4D0E96EA" w14:textId="37F85EAF" w:rsidR="005F4374" w:rsidRDefault="006C0554">
      <w:pPr>
        <w:pStyle w:val="TOC3"/>
        <w:tabs>
          <w:tab w:val="left" w:pos="1100"/>
          <w:tab w:val="right" w:leader="dot" w:pos="9016"/>
        </w:tabs>
        <w:rPr>
          <w:rFonts w:eastAsiaTheme="minorEastAsia"/>
          <w:i w:val="0"/>
          <w:iCs w:val="0"/>
          <w:noProof/>
          <w:sz w:val="22"/>
          <w:szCs w:val="22"/>
          <w:lang w:val="en-MY" w:eastAsia="en-MY"/>
        </w:rPr>
      </w:pPr>
      <w:hyperlink w:anchor="_Toc37258357" w:history="1">
        <w:r w:rsidR="005F4374" w:rsidRPr="00A06632">
          <w:rPr>
            <w:rStyle w:val="Hyperlink"/>
            <w:noProof/>
          </w:rPr>
          <w:t>3.2.1</w:t>
        </w:r>
        <w:r w:rsidR="005F4374">
          <w:rPr>
            <w:rFonts w:eastAsiaTheme="minorEastAsia"/>
            <w:i w:val="0"/>
            <w:iCs w:val="0"/>
            <w:noProof/>
            <w:sz w:val="22"/>
            <w:szCs w:val="22"/>
            <w:lang w:val="en-MY" w:eastAsia="en-MY"/>
          </w:rPr>
          <w:tab/>
        </w:r>
        <w:r w:rsidR="005F4374" w:rsidRPr="00A06632">
          <w:rPr>
            <w:rStyle w:val="Hyperlink"/>
            <w:noProof/>
          </w:rPr>
          <w:t>What are Crisis Payments?</w:t>
        </w:r>
        <w:r w:rsidR="005F4374">
          <w:rPr>
            <w:noProof/>
            <w:webHidden/>
          </w:rPr>
          <w:tab/>
        </w:r>
        <w:r w:rsidR="005F4374">
          <w:rPr>
            <w:noProof/>
            <w:webHidden/>
          </w:rPr>
          <w:fldChar w:fldCharType="begin"/>
        </w:r>
        <w:r w:rsidR="005F4374">
          <w:rPr>
            <w:noProof/>
            <w:webHidden/>
          </w:rPr>
          <w:instrText xml:space="preserve"> PAGEREF _Toc37258357 \h </w:instrText>
        </w:r>
        <w:r w:rsidR="005F4374">
          <w:rPr>
            <w:noProof/>
            <w:webHidden/>
          </w:rPr>
        </w:r>
        <w:r w:rsidR="005F4374">
          <w:rPr>
            <w:noProof/>
            <w:webHidden/>
          </w:rPr>
          <w:fldChar w:fldCharType="separate"/>
        </w:r>
        <w:r w:rsidR="00276423">
          <w:rPr>
            <w:noProof/>
            <w:webHidden/>
          </w:rPr>
          <w:t>53</w:t>
        </w:r>
        <w:r w:rsidR="005F4374">
          <w:rPr>
            <w:noProof/>
            <w:webHidden/>
          </w:rPr>
          <w:fldChar w:fldCharType="end"/>
        </w:r>
      </w:hyperlink>
    </w:p>
    <w:p w14:paraId="43C075F6" w14:textId="04DDD2D2" w:rsidR="005F4374" w:rsidRDefault="006C0554">
      <w:pPr>
        <w:pStyle w:val="TOC3"/>
        <w:tabs>
          <w:tab w:val="left" w:pos="1100"/>
          <w:tab w:val="right" w:leader="dot" w:pos="9016"/>
        </w:tabs>
        <w:rPr>
          <w:rFonts w:eastAsiaTheme="minorEastAsia"/>
          <w:i w:val="0"/>
          <w:iCs w:val="0"/>
          <w:noProof/>
          <w:sz w:val="22"/>
          <w:szCs w:val="22"/>
          <w:lang w:val="en-MY" w:eastAsia="en-MY"/>
        </w:rPr>
      </w:pPr>
      <w:hyperlink w:anchor="_Toc37258358" w:history="1">
        <w:r w:rsidR="005F4374" w:rsidRPr="00A06632">
          <w:rPr>
            <w:rStyle w:val="Hyperlink"/>
            <w:noProof/>
          </w:rPr>
          <w:t>3.2.2</w:t>
        </w:r>
        <w:r w:rsidR="005F4374">
          <w:rPr>
            <w:rFonts w:eastAsiaTheme="minorEastAsia"/>
            <w:i w:val="0"/>
            <w:iCs w:val="0"/>
            <w:noProof/>
            <w:sz w:val="22"/>
            <w:szCs w:val="22"/>
            <w:lang w:val="en-MY" w:eastAsia="en-MY"/>
          </w:rPr>
          <w:tab/>
        </w:r>
        <w:r w:rsidR="005F4374" w:rsidRPr="00A06632">
          <w:rPr>
            <w:rStyle w:val="Hyperlink"/>
            <w:noProof/>
          </w:rPr>
          <w:t>Historical information about Crisis Payments granted to CDC participants (triggered onto the card in the Bundaberg and Hervey Bay Region)</w:t>
        </w:r>
        <w:r w:rsidR="005F4374">
          <w:rPr>
            <w:noProof/>
            <w:webHidden/>
          </w:rPr>
          <w:tab/>
        </w:r>
        <w:r w:rsidR="005F4374">
          <w:rPr>
            <w:noProof/>
            <w:webHidden/>
          </w:rPr>
          <w:fldChar w:fldCharType="begin"/>
        </w:r>
        <w:r w:rsidR="005F4374">
          <w:rPr>
            <w:noProof/>
            <w:webHidden/>
          </w:rPr>
          <w:instrText xml:space="preserve"> PAGEREF _Toc37258358 \h </w:instrText>
        </w:r>
        <w:r w:rsidR="005F4374">
          <w:rPr>
            <w:noProof/>
            <w:webHidden/>
          </w:rPr>
        </w:r>
        <w:r w:rsidR="005F4374">
          <w:rPr>
            <w:noProof/>
            <w:webHidden/>
          </w:rPr>
          <w:fldChar w:fldCharType="separate"/>
        </w:r>
        <w:r w:rsidR="00276423">
          <w:rPr>
            <w:noProof/>
            <w:webHidden/>
          </w:rPr>
          <w:t>53</w:t>
        </w:r>
        <w:r w:rsidR="005F4374">
          <w:rPr>
            <w:noProof/>
            <w:webHidden/>
          </w:rPr>
          <w:fldChar w:fldCharType="end"/>
        </w:r>
      </w:hyperlink>
    </w:p>
    <w:p w14:paraId="497A27DF" w14:textId="4AE31151" w:rsidR="005F4374" w:rsidRDefault="006C0554">
      <w:pPr>
        <w:pStyle w:val="TOC3"/>
        <w:tabs>
          <w:tab w:val="left" w:pos="1100"/>
          <w:tab w:val="right" w:leader="dot" w:pos="9016"/>
        </w:tabs>
        <w:rPr>
          <w:rFonts w:eastAsiaTheme="minorEastAsia"/>
          <w:i w:val="0"/>
          <w:iCs w:val="0"/>
          <w:noProof/>
          <w:sz w:val="22"/>
          <w:szCs w:val="22"/>
          <w:lang w:val="en-MY" w:eastAsia="en-MY"/>
        </w:rPr>
      </w:pPr>
      <w:hyperlink w:anchor="_Toc37258359" w:history="1">
        <w:r w:rsidR="005F4374" w:rsidRPr="00A06632">
          <w:rPr>
            <w:rStyle w:val="Hyperlink"/>
            <w:noProof/>
          </w:rPr>
          <w:t>3.2.3</w:t>
        </w:r>
        <w:r w:rsidR="005F4374">
          <w:rPr>
            <w:rFonts w:eastAsiaTheme="minorEastAsia"/>
            <w:i w:val="0"/>
            <w:iCs w:val="0"/>
            <w:noProof/>
            <w:sz w:val="22"/>
            <w:szCs w:val="22"/>
            <w:lang w:val="en-MY" w:eastAsia="en-MY"/>
          </w:rPr>
          <w:tab/>
        </w:r>
        <w:r w:rsidR="005F4374" w:rsidRPr="00A06632">
          <w:rPr>
            <w:rStyle w:val="Hyperlink"/>
            <w:noProof/>
          </w:rPr>
          <w:t>Crisis Payments since the CDC roll out in the Bundaberg and Hervey Bay region vs. one year prior to CDC roll out</w:t>
        </w:r>
        <w:r w:rsidR="005F4374">
          <w:rPr>
            <w:noProof/>
            <w:webHidden/>
          </w:rPr>
          <w:tab/>
        </w:r>
        <w:r w:rsidR="005F4374">
          <w:rPr>
            <w:noProof/>
            <w:webHidden/>
          </w:rPr>
          <w:fldChar w:fldCharType="begin"/>
        </w:r>
        <w:r w:rsidR="005F4374">
          <w:rPr>
            <w:noProof/>
            <w:webHidden/>
          </w:rPr>
          <w:instrText xml:space="preserve"> PAGEREF _Toc37258359 \h </w:instrText>
        </w:r>
        <w:r w:rsidR="005F4374">
          <w:rPr>
            <w:noProof/>
            <w:webHidden/>
          </w:rPr>
        </w:r>
        <w:r w:rsidR="005F4374">
          <w:rPr>
            <w:noProof/>
            <w:webHidden/>
          </w:rPr>
          <w:fldChar w:fldCharType="separate"/>
        </w:r>
        <w:r w:rsidR="00276423">
          <w:rPr>
            <w:noProof/>
            <w:webHidden/>
          </w:rPr>
          <w:t>55</w:t>
        </w:r>
        <w:r w:rsidR="005F4374">
          <w:rPr>
            <w:noProof/>
            <w:webHidden/>
          </w:rPr>
          <w:fldChar w:fldCharType="end"/>
        </w:r>
      </w:hyperlink>
    </w:p>
    <w:p w14:paraId="6E58771E" w14:textId="2998CAF7"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60" w:history="1">
        <w:r w:rsidR="005F4374" w:rsidRPr="00A06632">
          <w:rPr>
            <w:rStyle w:val="Hyperlink"/>
            <w:noProof/>
          </w:rPr>
          <w:t>3.3</w:t>
        </w:r>
        <w:r w:rsidR="005F4374">
          <w:rPr>
            <w:rFonts w:eastAsiaTheme="minorEastAsia"/>
            <w:smallCaps w:val="0"/>
            <w:noProof/>
            <w:sz w:val="22"/>
            <w:szCs w:val="22"/>
            <w:lang w:val="en-MY" w:eastAsia="en-MY"/>
          </w:rPr>
          <w:tab/>
        </w:r>
        <w:r w:rsidR="005F4374" w:rsidRPr="00A06632">
          <w:rPr>
            <w:rStyle w:val="Hyperlink"/>
            <w:noProof/>
          </w:rPr>
          <w:t>Benefit cancellations and suspensions</w:t>
        </w:r>
        <w:r w:rsidR="005F4374">
          <w:rPr>
            <w:noProof/>
            <w:webHidden/>
          </w:rPr>
          <w:tab/>
        </w:r>
        <w:r w:rsidR="005F4374">
          <w:rPr>
            <w:noProof/>
            <w:webHidden/>
          </w:rPr>
          <w:fldChar w:fldCharType="begin"/>
        </w:r>
        <w:r w:rsidR="005F4374">
          <w:rPr>
            <w:noProof/>
            <w:webHidden/>
          </w:rPr>
          <w:instrText xml:space="preserve"> PAGEREF _Toc37258360 \h </w:instrText>
        </w:r>
        <w:r w:rsidR="005F4374">
          <w:rPr>
            <w:noProof/>
            <w:webHidden/>
          </w:rPr>
        </w:r>
        <w:r w:rsidR="005F4374">
          <w:rPr>
            <w:noProof/>
            <w:webHidden/>
          </w:rPr>
          <w:fldChar w:fldCharType="separate"/>
        </w:r>
        <w:r w:rsidR="00276423">
          <w:rPr>
            <w:noProof/>
            <w:webHidden/>
          </w:rPr>
          <w:t>56</w:t>
        </w:r>
        <w:r w:rsidR="005F4374">
          <w:rPr>
            <w:noProof/>
            <w:webHidden/>
          </w:rPr>
          <w:fldChar w:fldCharType="end"/>
        </w:r>
      </w:hyperlink>
    </w:p>
    <w:p w14:paraId="52DEA352" w14:textId="23BF10E3" w:rsidR="005F4374" w:rsidRDefault="006C0554">
      <w:pPr>
        <w:pStyle w:val="TOC2"/>
        <w:tabs>
          <w:tab w:val="left" w:pos="880"/>
          <w:tab w:val="right" w:leader="dot" w:pos="9016"/>
        </w:tabs>
        <w:rPr>
          <w:rFonts w:eastAsiaTheme="minorEastAsia"/>
          <w:smallCaps w:val="0"/>
          <w:noProof/>
          <w:sz w:val="22"/>
          <w:szCs w:val="22"/>
          <w:lang w:val="en-MY" w:eastAsia="en-MY"/>
        </w:rPr>
      </w:pPr>
      <w:hyperlink w:anchor="_Toc37258361" w:history="1">
        <w:r w:rsidR="005F4374" w:rsidRPr="00A06632">
          <w:rPr>
            <w:rStyle w:val="Hyperlink"/>
            <w:noProof/>
          </w:rPr>
          <w:t>3.4</w:t>
        </w:r>
        <w:r w:rsidR="005F4374">
          <w:rPr>
            <w:rFonts w:eastAsiaTheme="minorEastAsia"/>
            <w:smallCaps w:val="0"/>
            <w:noProof/>
            <w:sz w:val="22"/>
            <w:szCs w:val="22"/>
            <w:lang w:val="en-MY" w:eastAsia="en-MY"/>
          </w:rPr>
          <w:tab/>
        </w:r>
        <w:r w:rsidR="005F4374" w:rsidRPr="00A06632">
          <w:rPr>
            <w:rStyle w:val="Hyperlink"/>
            <w:noProof/>
          </w:rPr>
          <w:t>Emergency relief</w:t>
        </w:r>
        <w:r w:rsidR="005F4374">
          <w:rPr>
            <w:noProof/>
            <w:webHidden/>
          </w:rPr>
          <w:tab/>
        </w:r>
        <w:r w:rsidR="005F4374">
          <w:rPr>
            <w:noProof/>
            <w:webHidden/>
          </w:rPr>
          <w:fldChar w:fldCharType="begin"/>
        </w:r>
        <w:r w:rsidR="005F4374">
          <w:rPr>
            <w:noProof/>
            <w:webHidden/>
          </w:rPr>
          <w:instrText xml:space="preserve"> PAGEREF _Toc37258361 \h </w:instrText>
        </w:r>
        <w:r w:rsidR="005F4374">
          <w:rPr>
            <w:noProof/>
            <w:webHidden/>
          </w:rPr>
        </w:r>
        <w:r w:rsidR="005F4374">
          <w:rPr>
            <w:noProof/>
            <w:webHidden/>
          </w:rPr>
          <w:fldChar w:fldCharType="separate"/>
        </w:r>
        <w:r w:rsidR="00276423">
          <w:rPr>
            <w:noProof/>
            <w:webHidden/>
          </w:rPr>
          <w:t>61</w:t>
        </w:r>
        <w:r w:rsidR="005F4374">
          <w:rPr>
            <w:noProof/>
            <w:webHidden/>
          </w:rPr>
          <w:fldChar w:fldCharType="end"/>
        </w:r>
      </w:hyperlink>
    </w:p>
    <w:p w14:paraId="422C7082" w14:textId="364F4B02" w:rsidR="005F4374" w:rsidRDefault="006C0554">
      <w:pPr>
        <w:pStyle w:val="TOC1"/>
        <w:tabs>
          <w:tab w:val="left" w:pos="440"/>
          <w:tab w:val="right" w:leader="dot" w:pos="9016"/>
        </w:tabs>
        <w:rPr>
          <w:rFonts w:eastAsiaTheme="minorEastAsia"/>
          <w:b w:val="0"/>
          <w:bCs w:val="0"/>
          <w:caps w:val="0"/>
          <w:noProof/>
          <w:sz w:val="22"/>
          <w:szCs w:val="22"/>
          <w:lang w:val="en-MY" w:eastAsia="en-MY"/>
        </w:rPr>
      </w:pPr>
      <w:hyperlink w:anchor="_Toc37258362" w:history="1">
        <w:r w:rsidR="005F4374" w:rsidRPr="00A06632">
          <w:rPr>
            <w:rStyle w:val="Hyperlink"/>
            <w:noProof/>
          </w:rPr>
          <w:t>4</w:t>
        </w:r>
        <w:r w:rsidR="005F4374">
          <w:rPr>
            <w:rFonts w:eastAsiaTheme="minorEastAsia"/>
            <w:b w:val="0"/>
            <w:bCs w:val="0"/>
            <w:caps w:val="0"/>
            <w:noProof/>
            <w:sz w:val="22"/>
            <w:szCs w:val="22"/>
            <w:lang w:val="en-MY" w:eastAsia="en-MY"/>
          </w:rPr>
          <w:tab/>
        </w:r>
        <w:r w:rsidR="005F4374" w:rsidRPr="00A06632">
          <w:rPr>
            <w:rStyle w:val="Hyperlink"/>
            <w:noProof/>
          </w:rPr>
          <w:t>References</w:t>
        </w:r>
        <w:r w:rsidR="005F4374">
          <w:rPr>
            <w:noProof/>
            <w:webHidden/>
          </w:rPr>
          <w:tab/>
        </w:r>
        <w:r w:rsidR="005F4374">
          <w:rPr>
            <w:noProof/>
            <w:webHidden/>
          </w:rPr>
          <w:fldChar w:fldCharType="begin"/>
        </w:r>
        <w:r w:rsidR="005F4374">
          <w:rPr>
            <w:noProof/>
            <w:webHidden/>
          </w:rPr>
          <w:instrText xml:space="preserve"> PAGEREF _Toc37258362 \h </w:instrText>
        </w:r>
        <w:r w:rsidR="005F4374">
          <w:rPr>
            <w:noProof/>
            <w:webHidden/>
          </w:rPr>
        </w:r>
        <w:r w:rsidR="005F4374">
          <w:rPr>
            <w:noProof/>
            <w:webHidden/>
          </w:rPr>
          <w:fldChar w:fldCharType="separate"/>
        </w:r>
        <w:r w:rsidR="00276423">
          <w:rPr>
            <w:noProof/>
            <w:webHidden/>
          </w:rPr>
          <w:t>64</w:t>
        </w:r>
        <w:r w:rsidR="005F4374">
          <w:rPr>
            <w:noProof/>
            <w:webHidden/>
          </w:rPr>
          <w:fldChar w:fldCharType="end"/>
        </w:r>
      </w:hyperlink>
    </w:p>
    <w:p w14:paraId="3DE4FE66" w14:textId="0D8E461A" w:rsidR="005F4374" w:rsidRDefault="006C0554">
      <w:pPr>
        <w:pStyle w:val="TOC1"/>
        <w:tabs>
          <w:tab w:val="left" w:pos="440"/>
          <w:tab w:val="right" w:leader="dot" w:pos="9016"/>
        </w:tabs>
        <w:rPr>
          <w:rFonts w:eastAsiaTheme="minorEastAsia"/>
          <w:b w:val="0"/>
          <w:bCs w:val="0"/>
          <w:caps w:val="0"/>
          <w:noProof/>
          <w:sz w:val="22"/>
          <w:szCs w:val="22"/>
          <w:lang w:val="en-MY" w:eastAsia="en-MY"/>
        </w:rPr>
      </w:pPr>
      <w:hyperlink w:anchor="_Toc37258363" w:history="1">
        <w:r w:rsidR="005F4374" w:rsidRPr="00A06632">
          <w:rPr>
            <w:rStyle w:val="Hyperlink"/>
            <w:noProof/>
          </w:rPr>
          <w:t>5</w:t>
        </w:r>
        <w:r w:rsidR="005F4374">
          <w:rPr>
            <w:rFonts w:eastAsiaTheme="minorEastAsia"/>
            <w:b w:val="0"/>
            <w:bCs w:val="0"/>
            <w:caps w:val="0"/>
            <w:noProof/>
            <w:sz w:val="22"/>
            <w:szCs w:val="22"/>
            <w:lang w:val="en-MY" w:eastAsia="en-MY"/>
          </w:rPr>
          <w:tab/>
        </w:r>
        <w:r w:rsidR="005F4374" w:rsidRPr="00A06632">
          <w:rPr>
            <w:rStyle w:val="Hyperlink"/>
            <w:noProof/>
          </w:rPr>
          <w:t>Appendix</w:t>
        </w:r>
        <w:r w:rsidR="005F4374">
          <w:rPr>
            <w:noProof/>
            <w:webHidden/>
          </w:rPr>
          <w:tab/>
        </w:r>
        <w:r w:rsidR="005F4374">
          <w:rPr>
            <w:noProof/>
            <w:webHidden/>
          </w:rPr>
          <w:fldChar w:fldCharType="begin"/>
        </w:r>
        <w:r w:rsidR="005F4374">
          <w:rPr>
            <w:noProof/>
            <w:webHidden/>
          </w:rPr>
          <w:instrText xml:space="preserve"> PAGEREF _Toc37258363 \h </w:instrText>
        </w:r>
        <w:r w:rsidR="005F4374">
          <w:rPr>
            <w:noProof/>
            <w:webHidden/>
          </w:rPr>
        </w:r>
        <w:r w:rsidR="005F4374">
          <w:rPr>
            <w:noProof/>
            <w:webHidden/>
          </w:rPr>
          <w:fldChar w:fldCharType="separate"/>
        </w:r>
        <w:r w:rsidR="00276423">
          <w:rPr>
            <w:noProof/>
            <w:webHidden/>
          </w:rPr>
          <w:t>65</w:t>
        </w:r>
        <w:r w:rsidR="005F4374">
          <w:rPr>
            <w:noProof/>
            <w:webHidden/>
          </w:rPr>
          <w:fldChar w:fldCharType="end"/>
        </w:r>
      </w:hyperlink>
    </w:p>
    <w:p w14:paraId="499743F4" w14:textId="2624044D" w:rsidR="00D47EE8" w:rsidRPr="00CD154F" w:rsidRDefault="00CD154F" w:rsidP="00A4064D">
      <w:pPr>
        <w:spacing w:before="480"/>
        <w:rPr>
          <w:color w:val="2E74B5" w:themeColor="accent1" w:themeShade="BF"/>
          <w:sz w:val="32"/>
          <w:szCs w:val="32"/>
        </w:rPr>
      </w:pPr>
      <w:r>
        <w:rPr>
          <w:b/>
          <w:bCs/>
          <w:caps/>
          <w:sz w:val="20"/>
          <w:szCs w:val="20"/>
        </w:rPr>
        <w:fldChar w:fldCharType="end"/>
      </w:r>
      <w:r w:rsidR="00D47EE8" w:rsidRPr="00CD154F">
        <w:rPr>
          <w:color w:val="2E74B5" w:themeColor="accent1" w:themeShade="BF"/>
          <w:sz w:val="32"/>
          <w:szCs w:val="32"/>
        </w:rPr>
        <w:t>Tables</w:t>
      </w:r>
    </w:p>
    <w:p w14:paraId="4B16BAE3" w14:textId="671EE8AB" w:rsidR="00961F6D" w:rsidRDefault="00600CEB">
      <w:pPr>
        <w:pStyle w:val="TableofFigures"/>
        <w:tabs>
          <w:tab w:val="right" w:leader="dot" w:pos="9016"/>
        </w:tabs>
        <w:rPr>
          <w:rFonts w:eastAsiaTheme="minorEastAsia"/>
          <w:noProof/>
          <w:lang w:val="en-MY" w:eastAsia="en-MY"/>
        </w:rPr>
      </w:pPr>
      <w:r>
        <w:fldChar w:fldCharType="begin"/>
      </w:r>
      <w:r>
        <w:instrText xml:space="preserve"> TOC \h \z \c "Table" </w:instrText>
      </w:r>
      <w:r>
        <w:fldChar w:fldCharType="separate"/>
      </w:r>
      <w:hyperlink w:anchor="_Toc37263564" w:history="1">
        <w:r w:rsidR="00961F6D" w:rsidRPr="0007093C">
          <w:rPr>
            <w:rStyle w:val="Hyperlink"/>
            <w:noProof/>
          </w:rPr>
          <w:t>Table 2</w:t>
        </w:r>
        <w:r w:rsidR="00961F6D" w:rsidRPr="0007093C">
          <w:rPr>
            <w:rStyle w:val="Hyperlink"/>
            <w:noProof/>
          </w:rPr>
          <w:noBreakHyphen/>
          <w:t>1: Average monthly number of Emergency Department attendances from July to December 2018</w:t>
        </w:r>
        <w:r w:rsidR="00961F6D">
          <w:rPr>
            <w:noProof/>
            <w:webHidden/>
          </w:rPr>
          <w:tab/>
        </w:r>
        <w:r w:rsidR="00961F6D">
          <w:rPr>
            <w:noProof/>
            <w:webHidden/>
          </w:rPr>
          <w:fldChar w:fldCharType="begin"/>
        </w:r>
        <w:r w:rsidR="00961F6D">
          <w:rPr>
            <w:noProof/>
            <w:webHidden/>
          </w:rPr>
          <w:instrText xml:space="preserve"> PAGEREF _Toc37263564 \h </w:instrText>
        </w:r>
        <w:r w:rsidR="00961F6D">
          <w:rPr>
            <w:noProof/>
            <w:webHidden/>
          </w:rPr>
        </w:r>
        <w:r w:rsidR="00961F6D">
          <w:rPr>
            <w:noProof/>
            <w:webHidden/>
          </w:rPr>
          <w:fldChar w:fldCharType="separate"/>
        </w:r>
        <w:r w:rsidR="00276423">
          <w:rPr>
            <w:noProof/>
            <w:webHidden/>
          </w:rPr>
          <w:t>15</w:t>
        </w:r>
        <w:r w:rsidR="00961F6D">
          <w:rPr>
            <w:noProof/>
            <w:webHidden/>
          </w:rPr>
          <w:fldChar w:fldCharType="end"/>
        </w:r>
      </w:hyperlink>
    </w:p>
    <w:p w14:paraId="420C68BC" w14:textId="591FEF16" w:rsidR="00961F6D" w:rsidRDefault="006C0554">
      <w:pPr>
        <w:pStyle w:val="TableofFigures"/>
        <w:tabs>
          <w:tab w:val="right" w:leader="dot" w:pos="9016"/>
        </w:tabs>
        <w:rPr>
          <w:rFonts w:eastAsiaTheme="minorEastAsia"/>
          <w:noProof/>
          <w:lang w:val="en-MY" w:eastAsia="en-MY"/>
        </w:rPr>
      </w:pPr>
      <w:hyperlink w:anchor="_Toc37263565" w:history="1">
        <w:r w:rsidR="00961F6D" w:rsidRPr="0007093C">
          <w:rPr>
            <w:rStyle w:val="Hyperlink"/>
            <w:noProof/>
          </w:rPr>
          <w:t>Table 2</w:t>
        </w:r>
        <w:r w:rsidR="00961F6D" w:rsidRPr="0007093C">
          <w:rPr>
            <w:rStyle w:val="Hyperlink"/>
            <w:noProof/>
          </w:rPr>
          <w:noBreakHyphen/>
          <w:t>2: Average monthly Emergency Department attendance rates per 100 population</w:t>
        </w:r>
        <w:r w:rsidR="00961F6D">
          <w:rPr>
            <w:noProof/>
            <w:webHidden/>
          </w:rPr>
          <w:tab/>
        </w:r>
        <w:r w:rsidR="00961F6D">
          <w:rPr>
            <w:noProof/>
            <w:webHidden/>
          </w:rPr>
          <w:fldChar w:fldCharType="begin"/>
        </w:r>
        <w:r w:rsidR="00961F6D">
          <w:rPr>
            <w:noProof/>
            <w:webHidden/>
          </w:rPr>
          <w:instrText xml:space="preserve"> PAGEREF _Toc37263565 \h </w:instrText>
        </w:r>
        <w:r w:rsidR="00961F6D">
          <w:rPr>
            <w:noProof/>
            <w:webHidden/>
          </w:rPr>
        </w:r>
        <w:r w:rsidR="00961F6D">
          <w:rPr>
            <w:noProof/>
            <w:webHidden/>
          </w:rPr>
          <w:fldChar w:fldCharType="separate"/>
        </w:r>
        <w:r w:rsidR="00276423">
          <w:rPr>
            <w:noProof/>
            <w:webHidden/>
          </w:rPr>
          <w:t>16</w:t>
        </w:r>
        <w:r w:rsidR="00961F6D">
          <w:rPr>
            <w:noProof/>
            <w:webHidden/>
          </w:rPr>
          <w:fldChar w:fldCharType="end"/>
        </w:r>
      </w:hyperlink>
    </w:p>
    <w:p w14:paraId="711ADF11" w14:textId="2902524F" w:rsidR="00961F6D" w:rsidRDefault="006C0554">
      <w:pPr>
        <w:pStyle w:val="TableofFigures"/>
        <w:tabs>
          <w:tab w:val="right" w:leader="dot" w:pos="9016"/>
        </w:tabs>
        <w:rPr>
          <w:rFonts w:eastAsiaTheme="minorEastAsia"/>
          <w:noProof/>
          <w:lang w:val="en-MY" w:eastAsia="en-MY"/>
        </w:rPr>
      </w:pPr>
      <w:hyperlink w:anchor="_Toc37263566" w:history="1">
        <w:r w:rsidR="00961F6D" w:rsidRPr="0007093C">
          <w:rPr>
            <w:rStyle w:val="Hyperlink"/>
            <w:noProof/>
          </w:rPr>
          <w:t>Table 2</w:t>
        </w:r>
        <w:r w:rsidR="00961F6D" w:rsidRPr="0007093C">
          <w:rPr>
            <w:rStyle w:val="Hyperlink"/>
            <w:noProof/>
          </w:rPr>
          <w:noBreakHyphen/>
          <w:t>3: Average monthly Emergency Department attendance rates (per 100 persons) by triage category (July to December 2018)</w:t>
        </w:r>
        <w:r w:rsidR="00961F6D">
          <w:rPr>
            <w:noProof/>
            <w:webHidden/>
          </w:rPr>
          <w:tab/>
        </w:r>
        <w:r w:rsidR="00961F6D">
          <w:rPr>
            <w:noProof/>
            <w:webHidden/>
          </w:rPr>
          <w:fldChar w:fldCharType="begin"/>
        </w:r>
        <w:r w:rsidR="00961F6D">
          <w:rPr>
            <w:noProof/>
            <w:webHidden/>
          </w:rPr>
          <w:instrText xml:space="preserve"> PAGEREF _Toc37263566 \h </w:instrText>
        </w:r>
        <w:r w:rsidR="00961F6D">
          <w:rPr>
            <w:noProof/>
            <w:webHidden/>
          </w:rPr>
        </w:r>
        <w:r w:rsidR="00961F6D">
          <w:rPr>
            <w:noProof/>
            <w:webHidden/>
          </w:rPr>
          <w:fldChar w:fldCharType="separate"/>
        </w:r>
        <w:r w:rsidR="00276423">
          <w:rPr>
            <w:noProof/>
            <w:webHidden/>
          </w:rPr>
          <w:t>18</w:t>
        </w:r>
        <w:r w:rsidR="00961F6D">
          <w:rPr>
            <w:noProof/>
            <w:webHidden/>
          </w:rPr>
          <w:fldChar w:fldCharType="end"/>
        </w:r>
      </w:hyperlink>
    </w:p>
    <w:p w14:paraId="2EEC8929" w14:textId="08E0B21C" w:rsidR="00961F6D" w:rsidRDefault="006C0554">
      <w:pPr>
        <w:pStyle w:val="TableofFigures"/>
        <w:tabs>
          <w:tab w:val="right" w:leader="dot" w:pos="9016"/>
        </w:tabs>
        <w:rPr>
          <w:rFonts w:eastAsiaTheme="minorEastAsia"/>
          <w:noProof/>
          <w:lang w:val="en-MY" w:eastAsia="en-MY"/>
        </w:rPr>
      </w:pPr>
      <w:hyperlink w:anchor="_Toc37263567" w:history="1">
        <w:r w:rsidR="00961F6D" w:rsidRPr="0007093C">
          <w:rPr>
            <w:rStyle w:val="Hyperlink"/>
            <w:noProof/>
          </w:rPr>
          <w:t>Table 2</w:t>
        </w:r>
        <w:r w:rsidR="00961F6D" w:rsidRPr="0007093C">
          <w:rPr>
            <w:rStyle w:val="Hyperlink"/>
            <w:noProof/>
          </w:rPr>
          <w:noBreakHyphen/>
          <w:t>4: Total reported offences by three primary categories in 2018</w:t>
        </w:r>
        <w:r w:rsidR="00961F6D">
          <w:rPr>
            <w:noProof/>
            <w:webHidden/>
          </w:rPr>
          <w:tab/>
        </w:r>
        <w:r w:rsidR="00961F6D">
          <w:rPr>
            <w:noProof/>
            <w:webHidden/>
          </w:rPr>
          <w:fldChar w:fldCharType="begin"/>
        </w:r>
        <w:r w:rsidR="00961F6D">
          <w:rPr>
            <w:noProof/>
            <w:webHidden/>
          </w:rPr>
          <w:instrText xml:space="preserve"> PAGEREF _Toc37263567 \h </w:instrText>
        </w:r>
        <w:r w:rsidR="00961F6D">
          <w:rPr>
            <w:noProof/>
            <w:webHidden/>
          </w:rPr>
        </w:r>
        <w:r w:rsidR="00961F6D">
          <w:rPr>
            <w:noProof/>
            <w:webHidden/>
          </w:rPr>
          <w:fldChar w:fldCharType="separate"/>
        </w:r>
        <w:r w:rsidR="00276423">
          <w:rPr>
            <w:noProof/>
            <w:webHidden/>
          </w:rPr>
          <w:t>19</w:t>
        </w:r>
        <w:r w:rsidR="00961F6D">
          <w:rPr>
            <w:noProof/>
            <w:webHidden/>
          </w:rPr>
          <w:fldChar w:fldCharType="end"/>
        </w:r>
      </w:hyperlink>
    </w:p>
    <w:p w14:paraId="4356B8A5" w14:textId="63155F9B" w:rsidR="00961F6D" w:rsidRDefault="006C0554">
      <w:pPr>
        <w:pStyle w:val="TableofFigures"/>
        <w:tabs>
          <w:tab w:val="right" w:leader="dot" w:pos="9016"/>
        </w:tabs>
        <w:rPr>
          <w:rFonts w:eastAsiaTheme="minorEastAsia"/>
          <w:noProof/>
          <w:lang w:val="en-MY" w:eastAsia="en-MY"/>
        </w:rPr>
      </w:pPr>
      <w:hyperlink w:anchor="_Toc37263568" w:history="1">
        <w:r w:rsidR="00961F6D" w:rsidRPr="0007093C">
          <w:rPr>
            <w:rStyle w:val="Hyperlink"/>
            <w:noProof/>
          </w:rPr>
          <w:t>Table 2</w:t>
        </w:r>
        <w:r w:rsidR="00961F6D" w:rsidRPr="0007093C">
          <w:rPr>
            <w:rStyle w:val="Hyperlink"/>
            <w:noProof/>
          </w:rPr>
          <w:noBreakHyphen/>
          <w:t>5: Total reported offences in 2018 by location, selected offence categories</w:t>
        </w:r>
        <w:r w:rsidR="00961F6D">
          <w:rPr>
            <w:noProof/>
            <w:webHidden/>
          </w:rPr>
          <w:tab/>
        </w:r>
        <w:r w:rsidR="00961F6D">
          <w:rPr>
            <w:noProof/>
            <w:webHidden/>
          </w:rPr>
          <w:fldChar w:fldCharType="begin"/>
        </w:r>
        <w:r w:rsidR="00961F6D">
          <w:rPr>
            <w:noProof/>
            <w:webHidden/>
          </w:rPr>
          <w:instrText xml:space="preserve"> PAGEREF _Toc37263568 \h </w:instrText>
        </w:r>
        <w:r w:rsidR="00961F6D">
          <w:rPr>
            <w:noProof/>
            <w:webHidden/>
          </w:rPr>
        </w:r>
        <w:r w:rsidR="00961F6D">
          <w:rPr>
            <w:noProof/>
            <w:webHidden/>
          </w:rPr>
          <w:fldChar w:fldCharType="separate"/>
        </w:r>
        <w:r w:rsidR="00276423">
          <w:rPr>
            <w:noProof/>
            <w:webHidden/>
          </w:rPr>
          <w:t>21</w:t>
        </w:r>
        <w:r w:rsidR="00961F6D">
          <w:rPr>
            <w:noProof/>
            <w:webHidden/>
          </w:rPr>
          <w:fldChar w:fldCharType="end"/>
        </w:r>
      </w:hyperlink>
    </w:p>
    <w:p w14:paraId="70F6681B" w14:textId="748FEBB4" w:rsidR="00961F6D" w:rsidRDefault="006C0554">
      <w:pPr>
        <w:pStyle w:val="TableofFigures"/>
        <w:tabs>
          <w:tab w:val="right" w:leader="dot" w:pos="9016"/>
        </w:tabs>
        <w:rPr>
          <w:rFonts w:eastAsiaTheme="minorEastAsia"/>
          <w:noProof/>
          <w:lang w:val="en-MY" w:eastAsia="en-MY"/>
        </w:rPr>
      </w:pPr>
      <w:hyperlink w:anchor="_Toc37263569" w:history="1">
        <w:r w:rsidR="00961F6D" w:rsidRPr="0007093C">
          <w:rPr>
            <w:rStyle w:val="Hyperlink"/>
            <w:noProof/>
          </w:rPr>
          <w:t>Table 2</w:t>
        </w:r>
        <w:r w:rsidR="00961F6D" w:rsidRPr="0007093C">
          <w:rPr>
            <w:rStyle w:val="Hyperlink"/>
            <w:noProof/>
          </w:rPr>
          <w:noBreakHyphen/>
          <w:t>6: Average monthly Electronic Gaming Machine (EGM) statistics in 2018</w:t>
        </w:r>
        <w:r w:rsidR="00961F6D">
          <w:rPr>
            <w:noProof/>
            <w:webHidden/>
          </w:rPr>
          <w:tab/>
        </w:r>
        <w:r w:rsidR="00961F6D">
          <w:rPr>
            <w:noProof/>
            <w:webHidden/>
          </w:rPr>
          <w:fldChar w:fldCharType="begin"/>
        </w:r>
        <w:r w:rsidR="00961F6D">
          <w:rPr>
            <w:noProof/>
            <w:webHidden/>
          </w:rPr>
          <w:instrText xml:space="preserve"> PAGEREF _Toc37263569 \h </w:instrText>
        </w:r>
        <w:r w:rsidR="00961F6D">
          <w:rPr>
            <w:noProof/>
            <w:webHidden/>
          </w:rPr>
        </w:r>
        <w:r w:rsidR="00961F6D">
          <w:rPr>
            <w:noProof/>
            <w:webHidden/>
          </w:rPr>
          <w:fldChar w:fldCharType="separate"/>
        </w:r>
        <w:r w:rsidR="00276423">
          <w:rPr>
            <w:noProof/>
            <w:webHidden/>
          </w:rPr>
          <w:t>22</w:t>
        </w:r>
        <w:r w:rsidR="00961F6D">
          <w:rPr>
            <w:noProof/>
            <w:webHidden/>
          </w:rPr>
          <w:fldChar w:fldCharType="end"/>
        </w:r>
      </w:hyperlink>
    </w:p>
    <w:p w14:paraId="3804CFAA" w14:textId="13ADBE00" w:rsidR="00961F6D" w:rsidRDefault="006C0554">
      <w:pPr>
        <w:pStyle w:val="TableofFigures"/>
        <w:tabs>
          <w:tab w:val="right" w:leader="dot" w:pos="9016"/>
        </w:tabs>
        <w:rPr>
          <w:rFonts w:eastAsiaTheme="minorEastAsia"/>
          <w:noProof/>
          <w:lang w:val="en-MY" w:eastAsia="en-MY"/>
        </w:rPr>
      </w:pPr>
      <w:hyperlink w:anchor="_Toc37263570" w:history="1">
        <w:r w:rsidR="00961F6D" w:rsidRPr="0007093C">
          <w:rPr>
            <w:rStyle w:val="Hyperlink"/>
            <w:noProof/>
          </w:rPr>
          <w:t>Table 2</w:t>
        </w:r>
        <w:r w:rsidR="00961F6D" w:rsidRPr="0007093C">
          <w:rPr>
            <w:rStyle w:val="Hyperlink"/>
            <w:noProof/>
          </w:rPr>
          <w:noBreakHyphen/>
          <w:t>7: Monthly EGM statistics per 1,000 population in 2018</w:t>
        </w:r>
        <w:r w:rsidR="00961F6D">
          <w:rPr>
            <w:noProof/>
            <w:webHidden/>
          </w:rPr>
          <w:tab/>
        </w:r>
        <w:r w:rsidR="00961F6D">
          <w:rPr>
            <w:noProof/>
            <w:webHidden/>
          </w:rPr>
          <w:fldChar w:fldCharType="begin"/>
        </w:r>
        <w:r w:rsidR="00961F6D">
          <w:rPr>
            <w:noProof/>
            <w:webHidden/>
          </w:rPr>
          <w:instrText xml:space="preserve"> PAGEREF _Toc37263570 \h </w:instrText>
        </w:r>
        <w:r w:rsidR="00961F6D">
          <w:rPr>
            <w:noProof/>
            <w:webHidden/>
          </w:rPr>
        </w:r>
        <w:r w:rsidR="00961F6D">
          <w:rPr>
            <w:noProof/>
            <w:webHidden/>
          </w:rPr>
          <w:fldChar w:fldCharType="separate"/>
        </w:r>
        <w:r w:rsidR="00276423">
          <w:rPr>
            <w:noProof/>
            <w:webHidden/>
          </w:rPr>
          <w:t>22</w:t>
        </w:r>
        <w:r w:rsidR="00961F6D">
          <w:rPr>
            <w:noProof/>
            <w:webHidden/>
          </w:rPr>
          <w:fldChar w:fldCharType="end"/>
        </w:r>
      </w:hyperlink>
    </w:p>
    <w:p w14:paraId="2B9F9057" w14:textId="4E097774" w:rsidR="00961F6D" w:rsidRDefault="006C0554">
      <w:pPr>
        <w:pStyle w:val="TableofFigures"/>
        <w:tabs>
          <w:tab w:val="right" w:leader="dot" w:pos="9016"/>
        </w:tabs>
        <w:rPr>
          <w:rFonts w:eastAsiaTheme="minorEastAsia"/>
          <w:noProof/>
          <w:lang w:val="en-MY" w:eastAsia="en-MY"/>
        </w:rPr>
      </w:pPr>
      <w:hyperlink w:anchor="_Toc37263571" w:history="1">
        <w:r w:rsidR="00961F6D" w:rsidRPr="0007093C">
          <w:rPr>
            <w:rStyle w:val="Hyperlink"/>
            <w:noProof/>
          </w:rPr>
          <w:t>Table 2</w:t>
        </w:r>
        <w:r w:rsidR="00961F6D" w:rsidRPr="0007093C">
          <w:rPr>
            <w:rStyle w:val="Hyperlink"/>
            <w:noProof/>
          </w:rPr>
          <w:noBreakHyphen/>
          <w:t>8: Labour force status of the working age population and youth in 2016</w:t>
        </w:r>
        <w:r w:rsidR="00961F6D">
          <w:rPr>
            <w:noProof/>
            <w:webHidden/>
          </w:rPr>
          <w:tab/>
        </w:r>
        <w:r w:rsidR="00961F6D">
          <w:rPr>
            <w:noProof/>
            <w:webHidden/>
          </w:rPr>
          <w:fldChar w:fldCharType="begin"/>
        </w:r>
        <w:r w:rsidR="00961F6D">
          <w:rPr>
            <w:noProof/>
            <w:webHidden/>
          </w:rPr>
          <w:instrText xml:space="preserve"> PAGEREF _Toc37263571 \h </w:instrText>
        </w:r>
        <w:r w:rsidR="00961F6D">
          <w:rPr>
            <w:noProof/>
            <w:webHidden/>
          </w:rPr>
        </w:r>
        <w:r w:rsidR="00961F6D">
          <w:rPr>
            <w:noProof/>
            <w:webHidden/>
          </w:rPr>
          <w:fldChar w:fldCharType="separate"/>
        </w:r>
        <w:r w:rsidR="00276423">
          <w:rPr>
            <w:noProof/>
            <w:webHidden/>
          </w:rPr>
          <w:t>24</w:t>
        </w:r>
        <w:r w:rsidR="00961F6D">
          <w:rPr>
            <w:noProof/>
            <w:webHidden/>
          </w:rPr>
          <w:fldChar w:fldCharType="end"/>
        </w:r>
      </w:hyperlink>
    </w:p>
    <w:p w14:paraId="23711C72" w14:textId="7FBD2FE2" w:rsidR="00961F6D" w:rsidRDefault="006C0554">
      <w:pPr>
        <w:pStyle w:val="TableofFigures"/>
        <w:tabs>
          <w:tab w:val="right" w:leader="dot" w:pos="9016"/>
        </w:tabs>
        <w:rPr>
          <w:rFonts w:eastAsiaTheme="minorEastAsia"/>
          <w:noProof/>
          <w:lang w:val="en-MY" w:eastAsia="en-MY"/>
        </w:rPr>
      </w:pPr>
      <w:hyperlink w:anchor="_Toc37263572" w:history="1">
        <w:r w:rsidR="00961F6D" w:rsidRPr="0007093C">
          <w:rPr>
            <w:rStyle w:val="Hyperlink"/>
            <w:noProof/>
          </w:rPr>
          <w:t>Table 2</w:t>
        </w:r>
        <w:r w:rsidR="00961F6D" w:rsidRPr="0007093C">
          <w:rPr>
            <w:rStyle w:val="Hyperlink"/>
            <w:noProof/>
          </w:rPr>
          <w:noBreakHyphen/>
          <w:t>9: Percentage of occupation types (as a proportion of employed people) in the Federal electorate of Hinkler, Queensland and Australia in 2016</w:t>
        </w:r>
        <w:r w:rsidR="00961F6D">
          <w:rPr>
            <w:noProof/>
            <w:webHidden/>
          </w:rPr>
          <w:tab/>
        </w:r>
        <w:r w:rsidR="00961F6D">
          <w:rPr>
            <w:noProof/>
            <w:webHidden/>
          </w:rPr>
          <w:fldChar w:fldCharType="begin"/>
        </w:r>
        <w:r w:rsidR="00961F6D">
          <w:rPr>
            <w:noProof/>
            <w:webHidden/>
          </w:rPr>
          <w:instrText xml:space="preserve"> PAGEREF _Toc37263572 \h </w:instrText>
        </w:r>
        <w:r w:rsidR="00961F6D">
          <w:rPr>
            <w:noProof/>
            <w:webHidden/>
          </w:rPr>
        </w:r>
        <w:r w:rsidR="00961F6D">
          <w:rPr>
            <w:noProof/>
            <w:webHidden/>
          </w:rPr>
          <w:fldChar w:fldCharType="separate"/>
        </w:r>
        <w:r w:rsidR="00276423">
          <w:rPr>
            <w:noProof/>
            <w:webHidden/>
          </w:rPr>
          <w:t>26</w:t>
        </w:r>
        <w:r w:rsidR="00961F6D">
          <w:rPr>
            <w:noProof/>
            <w:webHidden/>
          </w:rPr>
          <w:fldChar w:fldCharType="end"/>
        </w:r>
      </w:hyperlink>
    </w:p>
    <w:p w14:paraId="455CF5CA" w14:textId="77E2D3FE" w:rsidR="00961F6D" w:rsidRDefault="006C0554">
      <w:pPr>
        <w:pStyle w:val="TableofFigures"/>
        <w:tabs>
          <w:tab w:val="right" w:leader="dot" w:pos="9016"/>
        </w:tabs>
        <w:rPr>
          <w:rFonts w:eastAsiaTheme="minorEastAsia"/>
          <w:noProof/>
          <w:lang w:val="en-MY" w:eastAsia="en-MY"/>
        </w:rPr>
      </w:pPr>
      <w:hyperlink w:anchor="_Toc37263573" w:history="1">
        <w:r w:rsidR="00961F6D" w:rsidRPr="0007093C">
          <w:rPr>
            <w:rStyle w:val="Hyperlink"/>
            <w:noProof/>
          </w:rPr>
          <w:t>Table 2</w:t>
        </w:r>
        <w:r w:rsidR="00961F6D" w:rsidRPr="0007093C">
          <w:rPr>
            <w:rStyle w:val="Hyperlink"/>
            <w:noProof/>
          </w:rPr>
          <w:noBreakHyphen/>
          <w:t>10: Percentage of industry types (as a proportion of employed people) in the Federal electorate of Hinkler, Queensland and Australia in 2016</w:t>
        </w:r>
        <w:r w:rsidR="00961F6D">
          <w:rPr>
            <w:noProof/>
            <w:webHidden/>
          </w:rPr>
          <w:tab/>
        </w:r>
        <w:r w:rsidR="00961F6D">
          <w:rPr>
            <w:noProof/>
            <w:webHidden/>
          </w:rPr>
          <w:fldChar w:fldCharType="begin"/>
        </w:r>
        <w:r w:rsidR="00961F6D">
          <w:rPr>
            <w:noProof/>
            <w:webHidden/>
          </w:rPr>
          <w:instrText xml:space="preserve"> PAGEREF _Toc37263573 \h </w:instrText>
        </w:r>
        <w:r w:rsidR="00961F6D">
          <w:rPr>
            <w:noProof/>
            <w:webHidden/>
          </w:rPr>
        </w:r>
        <w:r w:rsidR="00961F6D">
          <w:rPr>
            <w:noProof/>
            <w:webHidden/>
          </w:rPr>
          <w:fldChar w:fldCharType="separate"/>
        </w:r>
        <w:r w:rsidR="00276423">
          <w:rPr>
            <w:noProof/>
            <w:webHidden/>
          </w:rPr>
          <w:t>27</w:t>
        </w:r>
        <w:r w:rsidR="00961F6D">
          <w:rPr>
            <w:noProof/>
            <w:webHidden/>
          </w:rPr>
          <w:fldChar w:fldCharType="end"/>
        </w:r>
      </w:hyperlink>
    </w:p>
    <w:p w14:paraId="1A4E1EF3" w14:textId="165D6450" w:rsidR="00961F6D" w:rsidRDefault="006C0554">
      <w:pPr>
        <w:pStyle w:val="TableofFigures"/>
        <w:tabs>
          <w:tab w:val="right" w:leader="dot" w:pos="9016"/>
        </w:tabs>
        <w:rPr>
          <w:rFonts w:eastAsiaTheme="minorEastAsia"/>
          <w:noProof/>
          <w:lang w:val="en-MY" w:eastAsia="en-MY"/>
        </w:rPr>
      </w:pPr>
      <w:hyperlink w:anchor="_Toc37263574" w:history="1">
        <w:r w:rsidR="00961F6D" w:rsidRPr="0007093C">
          <w:rPr>
            <w:rStyle w:val="Hyperlink"/>
            <w:noProof/>
          </w:rPr>
          <w:t>Table 2</w:t>
        </w:r>
        <w:r w:rsidR="00961F6D" w:rsidRPr="0007093C">
          <w:rPr>
            <w:rStyle w:val="Hyperlink"/>
            <w:noProof/>
          </w:rPr>
          <w:noBreakHyphen/>
          <w:t>11: Household structure as a percentage of household types</w:t>
        </w:r>
        <w:r w:rsidR="00961F6D">
          <w:rPr>
            <w:noProof/>
            <w:webHidden/>
          </w:rPr>
          <w:tab/>
        </w:r>
        <w:r w:rsidR="00961F6D">
          <w:rPr>
            <w:noProof/>
            <w:webHidden/>
          </w:rPr>
          <w:fldChar w:fldCharType="begin"/>
        </w:r>
        <w:r w:rsidR="00961F6D">
          <w:rPr>
            <w:noProof/>
            <w:webHidden/>
          </w:rPr>
          <w:instrText xml:space="preserve"> PAGEREF _Toc37263574 \h </w:instrText>
        </w:r>
        <w:r w:rsidR="00961F6D">
          <w:rPr>
            <w:noProof/>
            <w:webHidden/>
          </w:rPr>
        </w:r>
        <w:r w:rsidR="00961F6D">
          <w:rPr>
            <w:noProof/>
            <w:webHidden/>
          </w:rPr>
          <w:fldChar w:fldCharType="separate"/>
        </w:r>
        <w:r w:rsidR="00276423">
          <w:rPr>
            <w:noProof/>
            <w:webHidden/>
          </w:rPr>
          <w:t>28</w:t>
        </w:r>
        <w:r w:rsidR="00961F6D">
          <w:rPr>
            <w:noProof/>
            <w:webHidden/>
          </w:rPr>
          <w:fldChar w:fldCharType="end"/>
        </w:r>
      </w:hyperlink>
    </w:p>
    <w:p w14:paraId="42061E94" w14:textId="3C218B24" w:rsidR="00961F6D" w:rsidRDefault="006C0554">
      <w:pPr>
        <w:pStyle w:val="TableofFigures"/>
        <w:tabs>
          <w:tab w:val="right" w:leader="dot" w:pos="9016"/>
        </w:tabs>
        <w:rPr>
          <w:rFonts w:eastAsiaTheme="minorEastAsia"/>
          <w:noProof/>
          <w:lang w:val="en-MY" w:eastAsia="en-MY"/>
        </w:rPr>
      </w:pPr>
      <w:hyperlink w:anchor="_Toc37263575" w:history="1">
        <w:r w:rsidR="00961F6D" w:rsidRPr="0007093C">
          <w:rPr>
            <w:rStyle w:val="Hyperlink"/>
            <w:noProof/>
          </w:rPr>
          <w:t>Table 2</w:t>
        </w:r>
        <w:r w:rsidR="00961F6D" w:rsidRPr="0007093C">
          <w:rPr>
            <w:rStyle w:val="Hyperlink"/>
            <w:noProof/>
          </w:rPr>
          <w:noBreakHyphen/>
          <w:t>12: Household: Living in, owned or rented property</w:t>
        </w:r>
        <w:r w:rsidR="00961F6D">
          <w:rPr>
            <w:noProof/>
            <w:webHidden/>
          </w:rPr>
          <w:tab/>
        </w:r>
        <w:r w:rsidR="00961F6D">
          <w:rPr>
            <w:noProof/>
            <w:webHidden/>
          </w:rPr>
          <w:fldChar w:fldCharType="begin"/>
        </w:r>
        <w:r w:rsidR="00961F6D">
          <w:rPr>
            <w:noProof/>
            <w:webHidden/>
          </w:rPr>
          <w:instrText xml:space="preserve"> PAGEREF _Toc37263575 \h </w:instrText>
        </w:r>
        <w:r w:rsidR="00961F6D">
          <w:rPr>
            <w:noProof/>
            <w:webHidden/>
          </w:rPr>
        </w:r>
        <w:r w:rsidR="00961F6D">
          <w:rPr>
            <w:noProof/>
            <w:webHidden/>
          </w:rPr>
          <w:fldChar w:fldCharType="separate"/>
        </w:r>
        <w:r w:rsidR="00276423">
          <w:rPr>
            <w:noProof/>
            <w:webHidden/>
          </w:rPr>
          <w:t>29</w:t>
        </w:r>
        <w:r w:rsidR="00961F6D">
          <w:rPr>
            <w:noProof/>
            <w:webHidden/>
          </w:rPr>
          <w:fldChar w:fldCharType="end"/>
        </w:r>
      </w:hyperlink>
    </w:p>
    <w:p w14:paraId="7FCFE67C" w14:textId="53C61FE1" w:rsidR="00961F6D" w:rsidRDefault="006C0554">
      <w:pPr>
        <w:pStyle w:val="TableofFigures"/>
        <w:tabs>
          <w:tab w:val="right" w:leader="dot" w:pos="9016"/>
        </w:tabs>
        <w:rPr>
          <w:rFonts w:eastAsiaTheme="minorEastAsia"/>
          <w:noProof/>
          <w:lang w:val="en-MY" w:eastAsia="en-MY"/>
        </w:rPr>
      </w:pPr>
      <w:hyperlink w:anchor="_Toc37263576" w:history="1">
        <w:r w:rsidR="00961F6D" w:rsidRPr="0007093C">
          <w:rPr>
            <w:rStyle w:val="Hyperlink"/>
            <w:noProof/>
          </w:rPr>
          <w:t>Table 2</w:t>
        </w:r>
        <w:r w:rsidR="00961F6D" w:rsidRPr="0007093C">
          <w:rPr>
            <w:rStyle w:val="Hyperlink"/>
            <w:noProof/>
          </w:rPr>
          <w:noBreakHyphen/>
          <w:t>13: Household income and housing expense</w:t>
        </w:r>
        <w:r w:rsidR="00961F6D">
          <w:rPr>
            <w:noProof/>
            <w:webHidden/>
          </w:rPr>
          <w:tab/>
        </w:r>
        <w:r w:rsidR="00961F6D">
          <w:rPr>
            <w:noProof/>
            <w:webHidden/>
          </w:rPr>
          <w:fldChar w:fldCharType="begin"/>
        </w:r>
        <w:r w:rsidR="00961F6D">
          <w:rPr>
            <w:noProof/>
            <w:webHidden/>
          </w:rPr>
          <w:instrText xml:space="preserve"> PAGEREF _Toc37263576 \h </w:instrText>
        </w:r>
        <w:r w:rsidR="00961F6D">
          <w:rPr>
            <w:noProof/>
            <w:webHidden/>
          </w:rPr>
        </w:r>
        <w:r w:rsidR="00961F6D">
          <w:rPr>
            <w:noProof/>
            <w:webHidden/>
          </w:rPr>
          <w:fldChar w:fldCharType="separate"/>
        </w:r>
        <w:r w:rsidR="00276423">
          <w:rPr>
            <w:noProof/>
            <w:webHidden/>
          </w:rPr>
          <w:t>29</w:t>
        </w:r>
        <w:r w:rsidR="00961F6D">
          <w:rPr>
            <w:noProof/>
            <w:webHidden/>
          </w:rPr>
          <w:fldChar w:fldCharType="end"/>
        </w:r>
      </w:hyperlink>
    </w:p>
    <w:p w14:paraId="65CA1144" w14:textId="13CDE35E" w:rsidR="00961F6D" w:rsidRDefault="006C0554">
      <w:pPr>
        <w:pStyle w:val="TableofFigures"/>
        <w:tabs>
          <w:tab w:val="right" w:leader="dot" w:pos="9016"/>
        </w:tabs>
        <w:rPr>
          <w:rFonts w:eastAsiaTheme="minorEastAsia"/>
          <w:noProof/>
          <w:lang w:val="en-MY" w:eastAsia="en-MY"/>
        </w:rPr>
      </w:pPr>
      <w:hyperlink w:anchor="_Toc37263577" w:history="1">
        <w:r w:rsidR="00961F6D" w:rsidRPr="0007093C">
          <w:rPr>
            <w:rStyle w:val="Hyperlink"/>
            <w:noProof/>
          </w:rPr>
          <w:t>Table 2</w:t>
        </w:r>
        <w:r w:rsidR="00961F6D" w:rsidRPr="0007093C">
          <w:rPr>
            <w:rStyle w:val="Hyperlink"/>
            <w:noProof/>
          </w:rPr>
          <w:noBreakHyphen/>
          <w:t>14: Homelessness: Percentage of prevalence and types</w:t>
        </w:r>
        <w:r w:rsidR="00961F6D">
          <w:rPr>
            <w:noProof/>
            <w:webHidden/>
          </w:rPr>
          <w:tab/>
        </w:r>
        <w:r w:rsidR="00961F6D">
          <w:rPr>
            <w:noProof/>
            <w:webHidden/>
          </w:rPr>
          <w:fldChar w:fldCharType="begin"/>
        </w:r>
        <w:r w:rsidR="00961F6D">
          <w:rPr>
            <w:noProof/>
            <w:webHidden/>
          </w:rPr>
          <w:instrText xml:space="preserve"> PAGEREF _Toc37263577 \h </w:instrText>
        </w:r>
        <w:r w:rsidR="00961F6D">
          <w:rPr>
            <w:noProof/>
            <w:webHidden/>
          </w:rPr>
        </w:r>
        <w:r w:rsidR="00961F6D">
          <w:rPr>
            <w:noProof/>
            <w:webHidden/>
          </w:rPr>
          <w:fldChar w:fldCharType="separate"/>
        </w:r>
        <w:r w:rsidR="00276423">
          <w:rPr>
            <w:noProof/>
            <w:webHidden/>
          </w:rPr>
          <w:t>30</w:t>
        </w:r>
        <w:r w:rsidR="00961F6D">
          <w:rPr>
            <w:noProof/>
            <w:webHidden/>
          </w:rPr>
          <w:fldChar w:fldCharType="end"/>
        </w:r>
      </w:hyperlink>
    </w:p>
    <w:p w14:paraId="14053F0A" w14:textId="59F97484" w:rsidR="00961F6D" w:rsidRDefault="006C0554">
      <w:pPr>
        <w:pStyle w:val="TableofFigures"/>
        <w:tabs>
          <w:tab w:val="right" w:leader="dot" w:pos="9016"/>
        </w:tabs>
        <w:rPr>
          <w:rFonts w:eastAsiaTheme="minorEastAsia"/>
          <w:noProof/>
          <w:lang w:val="en-MY" w:eastAsia="en-MY"/>
        </w:rPr>
      </w:pPr>
      <w:hyperlink w:anchor="_Toc37263578" w:history="1">
        <w:r w:rsidR="00961F6D" w:rsidRPr="0007093C">
          <w:rPr>
            <w:rStyle w:val="Hyperlink"/>
            <w:noProof/>
          </w:rPr>
          <w:t>Table 2</w:t>
        </w:r>
        <w:r w:rsidR="00961F6D" w:rsidRPr="0007093C">
          <w:rPr>
            <w:rStyle w:val="Hyperlink"/>
            <w:noProof/>
          </w:rPr>
          <w:noBreakHyphen/>
          <w:t>15: The distribution of population across the IRSD deciles</w:t>
        </w:r>
        <w:r w:rsidR="00961F6D">
          <w:rPr>
            <w:noProof/>
            <w:webHidden/>
          </w:rPr>
          <w:tab/>
        </w:r>
        <w:r w:rsidR="00961F6D">
          <w:rPr>
            <w:noProof/>
            <w:webHidden/>
          </w:rPr>
          <w:fldChar w:fldCharType="begin"/>
        </w:r>
        <w:r w:rsidR="00961F6D">
          <w:rPr>
            <w:noProof/>
            <w:webHidden/>
          </w:rPr>
          <w:instrText xml:space="preserve"> PAGEREF _Toc37263578 \h </w:instrText>
        </w:r>
        <w:r w:rsidR="00961F6D">
          <w:rPr>
            <w:noProof/>
            <w:webHidden/>
          </w:rPr>
        </w:r>
        <w:r w:rsidR="00961F6D">
          <w:rPr>
            <w:noProof/>
            <w:webHidden/>
          </w:rPr>
          <w:fldChar w:fldCharType="separate"/>
        </w:r>
        <w:r w:rsidR="00276423">
          <w:rPr>
            <w:noProof/>
            <w:webHidden/>
          </w:rPr>
          <w:t>31</w:t>
        </w:r>
        <w:r w:rsidR="00961F6D">
          <w:rPr>
            <w:noProof/>
            <w:webHidden/>
          </w:rPr>
          <w:fldChar w:fldCharType="end"/>
        </w:r>
      </w:hyperlink>
    </w:p>
    <w:p w14:paraId="2850143D" w14:textId="2D2BE339" w:rsidR="00961F6D" w:rsidRDefault="006C0554">
      <w:pPr>
        <w:pStyle w:val="TableofFigures"/>
        <w:tabs>
          <w:tab w:val="right" w:leader="dot" w:pos="9016"/>
        </w:tabs>
        <w:rPr>
          <w:rFonts w:eastAsiaTheme="minorEastAsia"/>
          <w:noProof/>
          <w:lang w:val="en-MY" w:eastAsia="en-MY"/>
        </w:rPr>
      </w:pPr>
      <w:hyperlink w:anchor="_Toc37263579" w:history="1">
        <w:r w:rsidR="00961F6D" w:rsidRPr="0007093C">
          <w:rPr>
            <w:rStyle w:val="Hyperlink"/>
            <w:noProof/>
          </w:rPr>
          <w:t>Table 2</w:t>
        </w:r>
        <w:r w:rsidR="00961F6D" w:rsidRPr="0007093C">
          <w:rPr>
            <w:rStyle w:val="Hyperlink"/>
            <w:noProof/>
          </w:rPr>
          <w:noBreakHyphen/>
          <w:t>16: Level of highest educational attainment of people aged 15 and over (per cent)</w:t>
        </w:r>
        <w:r w:rsidR="00961F6D">
          <w:rPr>
            <w:noProof/>
            <w:webHidden/>
          </w:rPr>
          <w:tab/>
        </w:r>
        <w:r w:rsidR="00961F6D">
          <w:rPr>
            <w:noProof/>
            <w:webHidden/>
          </w:rPr>
          <w:fldChar w:fldCharType="begin"/>
        </w:r>
        <w:r w:rsidR="00961F6D">
          <w:rPr>
            <w:noProof/>
            <w:webHidden/>
          </w:rPr>
          <w:instrText xml:space="preserve"> PAGEREF _Toc37263579 \h </w:instrText>
        </w:r>
        <w:r w:rsidR="00961F6D">
          <w:rPr>
            <w:noProof/>
            <w:webHidden/>
          </w:rPr>
        </w:r>
        <w:r w:rsidR="00961F6D">
          <w:rPr>
            <w:noProof/>
            <w:webHidden/>
          </w:rPr>
          <w:fldChar w:fldCharType="separate"/>
        </w:r>
        <w:r w:rsidR="00276423">
          <w:rPr>
            <w:noProof/>
            <w:webHidden/>
          </w:rPr>
          <w:t>33</w:t>
        </w:r>
        <w:r w:rsidR="00961F6D">
          <w:rPr>
            <w:noProof/>
            <w:webHidden/>
          </w:rPr>
          <w:fldChar w:fldCharType="end"/>
        </w:r>
      </w:hyperlink>
    </w:p>
    <w:p w14:paraId="23252514" w14:textId="5A6C544A" w:rsidR="00961F6D" w:rsidRDefault="006C0554">
      <w:pPr>
        <w:pStyle w:val="TableofFigures"/>
        <w:tabs>
          <w:tab w:val="right" w:leader="dot" w:pos="9016"/>
        </w:tabs>
        <w:rPr>
          <w:rFonts w:eastAsiaTheme="minorEastAsia"/>
          <w:noProof/>
          <w:lang w:val="en-MY" w:eastAsia="en-MY"/>
        </w:rPr>
      </w:pPr>
      <w:hyperlink w:anchor="_Toc37263580" w:history="1">
        <w:r w:rsidR="00961F6D" w:rsidRPr="0007093C">
          <w:rPr>
            <w:rStyle w:val="Hyperlink"/>
            <w:noProof/>
          </w:rPr>
          <w:t>Table 2</w:t>
        </w:r>
        <w:r w:rsidR="00961F6D" w:rsidRPr="0007093C">
          <w:rPr>
            <w:rStyle w:val="Hyperlink"/>
            <w:noProof/>
          </w:rPr>
          <w:noBreakHyphen/>
          <w:t>17: Student attendance rates of public schools by school category (per cent)</w:t>
        </w:r>
        <w:r w:rsidR="00961F6D">
          <w:rPr>
            <w:noProof/>
            <w:webHidden/>
          </w:rPr>
          <w:tab/>
        </w:r>
        <w:r w:rsidR="00961F6D">
          <w:rPr>
            <w:noProof/>
            <w:webHidden/>
          </w:rPr>
          <w:fldChar w:fldCharType="begin"/>
        </w:r>
        <w:r w:rsidR="00961F6D">
          <w:rPr>
            <w:noProof/>
            <w:webHidden/>
          </w:rPr>
          <w:instrText xml:space="preserve"> PAGEREF _Toc37263580 \h </w:instrText>
        </w:r>
        <w:r w:rsidR="00961F6D">
          <w:rPr>
            <w:noProof/>
            <w:webHidden/>
          </w:rPr>
        </w:r>
        <w:r w:rsidR="00961F6D">
          <w:rPr>
            <w:noProof/>
            <w:webHidden/>
          </w:rPr>
          <w:fldChar w:fldCharType="separate"/>
        </w:r>
        <w:r w:rsidR="00276423">
          <w:rPr>
            <w:noProof/>
            <w:webHidden/>
          </w:rPr>
          <w:t>34</w:t>
        </w:r>
        <w:r w:rsidR="00961F6D">
          <w:rPr>
            <w:noProof/>
            <w:webHidden/>
          </w:rPr>
          <w:fldChar w:fldCharType="end"/>
        </w:r>
      </w:hyperlink>
    </w:p>
    <w:p w14:paraId="630C3D97" w14:textId="256470B1" w:rsidR="00961F6D" w:rsidRDefault="006C0554">
      <w:pPr>
        <w:pStyle w:val="TableofFigures"/>
        <w:tabs>
          <w:tab w:val="right" w:leader="dot" w:pos="9016"/>
        </w:tabs>
        <w:rPr>
          <w:rFonts w:eastAsiaTheme="minorEastAsia"/>
          <w:noProof/>
          <w:lang w:val="en-MY" w:eastAsia="en-MY"/>
        </w:rPr>
      </w:pPr>
      <w:hyperlink w:anchor="_Toc37263581" w:history="1">
        <w:r w:rsidR="00961F6D" w:rsidRPr="0007093C">
          <w:rPr>
            <w:rStyle w:val="Hyperlink"/>
            <w:noProof/>
          </w:rPr>
          <w:t>Table 2</w:t>
        </w:r>
        <w:r w:rsidR="00961F6D" w:rsidRPr="0007093C">
          <w:rPr>
            <w:rStyle w:val="Hyperlink"/>
            <w:noProof/>
          </w:rPr>
          <w:noBreakHyphen/>
          <w:t>18: Number of VET enrolments and completions and proportion of the total population in 2016</w:t>
        </w:r>
        <w:r w:rsidR="00961F6D">
          <w:rPr>
            <w:noProof/>
            <w:webHidden/>
          </w:rPr>
          <w:tab/>
        </w:r>
        <w:r w:rsidR="00961F6D">
          <w:rPr>
            <w:noProof/>
            <w:webHidden/>
          </w:rPr>
          <w:fldChar w:fldCharType="begin"/>
        </w:r>
        <w:r w:rsidR="00961F6D">
          <w:rPr>
            <w:noProof/>
            <w:webHidden/>
          </w:rPr>
          <w:instrText xml:space="preserve"> PAGEREF _Toc37263581 \h </w:instrText>
        </w:r>
        <w:r w:rsidR="00961F6D">
          <w:rPr>
            <w:noProof/>
            <w:webHidden/>
          </w:rPr>
        </w:r>
        <w:r w:rsidR="00961F6D">
          <w:rPr>
            <w:noProof/>
            <w:webHidden/>
          </w:rPr>
          <w:fldChar w:fldCharType="separate"/>
        </w:r>
        <w:r w:rsidR="00276423">
          <w:rPr>
            <w:noProof/>
            <w:webHidden/>
          </w:rPr>
          <w:t>36</w:t>
        </w:r>
        <w:r w:rsidR="00961F6D">
          <w:rPr>
            <w:noProof/>
            <w:webHidden/>
          </w:rPr>
          <w:fldChar w:fldCharType="end"/>
        </w:r>
      </w:hyperlink>
    </w:p>
    <w:p w14:paraId="67A3B513" w14:textId="6040A85F" w:rsidR="00961F6D" w:rsidRDefault="006C0554">
      <w:pPr>
        <w:pStyle w:val="TableofFigures"/>
        <w:tabs>
          <w:tab w:val="right" w:leader="dot" w:pos="9016"/>
        </w:tabs>
        <w:rPr>
          <w:rFonts w:eastAsiaTheme="minorEastAsia"/>
          <w:noProof/>
          <w:lang w:val="en-MY" w:eastAsia="en-MY"/>
        </w:rPr>
      </w:pPr>
      <w:hyperlink w:anchor="_Toc37263582" w:history="1">
        <w:r w:rsidR="00961F6D" w:rsidRPr="0007093C">
          <w:rPr>
            <w:rStyle w:val="Hyperlink"/>
            <w:noProof/>
          </w:rPr>
          <w:t>Table 2</w:t>
        </w:r>
        <w:r w:rsidR="00961F6D" w:rsidRPr="0007093C">
          <w:rPr>
            <w:rStyle w:val="Hyperlink"/>
            <w:noProof/>
          </w:rPr>
          <w:noBreakHyphen/>
          <w:t>19: Enrolment level of VET training in 2016 (percentage of total vet enrolments)</w:t>
        </w:r>
        <w:r w:rsidR="00961F6D">
          <w:rPr>
            <w:noProof/>
            <w:webHidden/>
          </w:rPr>
          <w:tab/>
        </w:r>
        <w:r w:rsidR="00961F6D">
          <w:rPr>
            <w:noProof/>
            <w:webHidden/>
          </w:rPr>
          <w:fldChar w:fldCharType="begin"/>
        </w:r>
        <w:r w:rsidR="00961F6D">
          <w:rPr>
            <w:noProof/>
            <w:webHidden/>
          </w:rPr>
          <w:instrText xml:space="preserve"> PAGEREF _Toc37263582 \h </w:instrText>
        </w:r>
        <w:r w:rsidR="00961F6D">
          <w:rPr>
            <w:noProof/>
            <w:webHidden/>
          </w:rPr>
        </w:r>
        <w:r w:rsidR="00961F6D">
          <w:rPr>
            <w:noProof/>
            <w:webHidden/>
          </w:rPr>
          <w:fldChar w:fldCharType="separate"/>
        </w:r>
        <w:r w:rsidR="00276423">
          <w:rPr>
            <w:noProof/>
            <w:webHidden/>
          </w:rPr>
          <w:t>36</w:t>
        </w:r>
        <w:r w:rsidR="00961F6D">
          <w:rPr>
            <w:noProof/>
            <w:webHidden/>
          </w:rPr>
          <w:fldChar w:fldCharType="end"/>
        </w:r>
      </w:hyperlink>
    </w:p>
    <w:p w14:paraId="0E669756" w14:textId="25483796" w:rsidR="00961F6D" w:rsidRDefault="006C0554">
      <w:pPr>
        <w:pStyle w:val="TableofFigures"/>
        <w:tabs>
          <w:tab w:val="right" w:leader="dot" w:pos="9016"/>
        </w:tabs>
        <w:rPr>
          <w:rFonts w:eastAsiaTheme="minorEastAsia"/>
          <w:noProof/>
          <w:lang w:val="en-MY" w:eastAsia="en-MY"/>
        </w:rPr>
      </w:pPr>
      <w:hyperlink w:anchor="_Toc37263583" w:history="1">
        <w:r w:rsidR="00961F6D" w:rsidRPr="0007093C">
          <w:rPr>
            <w:rStyle w:val="Hyperlink"/>
            <w:noProof/>
          </w:rPr>
          <w:t>Table 2</w:t>
        </w:r>
        <w:r w:rsidR="00961F6D" w:rsidRPr="0007093C">
          <w:rPr>
            <w:rStyle w:val="Hyperlink"/>
            <w:noProof/>
          </w:rPr>
          <w:noBreakHyphen/>
          <w:t>20: Completion level of VET training in 2016 (percentage of total vet completions)</w:t>
        </w:r>
        <w:r w:rsidR="00961F6D">
          <w:rPr>
            <w:noProof/>
            <w:webHidden/>
          </w:rPr>
          <w:tab/>
        </w:r>
        <w:r w:rsidR="00961F6D">
          <w:rPr>
            <w:noProof/>
            <w:webHidden/>
          </w:rPr>
          <w:fldChar w:fldCharType="begin"/>
        </w:r>
        <w:r w:rsidR="00961F6D">
          <w:rPr>
            <w:noProof/>
            <w:webHidden/>
          </w:rPr>
          <w:instrText xml:space="preserve"> PAGEREF _Toc37263583 \h </w:instrText>
        </w:r>
        <w:r w:rsidR="00961F6D">
          <w:rPr>
            <w:noProof/>
            <w:webHidden/>
          </w:rPr>
        </w:r>
        <w:r w:rsidR="00961F6D">
          <w:rPr>
            <w:noProof/>
            <w:webHidden/>
          </w:rPr>
          <w:fldChar w:fldCharType="separate"/>
        </w:r>
        <w:r w:rsidR="00276423">
          <w:rPr>
            <w:noProof/>
            <w:webHidden/>
          </w:rPr>
          <w:t>37</w:t>
        </w:r>
        <w:r w:rsidR="00961F6D">
          <w:rPr>
            <w:noProof/>
            <w:webHidden/>
          </w:rPr>
          <w:fldChar w:fldCharType="end"/>
        </w:r>
      </w:hyperlink>
    </w:p>
    <w:p w14:paraId="10C87445" w14:textId="51D562A8" w:rsidR="00961F6D" w:rsidRDefault="006C0554">
      <w:pPr>
        <w:pStyle w:val="TableofFigures"/>
        <w:tabs>
          <w:tab w:val="right" w:leader="dot" w:pos="9016"/>
        </w:tabs>
        <w:rPr>
          <w:rFonts w:eastAsiaTheme="minorEastAsia"/>
          <w:noProof/>
          <w:lang w:val="en-MY" w:eastAsia="en-MY"/>
        </w:rPr>
      </w:pPr>
      <w:hyperlink w:anchor="_Toc37263584" w:history="1">
        <w:r w:rsidR="00961F6D" w:rsidRPr="0007093C">
          <w:rPr>
            <w:rStyle w:val="Hyperlink"/>
            <w:noProof/>
          </w:rPr>
          <w:t>Table 2</w:t>
        </w:r>
        <w:r w:rsidR="00961F6D" w:rsidRPr="0007093C">
          <w:rPr>
            <w:rStyle w:val="Hyperlink"/>
            <w:noProof/>
          </w:rPr>
          <w:noBreakHyphen/>
          <w:t>21: Enrolment field of VET training in 2016 (percentage of total vet enrolments)</w:t>
        </w:r>
        <w:r w:rsidR="00961F6D">
          <w:rPr>
            <w:noProof/>
            <w:webHidden/>
          </w:rPr>
          <w:tab/>
        </w:r>
        <w:r w:rsidR="00961F6D">
          <w:rPr>
            <w:noProof/>
            <w:webHidden/>
          </w:rPr>
          <w:fldChar w:fldCharType="begin"/>
        </w:r>
        <w:r w:rsidR="00961F6D">
          <w:rPr>
            <w:noProof/>
            <w:webHidden/>
          </w:rPr>
          <w:instrText xml:space="preserve"> PAGEREF _Toc37263584 \h </w:instrText>
        </w:r>
        <w:r w:rsidR="00961F6D">
          <w:rPr>
            <w:noProof/>
            <w:webHidden/>
          </w:rPr>
        </w:r>
        <w:r w:rsidR="00961F6D">
          <w:rPr>
            <w:noProof/>
            <w:webHidden/>
          </w:rPr>
          <w:fldChar w:fldCharType="separate"/>
        </w:r>
        <w:r w:rsidR="00276423">
          <w:rPr>
            <w:noProof/>
            <w:webHidden/>
          </w:rPr>
          <w:t>37</w:t>
        </w:r>
        <w:r w:rsidR="00961F6D">
          <w:rPr>
            <w:noProof/>
            <w:webHidden/>
          </w:rPr>
          <w:fldChar w:fldCharType="end"/>
        </w:r>
      </w:hyperlink>
    </w:p>
    <w:p w14:paraId="75212D1E" w14:textId="0794FC5B" w:rsidR="00961F6D" w:rsidRDefault="006C0554">
      <w:pPr>
        <w:pStyle w:val="TableofFigures"/>
        <w:tabs>
          <w:tab w:val="right" w:leader="dot" w:pos="9016"/>
        </w:tabs>
        <w:rPr>
          <w:rFonts w:eastAsiaTheme="minorEastAsia"/>
          <w:noProof/>
          <w:lang w:val="en-MY" w:eastAsia="en-MY"/>
        </w:rPr>
      </w:pPr>
      <w:hyperlink w:anchor="_Toc37263585" w:history="1">
        <w:r w:rsidR="00961F6D" w:rsidRPr="0007093C">
          <w:rPr>
            <w:rStyle w:val="Hyperlink"/>
            <w:noProof/>
          </w:rPr>
          <w:t>Table 2</w:t>
        </w:r>
        <w:r w:rsidR="00961F6D" w:rsidRPr="0007093C">
          <w:rPr>
            <w:rStyle w:val="Hyperlink"/>
            <w:noProof/>
          </w:rPr>
          <w:noBreakHyphen/>
          <w:t>22: Completion field of VET training in 2016 (percentage of total vet completions)</w:t>
        </w:r>
        <w:r w:rsidR="00961F6D">
          <w:rPr>
            <w:noProof/>
            <w:webHidden/>
          </w:rPr>
          <w:tab/>
        </w:r>
        <w:r w:rsidR="00961F6D">
          <w:rPr>
            <w:noProof/>
            <w:webHidden/>
          </w:rPr>
          <w:fldChar w:fldCharType="begin"/>
        </w:r>
        <w:r w:rsidR="00961F6D">
          <w:rPr>
            <w:noProof/>
            <w:webHidden/>
          </w:rPr>
          <w:instrText xml:space="preserve"> PAGEREF _Toc37263585 \h </w:instrText>
        </w:r>
        <w:r w:rsidR="00961F6D">
          <w:rPr>
            <w:noProof/>
            <w:webHidden/>
          </w:rPr>
        </w:r>
        <w:r w:rsidR="00961F6D">
          <w:rPr>
            <w:noProof/>
            <w:webHidden/>
          </w:rPr>
          <w:fldChar w:fldCharType="separate"/>
        </w:r>
        <w:r w:rsidR="00276423">
          <w:rPr>
            <w:noProof/>
            <w:webHidden/>
          </w:rPr>
          <w:t>38</w:t>
        </w:r>
        <w:r w:rsidR="00961F6D">
          <w:rPr>
            <w:noProof/>
            <w:webHidden/>
          </w:rPr>
          <w:fldChar w:fldCharType="end"/>
        </w:r>
      </w:hyperlink>
    </w:p>
    <w:p w14:paraId="14CCBEA1" w14:textId="598BCC5D" w:rsidR="00961F6D" w:rsidRDefault="006C0554">
      <w:pPr>
        <w:pStyle w:val="TableofFigures"/>
        <w:tabs>
          <w:tab w:val="right" w:leader="dot" w:pos="9016"/>
        </w:tabs>
        <w:rPr>
          <w:rFonts w:eastAsiaTheme="minorEastAsia"/>
          <w:noProof/>
          <w:lang w:val="en-MY" w:eastAsia="en-MY"/>
        </w:rPr>
      </w:pPr>
      <w:hyperlink w:anchor="_Toc37263586" w:history="1">
        <w:r w:rsidR="00961F6D" w:rsidRPr="0007093C">
          <w:rPr>
            <w:rStyle w:val="Hyperlink"/>
            <w:noProof/>
          </w:rPr>
          <w:t>Table 3</w:t>
        </w:r>
        <w:r w:rsidR="00961F6D" w:rsidRPr="0007093C">
          <w:rPr>
            <w:rStyle w:val="Hyperlink"/>
            <w:noProof/>
          </w:rPr>
          <w:noBreakHyphen/>
          <w:t>1: Geographical location of CDC participants triggered onto the CDC in the Bundaberg and Hervey Bay trial site</w:t>
        </w:r>
        <w:r w:rsidR="00961F6D">
          <w:rPr>
            <w:noProof/>
            <w:webHidden/>
          </w:rPr>
          <w:tab/>
        </w:r>
        <w:r w:rsidR="00961F6D">
          <w:rPr>
            <w:noProof/>
            <w:webHidden/>
          </w:rPr>
          <w:fldChar w:fldCharType="begin"/>
        </w:r>
        <w:r w:rsidR="00961F6D">
          <w:rPr>
            <w:noProof/>
            <w:webHidden/>
          </w:rPr>
          <w:instrText xml:space="preserve"> PAGEREF _Toc37263586 \h </w:instrText>
        </w:r>
        <w:r w:rsidR="00961F6D">
          <w:rPr>
            <w:noProof/>
            <w:webHidden/>
          </w:rPr>
        </w:r>
        <w:r w:rsidR="00961F6D">
          <w:rPr>
            <w:noProof/>
            <w:webHidden/>
          </w:rPr>
          <w:fldChar w:fldCharType="separate"/>
        </w:r>
        <w:r w:rsidR="00276423">
          <w:rPr>
            <w:noProof/>
            <w:webHidden/>
          </w:rPr>
          <w:t>47</w:t>
        </w:r>
        <w:r w:rsidR="00961F6D">
          <w:rPr>
            <w:noProof/>
            <w:webHidden/>
          </w:rPr>
          <w:fldChar w:fldCharType="end"/>
        </w:r>
      </w:hyperlink>
    </w:p>
    <w:p w14:paraId="0DB9DB2B" w14:textId="7BFCECF5" w:rsidR="00961F6D" w:rsidRDefault="006C0554">
      <w:pPr>
        <w:pStyle w:val="TableofFigures"/>
        <w:tabs>
          <w:tab w:val="right" w:leader="dot" w:pos="9016"/>
        </w:tabs>
        <w:rPr>
          <w:rFonts w:eastAsiaTheme="minorEastAsia"/>
          <w:noProof/>
          <w:lang w:val="en-MY" w:eastAsia="en-MY"/>
        </w:rPr>
      </w:pPr>
      <w:hyperlink w:anchor="_Toc37263587" w:history="1">
        <w:r w:rsidR="00961F6D" w:rsidRPr="0007093C">
          <w:rPr>
            <w:rStyle w:val="Hyperlink"/>
            <w:noProof/>
          </w:rPr>
          <w:t>Table 3</w:t>
        </w:r>
        <w:r w:rsidR="00961F6D" w:rsidRPr="0007093C">
          <w:rPr>
            <w:rStyle w:val="Hyperlink"/>
            <w:noProof/>
          </w:rPr>
          <w:noBreakHyphen/>
          <w:t>2: Current location of CDC participants triggered onto the CDC in the Bundaberg and Hervey Bay trial site</w:t>
        </w:r>
        <w:r w:rsidR="00961F6D">
          <w:rPr>
            <w:noProof/>
            <w:webHidden/>
          </w:rPr>
          <w:tab/>
        </w:r>
        <w:r w:rsidR="00961F6D">
          <w:rPr>
            <w:noProof/>
            <w:webHidden/>
          </w:rPr>
          <w:fldChar w:fldCharType="begin"/>
        </w:r>
        <w:r w:rsidR="00961F6D">
          <w:rPr>
            <w:noProof/>
            <w:webHidden/>
          </w:rPr>
          <w:instrText xml:space="preserve"> PAGEREF _Toc37263587 \h </w:instrText>
        </w:r>
        <w:r w:rsidR="00961F6D">
          <w:rPr>
            <w:noProof/>
            <w:webHidden/>
          </w:rPr>
        </w:r>
        <w:r w:rsidR="00961F6D">
          <w:rPr>
            <w:noProof/>
            <w:webHidden/>
          </w:rPr>
          <w:fldChar w:fldCharType="separate"/>
        </w:r>
        <w:r w:rsidR="00276423">
          <w:rPr>
            <w:noProof/>
            <w:webHidden/>
          </w:rPr>
          <w:t>48</w:t>
        </w:r>
        <w:r w:rsidR="00961F6D">
          <w:rPr>
            <w:noProof/>
            <w:webHidden/>
          </w:rPr>
          <w:fldChar w:fldCharType="end"/>
        </w:r>
      </w:hyperlink>
    </w:p>
    <w:p w14:paraId="2E19A856" w14:textId="6CA62094" w:rsidR="00961F6D" w:rsidRDefault="006C0554">
      <w:pPr>
        <w:pStyle w:val="TableofFigures"/>
        <w:tabs>
          <w:tab w:val="right" w:leader="dot" w:pos="9016"/>
        </w:tabs>
        <w:rPr>
          <w:rFonts w:eastAsiaTheme="minorEastAsia"/>
          <w:noProof/>
          <w:lang w:val="en-MY" w:eastAsia="en-MY"/>
        </w:rPr>
      </w:pPr>
      <w:hyperlink w:anchor="_Toc37263588" w:history="1">
        <w:r w:rsidR="00961F6D" w:rsidRPr="0007093C">
          <w:rPr>
            <w:rStyle w:val="Hyperlink"/>
            <w:noProof/>
          </w:rPr>
          <w:t>Table 3</w:t>
        </w:r>
        <w:r w:rsidR="00961F6D" w:rsidRPr="0007093C">
          <w:rPr>
            <w:rStyle w:val="Hyperlink"/>
            <w:noProof/>
          </w:rPr>
          <w:noBreakHyphen/>
          <w:t>3: Highest reported level of education/qualification</w:t>
        </w:r>
        <w:r w:rsidR="00961F6D">
          <w:rPr>
            <w:noProof/>
            <w:webHidden/>
          </w:rPr>
          <w:tab/>
        </w:r>
        <w:r w:rsidR="00961F6D">
          <w:rPr>
            <w:noProof/>
            <w:webHidden/>
          </w:rPr>
          <w:fldChar w:fldCharType="begin"/>
        </w:r>
        <w:r w:rsidR="00961F6D">
          <w:rPr>
            <w:noProof/>
            <w:webHidden/>
          </w:rPr>
          <w:instrText xml:space="preserve"> PAGEREF _Toc37263588 \h </w:instrText>
        </w:r>
        <w:r w:rsidR="00961F6D">
          <w:rPr>
            <w:noProof/>
            <w:webHidden/>
          </w:rPr>
        </w:r>
        <w:r w:rsidR="00961F6D">
          <w:rPr>
            <w:noProof/>
            <w:webHidden/>
          </w:rPr>
          <w:fldChar w:fldCharType="separate"/>
        </w:r>
        <w:r w:rsidR="00276423">
          <w:rPr>
            <w:noProof/>
            <w:webHidden/>
          </w:rPr>
          <w:t>49</w:t>
        </w:r>
        <w:r w:rsidR="00961F6D">
          <w:rPr>
            <w:noProof/>
            <w:webHidden/>
          </w:rPr>
          <w:fldChar w:fldCharType="end"/>
        </w:r>
      </w:hyperlink>
    </w:p>
    <w:p w14:paraId="295BA90F" w14:textId="685F2E85" w:rsidR="00961F6D" w:rsidRDefault="006C0554">
      <w:pPr>
        <w:pStyle w:val="TableofFigures"/>
        <w:tabs>
          <w:tab w:val="right" w:leader="dot" w:pos="9016"/>
        </w:tabs>
        <w:rPr>
          <w:rFonts w:eastAsiaTheme="minorEastAsia"/>
          <w:noProof/>
          <w:lang w:val="en-MY" w:eastAsia="en-MY"/>
        </w:rPr>
      </w:pPr>
      <w:hyperlink w:anchor="_Toc37263589" w:history="1">
        <w:r w:rsidR="00961F6D" w:rsidRPr="0007093C">
          <w:rPr>
            <w:rStyle w:val="Hyperlink"/>
            <w:noProof/>
          </w:rPr>
          <w:t>Table 3</w:t>
        </w:r>
        <w:r w:rsidR="00961F6D" w:rsidRPr="0007093C">
          <w:rPr>
            <w:rStyle w:val="Hyperlink"/>
            <w:noProof/>
          </w:rPr>
          <w:noBreakHyphen/>
          <w:t>4: CDC participants’ age distribution, all participants recorded in the data vs. currently active (for CDC participants triggered onto the card in the Bundaberg and Hervey Bay region)</w:t>
        </w:r>
        <w:r w:rsidR="00961F6D">
          <w:rPr>
            <w:noProof/>
            <w:webHidden/>
          </w:rPr>
          <w:tab/>
        </w:r>
        <w:r w:rsidR="00961F6D">
          <w:rPr>
            <w:noProof/>
            <w:webHidden/>
          </w:rPr>
          <w:fldChar w:fldCharType="begin"/>
        </w:r>
        <w:r w:rsidR="00961F6D">
          <w:rPr>
            <w:noProof/>
            <w:webHidden/>
          </w:rPr>
          <w:instrText xml:space="preserve"> PAGEREF _Toc37263589 \h </w:instrText>
        </w:r>
        <w:r w:rsidR="00961F6D">
          <w:rPr>
            <w:noProof/>
            <w:webHidden/>
          </w:rPr>
        </w:r>
        <w:r w:rsidR="00961F6D">
          <w:rPr>
            <w:noProof/>
            <w:webHidden/>
          </w:rPr>
          <w:fldChar w:fldCharType="separate"/>
        </w:r>
        <w:r w:rsidR="00276423">
          <w:rPr>
            <w:noProof/>
            <w:webHidden/>
          </w:rPr>
          <w:t>50</w:t>
        </w:r>
        <w:r w:rsidR="00961F6D">
          <w:rPr>
            <w:noProof/>
            <w:webHidden/>
          </w:rPr>
          <w:fldChar w:fldCharType="end"/>
        </w:r>
      </w:hyperlink>
    </w:p>
    <w:p w14:paraId="3C7178AB" w14:textId="44CC07DF" w:rsidR="00961F6D" w:rsidRDefault="006C0554">
      <w:pPr>
        <w:pStyle w:val="TableofFigures"/>
        <w:tabs>
          <w:tab w:val="right" w:leader="dot" w:pos="9016"/>
        </w:tabs>
        <w:rPr>
          <w:rFonts w:eastAsiaTheme="minorEastAsia"/>
          <w:noProof/>
          <w:lang w:val="en-MY" w:eastAsia="en-MY"/>
        </w:rPr>
      </w:pPr>
      <w:hyperlink w:anchor="_Toc37263590" w:history="1">
        <w:r w:rsidR="00961F6D" w:rsidRPr="0007093C">
          <w:rPr>
            <w:rStyle w:val="Hyperlink"/>
            <w:noProof/>
          </w:rPr>
          <w:t>Table 3</w:t>
        </w:r>
        <w:r w:rsidR="00961F6D" w:rsidRPr="0007093C">
          <w:rPr>
            <w:rStyle w:val="Hyperlink"/>
            <w:noProof/>
          </w:rPr>
          <w:noBreakHyphen/>
          <w:t>5: Type of benefits received, all participants vs. currently active (for CDC participants triggered onto the card in the Bundaberg and Hervey Bay region)</w:t>
        </w:r>
        <w:r w:rsidR="00961F6D">
          <w:rPr>
            <w:noProof/>
            <w:webHidden/>
          </w:rPr>
          <w:tab/>
        </w:r>
        <w:r w:rsidR="00961F6D">
          <w:rPr>
            <w:noProof/>
            <w:webHidden/>
          </w:rPr>
          <w:fldChar w:fldCharType="begin"/>
        </w:r>
        <w:r w:rsidR="00961F6D">
          <w:rPr>
            <w:noProof/>
            <w:webHidden/>
          </w:rPr>
          <w:instrText xml:space="preserve"> PAGEREF _Toc37263590 \h </w:instrText>
        </w:r>
        <w:r w:rsidR="00961F6D">
          <w:rPr>
            <w:noProof/>
            <w:webHidden/>
          </w:rPr>
        </w:r>
        <w:r w:rsidR="00961F6D">
          <w:rPr>
            <w:noProof/>
            <w:webHidden/>
          </w:rPr>
          <w:fldChar w:fldCharType="separate"/>
        </w:r>
        <w:r w:rsidR="00276423">
          <w:rPr>
            <w:noProof/>
            <w:webHidden/>
          </w:rPr>
          <w:t>50</w:t>
        </w:r>
        <w:r w:rsidR="00961F6D">
          <w:rPr>
            <w:noProof/>
            <w:webHidden/>
          </w:rPr>
          <w:fldChar w:fldCharType="end"/>
        </w:r>
      </w:hyperlink>
    </w:p>
    <w:p w14:paraId="682F1841" w14:textId="3DD8EB33" w:rsidR="00961F6D" w:rsidRDefault="006C0554">
      <w:pPr>
        <w:pStyle w:val="TableofFigures"/>
        <w:tabs>
          <w:tab w:val="right" w:leader="dot" w:pos="9016"/>
        </w:tabs>
        <w:rPr>
          <w:rFonts w:eastAsiaTheme="minorEastAsia"/>
          <w:noProof/>
          <w:lang w:val="en-MY" w:eastAsia="en-MY"/>
        </w:rPr>
      </w:pPr>
      <w:hyperlink w:anchor="_Toc37263591" w:history="1">
        <w:r w:rsidR="00961F6D" w:rsidRPr="0007093C">
          <w:rPr>
            <w:rStyle w:val="Hyperlink"/>
            <w:noProof/>
          </w:rPr>
          <w:t>Table 3</w:t>
        </w:r>
        <w:r w:rsidR="00961F6D" w:rsidRPr="0007093C">
          <w:rPr>
            <w:rStyle w:val="Hyperlink"/>
            <w:noProof/>
          </w:rPr>
          <w:noBreakHyphen/>
          <w:t>6: Granted Crisis payments, one year leading to CDC roll out vs. since roll out</w:t>
        </w:r>
        <w:r w:rsidR="00961F6D">
          <w:rPr>
            <w:noProof/>
            <w:webHidden/>
          </w:rPr>
          <w:tab/>
        </w:r>
        <w:r w:rsidR="00961F6D">
          <w:rPr>
            <w:noProof/>
            <w:webHidden/>
          </w:rPr>
          <w:fldChar w:fldCharType="begin"/>
        </w:r>
        <w:r w:rsidR="00961F6D">
          <w:rPr>
            <w:noProof/>
            <w:webHidden/>
          </w:rPr>
          <w:instrText xml:space="preserve"> PAGEREF _Toc37263591 \h </w:instrText>
        </w:r>
        <w:r w:rsidR="00961F6D">
          <w:rPr>
            <w:noProof/>
            <w:webHidden/>
          </w:rPr>
        </w:r>
        <w:r w:rsidR="00961F6D">
          <w:rPr>
            <w:noProof/>
            <w:webHidden/>
          </w:rPr>
          <w:fldChar w:fldCharType="separate"/>
        </w:r>
        <w:r w:rsidR="00276423">
          <w:rPr>
            <w:noProof/>
            <w:webHidden/>
          </w:rPr>
          <w:t>55</w:t>
        </w:r>
        <w:r w:rsidR="00961F6D">
          <w:rPr>
            <w:noProof/>
            <w:webHidden/>
          </w:rPr>
          <w:fldChar w:fldCharType="end"/>
        </w:r>
      </w:hyperlink>
    </w:p>
    <w:p w14:paraId="71C2512C" w14:textId="3C7DFF68" w:rsidR="00961F6D" w:rsidRDefault="006C0554">
      <w:pPr>
        <w:pStyle w:val="TableofFigures"/>
        <w:tabs>
          <w:tab w:val="right" w:leader="dot" w:pos="9016"/>
        </w:tabs>
        <w:rPr>
          <w:rFonts w:eastAsiaTheme="minorEastAsia"/>
          <w:noProof/>
          <w:lang w:val="en-MY" w:eastAsia="en-MY"/>
        </w:rPr>
      </w:pPr>
      <w:hyperlink w:anchor="_Toc37263592" w:history="1">
        <w:r w:rsidR="00961F6D" w:rsidRPr="0007093C">
          <w:rPr>
            <w:rStyle w:val="Hyperlink"/>
            <w:noProof/>
          </w:rPr>
          <w:t>Table 3</w:t>
        </w:r>
        <w:r w:rsidR="00961F6D" w:rsidRPr="0007093C">
          <w:rPr>
            <w:rStyle w:val="Hyperlink"/>
            <w:noProof/>
          </w:rPr>
          <w:noBreakHyphen/>
          <w:t>7: Benefit cancellations and suspension, one year leading to CDC vs. since CDC</w:t>
        </w:r>
        <w:r w:rsidR="00961F6D">
          <w:rPr>
            <w:noProof/>
            <w:webHidden/>
          </w:rPr>
          <w:tab/>
        </w:r>
        <w:r w:rsidR="00961F6D">
          <w:rPr>
            <w:noProof/>
            <w:webHidden/>
          </w:rPr>
          <w:fldChar w:fldCharType="begin"/>
        </w:r>
        <w:r w:rsidR="00961F6D">
          <w:rPr>
            <w:noProof/>
            <w:webHidden/>
          </w:rPr>
          <w:instrText xml:space="preserve"> PAGEREF _Toc37263592 \h </w:instrText>
        </w:r>
        <w:r w:rsidR="00961F6D">
          <w:rPr>
            <w:noProof/>
            <w:webHidden/>
          </w:rPr>
        </w:r>
        <w:r w:rsidR="00961F6D">
          <w:rPr>
            <w:noProof/>
            <w:webHidden/>
          </w:rPr>
          <w:fldChar w:fldCharType="separate"/>
        </w:r>
        <w:r w:rsidR="00276423">
          <w:rPr>
            <w:noProof/>
            <w:webHidden/>
          </w:rPr>
          <w:t>57</w:t>
        </w:r>
        <w:r w:rsidR="00961F6D">
          <w:rPr>
            <w:noProof/>
            <w:webHidden/>
          </w:rPr>
          <w:fldChar w:fldCharType="end"/>
        </w:r>
      </w:hyperlink>
    </w:p>
    <w:p w14:paraId="46B103D7" w14:textId="350F24FC" w:rsidR="00961F6D" w:rsidRDefault="006C0554">
      <w:pPr>
        <w:pStyle w:val="TableofFigures"/>
        <w:tabs>
          <w:tab w:val="right" w:leader="dot" w:pos="9016"/>
        </w:tabs>
        <w:rPr>
          <w:rFonts w:eastAsiaTheme="minorEastAsia"/>
          <w:noProof/>
          <w:lang w:val="en-MY" w:eastAsia="en-MY"/>
        </w:rPr>
      </w:pPr>
      <w:hyperlink w:anchor="_Toc37263593" w:history="1">
        <w:r w:rsidR="00961F6D" w:rsidRPr="0007093C">
          <w:rPr>
            <w:rStyle w:val="Hyperlink"/>
            <w:noProof/>
          </w:rPr>
          <w:t>Table 3</w:t>
        </w:r>
        <w:r w:rsidR="00961F6D" w:rsidRPr="0007093C">
          <w:rPr>
            <w:rStyle w:val="Hyperlink"/>
            <w:noProof/>
          </w:rPr>
          <w:noBreakHyphen/>
          <w:t>8: Number and percentage of CDC participants (triggered in Bundaberg and Hervey Bay) accessing one or more emergency relief sessions by calendar year</w:t>
        </w:r>
        <w:r w:rsidR="00961F6D">
          <w:rPr>
            <w:noProof/>
            <w:webHidden/>
          </w:rPr>
          <w:tab/>
        </w:r>
        <w:r w:rsidR="00961F6D">
          <w:rPr>
            <w:noProof/>
            <w:webHidden/>
          </w:rPr>
          <w:fldChar w:fldCharType="begin"/>
        </w:r>
        <w:r w:rsidR="00961F6D">
          <w:rPr>
            <w:noProof/>
            <w:webHidden/>
          </w:rPr>
          <w:instrText xml:space="preserve"> PAGEREF _Toc37263593 \h </w:instrText>
        </w:r>
        <w:r w:rsidR="00961F6D">
          <w:rPr>
            <w:noProof/>
            <w:webHidden/>
          </w:rPr>
        </w:r>
        <w:r w:rsidR="00961F6D">
          <w:rPr>
            <w:noProof/>
            <w:webHidden/>
          </w:rPr>
          <w:fldChar w:fldCharType="separate"/>
        </w:r>
        <w:r w:rsidR="00276423">
          <w:rPr>
            <w:noProof/>
            <w:webHidden/>
          </w:rPr>
          <w:t>61</w:t>
        </w:r>
        <w:r w:rsidR="00961F6D">
          <w:rPr>
            <w:noProof/>
            <w:webHidden/>
          </w:rPr>
          <w:fldChar w:fldCharType="end"/>
        </w:r>
      </w:hyperlink>
    </w:p>
    <w:p w14:paraId="0FED1684" w14:textId="1FB7389E" w:rsidR="00961F6D" w:rsidRDefault="006C0554">
      <w:pPr>
        <w:pStyle w:val="TableofFigures"/>
        <w:tabs>
          <w:tab w:val="right" w:leader="dot" w:pos="9016"/>
        </w:tabs>
        <w:rPr>
          <w:rFonts w:eastAsiaTheme="minorEastAsia"/>
          <w:noProof/>
          <w:lang w:val="en-MY" w:eastAsia="en-MY"/>
        </w:rPr>
      </w:pPr>
      <w:hyperlink w:anchor="_Toc37263594" w:history="1">
        <w:r w:rsidR="00961F6D" w:rsidRPr="0007093C">
          <w:rPr>
            <w:rStyle w:val="Hyperlink"/>
            <w:noProof/>
          </w:rPr>
          <w:t>Table 3</w:t>
        </w:r>
        <w:r w:rsidR="00961F6D" w:rsidRPr="0007093C">
          <w:rPr>
            <w:rStyle w:val="Hyperlink"/>
            <w:noProof/>
          </w:rPr>
          <w:noBreakHyphen/>
          <w:t>9: Number and percentage of CDC participants (triggered in Bundaberg and Hervey Bay) accessing one or more emergency relief sessions by financial year</w:t>
        </w:r>
        <w:r w:rsidR="00961F6D">
          <w:rPr>
            <w:noProof/>
            <w:webHidden/>
          </w:rPr>
          <w:tab/>
        </w:r>
        <w:r w:rsidR="00961F6D">
          <w:rPr>
            <w:noProof/>
            <w:webHidden/>
          </w:rPr>
          <w:fldChar w:fldCharType="begin"/>
        </w:r>
        <w:r w:rsidR="00961F6D">
          <w:rPr>
            <w:noProof/>
            <w:webHidden/>
          </w:rPr>
          <w:instrText xml:space="preserve"> PAGEREF _Toc37263594 \h </w:instrText>
        </w:r>
        <w:r w:rsidR="00961F6D">
          <w:rPr>
            <w:noProof/>
            <w:webHidden/>
          </w:rPr>
        </w:r>
        <w:r w:rsidR="00961F6D">
          <w:rPr>
            <w:noProof/>
            <w:webHidden/>
          </w:rPr>
          <w:fldChar w:fldCharType="separate"/>
        </w:r>
        <w:r w:rsidR="00276423">
          <w:rPr>
            <w:noProof/>
            <w:webHidden/>
          </w:rPr>
          <w:t>62</w:t>
        </w:r>
        <w:r w:rsidR="00961F6D">
          <w:rPr>
            <w:noProof/>
            <w:webHidden/>
          </w:rPr>
          <w:fldChar w:fldCharType="end"/>
        </w:r>
      </w:hyperlink>
    </w:p>
    <w:p w14:paraId="15857D67" w14:textId="41B70DC7" w:rsidR="00961F6D" w:rsidRDefault="006C0554">
      <w:pPr>
        <w:pStyle w:val="TableofFigures"/>
        <w:tabs>
          <w:tab w:val="right" w:leader="dot" w:pos="9016"/>
        </w:tabs>
        <w:rPr>
          <w:rFonts w:eastAsiaTheme="minorEastAsia"/>
          <w:noProof/>
          <w:lang w:val="en-MY" w:eastAsia="en-MY"/>
        </w:rPr>
      </w:pPr>
      <w:hyperlink w:anchor="_Toc37263595" w:history="1">
        <w:r w:rsidR="00961F6D" w:rsidRPr="0007093C">
          <w:rPr>
            <w:rStyle w:val="Hyperlink"/>
            <w:noProof/>
          </w:rPr>
          <w:t>Table 3</w:t>
        </w:r>
        <w:r w:rsidR="00961F6D" w:rsidRPr="0007093C">
          <w:rPr>
            <w:rStyle w:val="Hyperlink"/>
            <w:noProof/>
          </w:rPr>
          <w:noBreakHyphen/>
          <w:t>10: Number and percentage of CDC participants (triggered in Bundaberg and Hervey Bay) accessing emergency relief sessions more than once by calendar year</w:t>
        </w:r>
        <w:r w:rsidR="00961F6D">
          <w:rPr>
            <w:noProof/>
            <w:webHidden/>
          </w:rPr>
          <w:tab/>
        </w:r>
        <w:r w:rsidR="00961F6D">
          <w:rPr>
            <w:noProof/>
            <w:webHidden/>
          </w:rPr>
          <w:fldChar w:fldCharType="begin"/>
        </w:r>
        <w:r w:rsidR="00961F6D">
          <w:rPr>
            <w:noProof/>
            <w:webHidden/>
          </w:rPr>
          <w:instrText xml:space="preserve"> PAGEREF _Toc37263595 \h </w:instrText>
        </w:r>
        <w:r w:rsidR="00961F6D">
          <w:rPr>
            <w:noProof/>
            <w:webHidden/>
          </w:rPr>
        </w:r>
        <w:r w:rsidR="00961F6D">
          <w:rPr>
            <w:noProof/>
            <w:webHidden/>
          </w:rPr>
          <w:fldChar w:fldCharType="separate"/>
        </w:r>
        <w:r w:rsidR="00276423">
          <w:rPr>
            <w:noProof/>
            <w:webHidden/>
          </w:rPr>
          <w:t>62</w:t>
        </w:r>
        <w:r w:rsidR="00961F6D">
          <w:rPr>
            <w:noProof/>
            <w:webHidden/>
          </w:rPr>
          <w:fldChar w:fldCharType="end"/>
        </w:r>
      </w:hyperlink>
    </w:p>
    <w:p w14:paraId="3D289BC7" w14:textId="797296AE" w:rsidR="00961F6D" w:rsidRDefault="006C0554">
      <w:pPr>
        <w:pStyle w:val="TableofFigures"/>
        <w:tabs>
          <w:tab w:val="right" w:leader="dot" w:pos="9016"/>
        </w:tabs>
        <w:rPr>
          <w:rFonts w:eastAsiaTheme="minorEastAsia"/>
          <w:noProof/>
          <w:lang w:val="en-MY" w:eastAsia="en-MY"/>
        </w:rPr>
      </w:pPr>
      <w:hyperlink w:anchor="_Toc37263596" w:history="1">
        <w:r w:rsidR="00961F6D" w:rsidRPr="0007093C">
          <w:rPr>
            <w:rStyle w:val="Hyperlink"/>
            <w:noProof/>
          </w:rPr>
          <w:t>Table 3</w:t>
        </w:r>
        <w:r w:rsidR="00961F6D" w:rsidRPr="0007093C">
          <w:rPr>
            <w:rStyle w:val="Hyperlink"/>
            <w:noProof/>
          </w:rPr>
          <w:noBreakHyphen/>
          <w:t>11: Number and percentage of CDC participants (triggered in Bundaberg and Hervey Bay) accessing emergency relief sessions more than once by financial year</w:t>
        </w:r>
        <w:r w:rsidR="00961F6D">
          <w:rPr>
            <w:noProof/>
            <w:webHidden/>
          </w:rPr>
          <w:tab/>
        </w:r>
        <w:r w:rsidR="00961F6D">
          <w:rPr>
            <w:noProof/>
            <w:webHidden/>
          </w:rPr>
          <w:fldChar w:fldCharType="begin"/>
        </w:r>
        <w:r w:rsidR="00961F6D">
          <w:rPr>
            <w:noProof/>
            <w:webHidden/>
          </w:rPr>
          <w:instrText xml:space="preserve"> PAGEREF _Toc37263596 \h </w:instrText>
        </w:r>
        <w:r w:rsidR="00961F6D">
          <w:rPr>
            <w:noProof/>
            <w:webHidden/>
          </w:rPr>
        </w:r>
        <w:r w:rsidR="00961F6D">
          <w:rPr>
            <w:noProof/>
            <w:webHidden/>
          </w:rPr>
          <w:fldChar w:fldCharType="separate"/>
        </w:r>
        <w:r w:rsidR="00276423">
          <w:rPr>
            <w:noProof/>
            <w:webHidden/>
          </w:rPr>
          <w:t>62</w:t>
        </w:r>
        <w:r w:rsidR="00961F6D">
          <w:rPr>
            <w:noProof/>
            <w:webHidden/>
          </w:rPr>
          <w:fldChar w:fldCharType="end"/>
        </w:r>
      </w:hyperlink>
    </w:p>
    <w:p w14:paraId="59ED0672" w14:textId="4C909E78" w:rsidR="00961F6D" w:rsidRDefault="006C0554">
      <w:pPr>
        <w:pStyle w:val="TableofFigures"/>
        <w:tabs>
          <w:tab w:val="right" w:leader="dot" w:pos="9016"/>
        </w:tabs>
        <w:rPr>
          <w:rFonts w:eastAsiaTheme="minorEastAsia"/>
          <w:noProof/>
          <w:lang w:val="en-MY" w:eastAsia="en-MY"/>
        </w:rPr>
      </w:pPr>
      <w:hyperlink w:anchor="_Toc37263597" w:history="1">
        <w:r w:rsidR="00961F6D" w:rsidRPr="0007093C">
          <w:rPr>
            <w:rStyle w:val="Hyperlink"/>
            <w:noProof/>
          </w:rPr>
          <w:t>Table 3</w:t>
        </w:r>
        <w:r w:rsidR="00961F6D" w:rsidRPr="0007093C">
          <w:rPr>
            <w:rStyle w:val="Hyperlink"/>
            <w:noProof/>
          </w:rPr>
          <w:noBreakHyphen/>
          <w:t>12: Number of CDC participants (triggered in Bundaberg and Hervey Bay) accessing emergency relief - Total number of sessions, average number of sessions per participant and median number of sessions per participant, by calendar year</w:t>
        </w:r>
        <w:r w:rsidR="00961F6D">
          <w:rPr>
            <w:noProof/>
            <w:webHidden/>
          </w:rPr>
          <w:tab/>
        </w:r>
        <w:r w:rsidR="00961F6D">
          <w:rPr>
            <w:noProof/>
            <w:webHidden/>
          </w:rPr>
          <w:fldChar w:fldCharType="begin"/>
        </w:r>
        <w:r w:rsidR="00961F6D">
          <w:rPr>
            <w:noProof/>
            <w:webHidden/>
          </w:rPr>
          <w:instrText xml:space="preserve"> PAGEREF _Toc37263597 \h </w:instrText>
        </w:r>
        <w:r w:rsidR="00961F6D">
          <w:rPr>
            <w:noProof/>
            <w:webHidden/>
          </w:rPr>
        </w:r>
        <w:r w:rsidR="00961F6D">
          <w:rPr>
            <w:noProof/>
            <w:webHidden/>
          </w:rPr>
          <w:fldChar w:fldCharType="separate"/>
        </w:r>
        <w:r w:rsidR="00276423">
          <w:rPr>
            <w:noProof/>
            <w:webHidden/>
          </w:rPr>
          <w:t>62</w:t>
        </w:r>
        <w:r w:rsidR="00961F6D">
          <w:rPr>
            <w:noProof/>
            <w:webHidden/>
          </w:rPr>
          <w:fldChar w:fldCharType="end"/>
        </w:r>
      </w:hyperlink>
    </w:p>
    <w:p w14:paraId="751D257E" w14:textId="2CBFE680" w:rsidR="00961F6D" w:rsidRDefault="006C0554">
      <w:pPr>
        <w:pStyle w:val="TableofFigures"/>
        <w:tabs>
          <w:tab w:val="right" w:leader="dot" w:pos="9016"/>
        </w:tabs>
        <w:rPr>
          <w:rFonts w:eastAsiaTheme="minorEastAsia"/>
          <w:noProof/>
          <w:lang w:val="en-MY" w:eastAsia="en-MY"/>
        </w:rPr>
      </w:pPr>
      <w:hyperlink w:anchor="_Toc37263598" w:history="1">
        <w:r w:rsidR="00961F6D" w:rsidRPr="0007093C">
          <w:rPr>
            <w:rStyle w:val="Hyperlink"/>
            <w:noProof/>
          </w:rPr>
          <w:t>Table 3</w:t>
        </w:r>
        <w:r w:rsidR="00961F6D" w:rsidRPr="0007093C">
          <w:rPr>
            <w:rStyle w:val="Hyperlink"/>
            <w:noProof/>
          </w:rPr>
          <w:noBreakHyphen/>
          <w:t>13: Number of CDC participants (triggered in Bundaberg and Hervey Bay) accessing emergency relief – Total number of sessions, average number of sessions per participant and median number of sessions per participant, by financial year</w:t>
        </w:r>
        <w:r w:rsidR="00961F6D">
          <w:rPr>
            <w:noProof/>
            <w:webHidden/>
          </w:rPr>
          <w:tab/>
        </w:r>
        <w:r w:rsidR="00961F6D">
          <w:rPr>
            <w:noProof/>
            <w:webHidden/>
          </w:rPr>
          <w:fldChar w:fldCharType="begin"/>
        </w:r>
        <w:r w:rsidR="00961F6D">
          <w:rPr>
            <w:noProof/>
            <w:webHidden/>
          </w:rPr>
          <w:instrText xml:space="preserve"> PAGEREF _Toc37263598 \h </w:instrText>
        </w:r>
        <w:r w:rsidR="00961F6D">
          <w:rPr>
            <w:noProof/>
            <w:webHidden/>
          </w:rPr>
        </w:r>
        <w:r w:rsidR="00961F6D">
          <w:rPr>
            <w:noProof/>
            <w:webHidden/>
          </w:rPr>
          <w:fldChar w:fldCharType="separate"/>
        </w:r>
        <w:r w:rsidR="00276423">
          <w:rPr>
            <w:noProof/>
            <w:webHidden/>
          </w:rPr>
          <w:t>63</w:t>
        </w:r>
        <w:r w:rsidR="00961F6D">
          <w:rPr>
            <w:noProof/>
            <w:webHidden/>
          </w:rPr>
          <w:fldChar w:fldCharType="end"/>
        </w:r>
      </w:hyperlink>
    </w:p>
    <w:p w14:paraId="7A344A0E" w14:textId="174F9B7C" w:rsidR="00961F6D" w:rsidRDefault="006C0554">
      <w:pPr>
        <w:pStyle w:val="TableofFigures"/>
        <w:tabs>
          <w:tab w:val="right" w:leader="dot" w:pos="9016"/>
        </w:tabs>
        <w:rPr>
          <w:rFonts w:eastAsiaTheme="minorEastAsia"/>
          <w:noProof/>
          <w:lang w:val="en-MY" w:eastAsia="en-MY"/>
        </w:rPr>
      </w:pPr>
      <w:hyperlink w:anchor="_Toc37263599" w:history="1">
        <w:r w:rsidR="00961F6D" w:rsidRPr="0007093C">
          <w:rPr>
            <w:rStyle w:val="Hyperlink"/>
            <w:noProof/>
          </w:rPr>
          <w:t>Table 5</w:t>
        </w:r>
        <w:r w:rsidR="00961F6D" w:rsidRPr="0007093C">
          <w:rPr>
            <w:rStyle w:val="Hyperlink"/>
            <w:noProof/>
          </w:rPr>
          <w:noBreakHyphen/>
          <w:t>1: Average monthly number of Emergency Department attendances by quarter</w:t>
        </w:r>
        <w:r w:rsidR="00961F6D">
          <w:rPr>
            <w:noProof/>
            <w:webHidden/>
          </w:rPr>
          <w:tab/>
        </w:r>
        <w:r w:rsidR="00961F6D">
          <w:rPr>
            <w:noProof/>
            <w:webHidden/>
          </w:rPr>
          <w:fldChar w:fldCharType="begin"/>
        </w:r>
        <w:r w:rsidR="00961F6D">
          <w:rPr>
            <w:noProof/>
            <w:webHidden/>
          </w:rPr>
          <w:instrText xml:space="preserve"> PAGEREF _Toc37263599 \h </w:instrText>
        </w:r>
        <w:r w:rsidR="00961F6D">
          <w:rPr>
            <w:noProof/>
            <w:webHidden/>
          </w:rPr>
        </w:r>
        <w:r w:rsidR="00961F6D">
          <w:rPr>
            <w:noProof/>
            <w:webHidden/>
          </w:rPr>
          <w:fldChar w:fldCharType="separate"/>
        </w:r>
        <w:r w:rsidR="00276423">
          <w:rPr>
            <w:noProof/>
            <w:webHidden/>
          </w:rPr>
          <w:t>65</w:t>
        </w:r>
        <w:r w:rsidR="00961F6D">
          <w:rPr>
            <w:noProof/>
            <w:webHidden/>
          </w:rPr>
          <w:fldChar w:fldCharType="end"/>
        </w:r>
      </w:hyperlink>
    </w:p>
    <w:p w14:paraId="430A01E2" w14:textId="33104487" w:rsidR="00961F6D" w:rsidRDefault="006C0554">
      <w:pPr>
        <w:pStyle w:val="TableofFigures"/>
        <w:tabs>
          <w:tab w:val="right" w:leader="dot" w:pos="9016"/>
        </w:tabs>
        <w:rPr>
          <w:rFonts w:eastAsiaTheme="minorEastAsia"/>
          <w:noProof/>
          <w:lang w:val="en-MY" w:eastAsia="en-MY"/>
        </w:rPr>
      </w:pPr>
      <w:hyperlink w:anchor="_Toc37263600" w:history="1">
        <w:r w:rsidR="00961F6D" w:rsidRPr="0007093C">
          <w:rPr>
            <w:rStyle w:val="Hyperlink"/>
            <w:noProof/>
          </w:rPr>
          <w:t>Table 5</w:t>
        </w:r>
        <w:r w:rsidR="00961F6D" w:rsidRPr="0007093C">
          <w:rPr>
            <w:rStyle w:val="Hyperlink"/>
            <w:noProof/>
          </w:rPr>
          <w:noBreakHyphen/>
          <w:t>2: Distribution of Emergency Department attendances across triage categories (per cent)</w:t>
        </w:r>
        <w:r w:rsidR="00961F6D">
          <w:rPr>
            <w:noProof/>
            <w:webHidden/>
          </w:rPr>
          <w:tab/>
        </w:r>
        <w:r w:rsidR="00961F6D">
          <w:rPr>
            <w:noProof/>
            <w:webHidden/>
          </w:rPr>
          <w:fldChar w:fldCharType="begin"/>
        </w:r>
        <w:r w:rsidR="00961F6D">
          <w:rPr>
            <w:noProof/>
            <w:webHidden/>
          </w:rPr>
          <w:instrText xml:space="preserve"> PAGEREF _Toc37263600 \h </w:instrText>
        </w:r>
        <w:r w:rsidR="00961F6D">
          <w:rPr>
            <w:noProof/>
            <w:webHidden/>
          </w:rPr>
        </w:r>
        <w:r w:rsidR="00961F6D">
          <w:rPr>
            <w:noProof/>
            <w:webHidden/>
          </w:rPr>
          <w:fldChar w:fldCharType="separate"/>
        </w:r>
        <w:r w:rsidR="00276423">
          <w:rPr>
            <w:noProof/>
            <w:webHidden/>
          </w:rPr>
          <w:t>65</w:t>
        </w:r>
        <w:r w:rsidR="00961F6D">
          <w:rPr>
            <w:noProof/>
            <w:webHidden/>
          </w:rPr>
          <w:fldChar w:fldCharType="end"/>
        </w:r>
      </w:hyperlink>
    </w:p>
    <w:p w14:paraId="71F70C3F" w14:textId="37565272" w:rsidR="00961F6D" w:rsidRDefault="006C0554">
      <w:pPr>
        <w:pStyle w:val="TableofFigures"/>
        <w:tabs>
          <w:tab w:val="right" w:leader="dot" w:pos="9016"/>
        </w:tabs>
        <w:rPr>
          <w:rFonts w:eastAsiaTheme="minorEastAsia"/>
          <w:noProof/>
          <w:lang w:val="en-MY" w:eastAsia="en-MY"/>
        </w:rPr>
      </w:pPr>
      <w:hyperlink w:anchor="_Toc37263601" w:history="1">
        <w:r w:rsidR="00961F6D" w:rsidRPr="0007093C">
          <w:rPr>
            <w:rStyle w:val="Hyperlink"/>
            <w:noProof/>
          </w:rPr>
          <w:t>Table 5</w:t>
        </w:r>
        <w:r w:rsidR="00961F6D" w:rsidRPr="0007093C">
          <w:rPr>
            <w:rStyle w:val="Hyperlink"/>
            <w:noProof/>
          </w:rPr>
          <w:noBreakHyphen/>
          <w:t>3: Reported offences against the person in 2018</w:t>
        </w:r>
        <w:r w:rsidR="00961F6D">
          <w:rPr>
            <w:noProof/>
            <w:webHidden/>
          </w:rPr>
          <w:tab/>
        </w:r>
        <w:r w:rsidR="00961F6D">
          <w:rPr>
            <w:noProof/>
            <w:webHidden/>
          </w:rPr>
          <w:fldChar w:fldCharType="begin"/>
        </w:r>
        <w:r w:rsidR="00961F6D">
          <w:rPr>
            <w:noProof/>
            <w:webHidden/>
          </w:rPr>
          <w:instrText xml:space="preserve"> PAGEREF _Toc37263601 \h </w:instrText>
        </w:r>
        <w:r w:rsidR="00961F6D">
          <w:rPr>
            <w:noProof/>
            <w:webHidden/>
          </w:rPr>
        </w:r>
        <w:r w:rsidR="00961F6D">
          <w:rPr>
            <w:noProof/>
            <w:webHidden/>
          </w:rPr>
          <w:fldChar w:fldCharType="separate"/>
        </w:r>
        <w:r w:rsidR="00276423">
          <w:rPr>
            <w:noProof/>
            <w:webHidden/>
          </w:rPr>
          <w:t>66</w:t>
        </w:r>
        <w:r w:rsidR="00961F6D">
          <w:rPr>
            <w:noProof/>
            <w:webHidden/>
          </w:rPr>
          <w:fldChar w:fldCharType="end"/>
        </w:r>
      </w:hyperlink>
    </w:p>
    <w:p w14:paraId="2D9DC23A" w14:textId="172AFB92" w:rsidR="00961F6D" w:rsidRDefault="006C0554">
      <w:pPr>
        <w:pStyle w:val="TableofFigures"/>
        <w:tabs>
          <w:tab w:val="right" w:leader="dot" w:pos="9016"/>
        </w:tabs>
        <w:rPr>
          <w:rFonts w:eastAsiaTheme="minorEastAsia"/>
          <w:noProof/>
          <w:lang w:val="en-MY" w:eastAsia="en-MY"/>
        </w:rPr>
      </w:pPr>
      <w:hyperlink w:anchor="_Toc37263602" w:history="1">
        <w:r w:rsidR="00961F6D" w:rsidRPr="0007093C">
          <w:rPr>
            <w:rStyle w:val="Hyperlink"/>
            <w:noProof/>
          </w:rPr>
          <w:t>Table 5</w:t>
        </w:r>
        <w:r w:rsidR="00961F6D" w:rsidRPr="0007093C">
          <w:rPr>
            <w:rStyle w:val="Hyperlink"/>
            <w:noProof/>
          </w:rPr>
          <w:noBreakHyphen/>
          <w:t>4: Reported offences against property in 2018</w:t>
        </w:r>
        <w:r w:rsidR="00961F6D">
          <w:rPr>
            <w:noProof/>
            <w:webHidden/>
          </w:rPr>
          <w:tab/>
        </w:r>
        <w:r w:rsidR="00961F6D">
          <w:rPr>
            <w:noProof/>
            <w:webHidden/>
          </w:rPr>
          <w:fldChar w:fldCharType="begin"/>
        </w:r>
        <w:r w:rsidR="00961F6D">
          <w:rPr>
            <w:noProof/>
            <w:webHidden/>
          </w:rPr>
          <w:instrText xml:space="preserve"> PAGEREF _Toc37263602 \h </w:instrText>
        </w:r>
        <w:r w:rsidR="00961F6D">
          <w:rPr>
            <w:noProof/>
            <w:webHidden/>
          </w:rPr>
        </w:r>
        <w:r w:rsidR="00961F6D">
          <w:rPr>
            <w:noProof/>
            <w:webHidden/>
          </w:rPr>
          <w:fldChar w:fldCharType="separate"/>
        </w:r>
        <w:r w:rsidR="00276423">
          <w:rPr>
            <w:noProof/>
            <w:webHidden/>
          </w:rPr>
          <w:t>67</w:t>
        </w:r>
        <w:r w:rsidR="00961F6D">
          <w:rPr>
            <w:noProof/>
            <w:webHidden/>
          </w:rPr>
          <w:fldChar w:fldCharType="end"/>
        </w:r>
      </w:hyperlink>
    </w:p>
    <w:p w14:paraId="1830EFEF" w14:textId="1E2D5AC2" w:rsidR="00961F6D" w:rsidRDefault="006C0554">
      <w:pPr>
        <w:pStyle w:val="TableofFigures"/>
        <w:tabs>
          <w:tab w:val="right" w:leader="dot" w:pos="9016"/>
        </w:tabs>
        <w:rPr>
          <w:rFonts w:eastAsiaTheme="minorEastAsia"/>
          <w:noProof/>
          <w:lang w:val="en-MY" w:eastAsia="en-MY"/>
        </w:rPr>
      </w:pPr>
      <w:hyperlink w:anchor="_Toc37263603" w:history="1">
        <w:r w:rsidR="00961F6D" w:rsidRPr="0007093C">
          <w:rPr>
            <w:rStyle w:val="Hyperlink"/>
            <w:noProof/>
          </w:rPr>
          <w:t>Table 5</w:t>
        </w:r>
        <w:r w:rsidR="00961F6D" w:rsidRPr="0007093C">
          <w:rPr>
            <w:rStyle w:val="Hyperlink"/>
            <w:noProof/>
          </w:rPr>
          <w:noBreakHyphen/>
          <w:t>5: Reported other offences in 2018</w:t>
        </w:r>
        <w:r w:rsidR="00961F6D">
          <w:rPr>
            <w:noProof/>
            <w:webHidden/>
          </w:rPr>
          <w:tab/>
        </w:r>
        <w:r w:rsidR="00961F6D">
          <w:rPr>
            <w:noProof/>
            <w:webHidden/>
          </w:rPr>
          <w:fldChar w:fldCharType="begin"/>
        </w:r>
        <w:r w:rsidR="00961F6D">
          <w:rPr>
            <w:noProof/>
            <w:webHidden/>
          </w:rPr>
          <w:instrText xml:space="preserve"> PAGEREF _Toc37263603 \h </w:instrText>
        </w:r>
        <w:r w:rsidR="00961F6D">
          <w:rPr>
            <w:noProof/>
            <w:webHidden/>
          </w:rPr>
        </w:r>
        <w:r w:rsidR="00961F6D">
          <w:rPr>
            <w:noProof/>
            <w:webHidden/>
          </w:rPr>
          <w:fldChar w:fldCharType="separate"/>
        </w:r>
        <w:r w:rsidR="00276423">
          <w:rPr>
            <w:noProof/>
            <w:webHidden/>
          </w:rPr>
          <w:t>68</w:t>
        </w:r>
        <w:r w:rsidR="00961F6D">
          <w:rPr>
            <w:noProof/>
            <w:webHidden/>
          </w:rPr>
          <w:fldChar w:fldCharType="end"/>
        </w:r>
      </w:hyperlink>
    </w:p>
    <w:p w14:paraId="28715488" w14:textId="1B382E94" w:rsidR="00961F6D" w:rsidRDefault="006C0554">
      <w:pPr>
        <w:pStyle w:val="TableofFigures"/>
        <w:tabs>
          <w:tab w:val="right" w:leader="dot" w:pos="9016"/>
        </w:tabs>
        <w:rPr>
          <w:rFonts w:eastAsiaTheme="minorEastAsia"/>
          <w:noProof/>
          <w:lang w:val="en-MY" w:eastAsia="en-MY"/>
        </w:rPr>
      </w:pPr>
      <w:hyperlink w:anchor="_Toc37263604" w:history="1">
        <w:r w:rsidR="00961F6D" w:rsidRPr="0007093C">
          <w:rPr>
            <w:rStyle w:val="Hyperlink"/>
            <w:noProof/>
          </w:rPr>
          <w:t>Table 5</w:t>
        </w:r>
        <w:r w:rsidR="00961F6D" w:rsidRPr="0007093C">
          <w:rPr>
            <w:rStyle w:val="Hyperlink"/>
            <w:noProof/>
          </w:rPr>
          <w:noBreakHyphen/>
          <w:t>6: Reported offence rate against the person in 2018 (per 100,000 population)</w:t>
        </w:r>
        <w:r w:rsidR="00961F6D">
          <w:rPr>
            <w:noProof/>
            <w:webHidden/>
          </w:rPr>
          <w:tab/>
        </w:r>
        <w:r w:rsidR="00961F6D">
          <w:rPr>
            <w:noProof/>
            <w:webHidden/>
          </w:rPr>
          <w:fldChar w:fldCharType="begin"/>
        </w:r>
        <w:r w:rsidR="00961F6D">
          <w:rPr>
            <w:noProof/>
            <w:webHidden/>
          </w:rPr>
          <w:instrText xml:space="preserve"> PAGEREF _Toc37263604 \h </w:instrText>
        </w:r>
        <w:r w:rsidR="00961F6D">
          <w:rPr>
            <w:noProof/>
            <w:webHidden/>
          </w:rPr>
        </w:r>
        <w:r w:rsidR="00961F6D">
          <w:rPr>
            <w:noProof/>
            <w:webHidden/>
          </w:rPr>
          <w:fldChar w:fldCharType="separate"/>
        </w:r>
        <w:r w:rsidR="00276423">
          <w:rPr>
            <w:noProof/>
            <w:webHidden/>
          </w:rPr>
          <w:t>69</w:t>
        </w:r>
        <w:r w:rsidR="00961F6D">
          <w:rPr>
            <w:noProof/>
            <w:webHidden/>
          </w:rPr>
          <w:fldChar w:fldCharType="end"/>
        </w:r>
      </w:hyperlink>
    </w:p>
    <w:p w14:paraId="1EC49B6F" w14:textId="6F45B309" w:rsidR="00961F6D" w:rsidRDefault="006C0554">
      <w:pPr>
        <w:pStyle w:val="TableofFigures"/>
        <w:tabs>
          <w:tab w:val="right" w:leader="dot" w:pos="9016"/>
        </w:tabs>
        <w:rPr>
          <w:rFonts w:eastAsiaTheme="minorEastAsia"/>
          <w:noProof/>
          <w:lang w:val="en-MY" w:eastAsia="en-MY"/>
        </w:rPr>
      </w:pPr>
      <w:hyperlink w:anchor="_Toc37263605" w:history="1">
        <w:r w:rsidR="00961F6D" w:rsidRPr="0007093C">
          <w:rPr>
            <w:rStyle w:val="Hyperlink"/>
            <w:noProof/>
          </w:rPr>
          <w:t>Table 5</w:t>
        </w:r>
        <w:r w:rsidR="00961F6D" w:rsidRPr="0007093C">
          <w:rPr>
            <w:rStyle w:val="Hyperlink"/>
            <w:noProof/>
          </w:rPr>
          <w:noBreakHyphen/>
          <w:t>7: Reported offence rate against property in 2018 (per 100,000 population)</w:t>
        </w:r>
        <w:r w:rsidR="00961F6D">
          <w:rPr>
            <w:noProof/>
            <w:webHidden/>
          </w:rPr>
          <w:tab/>
        </w:r>
        <w:r w:rsidR="00961F6D">
          <w:rPr>
            <w:noProof/>
            <w:webHidden/>
          </w:rPr>
          <w:fldChar w:fldCharType="begin"/>
        </w:r>
        <w:r w:rsidR="00961F6D">
          <w:rPr>
            <w:noProof/>
            <w:webHidden/>
          </w:rPr>
          <w:instrText xml:space="preserve"> PAGEREF _Toc37263605 \h </w:instrText>
        </w:r>
        <w:r w:rsidR="00961F6D">
          <w:rPr>
            <w:noProof/>
            <w:webHidden/>
          </w:rPr>
        </w:r>
        <w:r w:rsidR="00961F6D">
          <w:rPr>
            <w:noProof/>
            <w:webHidden/>
          </w:rPr>
          <w:fldChar w:fldCharType="separate"/>
        </w:r>
        <w:r w:rsidR="00276423">
          <w:rPr>
            <w:noProof/>
            <w:webHidden/>
          </w:rPr>
          <w:t>70</w:t>
        </w:r>
        <w:r w:rsidR="00961F6D">
          <w:rPr>
            <w:noProof/>
            <w:webHidden/>
          </w:rPr>
          <w:fldChar w:fldCharType="end"/>
        </w:r>
      </w:hyperlink>
    </w:p>
    <w:p w14:paraId="778BA360" w14:textId="331245E9" w:rsidR="00961F6D" w:rsidRDefault="006C0554">
      <w:pPr>
        <w:pStyle w:val="TableofFigures"/>
        <w:tabs>
          <w:tab w:val="right" w:leader="dot" w:pos="9016"/>
        </w:tabs>
        <w:rPr>
          <w:rFonts w:eastAsiaTheme="minorEastAsia"/>
          <w:noProof/>
          <w:lang w:val="en-MY" w:eastAsia="en-MY"/>
        </w:rPr>
      </w:pPr>
      <w:hyperlink w:anchor="_Toc37263606" w:history="1">
        <w:r w:rsidR="00961F6D" w:rsidRPr="0007093C">
          <w:rPr>
            <w:rStyle w:val="Hyperlink"/>
            <w:noProof/>
          </w:rPr>
          <w:t>Table 5</w:t>
        </w:r>
        <w:r w:rsidR="00961F6D" w:rsidRPr="0007093C">
          <w:rPr>
            <w:rStyle w:val="Hyperlink"/>
            <w:noProof/>
          </w:rPr>
          <w:noBreakHyphen/>
          <w:t>8: Reported other offence rate in 2018 (per 100,000 population)</w:t>
        </w:r>
        <w:r w:rsidR="00961F6D">
          <w:rPr>
            <w:noProof/>
            <w:webHidden/>
          </w:rPr>
          <w:tab/>
        </w:r>
        <w:r w:rsidR="00961F6D">
          <w:rPr>
            <w:noProof/>
            <w:webHidden/>
          </w:rPr>
          <w:fldChar w:fldCharType="begin"/>
        </w:r>
        <w:r w:rsidR="00961F6D">
          <w:rPr>
            <w:noProof/>
            <w:webHidden/>
          </w:rPr>
          <w:instrText xml:space="preserve"> PAGEREF _Toc37263606 \h </w:instrText>
        </w:r>
        <w:r w:rsidR="00961F6D">
          <w:rPr>
            <w:noProof/>
            <w:webHidden/>
          </w:rPr>
        </w:r>
        <w:r w:rsidR="00961F6D">
          <w:rPr>
            <w:noProof/>
            <w:webHidden/>
          </w:rPr>
          <w:fldChar w:fldCharType="separate"/>
        </w:r>
        <w:r w:rsidR="00276423">
          <w:rPr>
            <w:noProof/>
            <w:webHidden/>
          </w:rPr>
          <w:t>71</w:t>
        </w:r>
        <w:r w:rsidR="00961F6D">
          <w:rPr>
            <w:noProof/>
            <w:webHidden/>
          </w:rPr>
          <w:fldChar w:fldCharType="end"/>
        </w:r>
      </w:hyperlink>
    </w:p>
    <w:p w14:paraId="4307809A" w14:textId="278EF879" w:rsidR="00961F6D" w:rsidRDefault="006C0554">
      <w:pPr>
        <w:pStyle w:val="TableofFigures"/>
        <w:tabs>
          <w:tab w:val="right" w:leader="dot" w:pos="9016"/>
        </w:tabs>
        <w:rPr>
          <w:rFonts w:eastAsiaTheme="minorEastAsia"/>
          <w:noProof/>
          <w:lang w:val="en-MY" w:eastAsia="en-MY"/>
        </w:rPr>
      </w:pPr>
      <w:hyperlink w:anchor="_Toc37263607" w:history="1">
        <w:r w:rsidR="00961F6D" w:rsidRPr="0007093C">
          <w:rPr>
            <w:rStyle w:val="Hyperlink"/>
            <w:noProof/>
          </w:rPr>
          <w:t>Table 5</w:t>
        </w:r>
        <w:r w:rsidR="00961F6D" w:rsidRPr="0007093C">
          <w:rPr>
            <w:rStyle w:val="Hyperlink"/>
            <w:noProof/>
          </w:rPr>
          <w:noBreakHyphen/>
          <w:t>9: Child development outcomes on the physical health and wellbeing domain</w:t>
        </w:r>
        <w:r w:rsidR="00961F6D">
          <w:rPr>
            <w:noProof/>
            <w:webHidden/>
          </w:rPr>
          <w:tab/>
        </w:r>
        <w:r w:rsidR="00961F6D">
          <w:rPr>
            <w:noProof/>
            <w:webHidden/>
          </w:rPr>
          <w:fldChar w:fldCharType="begin"/>
        </w:r>
        <w:r w:rsidR="00961F6D">
          <w:rPr>
            <w:noProof/>
            <w:webHidden/>
          </w:rPr>
          <w:instrText xml:space="preserve"> PAGEREF _Toc37263607 \h </w:instrText>
        </w:r>
        <w:r w:rsidR="00961F6D">
          <w:rPr>
            <w:noProof/>
            <w:webHidden/>
          </w:rPr>
        </w:r>
        <w:r w:rsidR="00961F6D">
          <w:rPr>
            <w:noProof/>
            <w:webHidden/>
          </w:rPr>
          <w:fldChar w:fldCharType="separate"/>
        </w:r>
        <w:r w:rsidR="00276423">
          <w:rPr>
            <w:noProof/>
            <w:webHidden/>
          </w:rPr>
          <w:t>72</w:t>
        </w:r>
        <w:r w:rsidR="00961F6D">
          <w:rPr>
            <w:noProof/>
            <w:webHidden/>
          </w:rPr>
          <w:fldChar w:fldCharType="end"/>
        </w:r>
      </w:hyperlink>
    </w:p>
    <w:p w14:paraId="11DD6EFD" w14:textId="5991353E" w:rsidR="00961F6D" w:rsidRDefault="006C0554">
      <w:pPr>
        <w:pStyle w:val="TableofFigures"/>
        <w:tabs>
          <w:tab w:val="right" w:leader="dot" w:pos="9016"/>
        </w:tabs>
        <w:rPr>
          <w:rFonts w:eastAsiaTheme="minorEastAsia"/>
          <w:noProof/>
          <w:lang w:val="en-MY" w:eastAsia="en-MY"/>
        </w:rPr>
      </w:pPr>
      <w:hyperlink w:anchor="_Toc37263608" w:history="1">
        <w:r w:rsidR="00961F6D" w:rsidRPr="0007093C">
          <w:rPr>
            <w:rStyle w:val="Hyperlink"/>
            <w:noProof/>
          </w:rPr>
          <w:t>Table 5</w:t>
        </w:r>
        <w:r w:rsidR="00961F6D" w:rsidRPr="0007093C">
          <w:rPr>
            <w:rStyle w:val="Hyperlink"/>
            <w:noProof/>
          </w:rPr>
          <w:noBreakHyphen/>
          <w:t>10: Child development outcomes on the social competence domain</w:t>
        </w:r>
        <w:r w:rsidR="00961F6D">
          <w:rPr>
            <w:noProof/>
            <w:webHidden/>
          </w:rPr>
          <w:tab/>
        </w:r>
        <w:r w:rsidR="00961F6D">
          <w:rPr>
            <w:noProof/>
            <w:webHidden/>
          </w:rPr>
          <w:fldChar w:fldCharType="begin"/>
        </w:r>
        <w:r w:rsidR="00961F6D">
          <w:rPr>
            <w:noProof/>
            <w:webHidden/>
          </w:rPr>
          <w:instrText xml:space="preserve"> PAGEREF _Toc37263608 \h </w:instrText>
        </w:r>
        <w:r w:rsidR="00961F6D">
          <w:rPr>
            <w:noProof/>
            <w:webHidden/>
          </w:rPr>
        </w:r>
        <w:r w:rsidR="00961F6D">
          <w:rPr>
            <w:noProof/>
            <w:webHidden/>
          </w:rPr>
          <w:fldChar w:fldCharType="separate"/>
        </w:r>
        <w:r w:rsidR="00276423">
          <w:rPr>
            <w:noProof/>
            <w:webHidden/>
          </w:rPr>
          <w:t>72</w:t>
        </w:r>
        <w:r w:rsidR="00961F6D">
          <w:rPr>
            <w:noProof/>
            <w:webHidden/>
          </w:rPr>
          <w:fldChar w:fldCharType="end"/>
        </w:r>
      </w:hyperlink>
    </w:p>
    <w:p w14:paraId="76F7879E" w14:textId="398CC4DF" w:rsidR="00961F6D" w:rsidRDefault="006C0554">
      <w:pPr>
        <w:pStyle w:val="TableofFigures"/>
        <w:tabs>
          <w:tab w:val="right" w:leader="dot" w:pos="9016"/>
        </w:tabs>
        <w:rPr>
          <w:rFonts w:eastAsiaTheme="minorEastAsia"/>
          <w:noProof/>
          <w:lang w:val="en-MY" w:eastAsia="en-MY"/>
        </w:rPr>
      </w:pPr>
      <w:hyperlink w:anchor="_Toc37263609" w:history="1">
        <w:r w:rsidR="00961F6D" w:rsidRPr="0007093C">
          <w:rPr>
            <w:rStyle w:val="Hyperlink"/>
            <w:noProof/>
          </w:rPr>
          <w:t>Table 5</w:t>
        </w:r>
        <w:r w:rsidR="00961F6D" w:rsidRPr="0007093C">
          <w:rPr>
            <w:rStyle w:val="Hyperlink"/>
            <w:noProof/>
          </w:rPr>
          <w:noBreakHyphen/>
          <w:t>11: Child development outcomes on the emotional maturity domain</w:t>
        </w:r>
        <w:r w:rsidR="00961F6D">
          <w:rPr>
            <w:noProof/>
            <w:webHidden/>
          </w:rPr>
          <w:tab/>
        </w:r>
        <w:r w:rsidR="00961F6D">
          <w:rPr>
            <w:noProof/>
            <w:webHidden/>
          </w:rPr>
          <w:fldChar w:fldCharType="begin"/>
        </w:r>
        <w:r w:rsidR="00961F6D">
          <w:rPr>
            <w:noProof/>
            <w:webHidden/>
          </w:rPr>
          <w:instrText xml:space="preserve"> PAGEREF _Toc37263609 \h </w:instrText>
        </w:r>
        <w:r w:rsidR="00961F6D">
          <w:rPr>
            <w:noProof/>
            <w:webHidden/>
          </w:rPr>
        </w:r>
        <w:r w:rsidR="00961F6D">
          <w:rPr>
            <w:noProof/>
            <w:webHidden/>
          </w:rPr>
          <w:fldChar w:fldCharType="separate"/>
        </w:r>
        <w:r w:rsidR="00276423">
          <w:rPr>
            <w:noProof/>
            <w:webHidden/>
          </w:rPr>
          <w:t>73</w:t>
        </w:r>
        <w:r w:rsidR="00961F6D">
          <w:rPr>
            <w:noProof/>
            <w:webHidden/>
          </w:rPr>
          <w:fldChar w:fldCharType="end"/>
        </w:r>
      </w:hyperlink>
    </w:p>
    <w:p w14:paraId="111AC2F2" w14:textId="008591D4" w:rsidR="00961F6D" w:rsidRDefault="006C0554">
      <w:pPr>
        <w:pStyle w:val="TableofFigures"/>
        <w:tabs>
          <w:tab w:val="right" w:leader="dot" w:pos="9016"/>
        </w:tabs>
        <w:rPr>
          <w:rFonts w:eastAsiaTheme="minorEastAsia"/>
          <w:noProof/>
          <w:lang w:val="en-MY" w:eastAsia="en-MY"/>
        </w:rPr>
      </w:pPr>
      <w:hyperlink w:anchor="_Toc37263610" w:history="1">
        <w:r w:rsidR="00961F6D" w:rsidRPr="0007093C">
          <w:rPr>
            <w:rStyle w:val="Hyperlink"/>
            <w:noProof/>
          </w:rPr>
          <w:t>Table 5</w:t>
        </w:r>
        <w:r w:rsidR="00961F6D" w:rsidRPr="0007093C">
          <w:rPr>
            <w:rStyle w:val="Hyperlink"/>
            <w:noProof/>
          </w:rPr>
          <w:noBreakHyphen/>
          <w:t>12: Child development outcomes on the language and cognitive skills (school-based) domain</w:t>
        </w:r>
        <w:r w:rsidR="00961F6D">
          <w:rPr>
            <w:noProof/>
            <w:webHidden/>
          </w:rPr>
          <w:tab/>
        </w:r>
        <w:r w:rsidR="00961F6D">
          <w:rPr>
            <w:noProof/>
            <w:webHidden/>
          </w:rPr>
          <w:fldChar w:fldCharType="begin"/>
        </w:r>
        <w:r w:rsidR="00961F6D">
          <w:rPr>
            <w:noProof/>
            <w:webHidden/>
          </w:rPr>
          <w:instrText xml:space="preserve"> PAGEREF _Toc37263610 \h </w:instrText>
        </w:r>
        <w:r w:rsidR="00961F6D">
          <w:rPr>
            <w:noProof/>
            <w:webHidden/>
          </w:rPr>
        </w:r>
        <w:r w:rsidR="00961F6D">
          <w:rPr>
            <w:noProof/>
            <w:webHidden/>
          </w:rPr>
          <w:fldChar w:fldCharType="separate"/>
        </w:r>
        <w:r w:rsidR="00276423">
          <w:rPr>
            <w:noProof/>
            <w:webHidden/>
          </w:rPr>
          <w:t>73</w:t>
        </w:r>
        <w:r w:rsidR="00961F6D">
          <w:rPr>
            <w:noProof/>
            <w:webHidden/>
          </w:rPr>
          <w:fldChar w:fldCharType="end"/>
        </w:r>
      </w:hyperlink>
    </w:p>
    <w:p w14:paraId="4AB56BD8" w14:textId="167E383D" w:rsidR="00961F6D" w:rsidRDefault="006C0554">
      <w:pPr>
        <w:pStyle w:val="TableofFigures"/>
        <w:tabs>
          <w:tab w:val="right" w:leader="dot" w:pos="9016"/>
        </w:tabs>
        <w:rPr>
          <w:rFonts w:eastAsiaTheme="minorEastAsia"/>
          <w:noProof/>
          <w:lang w:val="en-MY" w:eastAsia="en-MY"/>
        </w:rPr>
      </w:pPr>
      <w:hyperlink w:anchor="_Toc37263611" w:history="1">
        <w:r w:rsidR="00961F6D" w:rsidRPr="0007093C">
          <w:rPr>
            <w:rStyle w:val="Hyperlink"/>
            <w:noProof/>
          </w:rPr>
          <w:t>Table 5</w:t>
        </w:r>
        <w:r w:rsidR="00961F6D" w:rsidRPr="0007093C">
          <w:rPr>
            <w:rStyle w:val="Hyperlink"/>
            <w:noProof/>
          </w:rPr>
          <w:noBreakHyphen/>
          <w:t>13: Child development outcomes on the communication skills and general knowledge domain</w:t>
        </w:r>
        <w:r w:rsidR="00961F6D">
          <w:rPr>
            <w:noProof/>
            <w:webHidden/>
          </w:rPr>
          <w:tab/>
        </w:r>
        <w:r w:rsidR="00961F6D">
          <w:rPr>
            <w:noProof/>
            <w:webHidden/>
          </w:rPr>
          <w:fldChar w:fldCharType="begin"/>
        </w:r>
        <w:r w:rsidR="00961F6D">
          <w:rPr>
            <w:noProof/>
            <w:webHidden/>
          </w:rPr>
          <w:instrText xml:space="preserve"> PAGEREF _Toc37263611 \h </w:instrText>
        </w:r>
        <w:r w:rsidR="00961F6D">
          <w:rPr>
            <w:noProof/>
            <w:webHidden/>
          </w:rPr>
        </w:r>
        <w:r w:rsidR="00961F6D">
          <w:rPr>
            <w:noProof/>
            <w:webHidden/>
          </w:rPr>
          <w:fldChar w:fldCharType="separate"/>
        </w:r>
        <w:r w:rsidR="00276423">
          <w:rPr>
            <w:noProof/>
            <w:webHidden/>
          </w:rPr>
          <w:t>74</w:t>
        </w:r>
        <w:r w:rsidR="00961F6D">
          <w:rPr>
            <w:noProof/>
            <w:webHidden/>
          </w:rPr>
          <w:fldChar w:fldCharType="end"/>
        </w:r>
      </w:hyperlink>
    </w:p>
    <w:p w14:paraId="2CF72492" w14:textId="0965A213" w:rsidR="00961F6D" w:rsidRDefault="006C0554">
      <w:pPr>
        <w:pStyle w:val="TableofFigures"/>
        <w:tabs>
          <w:tab w:val="right" w:leader="dot" w:pos="9016"/>
        </w:tabs>
        <w:rPr>
          <w:rFonts w:eastAsiaTheme="minorEastAsia"/>
          <w:noProof/>
          <w:lang w:val="en-MY" w:eastAsia="en-MY"/>
        </w:rPr>
      </w:pPr>
      <w:hyperlink w:anchor="_Toc37263612" w:history="1">
        <w:r w:rsidR="00961F6D" w:rsidRPr="0007093C">
          <w:rPr>
            <w:rStyle w:val="Hyperlink"/>
            <w:noProof/>
          </w:rPr>
          <w:t>Table 5</w:t>
        </w:r>
        <w:r w:rsidR="00961F6D" w:rsidRPr="0007093C">
          <w:rPr>
            <w:rStyle w:val="Hyperlink"/>
            <w:noProof/>
          </w:rPr>
          <w:noBreakHyphen/>
          <w:t>14: Child development outcomes: vulnerability on multiple domains</w:t>
        </w:r>
        <w:r w:rsidR="00961F6D">
          <w:rPr>
            <w:noProof/>
            <w:webHidden/>
          </w:rPr>
          <w:tab/>
        </w:r>
        <w:r w:rsidR="00961F6D">
          <w:rPr>
            <w:noProof/>
            <w:webHidden/>
          </w:rPr>
          <w:fldChar w:fldCharType="begin"/>
        </w:r>
        <w:r w:rsidR="00961F6D">
          <w:rPr>
            <w:noProof/>
            <w:webHidden/>
          </w:rPr>
          <w:instrText xml:space="preserve"> PAGEREF _Toc37263612 \h </w:instrText>
        </w:r>
        <w:r w:rsidR="00961F6D">
          <w:rPr>
            <w:noProof/>
            <w:webHidden/>
          </w:rPr>
        </w:r>
        <w:r w:rsidR="00961F6D">
          <w:rPr>
            <w:noProof/>
            <w:webHidden/>
          </w:rPr>
          <w:fldChar w:fldCharType="separate"/>
        </w:r>
        <w:r w:rsidR="00276423">
          <w:rPr>
            <w:noProof/>
            <w:webHidden/>
          </w:rPr>
          <w:t>74</w:t>
        </w:r>
        <w:r w:rsidR="00961F6D">
          <w:rPr>
            <w:noProof/>
            <w:webHidden/>
          </w:rPr>
          <w:fldChar w:fldCharType="end"/>
        </w:r>
      </w:hyperlink>
    </w:p>
    <w:p w14:paraId="3DAB638D" w14:textId="1B075A78" w:rsidR="00446218" w:rsidRDefault="00600CEB" w:rsidP="00A4064D">
      <w:r>
        <w:fldChar w:fldCharType="end"/>
      </w:r>
      <w:r w:rsidR="00446218">
        <w:br w:type="page"/>
      </w:r>
    </w:p>
    <w:p w14:paraId="7316DC08" w14:textId="77777777" w:rsidR="00D47EE8" w:rsidRPr="00CD154F" w:rsidRDefault="00D47EE8" w:rsidP="0079482A">
      <w:pPr>
        <w:rPr>
          <w:color w:val="2E74B5" w:themeColor="accent1" w:themeShade="BF"/>
          <w:sz w:val="32"/>
          <w:szCs w:val="32"/>
        </w:rPr>
      </w:pPr>
      <w:r w:rsidRPr="00CD154F">
        <w:rPr>
          <w:color w:val="2E74B5" w:themeColor="accent1" w:themeShade="BF"/>
          <w:sz w:val="32"/>
          <w:szCs w:val="32"/>
        </w:rPr>
        <w:lastRenderedPageBreak/>
        <w:t xml:space="preserve">Figures </w:t>
      </w:r>
    </w:p>
    <w:p w14:paraId="4F040781" w14:textId="54237144" w:rsidR="00182E1F" w:rsidRDefault="00600CEB">
      <w:pPr>
        <w:pStyle w:val="TableofFigures"/>
        <w:tabs>
          <w:tab w:val="right" w:leader="dot" w:pos="9016"/>
        </w:tabs>
        <w:rPr>
          <w:rFonts w:eastAsiaTheme="minorEastAsia"/>
          <w:noProof/>
          <w:lang w:val="en-MY" w:eastAsia="en-MY"/>
        </w:rPr>
      </w:pPr>
      <w:r>
        <w:fldChar w:fldCharType="begin"/>
      </w:r>
      <w:r>
        <w:instrText xml:space="preserve"> TOC \h \z \c "Figure" </w:instrText>
      </w:r>
      <w:r>
        <w:fldChar w:fldCharType="separate"/>
      </w:r>
      <w:hyperlink w:anchor="_Toc37263824" w:history="1">
        <w:r w:rsidR="00182E1F" w:rsidRPr="004B6246">
          <w:rPr>
            <w:rStyle w:val="Hyperlink"/>
            <w:noProof/>
          </w:rPr>
          <w:t>Figure 1</w:t>
        </w:r>
        <w:r w:rsidR="00182E1F" w:rsidRPr="004B6246">
          <w:rPr>
            <w:rStyle w:val="Hyperlink"/>
            <w:noProof/>
          </w:rPr>
          <w:noBreakHyphen/>
          <w:t>1: Map of Bundaberg and Hervey Bay region</w:t>
        </w:r>
        <w:r w:rsidR="00182E1F">
          <w:rPr>
            <w:noProof/>
            <w:webHidden/>
          </w:rPr>
          <w:tab/>
        </w:r>
        <w:r w:rsidR="00182E1F">
          <w:rPr>
            <w:noProof/>
            <w:webHidden/>
          </w:rPr>
          <w:fldChar w:fldCharType="begin"/>
        </w:r>
        <w:r w:rsidR="00182E1F">
          <w:rPr>
            <w:noProof/>
            <w:webHidden/>
          </w:rPr>
          <w:instrText xml:space="preserve"> PAGEREF _Toc37263824 \h </w:instrText>
        </w:r>
        <w:r w:rsidR="00182E1F">
          <w:rPr>
            <w:noProof/>
            <w:webHidden/>
          </w:rPr>
        </w:r>
        <w:r w:rsidR="00182E1F">
          <w:rPr>
            <w:noProof/>
            <w:webHidden/>
          </w:rPr>
          <w:fldChar w:fldCharType="separate"/>
        </w:r>
        <w:r w:rsidR="00276423">
          <w:rPr>
            <w:noProof/>
            <w:webHidden/>
          </w:rPr>
          <w:t>14</w:t>
        </w:r>
        <w:r w:rsidR="00182E1F">
          <w:rPr>
            <w:noProof/>
            <w:webHidden/>
          </w:rPr>
          <w:fldChar w:fldCharType="end"/>
        </w:r>
      </w:hyperlink>
    </w:p>
    <w:p w14:paraId="68A0CF94" w14:textId="579682E9" w:rsidR="00182E1F" w:rsidRDefault="006C0554">
      <w:pPr>
        <w:pStyle w:val="TableofFigures"/>
        <w:tabs>
          <w:tab w:val="right" w:leader="dot" w:pos="9016"/>
        </w:tabs>
        <w:rPr>
          <w:rFonts w:eastAsiaTheme="minorEastAsia"/>
          <w:noProof/>
          <w:lang w:val="en-MY" w:eastAsia="en-MY"/>
        </w:rPr>
      </w:pPr>
      <w:hyperlink w:anchor="_Toc37263825" w:history="1">
        <w:r w:rsidR="00182E1F" w:rsidRPr="004B6246">
          <w:rPr>
            <w:rStyle w:val="Hyperlink"/>
            <w:noProof/>
          </w:rPr>
          <w:t>Figure 2</w:t>
        </w:r>
        <w:r w:rsidR="00182E1F" w:rsidRPr="004B6246">
          <w:rPr>
            <w:rStyle w:val="Hyperlink"/>
            <w:noProof/>
          </w:rPr>
          <w:noBreakHyphen/>
          <w:t>1: Average monthly Emergency Department attendance rates</w:t>
        </w:r>
        <w:r w:rsidR="00182E1F">
          <w:rPr>
            <w:noProof/>
            <w:webHidden/>
          </w:rPr>
          <w:tab/>
        </w:r>
        <w:r w:rsidR="00182E1F">
          <w:rPr>
            <w:noProof/>
            <w:webHidden/>
          </w:rPr>
          <w:fldChar w:fldCharType="begin"/>
        </w:r>
        <w:r w:rsidR="00182E1F">
          <w:rPr>
            <w:noProof/>
            <w:webHidden/>
          </w:rPr>
          <w:instrText xml:space="preserve"> PAGEREF _Toc37263825 \h </w:instrText>
        </w:r>
        <w:r w:rsidR="00182E1F">
          <w:rPr>
            <w:noProof/>
            <w:webHidden/>
          </w:rPr>
        </w:r>
        <w:r w:rsidR="00182E1F">
          <w:rPr>
            <w:noProof/>
            <w:webHidden/>
          </w:rPr>
          <w:fldChar w:fldCharType="separate"/>
        </w:r>
        <w:r w:rsidR="00276423">
          <w:rPr>
            <w:noProof/>
            <w:webHidden/>
          </w:rPr>
          <w:t>16</w:t>
        </w:r>
        <w:r w:rsidR="00182E1F">
          <w:rPr>
            <w:noProof/>
            <w:webHidden/>
          </w:rPr>
          <w:fldChar w:fldCharType="end"/>
        </w:r>
      </w:hyperlink>
    </w:p>
    <w:p w14:paraId="7C485A4C" w14:textId="24F4009B" w:rsidR="00182E1F" w:rsidRDefault="006C0554">
      <w:pPr>
        <w:pStyle w:val="TableofFigures"/>
        <w:tabs>
          <w:tab w:val="right" w:leader="dot" w:pos="9016"/>
        </w:tabs>
        <w:rPr>
          <w:rFonts w:eastAsiaTheme="minorEastAsia"/>
          <w:noProof/>
          <w:lang w:val="en-MY" w:eastAsia="en-MY"/>
        </w:rPr>
      </w:pPr>
      <w:hyperlink w:anchor="_Toc37263826" w:history="1">
        <w:r w:rsidR="00182E1F" w:rsidRPr="004B6246">
          <w:rPr>
            <w:rStyle w:val="Hyperlink"/>
            <w:noProof/>
          </w:rPr>
          <w:t>Figure 2</w:t>
        </w:r>
        <w:r w:rsidR="00182E1F" w:rsidRPr="004B6246">
          <w:rPr>
            <w:rStyle w:val="Hyperlink"/>
            <w:noProof/>
          </w:rPr>
          <w:noBreakHyphen/>
          <w:t>2: Distribution of Emergency Department attendances across triage categories</w:t>
        </w:r>
        <w:r w:rsidR="00182E1F">
          <w:rPr>
            <w:noProof/>
            <w:webHidden/>
          </w:rPr>
          <w:tab/>
        </w:r>
        <w:r w:rsidR="00182E1F">
          <w:rPr>
            <w:noProof/>
            <w:webHidden/>
          </w:rPr>
          <w:fldChar w:fldCharType="begin"/>
        </w:r>
        <w:r w:rsidR="00182E1F">
          <w:rPr>
            <w:noProof/>
            <w:webHidden/>
          </w:rPr>
          <w:instrText xml:space="preserve"> PAGEREF _Toc37263826 \h </w:instrText>
        </w:r>
        <w:r w:rsidR="00182E1F">
          <w:rPr>
            <w:noProof/>
            <w:webHidden/>
          </w:rPr>
        </w:r>
        <w:r w:rsidR="00182E1F">
          <w:rPr>
            <w:noProof/>
            <w:webHidden/>
          </w:rPr>
          <w:fldChar w:fldCharType="separate"/>
        </w:r>
        <w:r w:rsidR="00276423">
          <w:rPr>
            <w:noProof/>
            <w:webHidden/>
          </w:rPr>
          <w:t>17</w:t>
        </w:r>
        <w:r w:rsidR="00182E1F">
          <w:rPr>
            <w:noProof/>
            <w:webHidden/>
          </w:rPr>
          <w:fldChar w:fldCharType="end"/>
        </w:r>
      </w:hyperlink>
    </w:p>
    <w:p w14:paraId="7EBD0746" w14:textId="4EDCC76B" w:rsidR="00182E1F" w:rsidRDefault="006C0554">
      <w:pPr>
        <w:pStyle w:val="TableofFigures"/>
        <w:tabs>
          <w:tab w:val="right" w:leader="dot" w:pos="9016"/>
        </w:tabs>
        <w:rPr>
          <w:rFonts w:eastAsiaTheme="minorEastAsia"/>
          <w:noProof/>
          <w:lang w:val="en-MY" w:eastAsia="en-MY"/>
        </w:rPr>
      </w:pPr>
      <w:hyperlink w:anchor="_Toc37263827" w:history="1">
        <w:r w:rsidR="00182E1F" w:rsidRPr="004B6246">
          <w:rPr>
            <w:rStyle w:val="Hyperlink"/>
            <w:noProof/>
          </w:rPr>
          <w:t>Figure 2</w:t>
        </w:r>
        <w:r w:rsidR="00182E1F" w:rsidRPr="004B6246">
          <w:rPr>
            <w:rStyle w:val="Hyperlink"/>
            <w:noProof/>
          </w:rPr>
          <w:noBreakHyphen/>
          <w:t>3: Monthly EGM statistics per 1,000 population in 2018</w:t>
        </w:r>
        <w:r w:rsidR="00182E1F">
          <w:rPr>
            <w:noProof/>
            <w:webHidden/>
          </w:rPr>
          <w:tab/>
        </w:r>
        <w:r w:rsidR="00182E1F">
          <w:rPr>
            <w:noProof/>
            <w:webHidden/>
          </w:rPr>
          <w:fldChar w:fldCharType="begin"/>
        </w:r>
        <w:r w:rsidR="00182E1F">
          <w:rPr>
            <w:noProof/>
            <w:webHidden/>
          </w:rPr>
          <w:instrText xml:space="preserve"> PAGEREF _Toc37263827 \h </w:instrText>
        </w:r>
        <w:r w:rsidR="00182E1F">
          <w:rPr>
            <w:noProof/>
            <w:webHidden/>
          </w:rPr>
        </w:r>
        <w:r w:rsidR="00182E1F">
          <w:rPr>
            <w:noProof/>
            <w:webHidden/>
          </w:rPr>
          <w:fldChar w:fldCharType="separate"/>
        </w:r>
        <w:r w:rsidR="00276423">
          <w:rPr>
            <w:noProof/>
            <w:webHidden/>
          </w:rPr>
          <w:t>23</w:t>
        </w:r>
        <w:r w:rsidR="00182E1F">
          <w:rPr>
            <w:noProof/>
            <w:webHidden/>
          </w:rPr>
          <w:fldChar w:fldCharType="end"/>
        </w:r>
      </w:hyperlink>
    </w:p>
    <w:p w14:paraId="34CCF766" w14:textId="224A2739" w:rsidR="00182E1F" w:rsidRDefault="006C0554">
      <w:pPr>
        <w:pStyle w:val="TableofFigures"/>
        <w:tabs>
          <w:tab w:val="right" w:leader="dot" w:pos="9016"/>
        </w:tabs>
        <w:rPr>
          <w:rFonts w:eastAsiaTheme="minorEastAsia"/>
          <w:noProof/>
          <w:lang w:val="en-MY" w:eastAsia="en-MY"/>
        </w:rPr>
      </w:pPr>
      <w:hyperlink w:anchor="_Toc37263828" w:history="1">
        <w:r w:rsidR="00182E1F" w:rsidRPr="004B6246">
          <w:rPr>
            <w:rStyle w:val="Hyperlink"/>
            <w:noProof/>
          </w:rPr>
          <w:t>Figure 2</w:t>
        </w:r>
        <w:r w:rsidR="00182E1F" w:rsidRPr="004B6246">
          <w:rPr>
            <w:rStyle w:val="Hyperlink"/>
            <w:noProof/>
          </w:rPr>
          <w:noBreakHyphen/>
          <w:t>4: Labour force status of the working age population and youth in 2016</w:t>
        </w:r>
        <w:r w:rsidR="00182E1F">
          <w:rPr>
            <w:noProof/>
            <w:webHidden/>
          </w:rPr>
          <w:tab/>
        </w:r>
        <w:r w:rsidR="00182E1F">
          <w:rPr>
            <w:noProof/>
            <w:webHidden/>
          </w:rPr>
          <w:fldChar w:fldCharType="begin"/>
        </w:r>
        <w:r w:rsidR="00182E1F">
          <w:rPr>
            <w:noProof/>
            <w:webHidden/>
          </w:rPr>
          <w:instrText xml:space="preserve"> PAGEREF _Toc37263828 \h </w:instrText>
        </w:r>
        <w:r w:rsidR="00182E1F">
          <w:rPr>
            <w:noProof/>
            <w:webHidden/>
          </w:rPr>
        </w:r>
        <w:r w:rsidR="00182E1F">
          <w:rPr>
            <w:noProof/>
            <w:webHidden/>
          </w:rPr>
          <w:fldChar w:fldCharType="separate"/>
        </w:r>
        <w:r w:rsidR="00276423">
          <w:rPr>
            <w:noProof/>
            <w:webHidden/>
          </w:rPr>
          <w:t>25</w:t>
        </w:r>
        <w:r w:rsidR="00182E1F">
          <w:rPr>
            <w:noProof/>
            <w:webHidden/>
          </w:rPr>
          <w:fldChar w:fldCharType="end"/>
        </w:r>
      </w:hyperlink>
    </w:p>
    <w:p w14:paraId="363BDE58" w14:textId="5D3C7F28" w:rsidR="00182E1F" w:rsidRDefault="006C0554">
      <w:pPr>
        <w:pStyle w:val="TableofFigures"/>
        <w:tabs>
          <w:tab w:val="right" w:leader="dot" w:pos="9016"/>
        </w:tabs>
        <w:rPr>
          <w:rFonts w:eastAsiaTheme="minorEastAsia"/>
          <w:noProof/>
          <w:lang w:val="en-MY" w:eastAsia="en-MY"/>
        </w:rPr>
      </w:pPr>
      <w:hyperlink w:anchor="_Toc37263829" w:history="1">
        <w:r w:rsidR="00182E1F" w:rsidRPr="004B6246">
          <w:rPr>
            <w:rStyle w:val="Hyperlink"/>
            <w:noProof/>
          </w:rPr>
          <w:t>Figure 2</w:t>
        </w:r>
        <w:r w:rsidR="00182E1F" w:rsidRPr="004B6246">
          <w:rPr>
            <w:rStyle w:val="Hyperlink"/>
            <w:noProof/>
          </w:rPr>
          <w:noBreakHyphen/>
          <w:t>5: Cumulative distribution of population across the IRSD deciles</w:t>
        </w:r>
        <w:r w:rsidR="00182E1F">
          <w:rPr>
            <w:noProof/>
            <w:webHidden/>
          </w:rPr>
          <w:tab/>
        </w:r>
        <w:r w:rsidR="00182E1F">
          <w:rPr>
            <w:noProof/>
            <w:webHidden/>
          </w:rPr>
          <w:fldChar w:fldCharType="begin"/>
        </w:r>
        <w:r w:rsidR="00182E1F">
          <w:rPr>
            <w:noProof/>
            <w:webHidden/>
          </w:rPr>
          <w:instrText xml:space="preserve"> PAGEREF _Toc37263829 \h </w:instrText>
        </w:r>
        <w:r w:rsidR="00182E1F">
          <w:rPr>
            <w:noProof/>
            <w:webHidden/>
          </w:rPr>
        </w:r>
        <w:r w:rsidR="00182E1F">
          <w:rPr>
            <w:noProof/>
            <w:webHidden/>
          </w:rPr>
          <w:fldChar w:fldCharType="separate"/>
        </w:r>
        <w:r w:rsidR="00276423">
          <w:rPr>
            <w:noProof/>
            <w:webHidden/>
          </w:rPr>
          <w:t>32</w:t>
        </w:r>
        <w:r w:rsidR="00182E1F">
          <w:rPr>
            <w:noProof/>
            <w:webHidden/>
          </w:rPr>
          <w:fldChar w:fldCharType="end"/>
        </w:r>
      </w:hyperlink>
    </w:p>
    <w:p w14:paraId="31CDAB17" w14:textId="611A4592" w:rsidR="00182E1F" w:rsidRDefault="006C0554">
      <w:pPr>
        <w:pStyle w:val="TableofFigures"/>
        <w:tabs>
          <w:tab w:val="right" w:leader="dot" w:pos="9016"/>
        </w:tabs>
        <w:rPr>
          <w:rFonts w:eastAsiaTheme="minorEastAsia"/>
          <w:noProof/>
          <w:lang w:val="en-MY" w:eastAsia="en-MY"/>
        </w:rPr>
      </w:pPr>
      <w:hyperlink w:anchor="_Toc37263830" w:history="1">
        <w:r w:rsidR="00182E1F" w:rsidRPr="004B6246">
          <w:rPr>
            <w:rStyle w:val="Hyperlink"/>
            <w:noProof/>
          </w:rPr>
          <w:t>Figure 2</w:t>
        </w:r>
        <w:r w:rsidR="00182E1F" w:rsidRPr="004B6246">
          <w:rPr>
            <w:rStyle w:val="Hyperlink"/>
            <w:noProof/>
          </w:rPr>
          <w:noBreakHyphen/>
          <w:t>6: Level of highest educational attainment of people aged 15 and over (per cent)</w:t>
        </w:r>
        <w:r w:rsidR="00182E1F">
          <w:rPr>
            <w:noProof/>
            <w:webHidden/>
          </w:rPr>
          <w:tab/>
        </w:r>
        <w:r w:rsidR="00182E1F">
          <w:rPr>
            <w:noProof/>
            <w:webHidden/>
          </w:rPr>
          <w:fldChar w:fldCharType="begin"/>
        </w:r>
        <w:r w:rsidR="00182E1F">
          <w:rPr>
            <w:noProof/>
            <w:webHidden/>
          </w:rPr>
          <w:instrText xml:space="preserve"> PAGEREF _Toc37263830 \h </w:instrText>
        </w:r>
        <w:r w:rsidR="00182E1F">
          <w:rPr>
            <w:noProof/>
            <w:webHidden/>
          </w:rPr>
        </w:r>
        <w:r w:rsidR="00182E1F">
          <w:rPr>
            <w:noProof/>
            <w:webHidden/>
          </w:rPr>
          <w:fldChar w:fldCharType="separate"/>
        </w:r>
        <w:r w:rsidR="00276423">
          <w:rPr>
            <w:noProof/>
            <w:webHidden/>
          </w:rPr>
          <w:t>33</w:t>
        </w:r>
        <w:r w:rsidR="00182E1F">
          <w:rPr>
            <w:noProof/>
            <w:webHidden/>
          </w:rPr>
          <w:fldChar w:fldCharType="end"/>
        </w:r>
      </w:hyperlink>
    </w:p>
    <w:p w14:paraId="3A295205" w14:textId="408E13A5" w:rsidR="00182E1F" w:rsidRDefault="006C0554">
      <w:pPr>
        <w:pStyle w:val="TableofFigures"/>
        <w:tabs>
          <w:tab w:val="right" w:leader="dot" w:pos="9016"/>
        </w:tabs>
        <w:rPr>
          <w:rFonts w:eastAsiaTheme="minorEastAsia"/>
          <w:noProof/>
          <w:lang w:val="en-MY" w:eastAsia="en-MY"/>
        </w:rPr>
      </w:pPr>
      <w:hyperlink w:anchor="_Toc37263831" w:history="1">
        <w:r w:rsidR="00182E1F" w:rsidRPr="004B6246">
          <w:rPr>
            <w:rStyle w:val="Hyperlink"/>
            <w:noProof/>
          </w:rPr>
          <w:t>Figure 2</w:t>
        </w:r>
        <w:r w:rsidR="00182E1F" w:rsidRPr="004B6246">
          <w:rPr>
            <w:rStyle w:val="Hyperlink"/>
            <w:noProof/>
          </w:rPr>
          <w:noBreakHyphen/>
          <w:t>7: School attendance rates in Secondary and special schools, 2015 to 2018</w:t>
        </w:r>
        <w:r w:rsidR="00182E1F">
          <w:rPr>
            <w:noProof/>
            <w:webHidden/>
          </w:rPr>
          <w:tab/>
        </w:r>
        <w:r w:rsidR="00182E1F">
          <w:rPr>
            <w:noProof/>
            <w:webHidden/>
          </w:rPr>
          <w:fldChar w:fldCharType="begin"/>
        </w:r>
        <w:r w:rsidR="00182E1F">
          <w:rPr>
            <w:noProof/>
            <w:webHidden/>
          </w:rPr>
          <w:instrText xml:space="preserve"> PAGEREF _Toc37263831 \h </w:instrText>
        </w:r>
        <w:r w:rsidR="00182E1F">
          <w:rPr>
            <w:noProof/>
            <w:webHidden/>
          </w:rPr>
        </w:r>
        <w:r w:rsidR="00182E1F">
          <w:rPr>
            <w:noProof/>
            <w:webHidden/>
          </w:rPr>
          <w:fldChar w:fldCharType="separate"/>
        </w:r>
        <w:r w:rsidR="00276423">
          <w:rPr>
            <w:noProof/>
            <w:webHidden/>
          </w:rPr>
          <w:t>35</w:t>
        </w:r>
        <w:r w:rsidR="00182E1F">
          <w:rPr>
            <w:noProof/>
            <w:webHidden/>
          </w:rPr>
          <w:fldChar w:fldCharType="end"/>
        </w:r>
      </w:hyperlink>
    </w:p>
    <w:p w14:paraId="5E3C5A4A" w14:textId="4D22D1B9" w:rsidR="00182E1F" w:rsidRDefault="006C0554">
      <w:pPr>
        <w:pStyle w:val="TableofFigures"/>
        <w:tabs>
          <w:tab w:val="right" w:leader="dot" w:pos="9016"/>
        </w:tabs>
        <w:rPr>
          <w:rFonts w:eastAsiaTheme="minorEastAsia"/>
          <w:noProof/>
          <w:lang w:val="en-MY" w:eastAsia="en-MY"/>
        </w:rPr>
      </w:pPr>
      <w:hyperlink w:anchor="_Toc37263832" w:history="1">
        <w:r w:rsidR="00182E1F" w:rsidRPr="004B6246">
          <w:rPr>
            <w:rStyle w:val="Hyperlink"/>
            <w:noProof/>
          </w:rPr>
          <w:t>Figure 2</w:t>
        </w:r>
        <w:r w:rsidR="00182E1F" w:rsidRPr="004B6246">
          <w:rPr>
            <w:rStyle w:val="Hyperlink"/>
            <w:noProof/>
          </w:rPr>
          <w:noBreakHyphen/>
          <w:t>8: Child development outcomes: physical health and wellbeing</w:t>
        </w:r>
        <w:r w:rsidR="00182E1F">
          <w:rPr>
            <w:noProof/>
            <w:webHidden/>
          </w:rPr>
          <w:tab/>
        </w:r>
        <w:r w:rsidR="00182E1F">
          <w:rPr>
            <w:noProof/>
            <w:webHidden/>
          </w:rPr>
          <w:fldChar w:fldCharType="begin"/>
        </w:r>
        <w:r w:rsidR="00182E1F">
          <w:rPr>
            <w:noProof/>
            <w:webHidden/>
          </w:rPr>
          <w:instrText xml:space="preserve"> PAGEREF _Toc37263832 \h </w:instrText>
        </w:r>
        <w:r w:rsidR="00182E1F">
          <w:rPr>
            <w:noProof/>
            <w:webHidden/>
          </w:rPr>
        </w:r>
        <w:r w:rsidR="00182E1F">
          <w:rPr>
            <w:noProof/>
            <w:webHidden/>
          </w:rPr>
          <w:fldChar w:fldCharType="separate"/>
        </w:r>
        <w:r w:rsidR="00276423">
          <w:rPr>
            <w:noProof/>
            <w:webHidden/>
          </w:rPr>
          <w:t>40</w:t>
        </w:r>
        <w:r w:rsidR="00182E1F">
          <w:rPr>
            <w:noProof/>
            <w:webHidden/>
          </w:rPr>
          <w:fldChar w:fldCharType="end"/>
        </w:r>
      </w:hyperlink>
    </w:p>
    <w:p w14:paraId="4C60A5DE" w14:textId="33499222" w:rsidR="00182E1F" w:rsidRDefault="006C0554">
      <w:pPr>
        <w:pStyle w:val="TableofFigures"/>
        <w:tabs>
          <w:tab w:val="right" w:leader="dot" w:pos="9016"/>
        </w:tabs>
        <w:rPr>
          <w:rFonts w:eastAsiaTheme="minorEastAsia"/>
          <w:noProof/>
          <w:lang w:val="en-MY" w:eastAsia="en-MY"/>
        </w:rPr>
      </w:pPr>
      <w:hyperlink w:anchor="_Toc37263833" w:history="1">
        <w:r w:rsidR="00182E1F" w:rsidRPr="004B6246">
          <w:rPr>
            <w:rStyle w:val="Hyperlink"/>
            <w:noProof/>
          </w:rPr>
          <w:t>Figure 2</w:t>
        </w:r>
        <w:r w:rsidR="00182E1F" w:rsidRPr="004B6246">
          <w:rPr>
            <w:rStyle w:val="Hyperlink"/>
            <w:noProof/>
          </w:rPr>
          <w:noBreakHyphen/>
          <w:t>9: Child development outcomes: Social competence</w:t>
        </w:r>
        <w:r w:rsidR="00182E1F">
          <w:rPr>
            <w:noProof/>
            <w:webHidden/>
          </w:rPr>
          <w:tab/>
        </w:r>
        <w:r w:rsidR="00182E1F">
          <w:rPr>
            <w:noProof/>
            <w:webHidden/>
          </w:rPr>
          <w:fldChar w:fldCharType="begin"/>
        </w:r>
        <w:r w:rsidR="00182E1F">
          <w:rPr>
            <w:noProof/>
            <w:webHidden/>
          </w:rPr>
          <w:instrText xml:space="preserve"> PAGEREF _Toc37263833 \h </w:instrText>
        </w:r>
        <w:r w:rsidR="00182E1F">
          <w:rPr>
            <w:noProof/>
            <w:webHidden/>
          </w:rPr>
        </w:r>
        <w:r w:rsidR="00182E1F">
          <w:rPr>
            <w:noProof/>
            <w:webHidden/>
          </w:rPr>
          <w:fldChar w:fldCharType="separate"/>
        </w:r>
        <w:r w:rsidR="00276423">
          <w:rPr>
            <w:noProof/>
            <w:webHidden/>
          </w:rPr>
          <w:t>41</w:t>
        </w:r>
        <w:r w:rsidR="00182E1F">
          <w:rPr>
            <w:noProof/>
            <w:webHidden/>
          </w:rPr>
          <w:fldChar w:fldCharType="end"/>
        </w:r>
      </w:hyperlink>
    </w:p>
    <w:p w14:paraId="32C81F73" w14:textId="1EADEE7E" w:rsidR="00182E1F" w:rsidRDefault="006C0554">
      <w:pPr>
        <w:pStyle w:val="TableofFigures"/>
        <w:tabs>
          <w:tab w:val="right" w:leader="dot" w:pos="9016"/>
        </w:tabs>
        <w:rPr>
          <w:rFonts w:eastAsiaTheme="minorEastAsia"/>
          <w:noProof/>
          <w:lang w:val="en-MY" w:eastAsia="en-MY"/>
        </w:rPr>
      </w:pPr>
      <w:hyperlink w:anchor="_Toc37263834" w:history="1">
        <w:r w:rsidR="00182E1F" w:rsidRPr="004B6246">
          <w:rPr>
            <w:rStyle w:val="Hyperlink"/>
            <w:noProof/>
          </w:rPr>
          <w:t>Figure 2</w:t>
        </w:r>
        <w:r w:rsidR="00182E1F" w:rsidRPr="004B6246">
          <w:rPr>
            <w:rStyle w:val="Hyperlink"/>
            <w:noProof/>
          </w:rPr>
          <w:noBreakHyphen/>
          <w:t>10: Child development outcomes: Emotional maturity</w:t>
        </w:r>
        <w:r w:rsidR="00182E1F">
          <w:rPr>
            <w:noProof/>
            <w:webHidden/>
          </w:rPr>
          <w:tab/>
        </w:r>
        <w:r w:rsidR="00182E1F">
          <w:rPr>
            <w:noProof/>
            <w:webHidden/>
          </w:rPr>
          <w:fldChar w:fldCharType="begin"/>
        </w:r>
        <w:r w:rsidR="00182E1F">
          <w:rPr>
            <w:noProof/>
            <w:webHidden/>
          </w:rPr>
          <w:instrText xml:space="preserve"> PAGEREF _Toc37263834 \h </w:instrText>
        </w:r>
        <w:r w:rsidR="00182E1F">
          <w:rPr>
            <w:noProof/>
            <w:webHidden/>
          </w:rPr>
        </w:r>
        <w:r w:rsidR="00182E1F">
          <w:rPr>
            <w:noProof/>
            <w:webHidden/>
          </w:rPr>
          <w:fldChar w:fldCharType="separate"/>
        </w:r>
        <w:r w:rsidR="00276423">
          <w:rPr>
            <w:noProof/>
            <w:webHidden/>
          </w:rPr>
          <w:t>42</w:t>
        </w:r>
        <w:r w:rsidR="00182E1F">
          <w:rPr>
            <w:noProof/>
            <w:webHidden/>
          </w:rPr>
          <w:fldChar w:fldCharType="end"/>
        </w:r>
      </w:hyperlink>
    </w:p>
    <w:p w14:paraId="426B4489" w14:textId="0D4E57A2" w:rsidR="00182E1F" w:rsidRDefault="006C0554">
      <w:pPr>
        <w:pStyle w:val="TableofFigures"/>
        <w:tabs>
          <w:tab w:val="right" w:leader="dot" w:pos="9016"/>
        </w:tabs>
        <w:rPr>
          <w:rFonts w:eastAsiaTheme="minorEastAsia"/>
          <w:noProof/>
          <w:lang w:val="en-MY" w:eastAsia="en-MY"/>
        </w:rPr>
      </w:pPr>
      <w:hyperlink w:anchor="_Toc37263835" w:history="1">
        <w:r w:rsidR="00182E1F" w:rsidRPr="004B6246">
          <w:rPr>
            <w:rStyle w:val="Hyperlink"/>
            <w:noProof/>
          </w:rPr>
          <w:t>Figure 2</w:t>
        </w:r>
        <w:r w:rsidR="00182E1F" w:rsidRPr="004B6246">
          <w:rPr>
            <w:rStyle w:val="Hyperlink"/>
            <w:noProof/>
          </w:rPr>
          <w:noBreakHyphen/>
          <w:t>11: Child development outcomes: Language and cognitive skills</w:t>
        </w:r>
        <w:r w:rsidR="00182E1F">
          <w:rPr>
            <w:noProof/>
            <w:webHidden/>
          </w:rPr>
          <w:tab/>
        </w:r>
        <w:r w:rsidR="00182E1F">
          <w:rPr>
            <w:noProof/>
            <w:webHidden/>
          </w:rPr>
          <w:fldChar w:fldCharType="begin"/>
        </w:r>
        <w:r w:rsidR="00182E1F">
          <w:rPr>
            <w:noProof/>
            <w:webHidden/>
          </w:rPr>
          <w:instrText xml:space="preserve"> PAGEREF _Toc37263835 \h </w:instrText>
        </w:r>
        <w:r w:rsidR="00182E1F">
          <w:rPr>
            <w:noProof/>
            <w:webHidden/>
          </w:rPr>
        </w:r>
        <w:r w:rsidR="00182E1F">
          <w:rPr>
            <w:noProof/>
            <w:webHidden/>
          </w:rPr>
          <w:fldChar w:fldCharType="separate"/>
        </w:r>
        <w:r w:rsidR="00276423">
          <w:rPr>
            <w:noProof/>
            <w:webHidden/>
          </w:rPr>
          <w:t>43</w:t>
        </w:r>
        <w:r w:rsidR="00182E1F">
          <w:rPr>
            <w:noProof/>
            <w:webHidden/>
          </w:rPr>
          <w:fldChar w:fldCharType="end"/>
        </w:r>
      </w:hyperlink>
    </w:p>
    <w:p w14:paraId="283119BB" w14:textId="79697645" w:rsidR="00182E1F" w:rsidRDefault="006C0554">
      <w:pPr>
        <w:pStyle w:val="TableofFigures"/>
        <w:tabs>
          <w:tab w:val="right" w:leader="dot" w:pos="9016"/>
        </w:tabs>
        <w:rPr>
          <w:rFonts w:eastAsiaTheme="minorEastAsia"/>
          <w:noProof/>
          <w:lang w:val="en-MY" w:eastAsia="en-MY"/>
        </w:rPr>
      </w:pPr>
      <w:hyperlink w:anchor="_Toc37263836" w:history="1">
        <w:r w:rsidR="00182E1F" w:rsidRPr="004B6246">
          <w:rPr>
            <w:rStyle w:val="Hyperlink"/>
            <w:noProof/>
          </w:rPr>
          <w:t>Figure 2</w:t>
        </w:r>
        <w:r w:rsidR="00182E1F" w:rsidRPr="004B6246">
          <w:rPr>
            <w:rStyle w:val="Hyperlink"/>
            <w:noProof/>
          </w:rPr>
          <w:noBreakHyphen/>
          <w:t>12: Child development outcomes: Communication skills and general knowledge</w:t>
        </w:r>
        <w:r w:rsidR="00182E1F">
          <w:rPr>
            <w:noProof/>
            <w:webHidden/>
          </w:rPr>
          <w:tab/>
        </w:r>
        <w:r w:rsidR="00182E1F">
          <w:rPr>
            <w:noProof/>
            <w:webHidden/>
          </w:rPr>
          <w:fldChar w:fldCharType="begin"/>
        </w:r>
        <w:r w:rsidR="00182E1F">
          <w:rPr>
            <w:noProof/>
            <w:webHidden/>
          </w:rPr>
          <w:instrText xml:space="preserve"> PAGEREF _Toc37263836 \h </w:instrText>
        </w:r>
        <w:r w:rsidR="00182E1F">
          <w:rPr>
            <w:noProof/>
            <w:webHidden/>
          </w:rPr>
        </w:r>
        <w:r w:rsidR="00182E1F">
          <w:rPr>
            <w:noProof/>
            <w:webHidden/>
          </w:rPr>
          <w:fldChar w:fldCharType="separate"/>
        </w:r>
        <w:r w:rsidR="00276423">
          <w:rPr>
            <w:noProof/>
            <w:webHidden/>
          </w:rPr>
          <w:t>44</w:t>
        </w:r>
        <w:r w:rsidR="00182E1F">
          <w:rPr>
            <w:noProof/>
            <w:webHidden/>
          </w:rPr>
          <w:fldChar w:fldCharType="end"/>
        </w:r>
      </w:hyperlink>
    </w:p>
    <w:p w14:paraId="7EB4EC3A" w14:textId="632BE422" w:rsidR="00182E1F" w:rsidRDefault="006C0554">
      <w:pPr>
        <w:pStyle w:val="TableofFigures"/>
        <w:tabs>
          <w:tab w:val="right" w:leader="dot" w:pos="9016"/>
        </w:tabs>
        <w:rPr>
          <w:rFonts w:eastAsiaTheme="minorEastAsia"/>
          <w:noProof/>
          <w:lang w:val="en-MY" w:eastAsia="en-MY"/>
        </w:rPr>
      </w:pPr>
      <w:hyperlink w:anchor="_Toc37263837" w:history="1">
        <w:r w:rsidR="00182E1F" w:rsidRPr="004B6246">
          <w:rPr>
            <w:rStyle w:val="Hyperlink"/>
            <w:noProof/>
          </w:rPr>
          <w:t>Figure 2</w:t>
        </w:r>
        <w:r w:rsidR="00182E1F" w:rsidRPr="004B6246">
          <w:rPr>
            <w:rStyle w:val="Hyperlink"/>
            <w:noProof/>
          </w:rPr>
          <w:noBreakHyphen/>
          <w:t>13: Child development outcomes: Vulnerability on multiple domains</w:t>
        </w:r>
        <w:r w:rsidR="00182E1F">
          <w:rPr>
            <w:noProof/>
            <w:webHidden/>
          </w:rPr>
          <w:tab/>
        </w:r>
        <w:r w:rsidR="00182E1F">
          <w:rPr>
            <w:noProof/>
            <w:webHidden/>
          </w:rPr>
          <w:fldChar w:fldCharType="begin"/>
        </w:r>
        <w:r w:rsidR="00182E1F">
          <w:rPr>
            <w:noProof/>
            <w:webHidden/>
          </w:rPr>
          <w:instrText xml:space="preserve"> PAGEREF _Toc37263837 \h </w:instrText>
        </w:r>
        <w:r w:rsidR="00182E1F">
          <w:rPr>
            <w:noProof/>
            <w:webHidden/>
          </w:rPr>
        </w:r>
        <w:r w:rsidR="00182E1F">
          <w:rPr>
            <w:noProof/>
            <w:webHidden/>
          </w:rPr>
          <w:fldChar w:fldCharType="separate"/>
        </w:r>
        <w:r w:rsidR="00276423">
          <w:rPr>
            <w:noProof/>
            <w:webHidden/>
          </w:rPr>
          <w:t>45</w:t>
        </w:r>
        <w:r w:rsidR="00182E1F">
          <w:rPr>
            <w:noProof/>
            <w:webHidden/>
          </w:rPr>
          <w:fldChar w:fldCharType="end"/>
        </w:r>
      </w:hyperlink>
    </w:p>
    <w:p w14:paraId="7DD77057" w14:textId="2164896E" w:rsidR="00182E1F" w:rsidRDefault="006C0554">
      <w:pPr>
        <w:pStyle w:val="TableofFigures"/>
        <w:tabs>
          <w:tab w:val="right" w:leader="dot" w:pos="9016"/>
        </w:tabs>
        <w:rPr>
          <w:rFonts w:eastAsiaTheme="minorEastAsia"/>
          <w:noProof/>
          <w:lang w:val="en-MY" w:eastAsia="en-MY"/>
        </w:rPr>
      </w:pPr>
      <w:hyperlink w:anchor="_Toc37263838" w:history="1">
        <w:r w:rsidR="00182E1F" w:rsidRPr="004B6246">
          <w:rPr>
            <w:rStyle w:val="Hyperlink"/>
            <w:noProof/>
          </w:rPr>
          <w:t>Figure 3</w:t>
        </w:r>
        <w:r w:rsidR="00182E1F" w:rsidRPr="004B6246">
          <w:rPr>
            <w:rStyle w:val="Hyperlink"/>
            <w:noProof/>
          </w:rPr>
          <w:noBreakHyphen/>
          <w:t>1: Bundaberg and Hervey Bay CDC participants’ gender distribution, all participants vs. currently active</w:t>
        </w:r>
        <w:r w:rsidR="00182E1F">
          <w:rPr>
            <w:noProof/>
            <w:webHidden/>
          </w:rPr>
          <w:tab/>
        </w:r>
        <w:r w:rsidR="00182E1F">
          <w:rPr>
            <w:noProof/>
            <w:webHidden/>
          </w:rPr>
          <w:fldChar w:fldCharType="begin"/>
        </w:r>
        <w:r w:rsidR="00182E1F">
          <w:rPr>
            <w:noProof/>
            <w:webHidden/>
          </w:rPr>
          <w:instrText xml:space="preserve"> PAGEREF _Toc37263838 \h </w:instrText>
        </w:r>
        <w:r w:rsidR="00182E1F">
          <w:rPr>
            <w:noProof/>
            <w:webHidden/>
          </w:rPr>
        </w:r>
        <w:r w:rsidR="00182E1F">
          <w:rPr>
            <w:noProof/>
            <w:webHidden/>
          </w:rPr>
          <w:fldChar w:fldCharType="separate"/>
        </w:r>
        <w:r w:rsidR="00276423">
          <w:rPr>
            <w:noProof/>
            <w:webHidden/>
          </w:rPr>
          <w:t>48</w:t>
        </w:r>
        <w:r w:rsidR="00182E1F">
          <w:rPr>
            <w:noProof/>
            <w:webHidden/>
          </w:rPr>
          <w:fldChar w:fldCharType="end"/>
        </w:r>
      </w:hyperlink>
    </w:p>
    <w:p w14:paraId="4CFDC2CC" w14:textId="58BC273C" w:rsidR="00182E1F" w:rsidRDefault="006C0554">
      <w:pPr>
        <w:pStyle w:val="TableofFigures"/>
        <w:tabs>
          <w:tab w:val="right" w:leader="dot" w:pos="9016"/>
        </w:tabs>
        <w:rPr>
          <w:rFonts w:eastAsiaTheme="minorEastAsia"/>
          <w:noProof/>
          <w:lang w:val="en-MY" w:eastAsia="en-MY"/>
        </w:rPr>
      </w:pPr>
      <w:hyperlink w:anchor="_Toc37263839" w:history="1">
        <w:r w:rsidR="00182E1F" w:rsidRPr="004B6246">
          <w:rPr>
            <w:rStyle w:val="Hyperlink"/>
            <w:noProof/>
          </w:rPr>
          <w:t>Figure 3</w:t>
        </w:r>
        <w:r w:rsidR="00182E1F" w:rsidRPr="004B6246">
          <w:rPr>
            <w:rStyle w:val="Hyperlink"/>
            <w:noProof/>
          </w:rPr>
          <w:noBreakHyphen/>
          <w:t>2: Benefit types by gender, currently active recipients (for CDC participants triggered onto the card in the Bundaberg and Hervey Bay region)</w:t>
        </w:r>
        <w:r w:rsidR="00182E1F">
          <w:rPr>
            <w:noProof/>
            <w:webHidden/>
          </w:rPr>
          <w:tab/>
        </w:r>
        <w:r w:rsidR="00182E1F">
          <w:rPr>
            <w:noProof/>
            <w:webHidden/>
          </w:rPr>
          <w:fldChar w:fldCharType="begin"/>
        </w:r>
        <w:r w:rsidR="00182E1F">
          <w:rPr>
            <w:noProof/>
            <w:webHidden/>
          </w:rPr>
          <w:instrText xml:space="preserve"> PAGEREF _Toc37263839 \h </w:instrText>
        </w:r>
        <w:r w:rsidR="00182E1F">
          <w:rPr>
            <w:noProof/>
            <w:webHidden/>
          </w:rPr>
        </w:r>
        <w:r w:rsidR="00182E1F">
          <w:rPr>
            <w:noProof/>
            <w:webHidden/>
          </w:rPr>
          <w:fldChar w:fldCharType="separate"/>
        </w:r>
        <w:r w:rsidR="00276423">
          <w:rPr>
            <w:noProof/>
            <w:webHidden/>
          </w:rPr>
          <w:t>51</w:t>
        </w:r>
        <w:r w:rsidR="00182E1F">
          <w:rPr>
            <w:noProof/>
            <w:webHidden/>
          </w:rPr>
          <w:fldChar w:fldCharType="end"/>
        </w:r>
      </w:hyperlink>
    </w:p>
    <w:p w14:paraId="3E26FC6D" w14:textId="42BB8F7A" w:rsidR="00182E1F" w:rsidRDefault="006C0554">
      <w:pPr>
        <w:pStyle w:val="TableofFigures"/>
        <w:tabs>
          <w:tab w:val="right" w:leader="dot" w:pos="9016"/>
        </w:tabs>
        <w:rPr>
          <w:rFonts w:eastAsiaTheme="minorEastAsia"/>
          <w:noProof/>
          <w:lang w:val="en-MY" w:eastAsia="en-MY"/>
        </w:rPr>
      </w:pPr>
      <w:hyperlink w:anchor="_Toc37263840" w:history="1">
        <w:r w:rsidR="00182E1F" w:rsidRPr="004B6246">
          <w:rPr>
            <w:rStyle w:val="Hyperlink"/>
            <w:noProof/>
          </w:rPr>
          <w:t>Figure 3</w:t>
        </w:r>
        <w:r w:rsidR="00182E1F" w:rsidRPr="004B6246">
          <w:rPr>
            <w:rStyle w:val="Hyperlink"/>
            <w:noProof/>
          </w:rPr>
          <w:noBreakHyphen/>
          <w:t>3: Benefit types by age group, currently active CDC participants (for CDC participants triggered onto the card in the Bundaberg and Hervey Bay region)</w:t>
        </w:r>
        <w:r w:rsidR="00182E1F">
          <w:rPr>
            <w:noProof/>
            <w:webHidden/>
          </w:rPr>
          <w:tab/>
        </w:r>
        <w:r w:rsidR="00182E1F">
          <w:rPr>
            <w:noProof/>
            <w:webHidden/>
          </w:rPr>
          <w:fldChar w:fldCharType="begin"/>
        </w:r>
        <w:r w:rsidR="00182E1F">
          <w:rPr>
            <w:noProof/>
            <w:webHidden/>
          </w:rPr>
          <w:instrText xml:space="preserve"> PAGEREF _Toc37263840 \h </w:instrText>
        </w:r>
        <w:r w:rsidR="00182E1F">
          <w:rPr>
            <w:noProof/>
            <w:webHidden/>
          </w:rPr>
        </w:r>
        <w:r w:rsidR="00182E1F">
          <w:rPr>
            <w:noProof/>
            <w:webHidden/>
          </w:rPr>
          <w:fldChar w:fldCharType="separate"/>
        </w:r>
        <w:r w:rsidR="00276423">
          <w:rPr>
            <w:noProof/>
            <w:webHidden/>
          </w:rPr>
          <w:t>51</w:t>
        </w:r>
        <w:r w:rsidR="00182E1F">
          <w:rPr>
            <w:noProof/>
            <w:webHidden/>
          </w:rPr>
          <w:fldChar w:fldCharType="end"/>
        </w:r>
      </w:hyperlink>
    </w:p>
    <w:p w14:paraId="78AEC626" w14:textId="58A31A24" w:rsidR="00182E1F" w:rsidRDefault="006C0554">
      <w:pPr>
        <w:pStyle w:val="TableofFigures"/>
        <w:tabs>
          <w:tab w:val="right" w:leader="dot" w:pos="9016"/>
        </w:tabs>
        <w:rPr>
          <w:rFonts w:eastAsiaTheme="minorEastAsia"/>
          <w:noProof/>
          <w:lang w:val="en-MY" w:eastAsia="en-MY"/>
        </w:rPr>
      </w:pPr>
      <w:hyperlink w:anchor="_Toc37263841" w:history="1">
        <w:r w:rsidR="00182E1F" w:rsidRPr="004B6246">
          <w:rPr>
            <w:rStyle w:val="Hyperlink"/>
            <w:noProof/>
          </w:rPr>
          <w:t>Figure 3</w:t>
        </w:r>
        <w:r w:rsidR="00182E1F" w:rsidRPr="004B6246">
          <w:rPr>
            <w:rStyle w:val="Hyperlink"/>
            <w:noProof/>
          </w:rPr>
          <w:noBreakHyphen/>
          <w:t>4: Benefit types by participants’ current location, currently active CDC participants (for CDC participants triggered onto the card in the Bundaberg and Hervey Bay region)</w:t>
        </w:r>
        <w:r w:rsidR="00182E1F">
          <w:rPr>
            <w:noProof/>
            <w:webHidden/>
          </w:rPr>
          <w:tab/>
        </w:r>
        <w:r w:rsidR="00182E1F">
          <w:rPr>
            <w:noProof/>
            <w:webHidden/>
          </w:rPr>
          <w:fldChar w:fldCharType="begin"/>
        </w:r>
        <w:r w:rsidR="00182E1F">
          <w:rPr>
            <w:noProof/>
            <w:webHidden/>
          </w:rPr>
          <w:instrText xml:space="preserve"> PAGEREF _Toc37263841 \h </w:instrText>
        </w:r>
        <w:r w:rsidR="00182E1F">
          <w:rPr>
            <w:noProof/>
            <w:webHidden/>
          </w:rPr>
        </w:r>
        <w:r w:rsidR="00182E1F">
          <w:rPr>
            <w:noProof/>
            <w:webHidden/>
          </w:rPr>
          <w:fldChar w:fldCharType="separate"/>
        </w:r>
        <w:r w:rsidR="00276423">
          <w:rPr>
            <w:noProof/>
            <w:webHidden/>
          </w:rPr>
          <w:t>52</w:t>
        </w:r>
        <w:r w:rsidR="00182E1F">
          <w:rPr>
            <w:noProof/>
            <w:webHidden/>
          </w:rPr>
          <w:fldChar w:fldCharType="end"/>
        </w:r>
      </w:hyperlink>
    </w:p>
    <w:p w14:paraId="63F496DD" w14:textId="317BF6BA" w:rsidR="00182E1F" w:rsidRDefault="006C0554">
      <w:pPr>
        <w:pStyle w:val="TableofFigures"/>
        <w:tabs>
          <w:tab w:val="right" w:leader="dot" w:pos="9016"/>
        </w:tabs>
        <w:rPr>
          <w:rFonts w:eastAsiaTheme="minorEastAsia"/>
          <w:noProof/>
          <w:lang w:val="en-MY" w:eastAsia="en-MY"/>
        </w:rPr>
      </w:pPr>
      <w:hyperlink w:anchor="_Toc37263842" w:history="1">
        <w:r w:rsidR="00182E1F" w:rsidRPr="004B6246">
          <w:rPr>
            <w:rStyle w:val="Hyperlink"/>
            <w:noProof/>
          </w:rPr>
          <w:t>Figure 3</w:t>
        </w:r>
        <w:r w:rsidR="00182E1F" w:rsidRPr="004B6246">
          <w:rPr>
            <w:rStyle w:val="Hyperlink"/>
            <w:noProof/>
          </w:rPr>
          <w:noBreakHyphen/>
          <w:t>5: Proportion of CDC participants triggered onto the card in the Bundaberg and Hervey Bay region having accessed Crisis Payments, according to their current location (all participants vs. currently active participants)</w:t>
        </w:r>
        <w:r w:rsidR="00182E1F">
          <w:rPr>
            <w:noProof/>
            <w:webHidden/>
          </w:rPr>
          <w:tab/>
        </w:r>
        <w:r w:rsidR="00182E1F">
          <w:rPr>
            <w:noProof/>
            <w:webHidden/>
          </w:rPr>
          <w:fldChar w:fldCharType="begin"/>
        </w:r>
        <w:r w:rsidR="00182E1F">
          <w:rPr>
            <w:noProof/>
            <w:webHidden/>
          </w:rPr>
          <w:instrText xml:space="preserve"> PAGEREF _Toc37263842 \h </w:instrText>
        </w:r>
        <w:r w:rsidR="00182E1F">
          <w:rPr>
            <w:noProof/>
            <w:webHidden/>
          </w:rPr>
        </w:r>
        <w:r w:rsidR="00182E1F">
          <w:rPr>
            <w:noProof/>
            <w:webHidden/>
          </w:rPr>
          <w:fldChar w:fldCharType="separate"/>
        </w:r>
        <w:r w:rsidR="00276423">
          <w:rPr>
            <w:noProof/>
            <w:webHidden/>
          </w:rPr>
          <w:t>54</w:t>
        </w:r>
        <w:r w:rsidR="00182E1F">
          <w:rPr>
            <w:noProof/>
            <w:webHidden/>
          </w:rPr>
          <w:fldChar w:fldCharType="end"/>
        </w:r>
      </w:hyperlink>
    </w:p>
    <w:p w14:paraId="394C8E40" w14:textId="0A112A11" w:rsidR="00182E1F" w:rsidRDefault="006C0554">
      <w:pPr>
        <w:pStyle w:val="TableofFigures"/>
        <w:tabs>
          <w:tab w:val="right" w:leader="dot" w:pos="9016"/>
        </w:tabs>
        <w:rPr>
          <w:rFonts w:eastAsiaTheme="minorEastAsia"/>
          <w:noProof/>
          <w:lang w:val="en-MY" w:eastAsia="en-MY"/>
        </w:rPr>
      </w:pPr>
      <w:hyperlink w:anchor="_Toc37263843" w:history="1">
        <w:r w:rsidR="00182E1F" w:rsidRPr="004B6246">
          <w:rPr>
            <w:rStyle w:val="Hyperlink"/>
            <w:noProof/>
          </w:rPr>
          <w:t>Figure 3</w:t>
        </w:r>
        <w:r w:rsidR="00182E1F" w:rsidRPr="004B6246">
          <w:rPr>
            <w:rStyle w:val="Hyperlink"/>
            <w:noProof/>
          </w:rPr>
          <w:noBreakHyphen/>
          <w:t>6: Benefit payment cancellations by gender, one year leading to CDC vs. since CDC</w:t>
        </w:r>
        <w:r w:rsidR="00182E1F">
          <w:rPr>
            <w:noProof/>
            <w:webHidden/>
          </w:rPr>
          <w:tab/>
        </w:r>
        <w:r w:rsidR="00182E1F">
          <w:rPr>
            <w:noProof/>
            <w:webHidden/>
          </w:rPr>
          <w:fldChar w:fldCharType="begin"/>
        </w:r>
        <w:r w:rsidR="00182E1F">
          <w:rPr>
            <w:noProof/>
            <w:webHidden/>
          </w:rPr>
          <w:instrText xml:space="preserve"> PAGEREF _Toc37263843 \h </w:instrText>
        </w:r>
        <w:r w:rsidR="00182E1F">
          <w:rPr>
            <w:noProof/>
            <w:webHidden/>
          </w:rPr>
        </w:r>
        <w:r w:rsidR="00182E1F">
          <w:rPr>
            <w:noProof/>
            <w:webHidden/>
          </w:rPr>
          <w:fldChar w:fldCharType="separate"/>
        </w:r>
        <w:r w:rsidR="00276423">
          <w:rPr>
            <w:noProof/>
            <w:webHidden/>
          </w:rPr>
          <w:t>57</w:t>
        </w:r>
        <w:r w:rsidR="00182E1F">
          <w:rPr>
            <w:noProof/>
            <w:webHidden/>
          </w:rPr>
          <w:fldChar w:fldCharType="end"/>
        </w:r>
      </w:hyperlink>
    </w:p>
    <w:p w14:paraId="48FA11A7" w14:textId="57E7FA09" w:rsidR="00182E1F" w:rsidRDefault="006C0554">
      <w:pPr>
        <w:pStyle w:val="TableofFigures"/>
        <w:tabs>
          <w:tab w:val="right" w:leader="dot" w:pos="9016"/>
        </w:tabs>
        <w:rPr>
          <w:rFonts w:eastAsiaTheme="minorEastAsia"/>
          <w:noProof/>
          <w:lang w:val="en-MY" w:eastAsia="en-MY"/>
        </w:rPr>
      </w:pPr>
      <w:hyperlink w:anchor="_Toc37263844" w:history="1">
        <w:r w:rsidR="00182E1F" w:rsidRPr="004B6246">
          <w:rPr>
            <w:rStyle w:val="Hyperlink"/>
            <w:noProof/>
          </w:rPr>
          <w:t>Figure 3</w:t>
        </w:r>
        <w:r w:rsidR="00182E1F" w:rsidRPr="004B6246">
          <w:rPr>
            <w:rStyle w:val="Hyperlink"/>
            <w:noProof/>
          </w:rPr>
          <w:noBreakHyphen/>
          <w:t>7: Benefit payment suspensions by gender, one year leading to CDC vs. since CDC</w:t>
        </w:r>
        <w:r w:rsidR="00182E1F">
          <w:rPr>
            <w:noProof/>
            <w:webHidden/>
          </w:rPr>
          <w:tab/>
        </w:r>
        <w:r w:rsidR="00182E1F">
          <w:rPr>
            <w:noProof/>
            <w:webHidden/>
          </w:rPr>
          <w:fldChar w:fldCharType="begin"/>
        </w:r>
        <w:r w:rsidR="00182E1F">
          <w:rPr>
            <w:noProof/>
            <w:webHidden/>
          </w:rPr>
          <w:instrText xml:space="preserve"> PAGEREF _Toc37263844 \h </w:instrText>
        </w:r>
        <w:r w:rsidR="00182E1F">
          <w:rPr>
            <w:noProof/>
            <w:webHidden/>
          </w:rPr>
        </w:r>
        <w:r w:rsidR="00182E1F">
          <w:rPr>
            <w:noProof/>
            <w:webHidden/>
          </w:rPr>
          <w:fldChar w:fldCharType="separate"/>
        </w:r>
        <w:r w:rsidR="00276423">
          <w:rPr>
            <w:noProof/>
            <w:webHidden/>
          </w:rPr>
          <w:t>58</w:t>
        </w:r>
        <w:r w:rsidR="00182E1F">
          <w:rPr>
            <w:noProof/>
            <w:webHidden/>
          </w:rPr>
          <w:fldChar w:fldCharType="end"/>
        </w:r>
      </w:hyperlink>
    </w:p>
    <w:p w14:paraId="3C841CCB" w14:textId="04FB3D0E" w:rsidR="00182E1F" w:rsidRDefault="006C0554">
      <w:pPr>
        <w:pStyle w:val="TableofFigures"/>
        <w:tabs>
          <w:tab w:val="right" w:leader="dot" w:pos="9016"/>
        </w:tabs>
        <w:rPr>
          <w:rFonts w:eastAsiaTheme="minorEastAsia"/>
          <w:noProof/>
          <w:lang w:val="en-MY" w:eastAsia="en-MY"/>
        </w:rPr>
      </w:pPr>
      <w:hyperlink w:anchor="_Toc37263845" w:history="1">
        <w:r w:rsidR="00182E1F" w:rsidRPr="004B6246">
          <w:rPr>
            <w:rStyle w:val="Hyperlink"/>
            <w:noProof/>
          </w:rPr>
          <w:t>Figure 3</w:t>
        </w:r>
        <w:r w:rsidR="00182E1F" w:rsidRPr="004B6246">
          <w:rPr>
            <w:rStyle w:val="Hyperlink"/>
            <w:noProof/>
          </w:rPr>
          <w:noBreakHyphen/>
          <w:t>8: Benefit payment cancellations by age group, one year leading to CDC vs. since CDC</w:t>
        </w:r>
        <w:r w:rsidR="00182E1F">
          <w:rPr>
            <w:noProof/>
            <w:webHidden/>
          </w:rPr>
          <w:tab/>
        </w:r>
        <w:r w:rsidR="00182E1F">
          <w:rPr>
            <w:noProof/>
            <w:webHidden/>
          </w:rPr>
          <w:fldChar w:fldCharType="begin"/>
        </w:r>
        <w:r w:rsidR="00182E1F">
          <w:rPr>
            <w:noProof/>
            <w:webHidden/>
          </w:rPr>
          <w:instrText xml:space="preserve"> PAGEREF _Toc37263845 \h </w:instrText>
        </w:r>
        <w:r w:rsidR="00182E1F">
          <w:rPr>
            <w:noProof/>
            <w:webHidden/>
          </w:rPr>
        </w:r>
        <w:r w:rsidR="00182E1F">
          <w:rPr>
            <w:noProof/>
            <w:webHidden/>
          </w:rPr>
          <w:fldChar w:fldCharType="separate"/>
        </w:r>
        <w:r w:rsidR="00276423">
          <w:rPr>
            <w:noProof/>
            <w:webHidden/>
          </w:rPr>
          <w:t>59</w:t>
        </w:r>
        <w:r w:rsidR="00182E1F">
          <w:rPr>
            <w:noProof/>
            <w:webHidden/>
          </w:rPr>
          <w:fldChar w:fldCharType="end"/>
        </w:r>
      </w:hyperlink>
    </w:p>
    <w:p w14:paraId="33516B84" w14:textId="2A717B43" w:rsidR="00182E1F" w:rsidRDefault="006C0554">
      <w:pPr>
        <w:pStyle w:val="TableofFigures"/>
        <w:tabs>
          <w:tab w:val="right" w:leader="dot" w:pos="9016"/>
        </w:tabs>
        <w:rPr>
          <w:rFonts w:eastAsiaTheme="minorEastAsia"/>
          <w:noProof/>
          <w:lang w:val="en-MY" w:eastAsia="en-MY"/>
        </w:rPr>
      </w:pPr>
      <w:hyperlink w:anchor="_Toc37263846" w:history="1">
        <w:r w:rsidR="00182E1F" w:rsidRPr="004B6246">
          <w:rPr>
            <w:rStyle w:val="Hyperlink"/>
            <w:noProof/>
          </w:rPr>
          <w:t>Figure 3</w:t>
        </w:r>
        <w:r w:rsidR="00182E1F" w:rsidRPr="004B6246">
          <w:rPr>
            <w:rStyle w:val="Hyperlink"/>
            <w:noProof/>
          </w:rPr>
          <w:noBreakHyphen/>
          <w:t>9: Benefit payment suspensions by age group, one year leading to CDC vs. since CDC</w:t>
        </w:r>
        <w:r w:rsidR="00182E1F">
          <w:rPr>
            <w:noProof/>
            <w:webHidden/>
          </w:rPr>
          <w:tab/>
        </w:r>
        <w:r w:rsidR="00182E1F">
          <w:rPr>
            <w:noProof/>
            <w:webHidden/>
          </w:rPr>
          <w:fldChar w:fldCharType="begin"/>
        </w:r>
        <w:r w:rsidR="00182E1F">
          <w:rPr>
            <w:noProof/>
            <w:webHidden/>
          </w:rPr>
          <w:instrText xml:space="preserve"> PAGEREF _Toc37263846 \h </w:instrText>
        </w:r>
        <w:r w:rsidR="00182E1F">
          <w:rPr>
            <w:noProof/>
            <w:webHidden/>
          </w:rPr>
        </w:r>
        <w:r w:rsidR="00182E1F">
          <w:rPr>
            <w:noProof/>
            <w:webHidden/>
          </w:rPr>
          <w:fldChar w:fldCharType="separate"/>
        </w:r>
        <w:r w:rsidR="00276423">
          <w:rPr>
            <w:noProof/>
            <w:webHidden/>
          </w:rPr>
          <w:t>59</w:t>
        </w:r>
        <w:r w:rsidR="00182E1F">
          <w:rPr>
            <w:noProof/>
            <w:webHidden/>
          </w:rPr>
          <w:fldChar w:fldCharType="end"/>
        </w:r>
      </w:hyperlink>
    </w:p>
    <w:p w14:paraId="559683A3" w14:textId="24EDCE93" w:rsidR="00182E1F" w:rsidRDefault="006C0554">
      <w:pPr>
        <w:pStyle w:val="TableofFigures"/>
        <w:tabs>
          <w:tab w:val="right" w:leader="dot" w:pos="9016"/>
        </w:tabs>
        <w:rPr>
          <w:rFonts w:eastAsiaTheme="minorEastAsia"/>
          <w:noProof/>
          <w:lang w:val="en-MY" w:eastAsia="en-MY"/>
        </w:rPr>
      </w:pPr>
      <w:hyperlink w:anchor="_Toc37263847" w:history="1">
        <w:r w:rsidR="00182E1F" w:rsidRPr="004B6246">
          <w:rPr>
            <w:rStyle w:val="Hyperlink"/>
            <w:noProof/>
          </w:rPr>
          <w:t>Figure 3</w:t>
        </w:r>
        <w:r w:rsidR="00182E1F" w:rsidRPr="004B6246">
          <w:rPr>
            <w:rStyle w:val="Hyperlink"/>
            <w:noProof/>
          </w:rPr>
          <w:noBreakHyphen/>
          <w:t>10: Benefit payment cancellations by benefit type, one year leading to CDC vs. since CDC</w:t>
        </w:r>
        <w:r w:rsidR="00182E1F">
          <w:rPr>
            <w:noProof/>
            <w:webHidden/>
          </w:rPr>
          <w:tab/>
        </w:r>
        <w:r w:rsidR="00182E1F">
          <w:rPr>
            <w:noProof/>
            <w:webHidden/>
          </w:rPr>
          <w:fldChar w:fldCharType="begin"/>
        </w:r>
        <w:r w:rsidR="00182E1F">
          <w:rPr>
            <w:noProof/>
            <w:webHidden/>
          </w:rPr>
          <w:instrText xml:space="preserve"> PAGEREF _Toc37263847 \h </w:instrText>
        </w:r>
        <w:r w:rsidR="00182E1F">
          <w:rPr>
            <w:noProof/>
            <w:webHidden/>
          </w:rPr>
        </w:r>
        <w:r w:rsidR="00182E1F">
          <w:rPr>
            <w:noProof/>
            <w:webHidden/>
          </w:rPr>
          <w:fldChar w:fldCharType="separate"/>
        </w:r>
        <w:r w:rsidR="00276423">
          <w:rPr>
            <w:noProof/>
            <w:webHidden/>
          </w:rPr>
          <w:t>60</w:t>
        </w:r>
        <w:r w:rsidR="00182E1F">
          <w:rPr>
            <w:noProof/>
            <w:webHidden/>
          </w:rPr>
          <w:fldChar w:fldCharType="end"/>
        </w:r>
      </w:hyperlink>
    </w:p>
    <w:p w14:paraId="0A44F882" w14:textId="7F5E1C78" w:rsidR="00182E1F" w:rsidRDefault="006C0554">
      <w:pPr>
        <w:pStyle w:val="TableofFigures"/>
        <w:tabs>
          <w:tab w:val="right" w:leader="dot" w:pos="9016"/>
        </w:tabs>
        <w:rPr>
          <w:rFonts w:eastAsiaTheme="minorEastAsia"/>
          <w:noProof/>
          <w:lang w:val="en-MY" w:eastAsia="en-MY"/>
        </w:rPr>
      </w:pPr>
      <w:hyperlink w:anchor="_Toc37263848" w:history="1">
        <w:r w:rsidR="00182E1F" w:rsidRPr="004B6246">
          <w:rPr>
            <w:rStyle w:val="Hyperlink"/>
            <w:noProof/>
          </w:rPr>
          <w:t>Figure 3</w:t>
        </w:r>
        <w:r w:rsidR="00182E1F" w:rsidRPr="004B6246">
          <w:rPr>
            <w:rStyle w:val="Hyperlink"/>
            <w:noProof/>
          </w:rPr>
          <w:noBreakHyphen/>
          <w:t>11: Benefit payment suspensions by benefit type, one year leading to CDC vs. since CDC</w:t>
        </w:r>
        <w:r w:rsidR="00182E1F">
          <w:rPr>
            <w:noProof/>
            <w:webHidden/>
          </w:rPr>
          <w:tab/>
        </w:r>
        <w:r w:rsidR="00182E1F">
          <w:rPr>
            <w:noProof/>
            <w:webHidden/>
          </w:rPr>
          <w:fldChar w:fldCharType="begin"/>
        </w:r>
        <w:r w:rsidR="00182E1F">
          <w:rPr>
            <w:noProof/>
            <w:webHidden/>
          </w:rPr>
          <w:instrText xml:space="preserve"> PAGEREF _Toc37263848 \h </w:instrText>
        </w:r>
        <w:r w:rsidR="00182E1F">
          <w:rPr>
            <w:noProof/>
            <w:webHidden/>
          </w:rPr>
        </w:r>
        <w:r w:rsidR="00182E1F">
          <w:rPr>
            <w:noProof/>
            <w:webHidden/>
          </w:rPr>
          <w:fldChar w:fldCharType="separate"/>
        </w:r>
        <w:r w:rsidR="00276423">
          <w:rPr>
            <w:noProof/>
            <w:webHidden/>
          </w:rPr>
          <w:t>60</w:t>
        </w:r>
        <w:r w:rsidR="00182E1F">
          <w:rPr>
            <w:noProof/>
            <w:webHidden/>
          </w:rPr>
          <w:fldChar w:fldCharType="end"/>
        </w:r>
      </w:hyperlink>
    </w:p>
    <w:p w14:paraId="3F613F45" w14:textId="587719B5" w:rsidR="00130498" w:rsidRDefault="00600CEB" w:rsidP="0079482A">
      <w:r>
        <w:fldChar w:fldCharType="end"/>
      </w:r>
    </w:p>
    <w:p w14:paraId="10C51974" w14:textId="77777777" w:rsidR="00E9276B" w:rsidRDefault="00E9276B">
      <w:pPr>
        <w:jc w:val="left"/>
        <w:sectPr w:rsidR="00E9276B">
          <w:pgSz w:w="11906" w:h="16838"/>
          <w:pgMar w:top="1440" w:right="1440" w:bottom="1440" w:left="1440" w:header="708" w:footer="708" w:gutter="0"/>
          <w:cols w:space="708"/>
          <w:docGrid w:linePitch="360"/>
        </w:sectPr>
      </w:pPr>
    </w:p>
    <w:p w14:paraId="746E3361" w14:textId="77777777" w:rsidR="00E9276B" w:rsidRDefault="00E9276B" w:rsidP="00E9276B">
      <w:pPr>
        <w:rPr>
          <w:color w:val="2E74B5" w:themeColor="accent1" w:themeShade="BF"/>
          <w:sz w:val="32"/>
          <w:szCs w:val="32"/>
        </w:rPr>
      </w:pPr>
      <w:r w:rsidRPr="00B26C66">
        <w:rPr>
          <w:color w:val="2E74B5" w:themeColor="accent1" w:themeShade="BF"/>
          <w:sz w:val="32"/>
          <w:szCs w:val="32"/>
        </w:rPr>
        <w:lastRenderedPageBreak/>
        <w:t>Glossary</w:t>
      </w:r>
    </w:p>
    <w:tbl>
      <w:tblPr>
        <w:tblW w:w="9781" w:type="dxa"/>
        <w:tblLook w:val="04A0" w:firstRow="1" w:lastRow="0" w:firstColumn="1" w:lastColumn="0" w:noHBand="0" w:noVBand="1"/>
      </w:tblPr>
      <w:tblGrid>
        <w:gridCol w:w="960"/>
        <w:gridCol w:w="8821"/>
      </w:tblGrid>
      <w:tr w:rsidR="003A0C14" w:rsidRPr="003119D4" w14:paraId="37BD0848" w14:textId="77777777" w:rsidTr="00B246E0">
        <w:trPr>
          <w:trHeight w:val="300"/>
        </w:trPr>
        <w:tc>
          <w:tcPr>
            <w:tcW w:w="960" w:type="dxa"/>
            <w:tcBorders>
              <w:top w:val="nil"/>
              <w:left w:val="nil"/>
              <w:bottom w:val="nil"/>
              <w:right w:val="nil"/>
            </w:tcBorders>
            <w:shd w:val="clear" w:color="auto" w:fill="auto"/>
            <w:hideMark/>
          </w:tcPr>
          <w:p w14:paraId="42B611F0"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ABS</w:t>
            </w:r>
          </w:p>
        </w:tc>
        <w:tc>
          <w:tcPr>
            <w:tcW w:w="8821" w:type="dxa"/>
            <w:tcBorders>
              <w:top w:val="nil"/>
              <w:left w:val="nil"/>
              <w:bottom w:val="nil"/>
              <w:right w:val="nil"/>
            </w:tcBorders>
            <w:shd w:val="clear" w:color="auto" w:fill="auto"/>
            <w:hideMark/>
          </w:tcPr>
          <w:p w14:paraId="5DDB0E36"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Australian Bureau of Statistics</w:t>
            </w:r>
          </w:p>
        </w:tc>
      </w:tr>
      <w:tr w:rsidR="003A0C14" w:rsidRPr="003119D4" w14:paraId="60683B1D" w14:textId="77777777" w:rsidTr="00B246E0">
        <w:trPr>
          <w:trHeight w:val="300"/>
        </w:trPr>
        <w:tc>
          <w:tcPr>
            <w:tcW w:w="960" w:type="dxa"/>
            <w:tcBorders>
              <w:top w:val="nil"/>
              <w:left w:val="nil"/>
              <w:bottom w:val="nil"/>
              <w:right w:val="nil"/>
            </w:tcBorders>
            <w:shd w:val="clear" w:color="auto" w:fill="auto"/>
            <w:hideMark/>
          </w:tcPr>
          <w:p w14:paraId="69F383C0"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AEDC</w:t>
            </w:r>
          </w:p>
        </w:tc>
        <w:tc>
          <w:tcPr>
            <w:tcW w:w="8821" w:type="dxa"/>
            <w:tcBorders>
              <w:top w:val="nil"/>
              <w:left w:val="nil"/>
              <w:bottom w:val="nil"/>
              <w:right w:val="nil"/>
            </w:tcBorders>
            <w:shd w:val="clear" w:color="auto" w:fill="auto"/>
            <w:hideMark/>
          </w:tcPr>
          <w:p w14:paraId="3E125589"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Australian Early Development Census</w:t>
            </w:r>
          </w:p>
        </w:tc>
      </w:tr>
      <w:tr w:rsidR="003A0C14" w:rsidRPr="003119D4" w14:paraId="19051460" w14:textId="77777777" w:rsidTr="00B246E0">
        <w:trPr>
          <w:trHeight w:val="300"/>
        </w:trPr>
        <w:tc>
          <w:tcPr>
            <w:tcW w:w="960" w:type="dxa"/>
            <w:tcBorders>
              <w:top w:val="nil"/>
              <w:left w:val="nil"/>
              <w:bottom w:val="nil"/>
              <w:right w:val="nil"/>
            </w:tcBorders>
            <w:shd w:val="clear" w:color="auto" w:fill="auto"/>
            <w:hideMark/>
          </w:tcPr>
          <w:p w14:paraId="19B0B947"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ASG</w:t>
            </w:r>
            <w:r w:rsidR="003F788C">
              <w:t>S</w:t>
            </w:r>
          </w:p>
        </w:tc>
        <w:tc>
          <w:tcPr>
            <w:tcW w:w="8821" w:type="dxa"/>
            <w:tcBorders>
              <w:top w:val="nil"/>
              <w:left w:val="nil"/>
              <w:bottom w:val="nil"/>
              <w:right w:val="nil"/>
            </w:tcBorders>
            <w:shd w:val="clear" w:color="auto" w:fill="auto"/>
            <w:hideMark/>
          </w:tcPr>
          <w:p w14:paraId="2BC0A84B"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 xml:space="preserve">Australian </w:t>
            </w:r>
            <w:r w:rsidR="003F788C">
              <w:t>Statistical Geography Standard</w:t>
            </w:r>
          </w:p>
        </w:tc>
      </w:tr>
      <w:tr w:rsidR="003A0C14" w:rsidRPr="003119D4" w14:paraId="23113A30" w14:textId="77777777" w:rsidTr="00B246E0">
        <w:trPr>
          <w:trHeight w:val="300"/>
        </w:trPr>
        <w:tc>
          <w:tcPr>
            <w:tcW w:w="960" w:type="dxa"/>
            <w:tcBorders>
              <w:top w:val="nil"/>
              <w:left w:val="nil"/>
              <w:bottom w:val="nil"/>
              <w:right w:val="nil"/>
            </w:tcBorders>
            <w:shd w:val="clear" w:color="auto" w:fill="auto"/>
            <w:hideMark/>
          </w:tcPr>
          <w:p w14:paraId="72EB5328"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BHB</w:t>
            </w:r>
          </w:p>
        </w:tc>
        <w:tc>
          <w:tcPr>
            <w:tcW w:w="8821" w:type="dxa"/>
            <w:tcBorders>
              <w:top w:val="nil"/>
              <w:left w:val="nil"/>
              <w:bottom w:val="nil"/>
              <w:right w:val="nil"/>
            </w:tcBorders>
            <w:shd w:val="clear" w:color="auto" w:fill="auto"/>
            <w:hideMark/>
          </w:tcPr>
          <w:p w14:paraId="48E20CC8"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Bundaberg and Hervey Bay</w:t>
            </w:r>
          </w:p>
        </w:tc>
      </w:tr>
      <w:tr w:rsidR="003A0C14" w:rsidRPr="003119D4" w14:paraId="3B043BB6" w14:textId="77777777" w:rsidTr="00B246E0">
        <w:trPr>
          <w:trHeight w:val="300"/>
        </w:trPr>
        <w:tc>
          <w:tcPr>
            <w:tcW w:w="960" w:type="dxa"/>
            <w:tcBorders>
              <w:top w:val="nil"/>
              <w:left w:val="nil"/>
              <w:bottom w:val="nil"/>
              <w:right w:val="nil"/>
            </w:tcBorders>
            <w:shd w:val="clear" w:color="auto" w:fill="auto"/>
            <w:hideMark/>
          </w:tcPr>
          <w:p w14:paraId="66F1FBA2"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CDC</w:t>
            </w:r>
          </w:p>
        </w:tc>
        <w:tc>
          <w:tcPr>
            <w:tcW w:w="8821" w:type="dxa"/>
            <w:tcBorders>
              <w:top w:val="nil"/>
              <w:left w:val="nil"/>
              <w:bottom w:val="nil"/>
              <w:right w:val="nil"/>
            </w:tcBorders>
            <w:shd w:val="clear" w:color="auto" w:fill="auto"/>
            <w:hideMark/>
          </w:tcPr>
          <w:p w14:paraId="6C4F5888"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Cashless Debit Card</w:t>
            </w:r>
          </w:p>
        </w:tc>
      </w:tr>
      <w:tr w:rsidR="003A0C14" w:rsidRPr="003119D4" w14:paraId="6AE7DABE" w14:textId="77777777" w:rsidTr="00B246E0">
        <w:trPr>
          <w:trHeight w:val="300"/>
        </w:trPr>
        <w:tc>
          <w:tcPr>
            <w:tcW w:w="960" w:type="dxa"/>
            <w:tcBorders>
              <w:top w:val="nil"/>
              <w:left w:val="nil"/>
              <w:bottom w:val="nil"/>
              <w:right w:val="nil"/>
            </w:tcBorders>
            <w:shd w:val="clear" w:color="auto" w:fill="auto"/>
            <w:hideMark/>
          </w:tcPr>
          <w:p w14:paraId="2C739AF2"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ED</w:t>
            </w:r>
          </w:p>
        </w:tc>
        <w:tc>
          <w:tcPr>
            <w:tcW w:w="8821" w:type="dxa"/>
            <w:tcBorders>
              <w:top w:val="nil"/>
              <w:left w:val="nil"/>
              <w:bottom w:val="nil"/>
              <w:right w:val="nil"/>
            </w:tcBorders>
            <w:shd w:val="clear" w:color="auto" w:fill="auto"/>
            <w:hideMark/>
          </w:tcPr>
          <w:p w14:paraId="6A0C09FB"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Emergency Department</w:t>
            </w:r>
          </w:p>
        </w:tc>
      </w:tr>
      <w:tr w:rsidR="003A0C14" w:rsidRPr="003119D4" w14:paraId="00C30ADB" w14:textId="77777777" w:rsidTr="00B246E0">
        <w:trPr>
          <w:trHeight w:val="300"/>
        </w:trPr>
        <w:tc>
          <w:tcPr>
            <w:tcW w:w="960" w:type="dxa"/>
            <w:tcBorders>
              <w:top w:val="nil"/>
              <w:left w:val="nil"/>
              <w:bottom w:val="nil"/>
              <w:right w:val="nil"/>
            </w:tcBorders>
            <w:shd w:val="clear" w:color="auto" w:fill="auto"/>
            <w:hideMark/>
          </w:tcPr>
          <w:p w14:paraId="5BBF8ED4"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EGM</w:t>
            </w:r>
          </w:p>
        </w:tc>
        <w:tc>
          <w:tcPr>
            <w:tcW w:w="8821" w:type="dxa"/>
            <w:tcBorders>
              <w:top w:val="nil"/>
              <w:left w:val="nil"/>
              <w:bottom w:val="nil"/>
              <w:right w:val="nil"/>
            </w:tcBorders>
            <w:shd w:val="clear" w:color="auto" w:fill="auto"/>
            <w:hideMark/>
          </w:tcPr>
          <w:p w14:paraId="5ED732C1"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Electronic Gaming Machine</w:t>
            </w:r>
          </w:p>
        </w:tc>
      </w:tr>
      <w:tr w:rsidR="003A0C14" w:rsidRPr="003119D4" w14:paraId="7B930F9F" w14:textId="77777777" w:rsidTr="00B246E0">
        <w:trPr>
          <w:trHeight w:val="300"/>
        </w:trPr>
        <w:tc>
          <w:tcPr>
            <w:tcW w:w="960" w:type="dxa"/>
            <w:tcBorders>
              <w:top w:val="nil"/>
              <w:left w:val="nil"/>
              <w:bottom w:val="nil"/>
              <w:right w:val="nil"/>
            </w:tcBorders>
            <w:shd w:val="clear" w:color="auto" w:fill="auto"/>
            <w:hideMark/>
          </w:tcPr>
          <w:p w14:paraId="558426E2"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IRSD</w:t>
            </w:r>
          </w:p>
        </w:tc>
        <w:tc>
          <w:tcPr>
            <w:tcW w:w="8821" w:type="dxa"/>
            <w:tcBorders>
              <w:top w:val="nil"/>
              <w:left w:val="nil"/>
              <w:bottom w:val="nil"/>
              <w:right w:val="nil"/>
            </w:tcBorders>
            <w:shd w:val="clear" w:color="auto" w:fill="auto"/>
            <w:hideMark/>
          </w:tcPr>
          <w:p w14:paraId="49D49633"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Index of Relative Socio-Economic Disadvantage</w:t>
            </w:r>
          </w:p>
        </w:tc>
      </w:tr>
      <w:tr w:rsidR="003A0C14" w:rsidRPr="003119D4" w14:paraId="4E4EFD6B" w14:textId="77777777" w:rsidTr="00B246E0">
        <w:trPr>
          <w:trHeight w:val="300"/>
        </w:trPr>
        <w:tc>
          <w:tcPr>
            <w:tcW w:w="960" w:type="dxa"/>
            <w:tcBorders>
              <w:top w:val="nil"/>
              <w:left w:val="nil"/>
              <w:bottom w:val="nil"/>
              <w:right w:val="nil"/>
            </w:tcBorders>
            <w:shd w:val="clear" w:color="auto" w:fill="auto"/>
            <w:hideMark/>
          </w:tcPr>
          <w:p w14:paraId="53CB3295"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LGA</w:t>
            </w:r>
          </w:p>
        </w:tc>
        <w:tc>
          <w:tcPr>
            <w:tcW w:w="8821" w:type="dxa"/>
            <w:tcBorders>
              <w:top w:val="nil"/>
              <w:left w:val="nil"/>
              <w:bottom w:val="nil"/>
              <w:right w:val="nil"/>
            </w:tcBorders>
            <w:shd w:val="clear" w:color="auto" w:fill="auto"/>
            <w:hideMark/>
          </w:tcPr>
          <w:p w14:paraId="356066A8"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Local Government Area</w:t>
            </w:r>
          </w:p>
        </w:tc>
      </w:tr>
      <w:tr w:rsidR="004F46B2" w:rsidRPr="003119D4" w14:paraId="4585CC7D" w14:textId="77777777" w:rsidTr="00B246E0">
        <w:trPr>
          <w:trHeight w:val="300"/>
        </w:trPr>
        <w:tc>
          <w:tcPr>
            <w:tcW w:w="960" w:type="dxa"/>
            <w:tcBorders>
              <w:top w:val="nil"/>
              <w:left w:val="nil"/>
              <w:bottom w:val="nil"/>
              <w:right w:val="nil"/>
            </w:tcBorders>
            <w:shd w:val="clear" w:color="auto" w:fill="auto"/>
          </w:tcPr>
          <w:p w14:paraId="475CC92A" w14:textId="77777777" w:rsidR="004F46B2" w:rsidRPr="00E22F21" w:rsidRDefault="004F46B2" w:rsidP="003A0C14">
            <w:pPr>
              <w:spacing w:before="240" w:line="240" w:lineRule="auto"/>
            </w:pPr>
            <w:r>
              <w:t>NCVER</w:t>
            </w:r>
          </w:p>
        </w:tc>
        <w:tc>
          <w:tcPr>
            <w:tcW w:w="8821" w:type="dxa"/>
            <w:tcBorders>
              <w:top w:val="nil"/>
              <w:left w:val="nil"/>
              <w:bottom w:val="nil"/>
              <w:right w:val="nil"/>
            </w:tcBorders>
            <w:shd w:val="clear" w:color="auto" w:fill="auto"/>
          </w:tcPr>
          <w:p w14:paraId="4D9E1B30" w14:textId="77777777" w:rsidR="004F46B2" w:rsidRPr="00E22F21" w:rsidRDefault="004F46B2" w:rsidP="003A0C14">
            <w:pPr>
              <w:spacing w:before="240" w:line="240" w:lineRule="auto"/>
            </w:pPr>
            <w:r w:rsidRPr="004F46B2">
              <w:t>National Centre for Vocational Education Research</w:t>
            </w:r>
          </w:p>
        </w:tc>
      </w:tr>
      <w:tr w:rsidR="003A0C14" w:rsidRPr="003119D4" w14:paraId="21FD51AE" w14:textId="77777777" w:rsidTr="00B246E0">
        <w:trPr>
          <w:trHeight w:val="300"/>
        </w:trPr>
        <w:tc>
          <w:tcPr>
            <w:tcW w:w="960" w:type="dxa"/>
            <w:tcBorders>
              <w:top w:val="nil"/>
              <w:left w:val="nil"/>
              <w:bottom w:val="nil"/>
              <w:right w:val="nil"/>
            </w:tcBorders>
            <w:shd w:val="clear" w:color="auto" w:fill="auto"/>
            <w:hideMark/>
          </w:tcPr>
          <w:p w14:paraId="3902BF43"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QPS</w:t>
            </w:r>
          </w:p>
        </w:tc>
        <w:tc>
          <w:tcPr>
            <w:tcW w:w="8821" w:type="dxa"/>
            <w:tcBorders>
              <w:top w:val="nil"/>
              <w:left w:val="nil"/>
              <w:bottom w:val="nil"/>
              <w:right w:val="nil"/>
            </w:tcBorders>
            <w:shd w:val="clear" w:color="auto" w:fill="auto"/>
            <w:hideMark/>
          </w:tcPr>
          <w:p w14:paraId="39703DBD"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Queensland Police Service</w:t>
            </w:r>
          </w:p>
        </w:tc>
      </w:tr>
      <w:tr w:rsidR="003A0C14" w:rsidRPr="003119D4" w14:paraId="3B37ECC2" w14:textId="77777777" w:rsidTr="00B246E0">
        <w:trPr>
          <w:trHeight w:val="300"/>
        </w:trPr>
        <w:tc>
          <w:tcPr>
            <w:tcW w:w="960" w:type="dxa"/>
            <w:tcBorders>
              <w:top w:val="nil"/>
              <w:left w:val="nil"/>
              <w:bottom w:val="nil"/>
              <w:right w:val="nil"/>
            </w:tcBorders>
            <w:shd w:val="clear" w:color="auto" w:fill="auto"/>
            <w:hideMark/>
          </w:tcPr>
          <w:p w14:paraId="0E3347C5" w14:textId="77777777" w:rsidR="003A0C14" w:rsidRPr="00B26C66" w:rsidRDefault="003A0C14" w:rsidP="003A0C14">
            <w:pPr>
              <w:spacing w:before="240" w:line="240" w:lineRule="auto"/>
              <w:rPr>
                <w:rFonts w:ascii="Calibri" w:eastAsia="Times New Roman" w:hAnsi="Calibri" w:cs="Calibri"/>
                <w:b/>
                <w:color w:val="000000"/>
                <w:lang w:eastAsia="en-AU"/>
              </w:rPr>
            </w:pPr>
            <w:r w:rsidRPr="00E22F21">
              <w:t xml:space="preserve">TVA </w:t>
            </w:r>
          </w:p>
        </w:tc>
        <w:tc>
          <w:tcPr>
            <w:tcW w:w="8821" w:type="dxa"/>
            <w:tcBorders>
              <w:top w:val="nil"/>
              <w:left w:val="nil"/>
              <w:bottom w:val="nil"/>
              <w:right w:val="nil"/>
            </w:tcBorders>
            <w:shd w:val="clear" w:color="auto" w:fill="auto"/>
            <w:hideMark/>
          </w:tcPr>
          <w:p w14:paraId="605515F3" w14:textId="77777777" w:rsidR="003A0C14" w:rsidRPr="003119D4" w:rsidRDefault="003A0C14" w:rsidP="003A0C14">
            <w:pPr>
              <w:spacing w:before="240" w:line="240" w:lineRule="auto"/>
              <w:jc w:val="left"/>
              <w:rPr>
                <w:rFonts w:ascii="Calibri" w:eastAsia="Times New Roman" w:hAnsi="Calibri" w:cs="Calibri"/>
                <w:color w:val="000000"/>
                <w:lang w:eastAsia="en-AU"/>
              </w:rPr>
            </w:pPr>
            <w:r w:rsidRPr="00E22F21">
              <w:t>Total VET Activity</w:t>
            </w:r>
          </w:p>
        </w:tc>
      </w:tr>
      <w:tr w:rsidR="0096167B" w:rsidRPr="003119D4" w14:paraId="396619F2" w14:textId="77777777" w:rsidTr="00E9276B">
        <w:trPr>
          <w:trHeight w:val="300"/>
        </w:trPr>
        <w:tc>
          <w:tcPr>
            <w:tcW w:w="960" w:type="dxa"/>
            <w:tcBorders>
              <w:top w:val="nil"/>
              <w:left w:val="nil"/>
              <w:bottom w:val="nil"/>
              <w:right w:val="nil"/>
            </w:tcBorders>
            <w:shd w:val="clear" w:color="auto" w:fill="auto"/>
          </w:tcPr>
          <w:p w14:paraId="6B82B460" w14:textId="77777777" w:rsidR="0096167B" w:rsidRPr="00E22F21" w:rsidRDefault="0096167B" w:rsidP="003A0C14">
            <w:pPr>
              <w:spacing w:before="240" w:line="240" w:lineRule="auto"/>
            </w:pPr>
            <w:r>
              <w:t>VET</w:t>
            </w:r>
          </w:p>
        </w:tc>
        <w:tc>
          <w:tcPr>
            <w:tcW w:w="8821" w:type="dxa"/>
            <w:tcBorders>
              <w:top w:val="nil"/>
              <w:left w:val="nil"/>
              <w:bottom w:val="nil"/>
              <w:right w:val="nil"/>
            </w:tcBorders>
            <w:shd w:val="clear" w:color="auto" w:fill="auto"/>
          </w:tcPr>
          <w:p w14:paraId="104EC848" w14:textId="77777777" w:rsidR="0096167B" w:rsidRPr="00E22F21" w:rsidRDefault="0096167B" w:rsidP="003A0C14">
            <w:pPr>
              <w:spacing w:before="240" w:line="240" w:lineRule="auto"/>
              <w:jc w:val="left"/>
            </w:pPr>
            <w:r>
              <w:t>Vocational Education and Training</w:t>
            </w:r>
          </w:p>
        </w:tc>
      </w:tr>
    </w:tbl>
    <w:p w14:paraId="1CFE1DB3" w14:textId="77777777" w:rsidR="00E9276B" w:rsidRDefault="00E9276B" w:rsidP="00E9276B">
      <w:pPr>
        <w:sectPr w:rsidR="00E9276B">
          <w:pgSz w:w="11906" w:h="16838"/>
          <w:pgMar w:top="1440" w:right="1440" w:bottom="1440" w:left="1440" w:header="708" w:footer="708" w:gutter="0"/>
          <w:cols w:space="708"/>
          <w:docGrid w:linePitch="360"/>
        </w:sectPr>
      </w:pPr>
    </w:p>
    <w:p w14:paraId="5BC62C20" w14:textId="77777777" w:rsidR="00F254FE" w:rsidRDefault="00242B90" w:rsidP="00E0362E">
      <w:pPr>
        <w:jc w:val="center"/>
        <w:rPr>
          <w:rStyle w:val="IntenseEmphasis"/>
          <w:b/>
          <w:sz w:val="32"/>
          <w:szCs w:val="32"/>
        </w:rPr>
      </w:pPr>
      <w:r w:rsidRPr="00A4064D">
        <w:rPr>
          <w:rStyle w:val="IntenseEmphasis"/>
          <w:b/>
          <w:color w:val="2F5496" w:themeColor="accent5" w:themeShade="BF"/>
          <w:sz w:val="32"/>
          <w:szCs w:val="32"/>
        </w:rPr>
        <w:lastRenderedPageBreak/>
        <w:t>Key M</w:t>
      </w:r>
      <w:r w:rsidR="00130498" w:rsidRPr="00A4064D">
        <w:rPr>
          <w:rStyle w:val="IntenseEmphasis"/>
          <w:b/>
          <w:color w:val="2F5496" w:themeColor="accent5" w:themeShade="BF"/>
          <w:sz w:val="32"/>
          <w:szCs w:val="32"/>
        </w:rPr>
        <w:t>essages</w:t>
      </w:r>
    </w:p>
    <w:p w14:paraId="5C97A822" w14:textId="77777777" w:rsidR="00B70F31" w:rsidRDefault="00B70F31" w:rsidP="009A08BF">
      <w:pPr>
        <w:pStyle w:val="IntenseQuote"/>
        <w:ind w:left="426"/>
        <w:jc w:val="left"/>
      </w:pPr>
      <w:r w:rsidRPr="00A4064D">
        <w:rPr>
          <w:color w:val="2F5496" w:themeColor="accent5" w:themeShade="BF"/>
        </w:rPr>
        <w:t xml:space="preserve">Background: </w:t>
      </w:r>
    </w:p>
    <w:p w14:paraId="4119F864" w14:textId="77777777" w:rsidR="00B70F31" w:rsidRDefault="00B70F31" w:rsidP="00B70F31">
      <w:pPr>
        <w:spacing w:after="120" w:line="240" w:lineRule="auto"/>
        <w:ind w:left="357"/>
        <w:jc w:val="left"/>
      </w:pPr>
      <w:r w:rsidRPr="00FB339C">
        <w:t xml:space="preserve">This </w:t>
      </w:r>
      <w:r>
        <w:t xml:space="preserve">data snapshot </w:t>
      </w:r>
      <w:r w:rsidRPr="00FB339C">
        <w:t>provides a quantitative overview of key social and economic characteristics of the population living in the Cashless Debit Card (CDC) site</w:t>
      </w:r>
      <w:r>
        <w:t xml:space="preserve"> in</w:t>
      </w:r>
      <w:r w:rsidRPr="00FB339C">
        <w:t xml:space="preserve"> the Bundaberg and Hervey Bay</w:t>
      </w:r>
      <w:r>
        <w:t xml:space="preserve"> region prior to the </w:t>
      </w:r>
      <w:r w:rsidR="000E0797">
        <w:t xml:space="preserve">start of the </w:t>
      </w:r>
      <w:r>
        <w:t xml:space="preserve">rollout of the CDC </w:t>
      </w:r>
      <w:r w:rsidR="000E0797">
        <w:t xml:space="preserve">in the region on </w:t>
      </w:r>
      <w:r>
        <w:t>29</w:t>
      </w:r>
      <w:r w:rsidRPr="000E0797">
        <w:rPr>
          <w:vertAlign w:val="superscript"/>
        </w:rPr>
        <w:t>th</w:t>
      </w:r>
      <w:r w:rsidR="000E0797">
        <w:t xml:space="preserve"> January</w:t>
      </w:r>
      <w:r>
        <w:t xml:space="preserve"> 2019.</w:t>
      </w:r>
    </w:p>
    <w:p w14:paraId="1C5AFE94" w14:textId="77777777" w:rsidR="00B70F31" w:rsidRDefault="00B70F31" w:rsidP="00B70F31">
      <w:pPr>
        <w:spacing w:after="120" w:line="240" w:lineRule="auto"/>
        <w:ind w:left="357"/>
        <w:jc w:val="left"/>
      </w:pPr>
      <w:r>
        <w:t>It</w:t>
      </w:r>
      <w:r w:rsidRPr="00FB339C">
        <w:t xml:space="preserve"> present</w:t>
      </w:r>
      <w:r>
        <w:t>s</w:t>
      </w:r>
      <w:r w:rsidRPr="00FB339C">
        <w:t xml:space="preserve"> </w:t>
      </w:r>
      <w:r w:rsidR="000E0797">
        <w:t xml:space="preserve">information on </w:t>
      </w:r>
      <w:r w:rsidRPr="00FB339C">
        <w:t>several social aspects of the region, including hospital presentation</w:t>
      </w:r>
      <w:r>
        <w:t>s</w:t>
      </w:r>
      <w:r w:rsidRPr="00FB339C">
        <w:t xml:space="preserve">, </w:t>
      </w:r>
      <w:r>
        <w:t xml:space="preserve">offences and </w:t>
      </w:r>
      <w:r w:rsidRPr="00FB339C">
        <w:t xml:space="preserve">crime, </w:t>
      </w:r>
      <w:r>
        <w:t xml:space="preserve">and </w:t>
      </w:r>
      <w:r w:rsidRPr="00FB339C">
        <w:t xml:space="preserve">gambling. </w:t>
      </w:r>
    </w:p>
    <w:p w14:paraId="69E53CF8" w14:textId="77777777" w:rsidR="00B70F31" w:rsidRDefault="00B70F31" w:rsidP="00B70F31">
      <w:pPr>
        <w:spacing w:after="120" w:line="240" w:lineRule="auto"/>
        <w:ind w:left="357"/>
        <w:jc w:val="left"/>
      </w:pPr>
      <w:r>
        <w:t>It</w:t>
      </w:r>
      <w:r w:rsidRPr="00FB339C">
        <w:t xml:space="preserve"> outlin</w:t>
      </w:r>
      <w:r>
        <w:t>es</w:t>
      </w:r>
      <w:r w:rsidRPr="00FB339C">
        <w:t xml:space="preserve"> several key economic </w:t>
      </w:r>
      <w:r>
        <w:t xml:space="preserve">and social </w:t>
      </w:r>
      <w:r w:rsidRPr="00FB339C">
        <w:t xml:space="preserve">indicators, </w:t>
      </w:r>
      <w:r w:rsidR="000E0797">
        <w:t>including</w:t>
      </w:r>
      <w:r w:rsidRPr="00FB339C">
        <w:t xml:space="preserve"> labour market indicators, household characteristics, and </w:t>
      </w:r>
      <w:r>
        <w:t>a socio-economic disadvantage index.</w:t>
      </w:r>
    </w:p>
    <w:p w14:paraId="1A60E1B2" w14:textId="77777777" w:rsidR="00B70F31" w:rsidRDefault="00B70F31" w:rsidP="00B70F31">
      <w:pPr>
        <w:spacing w:after="120" w:line="240" w:lineRule="auto"/>
        <w:ind w:left="357"/>
        <w:jc w:val="left"/>
      </w:pPr>
      <w:r>
        <w:t xml:space="preserve">It continues </w:t>
      </w:r>
      <w:r w:rsidR="000E0797">
        <w:t xml:space="preserve">by providing information on </w:t>
      </w:r>
      <w:r>
        <w:t>education and training</w:t>
      </w:r>
      <w:r w:rsidR="000E0797">
        <w:t>,</w:t>
      </w:r>
      <w:r>
        <w:t xml:space="preserve"> ranging from early childhood development to school, </w:t>
      </w:r>
      <w:r w:rsidR="000E0797">
        <w:t>Vocational Education and Training</w:t>
      </w:r>
      <w:r>
        <w:t xml:space="preserve"> and university education.</w:t>
      </w:r>
    </w:p>
    <w:p w14:paraId="11BF16D9" w14:textId="77777777" w:rsidR="00130498" w:rsidRPr="000613C9" w:rsidRDefault="00B70F31" w:rsidP="000613C9">
      <w:pPr>
        <w:spacing w:after="120" w:line="240" w:lineRule="auto"/>
        <w:ind w:left="357"/>
        <w:jc w:val="left"/>
      </w:pPr>
      <w:r>
        <w:t xml:space="preserve">The data snapshot concludes </w:t>
      </w:r>
      <w:r w:rsidR="000E0797">
        <w:t xml:space="preserve">by providing </w:t>
      </w:r>
      <w:r>
        <w:t xml:space="preserve">information from </w:t>
      </w:r>
      <w:r w:rsidR="000E0797">
        <w:t xml:space="preserve">relevant </w:t>
      </w:r>
      <w:r>
        <w:t>Australian Government administrative data.</w:t>
      </w:r>
    </w:p>
    <w:p w14:paraId="6ADC4A9C" w14:textId="77777777" w:rsidR="00130498" w:rsidRDefault="00E0362E" w:rsidP="00E0362E">
      <w:pPr>
        <w:pStyle w:val="IntenseQuote"/>
        <w:ind w:left="426"/>
        <w:jc w:val="left"/>
      </w:pPr>
      <w:r w:rsidRPr="00A4064D">
        <w:rPr>
          <w:color w:val="2F5496" w:themeColor="accent5" w:themeShade="BF"/>
        </w:rPr>
        <w:t xml:space="preserve">Hospital presentations: </w:t>
      </w:r>
    </w:p>
    <w:p w14:paraId="20274353" w14:textId="77777777" w:rsidR="00130498" w:rsidRDefault="00F11281" w:rsidP="00E0362E">
      <w:pPr>
        <w:spacing w:after="120" w:line="240" w:lineRule="auto"/>
        <w:ind w:left="357"/>
        <w:jc w:val="left"/>
      </w:pPr>
      <w:r>
        <w:t>F</w:t>
      </w:r>
      <w:r w:rsidRPr="00F11281">
        <w:t>rom July to December 2018</w:t>
      </w:r>
      <w:r>
        <w:t>,</w:t>
      </w:r>
      <w:r w:rsidRPr="00F11281">
        <w:t xml:space="preserve"> </w:t>
      </w:r>
      <w:r>
        <w:t>t</w:t>
      </w:r>
      <w:r w:rsidR="00130498">
        <w:t xml:space="preserve">he proportion of </w:t>
      </w:r>
      <w:r w:rsidR="003C7F2F">
        <w:t>Emergency Department (</w:t>
      </w:r>
      <w:r w:rsidR="00130498">
        <w:t>ED</w:t>
      </w:r>
      <w:r w:rsidR="003C7F2F">
        <w:t>)</w:t>
      </w:r>
      <w:r w:rsidR="00130498">
        <w:t xml:space="preserve"> attendances in th</w:t>
      </w:r>
      <w:r w:rsidR="00230A2A">
        <w:t xml:space="preserve">e two most serious categories (Triage </w:t>
      </w:r>
      <w:r w:rsidR="006F51B3">
        <w:t>R</w:t>
      </w:r>
      <w:r w:rsidR="00130498">
        <w:t>ating</w:t>
      </w:r>
      <w:r w:rsidR="00230A2A">
        <w:t>s</w:t>
      </w:r>
      <w:r w:rsidR="00130498">
        <w:t xml:space="preserve"> 1 and 2) </w:t>
      </w:r>
      <w:r w:rsidR="007D1B8E">
        <w:t>was</w:t>
      </w:r>
      <w:r w:rsidR="00130498">
        <w:t xml:space="preserve"> lower in the </w:t>
      </w:r>
      <w:r w:rsidR="00FE3FA1">
        <w:t>Federal electorate of Hinkler</w:t>
      </w:r>
      <w:r w:rsidR="00130498">
        <w:t xml:space="preserve"> than</w:t>
      </w:r>
      <w:r w:rsidR="00B70F31">
        <w:t xml:space="preserve"> in the state</w:t>
      </w:r>
      <w:r w:rsidR="00130498">
        <w:t xml:space="preserve"> </w:t>
      </w:r>
      <w:r w:rsidR="00B70F31">
        <w:t xml:space="preserve">of </w:t>
      </w:r>
      <w:r w:rsidR="00130498">
        <w:t>Queensland as whole.</w:t>
      </w:r>
      <w:r w:rsidR="005F4848">
        <w:rPr>
          <w:rStyle w:val="FootnoteReference"/>
        </w:rPr>
        <w:footnoteReference w:id="2"/>
      </w:r>
    </w:p>
    <w:p w14:paraId="1D4E9C59" w14:textId="77777777" w:rsidR="00130498" w:rsidRDefault="007D1B8E" w:rsidP="00E0362E">
      <w:pPr>
        <w:spacing w:after="120" w:line="240" w:lineRule="auto"/>
        <w:ind w:left="357"/>
        <w:jc w:val="left"/>
      </w:pPr>
      <w:r w:rsidRPr="007D1B8E">
        <w:t>From July to December 2018</w:t>
      </w:r>
      <w:r>
        <w:t>, t</w:t>
      </w:r>
      <w:r w:rsidR="00130498">
        <w:t xml:space="preserve">he </w:t>
      </w:r>
      <w:r w:rsidR="001F14D5">
        <w:t>overall</w:t>
      </w:r>
      <w:r w:rsidR="00E9276B">
        <w:t xml:space="preserve"> </w:t>
      </w:r>
      <w:r w:rsidR="00130498">
        <w:t xml:space="preserve">ED attendance rate in </w:t>
      </w:r>
      <w:r w:rsidR="006F51B3">
        <w:t xml:space="preserve">the </w:t>
      </w:r>
      <w:r w:rsidR="003E4F62">
        <w:t xml:space="preserve">Federal electorate of Hinkler </w:t>
      </w:r>
      <w:r>
        <w:t>was</w:t>
      </w:r>
      <w:r w:rsidR="00130498">
        <w:t xml:space="preserve"> higher than the corresponding rate for</w:t>
      </w:r>
      <w:r w:rsidR="00B70F31">
        <w:t xml:space="preserve"> the state of</w:t>
      </w:r>
      <w:r w:rsidR="00130498">
        <w:t xml:space="preserve"> Queensland</w:t>
      </w:r>
      <w:r w:rsidR="006F51B3">
        <w:t xml:space="preserve"> as a whole</w:t>
      </w:r>
      <w:r w:rsidR="00130498">
        <w:t>, and the difference mainly appears in</w:t>
      </w:r>
      <w:r w:rsidR="00230A2A">
        <w:t xml:space="preserve"> the middle rating categories (Triage </w:t>
      </w:r>
      <w:r w:rsidR="006F51B3">
        <w:t>R</w:t>
      </w:r>
      <w:r w:rsidR="00130498">
        <w:t>ating</w:t>
      </w:r>
      <w:r w:rsidR="00230A2A">
        <w:t>s</w:t>
      </w:r>
      <w:r w:rsidR="00130498">
        <w:t xml:space="preserve"> 3 and 4).</w:t>
      </w:r>
    </w:p>
    <w:p w14:paraId="6BD0C9F6" w14:textId="77777777" w:rsidR="00130498" w:rsidRDefault="00130498" w:rsidP="00E0362E">
      <w:pPr>
        <w:pStyle w:val="IntenseQuote"/>
        <w:ind w:left="426"/>
        <w:jc w:val="left"/>
      </w:pPr>
      <w:r w:rsidRPr="00A4064D">
        <w:rPr>
          <w:color w:val="2F5496" w:themeColor="accent5" w:themeShade="BF"/>
        </w:rPr>
        <w:t>Crime:</w:t>
      </w:r>
    </w:p>
    <w:p w14:paraId="43E0D515" w14:textId="77777777" w:rsidR="00130498" w:rsidRDefault="00F11281" w:rsidP="00E0362E">
      <w:pPr>
        <w:spacing w:after="120" w:line="240" w:lineRule="auto"/>
        <w:ind w:left="357"/>
        <w:jc w:val="left"/>
      </w:pPr>
      <w:r>
        <w:t>In 2018, t</w:t>
      </w:r>
      <w:r w:rsidR="00130498">
        <w:t>he distribution of offences across the three primary categories</w:t>
      </w:r>
      <w:r w:rsidR="001F14D5">
        <w:t xml:space="preserve"> (i.e. offences against the person, offences against property and other offences)</w:t>
      </w:r>
      <w:r w:rsidR="00130498">
        <w:t xml:space="preserve"> </w:t>
      </w:r>
      <w:r w:rsidR="007D1B8E">
        <w:t>did</w:t>
      </w:r>
      <w:r w:rsidR="00130498">
        <w:t xml:space="preserve"> not differ considerably between Bundaberg, Hervey Bay and</w:t>
      </w:r>
      <w:r w:rsidR="007846D7">
        <w:t xml:space="preserve"> the state of</w:t>
      </w:r>
      <w:r w:rsidR="00130498">
        <w:t xml:space="preserve"> Queensland</w:t>
      </w:r>
      <w:r w:rsidR="007846D7">
        <w:t xml:space="preserve"> as a whole</w:t>
      </w:r>
      <w:r w:rsidR="00130498">
        <w:t>.</w:t>
      </w:r>
    </w:p>
    <w:p w14:paraId="235B6411" w14:textId="77777777" w:rsidR="00130498" w:rsidRDefault="001F14D5" w:rsidP="00E0362E">
      <w:pPr>
        <w:spacing w:after="120" w:line="240" w:lineRule="auto"/>
        <w:ind w:left="357"/>
        <w:jc w:val="left"/>
      </w:pPr>
      <w:r>
        <w:t>In 2018, t</w:t>
      </w:r>
      <w:r w:rsidR="00130498">
        <w:t xml:space="preserve">he overall offence rate in Bundaberg </w:t>
      </w:r>
      <w:r w:rsidR="00E9209F">
        <w:t>was</w:t>
      </w:r>
      <w:r w:rsidR="00130498">
        <w:t xml:space="preserve"> higher than the</w:t>
      </w:r>
      <w:r w:rsidR="002E32B8">
        <w:t xml:space="preserve"> rate of Queensland</w:t>
      </w:r>
      <w:r w:rsidR="006F51B3">
        <w:t xml:space="preserve"> as a whole</w:t>
      </w:r>
      <w:r w:rsidR="00230A2A">
        <w:t>,</w:t>
      </w:r>
      <w:r w:rsidR="00130498">
        <w:t xml:space="preserve"> while Hervey Bay ha</w:t>
      </w:r>
      <w:r w:rsidR="006F51B3">
        <w:t>d</w:t>
      </w:r>
      <w:r w:rsidR="00130498">
        <w:t xml:space="preserve"> a lower rate </w:t>
      </w:r>
      <w:r w:rsidR="00230A2A">
        <w:t xml:space="preserve">of offences </w:t>
      </w:r>
      <w:r w:rsidR="00130498">
        <w:t>than</w:t>
      </w:r>
      <w:r w:rsidR="00230A2A">
        <w:t xml:space="preserve"> the</w:t>
      </w:r>
      <w:r>
        <w:t xml:space="preserve"> average rate of</w:t>
      </w:r>
      <w:r w:rsidR="00230A2A">
        <w:t xml:space="preserve"> </w:t>
      </w:r>
      <w:r w:rsidR="00E9209F">
        <w:t xml:space="preserve">the </w:t>
      </w:r>
      <w:r w:rsidR="00230A2A">
        <w:t>state of</w:t>
      </w:r>
      <w:r w:rsidR="00130498">
        <w:t xml:space="preserve"> Queensland</w:t>
      </w:r>
      <w:r w:rsidR="00880F57">
        <w:t xml:space="preserve"> as a whole</w:t>
      </w:r>
      <w:r w:rsidR="00130498">
        <w:t xml:space="preserve">. This finding </w:t>
      </w:r>
      <w:r w:rsidR="007D1B8E">
        <w:t>held</w:t>
      </w:r>
      <w:r w:rsidR="00130498">
        <w:t xml:space="preserve"> for both ‘offences against the person’ and ‘offences against property’. For ‘other offences’, the Bundaberg </w:t>
      </w:r>
      <w:r w:rsidR="00230A2A">
        <w:t xml:space="preserve">offence rate </w:t>
      </w:r>
      <w:r w:rsidR="00CC4619">
        <w:t xml:space="preserve">was </w:t>
      </w:r>
      <w:r w:rsidR="00130498">
        <w:t xml:space="preserve">substantially higher </w:t>
      </w:r>
      <w:r w:rsidR="00E9209F">
        <w:t xml:space="preserve">in 2018 </w:t>
      </w:r>
      <w:r w:rsidR="00130498">
        <w:t xml:space="preserve">than </w:t>
      </w:r>
      <w:r w:rsidR="00230A2A">
        <w:t xml:space="preserve">the </w:t>
      </w:r>
      <w:r w:rsidR="00E9209F">
        <w:t xml:space="preserve">rate for </w:t>
      </w:r>
      <w:r w:rsidR="00130498">
        <w:t>Queensland</w:t>
      </w:r>
      <w:r w:rsidR="00E9209F">
        <w:t xml:space="preserve"> as a whole</w:t>
      </w:r>
      <w:r w:rsidR="00230A2A">
        <w:t xml:space="preserve">, </w:t>
      </w:r>
      <w:r w:rsidR="00130498">
        <w:t>w</w:t>
      </w:r>
      <w:r w:rsidR="00230A2A">
        <w:t>ith Hervey Bay</w:t>
      </w:r>
      <w:r w:rsidR="00130498">
        <w:t xml:space="preserve"> marginally higher than Queensland</w:t>
      </w:r>
      <w:r w:rsidR="00E9209F">
        <w:t xml:space="preserve"> as a whole</w:t>
      </w:r>
      <w:r w:rsidR="00130498">
        <w:t>.</w:t>
      </w:r>
    </w:p>
    <w:p w14:paraId="041AA710" w14:textId="77777777" w:rsidR="00130498" w:rsidRDefault="00130498" w:rsidP="00E0362E">
      <w:pPr>
        <w:spacing w:after="120" w:line="240" w:lineRule="auto"/>
        <w:ind w:left="357"/>
        <w:jc w:val="left"/>
      </w:pPr>
      <w:r>
        <w:lastRenderedPageBreak/>
        <w:t xml:space="preserve">The offence rate </w:t>
      </w:r>
      <w:r w:rsidR="00041F2B">
        <w:t>in relation</w:t>
      </w:r>
      <w:r>
        <w:t xml:space="preserve"> to breaches of domestic violence orders </w:t>
      </w:r>
      <w:r w:rsidR="00E9209F">
        <w:t>in 2018 was</w:t>
      </w:r>
      <w:r>
        <w:t xml:space="preserve"> significantly higher in both Bundaberg and Hervey Bay than in the </w:t>
      </w:r>
      <w:r w:rsidR="007846D7">
        <w:t xml:space="preserve">state </w:t>
      </w:r>
      <w:r>
        <w:t>of Queensland</w:t>
      </w:r>
      <w:r w:rsidR="007846D7">
        <w:t xml:space="preserve"> as a whole</w:t>
      </w:r>
      <w:r w:rsidR="00230A2A">
        <w:t>.</w:t>
      </w:r>
    </w:p>
    <w:p w14:paraId="0D87BDD9" w14:textId="77777777" w:rsidR="00130498" w:rsidRDefault="00130498" w:rsidP="00E0362E">
      <w:pPr>
        <w:pStyle w:val="IntenseQuote"/>
        <w:ind w:left="426"/>
        <w:jc w:val="left"/>
      </w:pPr>
      <w:r w:rsidRPr="00A4064D">
        <w:rPr>
          <w:color w:val="2F5496" w:themeColor="accent5" w:themeShade="BF"/>
        </w:rPr>
        <w:t xml:space="preserve">Gaming in hotels: </w:t>
      </w:r>
    </w:p>
    <w:p w14:paraId="2B8AE7AE" w14:textId="77777777" w:rsidR="00446218" w:rsidRDefault="00F11281" w:rsidP="00E0362E">
      <w:pPr>
        <w:spacing w:after="120" w:line="240" w:lineRule="auto"/>
        <w:ind w:left="357"/>
        <w:jc w:val="left"/>
      </w:pPr>
      <w:r>
        <w:t>In 2018, a</w:t>
      </w:r>
      <w:r w:rsidR="00230A2A">
        <w:t>ll of</w:t>
      </w:r>
      <w:r w:rsidR="00130498">
        <w:t xml:space="preserve"> the </w:t>
      </w:r>
      <w:r w:rsidR="00E9276B">
        <w:t>Electronic Gaming Machine (</w:t>
      </w:r>
      <w:r w:rsidR="00130498">
        <w:t>EGM</w:t>
      </w:r>
      <w:r w:rsidR="00FE7B5B">
        <w:t>)</w:t>
      </w:r>
      <w:r w:rsidR="00130498">
        <w:t xml:space="preserve"> indicators show</w:t>
      </w:r>
      <w:r w:rsidR="007D1B8E">
        <w:t>ed</w:t>
      </w:r>
      <w:r w:rsidR="00130498">
        <w:t xml:space="preserve"> much higher numbers </w:t>
      </w:r>
      <w:r w:rsidR="00230A2A">
        <w:t>per 1</w:t>
      </w:r>
      <w:r w:rsidR="00E9209F">
        <w:t>,</w:t>
      </w:r>
      <w:r w:rsidR="00230A2A">
        <w:t xml:space="preserve">000 population </w:t>
      </w:r>
      <w:r w:rsidR="00130498">
        <w:t xml:space="preserve">in the </w:t>
      </w:r>
      <w:r w:rsidR="00E9276B">
        <w:t>Bundaberg and Hervey Bay</w:t>
      </w:r>
      <w:r w:rsidR="00130498">
        <w:t xml:space="preserve"> region than </w:t>
      </w:r>
      <w:r w:rsidR="002E32B8">
        <w:t xml:space="preserve">in </w:t>
      </w:r>
      <w:r w:rsidR="00130498">
        <w:t>the</w:t>
      </w:r>
      <w:r w:rsidR="002E32B8">
        <w:t xml:space="preserve"> state of Queensland as a whole</w:t>
      </w:r>
      <w:r w:rsidR="00130498">
        <w:t>, w</w:t>
      </w:r>
      <w:r w:rsidR="00230A2A">
        <w:t xml:space="preserve">hich suggests that gambling </w:t>
      </w:r>
      <w:r w:rsidR="007D1B8E">
        <w:t>was</w:t>
      </w:r>
      <w:r w:rsidR="00130498">
        <w:t xml:space="preserve"> more </w:t>
      </w:r>
      <w:r w:rsidR="00230A2A">
        <w:t xml:space="preserve">prevalent </w:t>
      </w:r>
      <w:r w:rsidR="00130498">
        <w:t xml:space="preserve">in the </w:t>
      </w:r>
      <w:r w:rsidR="00E9276B">
        <w:t xml:space="preserve">Bundaberg and Hervey Bay </w:t>
      </w:r>
      <w:r w:rsidR="00130498">
        <w:t>reg</w:t>
      </w:r>
      <w:r w:rsidR="00230A2A">
        <w:t>ion than in Queensland overall.</w:t>
      </w:r>
      <w:r w:rsidR="000215F2">
        <w:t xml:space="preserve"> We note the potential impact of tourism on these numbers</w:t>
      </w:r>
      <w:r w:rsidR="00E9209F">
        <w:t>,</w:t>
      </w:r>
      <w:r w:rsidR="000215F2">
        <w:t xml:space="preserve"> since Bundaberg and Hervey Bay are tourist destinations.</w:t>
      </w:r>
    </w:p>
    <w:p w14:paraId="0AE6BA62" w14:textId="77777777" w:rsidR="004909F6" w:rsidRDefault="004909F6" w:rsidP="004909F6">
      <w:pPr>
        <w:pStyle w:val="IntenseQuote"/>
        <w:ind w:left="426"/>
        <w:jc w:val="left"/>
      </w:pPr>
      <w:r w:rsidRPr="00A4064D">
        <w:rPr>
          <w:color w:val="2F5496" w:themeColor="accent5" w:themeShade="BF"/>
        </w:rPr>
        <w:t xml:space="preserve">Labour force participation and employment: </w:t>
      </w:r>
    </w:p>
    <w:p w14:paraId="5088EF9B" w14:textId="77777777" w:rsidR="00697A82" w:rsidRDefault="00F11281" w:rsidP="00E0362E">
      <w:pPr>
        <w:spacing w:after="120" w:line="240" w:lineRule="auto"/>
        <w:ind w:left="357"/>
        <w:jc w:val="left"/>
      </w:pPr>
      <w:r>
        <w:t>In 2016, t</w:t>
      </w:r>
      <w:r w:rsidR="00130498">
        <w:t xml:space="preserve">he labour force participation rate in </w:t>
      </w:r>
      <w:r w:rsidR="005E36D8">
        <w:t xml:space="preserve">the </w:t>
      </w:r>
      <w:r w:rsidR="005F5E9E">
        <w:t xml:space="preserve">Federal electorate of </w:t>
      </w:r>
      <w:r w:rsidR="00130498">
        <w:t>Hinkler</w:t>
      </w:r>
      <w:r w:rsidR="005E36D8">
        <w:t xml:space="preserve"> </w:t>
      </w:r>
      <w:r w:rsidR="007D1B8E">
        <w:t>was</w:t>
      </w:r>
      <w:r w:rsidR="00130498">
        <w:t xml:space="preserve"> lower than </w:t>
      </w:r>
      <w:r w:rsidR="002E32B8">
        <w:t>that in</w:t>
      </w:r>
      <w:r w:rsidR="00697A82">
        <w:t xml:space="preserve"> the </w:t>
      </w:r>
      <w:r w:rsidR="007846D7">
        <w:t xml:space="preserve">state </w:t>
      </w:r>
      <w:r w:rsidR="00697A82">
        <w:t>of Queensland</w:t>
      </w:r>
      <w:r w:rsidR="007846D7">
        <w:t xml:space="preserve"> as a whole</w:t>
      </w:r>
      <w:r w:rsidR="00697A82">
        <w:t xml:space="preserve"> and </w:t>
      </w:r>
      <w:r w:rsidR="002E32B8">
        <w:t>Australia</w:t>
      </w:r>
      <w:r w:rsidR="00130498">
        <w:t xml:space="preserve">. </w:t>
      </w:r>
    </w:p>
    <w:p w14:paraId="305CFB61" w14:textId="77777777" w:rsidR="00130498" w:rsidRDefault="00697A82" w:rsidP="00E0362E">
      <w:pPr>
        <w:spacing w:after="120" w:line="240" w:lineRule="auto"/>
        <w:ind w:left="357"/>
        <w:jc w:val="left"/>
      </w:pPr>
      <w:r>
        <w:t>U</w:t>
      </w:r>
      <w:r w:rsidR="00130498">
        <w:t>nemployment</w:t>
      </w:r>
      <w:r w:rsidR="007D1B8E">
        <w:t xml:space="preserve"> in 2016</w:t>
      </w:r>
      <w:r w:rsidR="00130498">
        <w:t xml:space="preserve"> </w:t>
      </w:r>
      <w:r w:rsidR="007D1B8E">
        <w:t>was</w:t>
      </w:r>
      <w:r w:rsidR="00130498">
        <w:t xml:space="preserve"> higher in </w:t>
      </w:r>
      <w:r w:rsidR="005E36D8">
        <w:t xml:space="preserve">the </w:t>
      </w:r>
      <w:r w:rsidR="005F5E9E">
        <w:t xml:space="preserve">Federal electorate of Hinkler </w:t>
      </w:r>
      <w:r w:rsidR="00130498">
        <w:t xml:space="preserve">than </w:t>
      </w:r>
      <w:r w:rsidR="002E32B8">
        <w:t>in the state of Queensland as a whole and Australia</w:t>
      </w:r>
      <w:r w:rsidR="00130498">
        <w:t>.</w:t>
      </w:r>
    </w:p>
    <w:p w14:paraId="7A248B8E" w14:textId="77777777" w:rsidR="00130498" w:rsidRDefault="002E32B8" w:rsidP="00E0362E">
      <w:pPr>
        <w:spacing w:after="120" w:line="240" w:lineRule="auto"/>
        <w:ind w:left="357"/>
        <w:jc w:val="left"/>
      </w:pPr>
      <w:r>
        <w:t>Compared with</w:t>
      </w:r>
      <w:r w:rsidRPr="002E32B8">
        <w:t xml:space="preserve"> the state of Queensland as a whole and Australia</w:t>
      </w:r>
      <w:r w:rsidR="000215F2">
        <w:t xml:space="preserve">, </w:t>
      </w:r>
      <w:r w:rsidR="00130498">
        <w:t xml:space="preserve">the </w:t>
      </w:r>
      <w:r w:rsidR="005F5E9E">
        <w:t xml:space="preserve">Federal electorate of Hinkler </w:t>
      </w:r>
      <w:r w:rsidR="000215F2">
        <w:t>ha</w:t>
      </w:r>
      <w:r w:rsidR="007D1B8E">
        <w:t>d</w:t>
      </w:r>
      <w:r w:rsidR="000215F2">
        <w:t xml:space="preserve"> a bigger proportion of </w:t>
      </w:r>
      <w:r w:rsidR="00130498">
        <w:t xml:space="preserve">lower </w:t>
      </w:r>
      <w:r w:rsidR="00697A82">
        <w:t xml:space="preserve">skilled </w:t>
      </w:r>
      <w:r w:rsidR="00130498">
        <w:t>occupations</w:t>
      </w:r>
      <w:r w:rsidR="007D1B8E">
        <w:t xml:space="preserve"> in 2016</w:t>
      </w:r>
      <w:r w:rsidR="000215F2">
        <w:t>.</w:t>
      </w:r>
      <w:r w:rsidR="00697A82">
        <w:t xml:space="preserve"> </w:t>
      </w:r>
    </w:p>
    <w:p w14:paraId="670AC630" w14:textId="77777777" w:rsidR="00130498" w:rsidRDefault="007D1B8E" w:rsidP="00E0362E">
      <w:pPr>
        <w:spacing w:after="120" w:line="240" w:lineRule="auto"/>
        <w:ind w:left="357"/>
        <w:jc w:val="left"/>
      </w:pPr>
      <w:r>
        <w:t>In 2016, t</w:t>
      </w:r>
      <w:r w:rsidR="00130498">
        <w:t xml:space="preserve">he two most prevalent industries of employment </w:t>
      </w:r>
      <w:r>
        <w:t>were</w:t>
      </w:r>
      <w:r w:rsidR="00130498">
        <w:t xml:space="preserve"> the same for the</w:t>
      </w:r>
      <w:r w:rsidR="00D508FB">
        <w:t xml:space="preserve"> Federal electorate of</w:t>
      </w:r>
      <w:r w:rsidR="00130498">
        <w:t xml:space="preserve"> Hinkler, </w:t>
      </w:r>
      <w:r w:rsidR="007846D7">
        <w:t xml:space="preserve">the state of </w:t>
      </w:r>
      <w:r w:rsidR="00130498">
        <w:t xml:space="preserve">Queensland </w:t>
      </w:r>
      <w:r w:rsidR="007846D7">
        <w:t xml:space="preserve">as a whole </w:t>
      </w:r>
      <w:r w:rsidR="00130498">
        <w:t>and Australia</w:t>
      </w:r>
      <w:r w:rsidR="00697A82">
        <w:t xml:space="preserve"> (</w:t>
      </w:r>
      <w:r w:rsidR="007846D7">
        <w:t>‘</w:t>
      </w:r>
      <w:r w:rsidR="00697A82">
        <w:t>Health care and social assistance</w:t>
      </w:r>
      <w:r w:rsidR="007846D7">
        <w:t>’</w:t>
      </w:r>
      <w:r w:rsidR="00697A82">
        <w:t xml:space="preserve"> and </w:t>
      </w:r>
      <w:r w:rsidR="007846D7">
        <w:t>‘</w:t>
      </w:r>
      <w:r w:rsidR="00697A82">
        <w:t>Retail trade</w:t>
      </w:r>
      <w:r w:rsidR="007846D7">
        <w:t>’</w:t>
      </w:r>
      <w:r w:rsidR="00697A82">
        <w:t>).</w:t>
      </w:r>
    </w:p>
    <w:p w14:paraId="2362062B" w14:textId="77777777" w:rsidR="00130498" w:rsidRDefault="00130498" w:rsidP="00E0362E">
      <w:pPr>
        <w:pStyle w:val="IntenseQuote"/>
        <w:ind w:left="426"/>
        <w:jc w:val="left"/>
      </w:pPr>
      <w:r w:rsidRPr="00A4064D">
        <w:rPr>
          <w:color w:val="2F5496" w:themeColor="accent5" w:themeShade="BF"/>
        </w:rPr>
        <w:t>Household characteristics:</w:t>
      </w:r>
    </w:p>
    <w:p w14:paraId="0293543A" w14:textId="77777777" w:rsidR="00130498" w:rsidRDefault="00F11281" w:rsidP="00E0362E">
      <w:pPr>
        <w:spacing w:after="120" w:line="240" w:lineRule="auto"/>
        <w:ind w:left="357"/>
        <w:jc w:val="left"/>
      </w:pPr>
      <w:r>
        <w:t>In 2016, c</w:t>
      </w:r>
      <w:r w:rsidR="00130498">
        <w:t xml:space="preserve">ompared with </w:t>
      </w:r>
      <w:r w:rsidR="007846D7">
        <w:t xml:space="preserve">the state of </w:t>
      </w:r>
      <w:r w:rsidR="00130498">
        <w:t xml:space="preserve">Queensland </w:t>
      </w:r>
      <w:r w:rsidR="007846D7">
        <w:t xml:space="preserve">as a whole </w:t>
      </w:r>
      <w:r w:rsidR="00130498">
        <w:t xml:space="preserve">and Australia, </w:t>
      </w:r>
      <w:r w:rsidR="00A30A66">
        <w:t>the</w:t>
      </w:r>
      <w:r w:rsidR="00D508FB">
        <w:t xml:space="preserve"> Federal electorate of</w:t>
      </w:r>
      <w:r w:rsidR="00A30A66">
        <w:t xml:space="preserve"> </w:t>
      </w:r>
      <w:r w:rsidR="00130498">
        <w:t>Hinkler</w:t>
      </w:r>
      <w:r w:rsidR="00A30A66">
        <w:t xml:space="preserve"> </w:t>
      </w:r>
      <w:r w:rsidR="00130498">
        <w:t>consist</w:t>
      </w:r>
      <w:r w:rsidR="007D1B8E">
        <w:t>ed</w:t>
      </w:r>
      <w:r w:rsidR="00130498">
        <w:t xml:space="preserve"> of a larger proportion of </w:t>
      </w:r>
      <w:r w:rsidR="00697A82">
        <w:t>‘lone person’</w:t>
      </w:r>
      <w:r w:rsidR="00130498">
        <w:t xml:space="preserve"> and </w:t>
      </w:r>
      <w:r w:rsidR="00697A82">
        <w:t>‘</w:t>
      </w:r>
      <w:r w:rsidR="00130498">
        <w:t>couple family with no children</w:t>
      </w:r>
      <w:r w:rsidR="00697A82">
        <w:t>’ households</w:t>
      </w:r>
      <w:r w:rsidR="00130498">
        <w:t>, and a small</w:t>
      </w:r>
      <w:r w:rsidR="00697A82">
        <w:t>er</w:t>
      </w:r>
      <w:r w:rsidR="00130498">
        <w:t xml:space="preserve"> proportion of </w:t>
      </w:r>
      <w:r w:rsidR="00E82B9B">
        <w:t>‘</w:t>
      </w:r>
      <w:r w:rsidR="00130498">
        <w:t>couple famil</w:t>
      </w:r>
      <w:r w:rsidR="00E82B9B">
        <w:t>y</w:t>
      </w:r>
      <w:r w:rsidR="00130498">
        <w:t xml:space="preserve"> with children</w:t>
      </w:r>
      <w:r w:rsidR="00E82B9B">
        <w:t>’ households</w:t>
      </w:r>
      <w:r w:rsidR="00130498">
        <w:t>.</w:t>
      </w:r>
    </w:p>
    <w:p w14:paraId="6912D5D0" w14:textId="77777777" w:rsidR="00130498" w:rsidRDefault="00E82B9B" w:rsidP="00E0362E">
      <w:pPr>
        <w:spacing w:after="120" w:line="240" w:lineRule="auto"/>
        <w:ind w:left="357"/>
        <w:jc w:val="left"/>
      </w:pPr>
      <w:r>
        <w:t xml:space="preserve">There </w:t>
      </w:r>
      <w:r w:rsidR="007D1B8E">
        <w:t>was</w:t>
      </w:r>
      <w:r w:rsidR="00130498">
        <w:t xml:space="preserve"> a higher proportion of dwellings owned outright in </w:t>
      </w:r>
      <w:r w:rsidR="00A30A66">
        <w:t>the</w:t>
      </w:r>
      <w:r w:rsidR="000A2B22">
        <w:t xml:space="preserve"> Federal</w:t>
      </w:r>
      <w:r w:rsidR="00A30A66">
        <w:t xml:space="preserve"> </w:t>
      </w:r>
      <w:r w:rsidR="000A2B22">
        <w:t xml:space="preserve">electorate of </w:t>
      </w:r>
      <w:r w:rsidR="00130498">
        <w:t>Hinkler</w:t>
      </w:r>
      <w:r w:rsidR="00A30A66">
        <w:t xml:space="preserve"> </w:t>
      </w:r>
      <w:r w:rsidR="007D1B8E">
        <w:t>in 2016</w:t>
      </w:r>
      <w:r w:rsidR="00C063FF">
        <w:t xml:space="preserve"> </w:t>
      </w:r>
      <w:r w:rsidR="00130498">
        <w:t>than in</w:t>
      </w:r>
      <w:r w:rsidR="007846D7">
        <w:t xml:space="preserve"> the state of </w:t>
      </w:r>
      <w:r w:rsidR="00130498">
        <w:t xml:space="preserve">Queensland </w:t>
      </w:r>
      <w:r w:rsidR="007846D7">
        <w:t xml:space="preserve">as a whole </w:t>
      </w:r>
      <w:r w:rsidR="00130498">
        <w:t>and Australia.</w:t>
      </w:r>
    </w:p>
    <w:p w14:paraId="12A174DE" w14:textId="77777777" w:rsidR="00130498" w:rsidRDefault="007D1B8E" w:rsidP="00E0362E">
      <w:pPr>
        <w:spacing w:after="120" w:line="240" w:lineRule="auto"/>
        <w:ind w:left="357"/>
        <w:jc w:val="left"/>
      </w:pPr>
      <w:r>
        <w:t>In 2016, t</w:t>
      </w:r>
      <w:r w:rsidR="00130498">
        <w:t xml:space="preserve">he median household income, mortgage repayment and rent in </w:t>
      </w:r>
      <w:r w:rsidR="00A30A66">
        <w:t xml:space="preserve">the </w:t>
      </w:r>
      <w:r w:rsidR="00A15BD9">
        <w:t xml:space="preserve">Federal electorate of </w:t>
      </w:r>
      <w:r w:rsidR="00130498">
        <w:t>Hinkler</w:t>
      </w:r>
      <w:r w:rsidR="00A30A66">
        <w:t xml:space="preserve"> </w:t>
      </w:r>
      <w:r>
        <w:t>were</w:t>
      </w:r>
      <w:r w:rsidR="00130498">
        <w:t xml:space="preserve"> all substantially lower than the corresponding figures in </w:t>
      </w:r>
      <w:r w:rsidR="007846D7">
        <w:t xml:space="preserve">the state of </w:t>
      </w:r>
      <w:r w:rsidR="00E82B9B">
        <w:t xml:space="preserve">Queensland </w:t>
      </w:r>
      <w:r w:rsidR="007846D7">
        <w:t xml:space="preserve">as a whole </w:t>
      </w:r>
      <w:r w:rsidR="00E82B9B">
        <w:t>and Australia</w:t>
      </w:r>
      <w:r w:rsidR="00130498">
        <w:t>.</w:t>
      </w:r>
    </w:p>
    <w:p w14:paraId="570D2D22" w14:textId="77777777" w:rsidR="00130498" w:rsidRDefault="00130498" w:rsidP="00E0362E">
      <w:pPr>
        <w:spacing w:after="120" w:line="240" w:lineRule="auto"/>
        <w:ind w:left="357"/>
        <w:jc w:val="left"/>
      </w:pPr>
      <w:r>
        <w:t xml:space="preserve">The proportion of homeless people </w:t>
      </w:r>
      <w:r w:rsidR="007D1B8E">
        <w:t>was</w:t>
      </w:r>
      <w:r>
        <w:t xml:space="preserve"> similar between the </w:t>
      </w:r>
      <w:r w:rsidR="00FE7B5B">
        <w:t xml:space="preserve">Bundaberg and Hervey Bay </w:t>
      </w:r>
      <w:r>
        <w:t xml:space="preserve">region, </w:t>
      </w:r>
      <w:r w:rsidR="007846D7">
        <w:t xml:space="preserve">the state of </w:t>
      </w:r>
      <w:r>
        <w:t xml:space="preserve">Queensland </w:t>
      </w:r>
      <w:r w:rsidR="007846D7">
        <w:t xml:space="preserve">as a whole </w:t>
      </w:r>
      <w:r>
        <w:t>and Australia</w:t>
      </w:r>
      <w:r w:rsidR="007D1B8E">
        <w:t xml:space="preserve"> in 2016</w:t>
      </w:r>
      <w:r>
        <w:t xml:space="preserve">, but there </w:t>
      </w:r>
      <w:r w:rsidR="007D1B8E">
        <w:t>was</w:t>
      </w:r>
      <w:r>
        <w:t xml:space="preserve"> a considerable difference in terms of the </w:t>
      </w:r>
      <w:r w:rsidR="00E82B9B">
        <w:t>type of homelessness</w:t>
      </w:r>
      <w:r>
        <w:t>.</w:t>
      </w:r>
      <w:r w:rsidR="005325D3">
        <w:rPr>
          <w:rStyle w:val="FootnoteReference"/>
        </w:rPr>
        <w:footnoteReference w:id="3"/>
      </w:r>
    </w:p>
    <w:p w14:paraId="2F894BF1" w14:textId="77777777" w:rsidR="00130498" w:rsidRDefault="00E82B9B" w:rsidP="00E0362E">
      <w:pPr>
        <w:pStyle w:val="IntenseQuote"/>
        <w:ind w:left="426"/>
        <w:jc w:val="left"/>
      </w:pPr>
      <w:r w:rsidRPr="00A4064D">
        <w:rPr>
          <w:color w:val="2F5496" w:themeColor="accent5" w:themeShade="BF"/>
        </w:rPr>
        <w:lastRenderedPageBreak/>
        <w:t>Socio-</w:t>
      </w:r>
      <w:r w:rsidR="00130498" w:rsidRPr="00A4064D">
        <w:rPr>
          <w:color w:val="2F5496" w:themeColor="accent5" w:themeShade="BF"/>
        </w:rPr>
        <w:t>economic status</w:t>
      </w:r>
      <w:r w:rsidR="00356BD2" w:rsidRPr="00A4064D">
        <w:rPr>
          <w:color w:val="2F5496" w:themeColor="accent5" w:themeShade="BF"/>
        </w:rPr>
        <w:t>:</w:t>
      </w:r>
    </w:p>
    <w:p w14:paraId="4133272E" w14:textId="77777777" w:rsidR="00E82B9B" w:rsidRDefault="00F11281" w:rsidP="00E0362E">
      <w:pPr>
        <w:spacing w:after="120" w:line="240" w:lineRule="auto"/>
        <w:ind w:left="357"/>
        <w:jc w:val="left"/>
      </w:pPr>
      <w:r>
        <w:t>In 2016, c</w:t>
      </w:r>
      <w:r w:rsidR="00130498">
        <w:t xml:space="preserve">ompared with </w:t>
      </w:r>
      <w:r w:rsidR="007846D7">
        <w:t xml:space="preserve">the state </w:t>
      </w:r>
      <w:proofErr w:type="gramStart"/>
      <w:r w:rsidR="007846D7">
        <w:t xml:space="preserve">of </w:t>
      </w:r>
      <w:r w:rsidR="0097694E">
        <w:t xml:space="preserve"> </w:t>
      </w:r>
      <w:r w:rsidR="00130498">
        <w:t>Queensland</w:t>
      </w:r>
      <w:proofErr w:type="gramEnd"/>
      <w:r w:rsidR="00130498">
        <w:t xml:space="preserve"> </w:t>
      </w:r>
      <w:r w:rsidR="007846D7">
        <w:t xml:space="preserve">as a whole </w:t>
      </w:r>
      <w:r w:rsidR="00130498">
        <w:t>and Australia, a substantially larger proportion of the population in</w:t>
      </w:r>
      <w:r w:rsidR="00A30A66">
        <w:t xml:space="preserve"> the</w:t>
      </w:r>
      <w:r w:rsidR="00130498">
        <w:t xml:space="preserve"> </w:t>
      </w:r>
      <w:r w:rsidR="00A15BD9">
        <w:t xml:space="preserve">Federal electorate of </w:t>
      </w:r>
      <w:r w:rsidR="00130498">
        <w:t>Hinkler</w:t>
      </w:r>
      <w:r w:rsidR="00A30A66" w:rsidRPr="00A30A66">
        <w:t xml:space="preserve"> </w:t>
      </w:r>
      <w:r w:rsidR="00130498">
        <w:t>l</w:t>
      </w:r>
      <w:r w:rsidR="00E82B9B">
        <w:t>ive</w:t>
      </w:r>
      <w:r w:rsidR="007D1B8E">
        <w:t>d</w:t>
      </w:r>
      <w:r w:rsidR="00E82B9B">
        <w:t xml:space="preserve"> in relative socio-economic disadvantage.</w:t>
      </w:r>
    </w:p>
    <w:p w14:paraId="6272E640" w14:textId="77777777" w:rsidR="00446218" w:rsidRDefault="00E82B9B" w:rsidP="00E0362E">
      <w:pPr>
        <w:spacing w:after="120" w:line="240" w:lineRule="auto"/>
        <w:ind w:left="357"/>
        <w:jc w:val="left"/>
      </w:pPr>
      <w:r>
        <w:t>The</w:t>
      </w:r>
      <w:r w:rsidR="007846D7">
        <w:t xml:space="preserve"> national deciles representing the</w:t>
      </w:r>
      <w:r>
        <w:t xml:space="preserve"> highest</w:t>
      </w:r>
      <w:r w:rsidR="007846D7">
        <w:t xml:space="preserve"> levels of socio-economic</w:t>
      </w:r>
      <w:r>
        <w:t xml:space="preserve"> disadvantage </w:t>
      </w:r>
      <w:r w:rsidR="007D1B8E">
        <w:t>were</w:t>
      </w:r>
      <w:r>
        <w:t xml:space="preserve"> severely over-represented in the </w:t>
      </w:r>
      <w:r w:rsidR="00A15BD9">
        <w:t>Federal electorate of Hinkler</w:t>
      </w:r>
      <w:r w:rsidR="00A15BD9" w:rsidDel="00A15BD9">
        <w:t xml:space="preserve"> </w:t>
      </w:r>
      <w:r w:rsidR="007D1B8E">
        <w:t>in 2016</w:t>
      </w:r>
      <w:r>
        <w:t>.</w:t>
      </w:r>
    </w:p>
    <w:p w14:paraId="6CF81D95" w14:textId="77777777" w:rsidR="00130498" w:rsidRDefault="00E82B9B" w:rsidP="00E0362E">
      <w:pPr>
        <w:spacing w:after="120" w:line="240" w:lineRule="auto"/>
        <w:ind w:left="357"/>
        <w:jc w:val="left"/>
      </w:pPr>
      <w:r>
        <w:t>The</w:t>
      </w:r>
      <w:r w:rsidR="007846D7">
        <w:t xml:space="preserve"> national deciles representing the </w:t>
      </w:r>
      <w:r>
        <w:t xml:space="preserve">lowest </w:t>
      </w:r>
      <w:r w:rsidR="007846D7">
        <w:t xml:space="preserve">levels of socio-economic </w:t>
      </w:r>
      <w:r>
        <w:t xml:space="preserve">disadvantage </w:t>
      </w:r>
      <w:r w:rsidR="007D1B8E">
        <w:t>were</w:t>
      </w:r>
      <w:r>
        <w:t xml:space="preserve"> severely under-represented in the </w:t>
      </w:r>
      <w:r w:rsidR="00A15BD9">
        <w:t>Federal electorate of Hinkler</w:t>
      </w:r>
      <w:r w:rsidR="007D1B8E">
        <w:t xml:space="preserve"> in 2016</w:t>
      </w:r>
      <w:r>
        <w:t>.</w:t>
      </w:r>
    </w:p>
    <w:p w14:paraId="0593D265" w14:textId="77777777" w:rsidR="00130498" w:rsidRDefault="00130498" w:rsidP="00E0362E">
      <w:pPr>
        <w:pStyle w:val="IntenseQuote"/>
        <w:ind w:left="426"/>
        <w:jc w:val="left"/>
      </w:pPr>
      <w:r w:rsidRPr="00A4064D">
        <w:rPr>
          <w:color w:val="2F5496" w:themeColor="accent5" w:themeShade="BF"/>
        </w:rPr>
        <w:t>Education and training</w:t>
      </w:r>
      <w:r w:rsidR="00356BD2" w:rsidRPr="00A4064D">
        <w:rPr>
          <w:color w:val="2F5496" w:themeColor="accent5" w:themeShade="BF"/>
        </w:rPr>
        <w:t>:</w:t>
      </w:r>
    </w:p>
    <w:p w14:paraId="12FB2A83" w14:textId="77777777" w:rsidR="00130498" w:rsidRDefault="007846D7" w:rsidP="00E0362E">
      <w:pPr>
        <w:spacing w:after="120" w:line="240" w:lineRule="auto"/>
        <w:ind w:left="357"/>
        <w:jc w:val="left"/>
      </w:pPr>
      <w:r>
        <w:t xml:space="preserve">On average, the </w:t>
      </w:r>
      <w:r w:rsidR="00130498">
        <w:t xml:space="preserve">education level of the population in the </w:t>
      </w:r>
      <w:bookmarkStart w:id="0" w:name="_Hlk36154422"/>
      <w:r w:rsidR="00A15BD9">
        <w:t>Federal electorate of Hinkler</w:t>
      </w:r>
      <w:r w:rsidR="00A15BD9" w:rsidDel="00A15BD9">
        <w:t xml:space="preserve"> </w:t>
      </w:r>
      <w:bookmarkEnd w:id="0"/>
      <w:r w:rsidR="00F11281">
        <w:t>in 2016</w:t>
      </w:r>
      <w:r w:rsidR="005F5E9E">
        <w:t xml:space="preserve"> </w:t>
      </w:r>
      <w:r w:rsidR="006E2B85">
        <w:t>was</w:t>
      </w:r>
      <w:r w:rsidR="00130498">
        <w:t xml:space="preserve"> substantially lower than </w:t>
      </w:r>
      <w:r w:rsidR="00E82B9B">
        <w:t xml:space="preserve">in </w:t>
      </w:r>
      <w:r>
        <w:t xml:space="preserve">the state of </w:t>
      </w:r>
      <w:r w:rsidR="00E82B9B">
        <w:t xml:space="preserve">Queensland </w:t>
      </w:r>
      <w:r>
        <w:t xml:space="preserve">as a whole </w:t>
      </w:r>
      <w:r w:rsidR="00E82B9B">
        <w:t>and Australia</w:t>
      </w:r>
      <w:r w:rsidR="00130498">
        <w:t>.</w:t>
      </w:r>
    </w:p>
    <w:p w14:paraId="489A9172" w14:textId="77777777" w:rsidR="009964D8" w:rsidRDefault="006E2B85" w:rsidP="0012751A">
      <w:pPr>
        <w:spacing w:after="120" w:line="240" w:lineRule="auto"/>
        <w:ind w:left="357"/>
        <w:jc w:val="left"/>
      </w:pPr>
      <w:r>
        <w:t>In 2016, t</w:t>
      </w:r>
      <w:r w:rsidR="009964D8">
        <w:t xml:space="preserve">he </w:t>
      </w:r>
      <w:r w:rsidR="000445D5">
        <w:t>level of the highest attained qualification in</w:t>
      </w:r>
      <w:r w:rsidR="009964D8">
        <w:t xml:space="preserve"> the</w:t>
      </w:r>
      <w:r w:rsidR="000445D5">
        <w:t xml:space="preserve"> F</w:t>
      </w:r>
      <w:r w:rsidR="009964D8">
        <w:t>ederal electorate</w:t>
      </w:r>
      <w:r w:rsidR="000445D5">
        <w:t xml:space="preserve"> of Hinkler</w:t>
      </w:r>
      <w:r w:rsidR="009964D8">
        <w:t xml:space="preserve"> </w:t>
      </w:r>
      <w:r>
        <w:t>was</w:t>
      </w:r>
      <w:r w:rsidR="009964D8">
        <w:t xml:space="preserve"> considerably lower than the national and Queensland state </w:t>
      </w:r>
      <w:r w:rsidR="004A2D51">
        <w:t>comparators</w:t>
      </w:r>
      <w:r w:rsidR="009964D8">
        <w:t>. At the highest level of qualifications, t</w:t>
      </w:r>
      <w:r w:rsidR="000215F2">
        <w:t xml:space="preserve">he proportion of university graduates </w:t>
      </w:r>
      <w:r w:rsidR="004A2D51">
        <w:t>(12</w:t>
      </w:r>
      <w:r w:rsidR="005C6B63">
        <w:t>.0</w:t>
      </w:r>
      <w:r w:rsidR="004A2D51">
        <w:t xml:space="preserve"> per cent) </w:t>
      </w:r>
      <w:r w:rsidR="000215F2">
        <w:t xml:space="preserve">in the </w:t>
      </w:r>
      <w:r w:rsidR="00A15BD9">
        <w:t>Federal electorate of Hinkler</w:t>
      </w:r>
      <w:r w:rsidR="00A15BD9" w:rsidDel="00A15BD9">
        <w:t xml:space="preserve"> </w:t>
      </w:r>
      <w:r>
        <w:t>was</w:t>
      </w:r>
      <w:r w:rsidR="000215F2">
        <w:t xml:space="preserve"> </w:t>
      </w:r>
      <w:r w:rsidR="004A2D51">
        <w:t xml:space="preserve">about </w:t>
      </w:r>
      <w:r w:rsidR="000215F2">
        <w:t xml:space="preserve">half </w:t>
      </w:r>
      <w:r w:rsidR="009964D8">
        <w:t xml:space="preserve">the </w:t>
      </w:r>
      <w:r w:rsidR="004A2D51">
        <w:t xml:space="preserve">Queensland state (21.2 per cent) and the </w:t>
      </w:r>
      <w:r w:rsidR="009964D8">
        <w:t xml:space="preserve">national </w:t>
      </w:r>
      <w:r w:rsidR="004A2D51">
        <w:t>comparators (25.5 per cent)</w:t>
      </w:r>
      <w:r w:rsidR="009964D8">
        <w:t xml:space="preserve">. At the lowest level of qualifications, the proportion of those with Year 11 or less schooling </w:t>
      </w:r>
      <w:r>
        <w:t>was</w:t>
      </w:r>
      <w:r w:rsidR="000B2D88">
        <w:t xml:space="preserve"> 40</w:t>
      </w:r>
      <w:r w:rsidR="009964D8">
        <w:t xml:space="preserve"> per cent in the </w:t>
      </w:r>
      <w:r w:rsidR="00A15BD9">
        <w:t>Federal electorate of Hinkler</w:t>
      </w:r>
      <w:r w:rsidR="00A15BD9" w:rsidDel="00A15BD9">
        <w:t xml:space="preserve"> </w:t>
      </w:r>
      <w:r w:rsidR="009964D8">
        <w:t>c</w:t>
      </w:r>
      <w:r w:rsidR="000B2D88">
        <w:t>ompared with 28</w:t>
      </w:r>
      <w:r w:rsidR="009964D8">
        <w:t xml:space="preserve"> per cent </w:t>
      </w:r>
      <w:r w:rsidR="000B2D88">
        <w:t xml:space="preserve">for both </w:t>
      </w:r>
      <w:r w:rsidR="009964D8">
        <w:t xml:space="preserve">the national and Queensland state </w:t>
      </w:r>
      <w:r w:rsidR="004A2D51">
        <w:t>comparators</w:t>
      </w:r>
      <w:r w:rsidR="009964D8">
        <w:t xml:space="preserve">. </w:t>
      </w:r>
      <w:r w:rsidR="004A2D51">
        <w:t>Low qualifications levels in the population are widely understood to be both a reflection and a cause of low regional economic current growth and future growth potential.</w:t>
      </w:r>
      <w:r w:rsidR="00061D38">
        <w:rPr>
          <w:rStyle w:val="FootnoteReference"/>
        </w:rPr>
        <w:footnoteReference w:id="4"/>
      </w:r>
    </w:p>
    <w:p w14:paraId="6CCAA28B" w14:textId="77777777" w:rsidR="00130498" w:rsidRDefault="00F11281" w:rsidP="00E0362E">
      <w:pPr>
        <w:spacing w:after="120" w:line="240" w:lineRule="auto"/>
        <w:ind w:left="357"/>
        <w:jc w:val="left"/>
      </w:pPr>
      <w:r>
        <w:t>From 2015 to 2018, t</w:t>
      </w:r>
      <w:r w:rsidR="00130498">
        <w:t xml:space="preserve">he school attendance rate in the </w:t>
      </w:r>
      <w:r w:rsidR="00FE7B5B">
        <w:t>Bundaberg and Hervey Bay</w:t>
      </w:r>
      <w:r w:rsidR="00130498">
        <w:t xml:space="preserve"> region (for both </w:t>
      </w:r>
      <w:r w:rsidR="00356BD2">
        <w:t>‘</w:t>
      </w:r>
      <w:r w:rsidR="00130498">
        <w:t>Bundaberg</w:t>
      </w:r>
      <w:r w:rsidR="00356BD2">
        <w:t>’</w:t>
      </w:r>
      <w:r w:rsidR="00130498">
        <w:t xml:space="preserve"> and </w:t>
      </w:r>
      <w:r w:rsidR="00356BD2">
        <w:t>‘</w:t>
      </w:r>
      <w:r w:rsidR="00130498">
        <w:t>Fraser Coast</w:t>
      </w:r>
      <w:r w:rsidR="00356BD2">
        <w:t>’</w:t>
      </w:r>
      <w:r w:rsidR="00130498">
        <w:t xml:space="preserve">) </w:t>
      </w:r>
      <w:r w:rsidR="006E2B85">
        <w:t>was</w:t>
      </w:r>
      <w:r w:rsidR="00130498">
        <w:t xml:space="preserve"> lower than the</w:t>
      </w:r>
      <w:r w:rsidR="007846D7">
        <w:t xml:space="preserve"> average for the state of</w:t>
      </w:r>
      <w:r w:rsidR="00130498">
        <w:t xml:space="preserve"> Queensland </w:t>
      </w:r>
      <w:r w:rsidR="007846D7">
        <w:t>as a whole</w:t>
      </w:r>
      <w:r w:rsidR="00130498">
        <w:t>.</w:t>
      </w:r>
      <w:r w:rsidR="00386CBC">
        <w:rPr>
          <w:rStyle w:val="FootnoteReference"/>
        </w:rPr>
        <w:footnoteReference w:id="5"/>
      </w:r>
    </w:p>
    <w:p w14:paraId="34CAB06C" w14:textId="77777777" w:rsidR="00130498" w:rsidRDefault="007D1B8E" w:rsidP="00E0362E">
      <w:pPr>
        <w:spacing w:after="120" w:line="240" w:lineRule="auto"/>
        <w:ind w:left="357"/>
        <w:jc w:val="left"/>
      </w:pPr>
      <w:r>
        <w:t>In 2016, t</w:t>
      </w:r>
      <w:r w:rsidR="00130498">
        <w:t xml:space="preserve">he proportion of people who enrolled in </w:t>
      </w:r>
      <w:r w:rsidR="006A6F3F">
        <w:t>Vocational Education and Training (</w:t>
      </w:r>
      <w:r w:rsidR="00130498">
        <w:t>VET</w:t>
      </w:r>
      <w:r w:rsidR="006A6F3F">
        <w:t>)</w:t>
      </w:r>
      <w:r w:rsidR="00130498">
        <w:t xml:space="preserve"> and the proportion who completed </w:t>
      </w:r>
      <w:r w:rsidR="006A6F3F">
        <w:t xml:space="preserve">VET </w:t>
      </w:r>
      <w:r w:rsidR="00130498">
        <w:t xml:space="preserve">in the </w:t>
      </w:r>
      <w:r w:rsidR="00FE7B5B">
        <w:t>Bundaberg and Hervey Bay</w:t>
      </w:r>
      <w:r w:rsidR="00FE7B5B" w:rsidDel="00FE7B5B">
        <w:t xml:space="preserve"> </w:t>
      </w:r>
      <w:r w:rsidR="00130498">
        <w:t xml:space="preserve">region </w:t>
      </w:r>
      <w:r w:rsidR="006E2B85">
        <w:t>were</w:t>
      </w:r>
      <w:r w:rsidR="00130498">
        <w:t xml:space="preserve"> both modestly lower than the corresponding figure</w:t>
      </w:r>
      <w:r w:rsidR="006A6F3F">
        <w:t>s for the state of</w:t>
      </w:r>
      <w:r w:rsidR="00130498">
        <w:t xml:space="preserve"> Queensland </w:t>
      </w:r>
      <w:r w:rsidR="006A6F3F">
        <w:t xml:space="preserve">as a whole </w:t>
      </w:r>
      <w:r w:rsidR="00130498">
        <w:t xml:space="preserve">but </w:t>
      </w:r>
      <w:r w:rsidR="006E2B85">
        <w:t>were</w:t>
      </w:r>
      <w:r w:rsidR="006A6F3F">
        <w:t xml:space="preserve"> </w:t>
      </w:r>
      <w:r w:rsidR="00130498">
        <w:t xml:space="preserve">higher than the </w:t>
      </w:r>
      <w:r w:rsidR="006A6F3F">
        <w:t xml:space="preserve">proportions </w:t>
      </w:r>
      <w:r w:rsidR="00130498">
        <w:t>for Australia as a whole.</w:t>
      </w:r>
    </w:p>
    <w:p w14:paraId="5EDEF7DF" w14:textId="77777777" w:rsidR="00130498" w:rsidRDefault="00130498" w:rsidP="00E0362E">
      <w:pPr>
        <w:spacing w:after="120" w:line="240" w:lineRule="auto"/>
        <w:ind w:left="357"/>
        <w:jc w:val="left"/>
      </w:pPr>
      <w:r>
        <w:t xml:space="preserve">The </w:t>
      </w:r>
      <w:r w:rsidR="0012751A">
        <w:t xml:space="preserve">qualification </w:t>
      </w:r>
      <w:r>
        <w:t xml:space="preserve">level of VET training </w:t>
      </w:r>
      <w:r w:rsidR="00D06AE9">
        <w:t xml:space="preserve">(both </w:t>
      </w:r>
      <w:r w:rsidR="00386CBC">
        <w:t>enrol</w:t>
      </w:r>
      <w:r w:rsidR="00D06AE9">
        <w:t>ments and</w:t>
      </w:r>
      <w:r w:rsidR="00386CBC">
        <w:t xml:space="preserve"> </w:t>
      </w:r>
      <w:r w:rsidR="00690E85">
        <w:t xml:space="preserve">more so </w:t>
      </w:r>
      <w:r w:rsidR="00386CBC">
        <w:t>complet</w:t>
      </w:r>
      <w:r w:rsidR="00D06AE9">
        <w:t>ions)</w:t>
      </w:r>
      <w:r>
        <w:t xml:space="preserve"> by students from the </w:t>
      </w:r>
      <w:r w:rsidR="00FE7B5B">
        <w:t>Bundaberg and Hervey Bay</w:t>
      </w:r>
      <w:r w:rsidR="00FE7B5B" w:rsidDel="00FE7B5B">
        <w:t xml:space="preserve"> </w:t>
      </w:r>
      <w:r>
        <w:t xml:space="preserve">region </w:t>
      </w:r>
      <w:r w:rsidR="006E2B85">
        <w:t>was</w:t>
      </w:r>
      <w:r>
        <w:t xml:space="preserve"> relatively lower, compared </w:t>
      </w:r>
      <w:r w:rsidR="00D06AE9">
        <w:t xml:space="preserve">with </w:t>
      </w:r>
      <w:r w:rsidR="006A6F3F">
        <w:t xml:space="preserve">the state of </w:t>
      </w:r>
      <w:r>
        <w:t xml:space="preserve">Queensland </w:t>
      </w:r>
      <w:r w:rsidR="006A6F3F">
        <w:t xml:space="preserve">as a whole </w:t>
      </w:r>
      <w:r>
        <w:t>and Australia.</w:t>
      </w:r>
    </w:p>
    <w:p w14:paraId="2AD821A5" w14:textId="77777777" w:rsidR="00130498" w:rsidRDefault="00130498" w:rsidP="00E0362E">
      <w:pPr>
        <w:spacing w:after="120" w:line="240" w:lineRule="auto"/>
        <w:ind w:left="357"/>
        <w:jc w:val="left"/>
      </w:pPr>
      <w:r>
        <w:t>The distribution of the field</w:t>
      </w:r>
      <w:r w:rsidR="0012751A">
        <w:t>s</w:t>
      </w:r>
      <w:r>
        <w:t xml:space="preserve"> of VET training undertaken and completed appear</w:t>
      </w:r>
      <w:r w:rsidR="006E2B85">
        <w:t>ed</w:t>
      </w:r>
      <w:r>
        <w:t xml:space="preserve"> similar between students from </w:t>
      </w:r>
      <w:r w:rsidR="006A6F3F">
        <w:t xml:space="preserve">the </w:t>
      </w:r>
      <w:r w:rsidR="00FE7B5B">
        <w:t>Bundaberg and Hervey Bay</w:t>
      </w:r>
      <w:r w:rsidR="00FE7B5B" w:rsidDel="00FE7B5B">
        <w:t xml:space="preserve"> </w:t>
      </w:r>
      <w:r>
        <w:t>region,</w:t>
      </w:r>
      <w:r w:rsidR="006A6F3F">
        <w:t xml:space="preserve"> the state of</w:t>
      </w:r>
      <w:r>
        <w:t xml:space="preserve"> Queensland </w:t>
      </w:r>
      <w:r w:rsidR="006A6F3F">
        <w:t xml:space="preserve">as a whole </w:t>
      </w:r>
      <w:r>
        <w:t>and Australia.</w:t>
      </w:r>
    </w:p>
    <w:p w14:paraId="408F858B" w14:textId="77777777" w:rsidR="009164BB" w:rsidRDefault="009164BB" w:rsidP="00356BD2">
      <w:pPr>
        <w:pStyle w:val="IntenseQuote"/>
        <w:ind w:left="426"/>
        <w:jc w:val="left"/>
      </w:pPr>
      <w:r w:rsidRPr="00A4064D">
        <w:rPr>
          <w:color w:val="2F5496" w:themeColor="accent5" w:themeShade="BF"/>
        </w:rPr>
        <w:lastRenderedPageBreak/>
        <w:t xml:space="preserve">Child </w:t>
      </w:r>
      <w:r w:rsidR="00356BD2" w:rsidRPr="00A4064D">
        <w:rPr>
          <w:color w:val="2F5496" w:themeColor="accent5" w:themeShade="BF"/>
        </w:rPr>
        <w:t>d</w:t>
      </w:r>
      <w:r w:rsidRPr="00A4064D">
        <w:rPr>
          <w:color w:val="2F5496" w:themeColor="accent5" w:themeShade="BF"/>
        </w:rPr>
        <w:t>evelopment</w:t>
      </w:r>
      <w:r w:rsidR="00356BD2" w:rsidRPr="00A4064D">
        <w:rPr>
          <w:color w:val="2F5496" w:themeColor="accent5" w:themeShade="BF"/>
        </w:rPr>
        <w:t xml:space="preserve"> outcomes:</w:t>
      </w:r>
    </w:p>
    <w:p w14:paraId="5D02EDBA" w14:textId="77777777" w:rsidR="000C0781" w:rsidRDefault="000C0781" w:rsidP="00E0362E">
      <w:pPr>
        <w:spacing w:after="120" w:line="240" w:lineRule="auto"/>
        <w:ind w:left="357"/>
        <w:jc w:val="left"/>
        <w:rPr>
          <w:rFonts w:cstheme="minorHAnsi"/>
          <w:lang w:val="en-US"/>
        </w:rPr>
      </w:pPr>
      <w:r>
        <w:rPr>
          <w:rFonts w:cstheme="minorHAnsi"/>
          <w:lang w:val="en-US"/>
        </w:rPr>
        <w:t>The</w:t>
      </w:r>
      <w:r w:rsidRPr="00B20592">
        <w:rPr>
          <w:rFonts w:cstheme="minorHAnsi"/>
          <w:lang w:val="en-US"/>
        </w:rPr>
        <w:t xml:space="preserve"> Australian Early Development Census (AEDC)</w:t>
      </w:r>
      <w:r>
        <w:rPr>
          <w:rFonts w:cstheme="minorHAnsi"/>
          <w:lang w:val="en-US"/>
        </w:rPr>
        <w:t xml:space="preserve"> Census identifies vulnerability in children based on five domains of child development outcomes:</w:t>
      </w:r>
      <w:r w:rsidRPr="00B20592">
        <w:rPr>
          <w:rFonts w:cstheme="minorHAnsi"/>
          <w:lang w:val="en-US"/>
        </w:rPr>
        <w:t xml:space="preserve"> physical health and wellbeing, social competence, emotional maturity, language and cognitive skills and communication skills and general knowledge</w:t>
      </w:r>
      <w:r>
        <w:rPr>
          <w:rFonts w:cstheme="minorHAnsi"/>
          <w:lang w:val="en-US"/>
        </w:rPr>
        <w:t>. Based on these five domains, evidence from the AEDC suggests that, in</w:t>
      </w:r>
      <w:r w:rsidRPr="00B20592">
        <w:rPr>
          <w:rFonts w:cstheme="minorHAnsi"/>
          <w:lang w:val="en-US"/>
        </w:rPr>
        <w:t xml:space="preserve"> 2012, 2015 and 2018, a larger proportion of children in the Bundaberg and Hervey Bay</w:t>
      </w:r>
      <w:r w:rsidRPr="00B20592" w:rsidDel="00FE7B5B">
        <w:rPr>
          <w:rFonts w:cstheme="minorHAnsi"/>
          <w:lang w:val="en-US"/>
        </w:rPr>
        <w:t xml:space="preserve"> </w:t>
      </w:r>
      <w:r w:rsidRPr="00B20592">
        <w:rPr>
          <w:rFonts w:cstheme="minorHAnsi"/>
          <w:lang w:val="en-US"/>
        </w:rPr>
        <w:t>region were considered vulnerable</w:t>
      </w:r>
      <w:r>
        <w:rPr>
          <w:rFonts w:cstheme="minorHAnsi"/>
          <w:lang w:val="en-US"/>
        </w:rPr>
        <w:t xml:space="preserve"> than </w:t>
      </w:r>
      <w:r w:rsidRPr="00B20592">
        <w:rPr>
          <w:rFonts w:cstheme="minorHAnsi"/>
          <w:lang w:val="en-US"/>
        </w:rPr>
        <w:t>in the state of Queensl</w:t>
      </w:r>
      <w:r>
        <w:rPr>
          <w:rFonts w:cstheme="minorHAnsi"/>
          <w:lang w:val="en-US"/>
        </w:rPr>
        <w:t>and as a whole and in Australia.</w:t>
      </w:r>
    </w:p>
    <w:p w14:paraId="5466D64E" w14:textId="77777777" w:rsidR="00130498" w:rsidRDefault="00130498" w:rsidP="00E0362E">
      <w:pPr>
        <w:spacing w:after="120" w:line="240" w:lineRule="auto"/>
        <w:ind w:left="357"/>
        <w:jc w:val="left"/>
      </w:pPr>
      <w:r>
        <w:t xml:space="preserve">A larger proportion of children in the </w:t>
      </w:r>
      <w:r w:rsidR="00FE7B5B">
        <w:t>Bundaberg and Hervey Bay</w:t>
      </w:r>
      <w:r w:rsidR="00FE7B5B" w:rsidDel="00FE7B5B">
        <w:t xml:space="preserve"> </w:t>
      </w:r>
      <w:r>
        <w:t xml:space="preserve">region </w:t>
      </w:r>
      <w:r w:rsidR="006E2B85">
        <w:t>were</w:t>
      </w:r>
      <w:r>
        <w:t xml:space="preserve"> </w:t>
      </w:r>
      <w:r w:rsidR="000C0781">
        <w:t xml:space="preserve">considered to be </w:t>
      </w:r>
      <w:r>
        <w:t xml:space="preserve">developmentally vulnerable on </w:t>
      </w:r>
      <w:r w:rsidRPr="000C0781">
        <w:rPr>
          <w:i/>
          <w:iCs/>
        </w:rPr>
        <w:t>one or more</w:t>
      </w:r>
      <w:r>
        <w:t xml:space="preserve"> domains and on </w:t>
      </w:r>
      <w:r w:rsidRPr="000C0781">
        <w:rPr>
          <w:i/>
          <w:iCs/>
        </w:rPr>
        <w:t>two or more</w:t>
      </w:r>
      <w:r>
        <w:t xml:space="preserve"> domains</w:t>
      </w:r>
      <w:r w:rsidR="007D1B8E">
        <w:t xml:space="preserve"> </w:t>
      </w:r>
      <w:r w:rsidR="007D1B8E" w:rsidRPr="007D1B8E">
        <w:t>based on the five domains of child development outcomes identified in th</w:t>
      </w:r>
      <w:r w:rsidR="007D1B8E">
        <w:t>e AEDC.</w:t>
      </w:r>
      <w:r>
        <w:t xml:space="preserve"> These children </w:t>
      </w:r>
      <w:r w:rsidR="006E2B85">
        <w:t>were</w:t>
      </w:r>
      <w:r>
        <w:t xml:space="preserve"> considered to be </w:t>
      </w:r>
      <w:r w:rsidR="006A6F3F">
        <w:t xml:space="preserve">at </w:t>
      </w:r>
      <w:r>
        <w:t>particularly high-risk developmentally.</w:t>
      </w:r>
    </w:p>
    <w:p w14:paraId="08385118" w14:textId="77777777" w:rsidR="0076685B" w:rsidRDefault="000E254D" w:rsidP="00E0362E">
      <w:pPr>
        <w:spacing w:after="120" w:line="240" w:lineRule="auto"/>
        <w:ind w:left="357"/>
        <w:jc w:val="left"/>
      </w:pPr>
      <w:r>
        <w:t xml:space="preserve">Using the </w:t>
      </w:r>
      <w:r w:rsidR="007D1B8E">
        <w:t>AEDC</w:t>
      </w:r>
      <w:r w:rsidR="00C864A2">
        <w:t xml:space="preserve"> (2012,</w:t>
      </w:r>
      <w:r w:rsidR="005C6B63">
        <w:t xml:space="preserve"> 2015 and 2018</w:t>
      </w:r>
      <w:r>
        <w:t>) we find that t</w:t>
      </w:r>
      <w:r w:rsidR="00130498">
        <w:t>he gap in</w:t>
      </w:r>
      <w:r w:rsidR="006A6F3F">
        <w:t xml:space="preserve"> children’s</w:t>
      </w:r>
      <w:r w:rsidR="00130498">
        <w:t xml:space="preserve"> vulnerability between the </w:t>
      </w:r>
      <w:r w:rsidR="00FE7B5B">
        <w:t>Bundaberg and Hervey Bay</w:t>
      </w:r>
      <w:r>
        <w:t xml:space="preserve"> region and the state of Queensland as a whole and Australia</w:t>
      </w:r>
      <w:r w:rsidR="00130498">
        <w:t xml:space="preserve"> ha</w:t>
      </w:r>
      <w:r w:rsidR="006E2B85">
        <w:t>d</w:t>
      </w:r>
      <w:r w:rsidR="00130498">
        <w:t xml:space="preserve"> been widening over time, especially since 2015.</w:t>
      </w:r>
    </w:p>
    <w:p w14:paraId="738BC8A0" w14:textId="77777777" w:rsidR="00130498" w:rsidRDefault="00130498" w:rsidP="00E0362E">
      <w:pPr>
        <w:pStyle w:val="IntenseQuote"/>
        <w:ind w:left="426"/>
        <w:jc w:val="left"/>
      </w:pPr>
      <w:r w:rsidRPr="00A4064D">
        <w:rPr>
          <w:color w:val="2F5496" w:themeColor="accent5" w:themeShade="BF"/>
        </w:rPr>
        <w:t>Demographics, location and types of benefit payment received:</w:t>
      </w:r>
    </w:p>
    <w:p w14:paraId="549CAA32" w14:textId="77777777" w:rsidR="00130498" w:rsidRDefault="00356BD2" w:rsidP="00E0362E">
      <w:pPr>
        <w:spacing w:after="120" w:line="240" w:lineRule="auto"/>
        <w:ind w:left="357"/>
        <w:jc w:val="left"/>
      </w:pPr>
      <w:r>
        <w:t>A l</w:t>
      </w:r>
      <w:r w:rsidR="00242B90">
        <w:t>arge</w:t>
      </w:r>
      <w:r w:rsidR="00130498">
        <w:t xml:space="preserve"> majority (84</w:t>
      </w:r>
      <w:r w:rsidR="0042118C">
        <w:t xml:space="preserve"> per cent</w:t>
      </w:r>
      <w:r w:rsidR="00130498">
        <w:t xml:space="preserve">) of the </w:t>
      </w:r>
      <w:r w:rsidR="00290F96">
        <w:t>CDC participant</w:t>
      </w:r>
      <w:r w:rsidR="00130498">
        <w:t xml:space="preserve">s </w:t>
      </w:r>
      <w:r>
        <w:t xml:space="preserve">who have been triggered onto the CDC in the Bundaberg and Hervey Bay region </w:t>
      </w:r>
      <w:r w:rsidR="00130498">
        <w:t xml:space="preserve">are still living in the </w:t>
      </w:r>
      <w:r w:rsidR="004D75A7">
        <w:t>trial area</w:t>
      </w:r>
      <w:r w:rsidR="00130498">
        <w:t>.</w:t>
      </w:r>
    </w:p>
    <w:p w14:paraId="193A149C" w14:textId="77777777" w:rsidR="00130498" w:rsidRDefault="00242B90" w:rsidP="00E0362E">
      <w:pPr>
        <w:spacing w:after="120" w:line="240" w:lineRule="auto"/>
        <w:ind w:left="357"/>
        <w:jc w:val="left"/>
      </w:pPr>
      <w:r>
        <w:t>About 60</w:t>
      </w:r>
      <w:r w:rsidR="00A05380">
        <w:t xml:space="preserve"> per cent</w:t>
      </w:r>
      <w:r>
        <w:t xml:space="preserve"> </w:t>
      </w:r>
      <w:r w:rsidR="00356BD2">
        <w:t xml:space="preserve">of the CDC participants who have been triggered onto the CDC in the Bundaberg and Hervey Bay region </w:t>
      </w:r>
      <w:r>
        <w:t>are female</w:t>
      </w:r>
      <w:r w:rsidR="00130498">
        <w:t>.</w:t>
      </w:r>
    </w:p>
    <w:p w14:paraId="64357358" w14:textId="77777777" w:rsidR="00626DB8" w:rsidRDefault="00242B90" w:rsidP="00BF4511">
      <w:pPr>
        <w:spacing w:after="120" w:line="240" w:lineRule="auto"/>
        <w:ind w:left="357"/>
        <w:jc w:val="left"/>
      </w:pPr>
      <w:r>
        <w:t xml:space="preserve">Following the design of the roll out, </w:t>
      </w:r>
      <w:r w:rsidR="00BF4511">
        <w:t xml:space="preserve">all CDC participants who were triggered onto the CDC were </w:t>
      </w:r>
      <w:r w:rsidR="00130498">
        <w:t>35 years old</w:t>
      </w:r>
      <w:r w:rsidR="00BF4511">
        <w:t xml:space="preserve"> </w:t>
      </w:r>
      <w:r w:rsidR="00E347F7">
        <w:t xml:space="preserve">or younger </w:t>
      </w:r>
      <w:r w:rsidR="00BF4511">
        <w:t xml:space="preserve">at the time they were triggered. </w:t>
      </w:r>
    </w:p>
    <w:p w14:paraId="7196EC87" w14:textId="77777777" w:rsidR="00626DB8" w:rsidRDefault="00626DB8" w:rsidP="00626DB8">
      <w:pPr>
        <w:spacing w:after="120" w:line="240" w:lineRule="auto"/>
        <w:ind w:left="357"/>
        <w:jc w:val="left"/>
      </w:pPr>
      <w:bookmarkStart w:id="2" w:name="_Hlk37245478"/>
      <w:r>
        <w:rPr>
          <w:rFonts w:cstheme="minorHAnsi"/>
          <w:lang w:val="en-US"/>
        </w:rPr>
        <w:t>Younger age Australian typically have more qualifications than their older counterparts. Despite the younger age of CDC participants, their level of highest education attained is lower than that of the overall population in the Federal electorate of Hinkler.</w:t>
      </w:r>
      <w:bookmarkEnd w:id="2"/>
    </w:p>
    <w:p w14:paraId="45FCF705" w14:textId="77777777" w:rsidR="00BF4511" w:rsidRDefault="00290F96" w:rsidP="00BF4511">
      <w:pPr>
        <w:spacing w:after="120" w:line="240" w:lineRule="auto"/>
        <w:ind w:left="357"/>
        <w:jc w:val="left"/>
      </w:pPr>
      <w:r>
        <w:t>CDC participant</w:t>
      </w:r>
      <w:r w:rsidR="00130498">
        <w:t>s are all concen</w:t>
      </w:r>
      <w:r w:rsidR="00242B90">
        <w:t xml:space="preserve">trated into </w:t>
      </w:r>
      <w:r w:rsidR="00690E85">
        <w:t xml:space="preserve">four </w:t>
      </w:r>
      <w:r w:rsidR="00242B90">
        <w:t>types of benefits:</w:t>
      </w:r>
      <w:r w:rsidR="00130498">
        <w:t xml:space="preserve"> ‘</w:t>
      </w:r>
      <w:proofErr w:type="spellStart"/>
      <w:r w:rsidR="00130498">
        <w:t>N</w:t>
      </w:r>
      <w:r w:rsidR="00242B90">
        <w:t>ewstart</w:t>
      </w:r>
      <w:proofErr w:type="spellEnd"/>
      <w:r w:rsidR="00242B90">
        <w:t xml:space="preserve"> </w:t>
      </w:r>
      <w:r w:rsidR="005C61D2">
        <w:t>A</w:t>
      </w:r>
      <w:r w:rsidR="00242B90">
        <w:t>llowance’, ‘Parenting P</w:t>
      </w:r>
      <w:r w:rsidR="00130498">
        <w:t>aym</w:t>
      </w:r>
      <w:r w:rsidR="00242B90">
        <w:t xml:space="preserve">ent Single’, </w:t>
      </w:r>
      <w:proofErr w:type="gramStart"/>
      <w:r w:rsidR="00242B90">
        <w:t>‘Youth A</w:t>
      </w:r>
      <w:r w:rsidR="00E0362E">
        <w:t xml:space="preserve">llowance’ </w:t>
      </w:r>
      <w:r w:rsidR="00242B90">
        <w:t>and, ‘Parenting</w:t>
      </w:r>
      <w:proofErr w:type="gramEnd"/>
      <w:r w:rsidR="00242B90">
        <w:t xml:space="preserve"> Payment P</w:t>
      </w:r>
      <w:r w:rsidR="00130498">
        <w:t>artnered’.</w:t>
      </w:r>
      <w:r w:rsidR="00BF4511">
        <w:t xml:space="preserve"> These types of income support payments are </w:t>
      </w:r>
      <w:r w:rsidR="007F4E5D">
        <w:t>t</w:t>
      </w:r>
      <w:r w:rsidR="00BF4511">
        <w:t>hose that trigger eligibility</w:t>
      </w:r>
      <w:r w:rsidR="007F4E5D">
        <w:t xml:space="preserve"> for</w:t>
      </w:r>
      <w:r w:rsidR="00BF4511">
        <w:t xml:space="preserve"> the CDC.</w:t>
      </w:r>
    </w:p>
    <w:p w14:paraId="149D5DF3" w14:textId="77777777" w:rsidR="00BF4511" w:rsidRDefault="00130498" w:rsidP="00BF4511">
      <w:pPr>
        <w:spacing w:after="120" w:line="240" w:lineRule="auto"/>
        <w:ind w:left="357"/>
        <w:jc w:val="left"/>
      </w:pPr>
      <w:r>
        <w:t>The distribution of benefit types differ</w:t>
      </w:r>
      <w:r w:rsidR="00A336B0">
        <w:t>s</w:t>
      </w:r>
      <w:r>
        <w:t xml:space="preserve"> considerably by gender and age but not much b</w:t>
      </w:r>
      <w:r w:rsidR="00242B90">
        <w:t>etween the two</w:t>
      </w:r>
      <w:r w:rsidR="00BF4511">
        <w:t xml:space="preserve"> main geographical locations making up the BHB trial site, namely Bundaberg and Hervey Bay.</w:t>
      </w:r>
    </w:p>
    <w:p w14:paraId="7429F2AA" w14:textId="77777777" w:rsidR="00130498" w:rsidRPr="00242B90" w:rsidRDefault="00BF4511" w:rsidP="00E0362E">
      <w:pPr>
        <w:pStyle w:val="IntenseQuote"/>
        <w:ind w:left="426"/>
        <w:jc w:val="left"/>
      </w:pPr>
      <w:r w:rsidRPr="00A4064D">
        <w:rPr>
          <w:color w:val="2F5496" w:themeColor="accent5" w:themeShade="BF"/>
        </w:rPr>
        <w:t>Crisis Payments:</w:t>
      </w:r>
    </w:p>
    <w:p w14:paraId="084F573A" w14:textId="77777777" w:rsidR="00BF4511" w:rsidRDefault="004D75A7" w:rsidP="00BF4511">
      <w:pPr>
        <w:spacing w:after="120" w:line="240" w:lineRule="auto"/>
        <w:ind w:left="357"/>
        <w:jc w:val="left"/>
      </w:pPr>
      <w:r>
        <w:t xml:space="preserve">Using </w:t>
      </w:r>
      <w:r w:rsidR="00F254FE">
        <w:t xml:space="preserve">Australian </w:t>
      </w:r>
      <w:r w:rsidR="00BF4511">
        <w:t xml:space="preserve">Government </w:t>
      </w:r>
      <w:r>
        <w:t>a</w:t>
      </w:r>
      <w:r w:rsidR="00BF4511">
        <w:t>dministrative data</w:t>
      </w:r>
      <w:r>
        <w:t>,</w:t>
      </w:r>
      <w:r w:rsidR="00BF4511">
        <w:t xml:space="preserve"> </w:t>
      </w:r>
      <w:r>
        <w:t>we</w:t>
      </w:r>
      <w:r w:rsidR="00BF4511">
        <w:t xml:space="preserve"> examine</w:t>
      </w:r>
      <w:r>
        <w:t>d</w:t>
      </w:r>
      <w:r w:rsidR="00BF4511">
        <w:t xml:space="preserve"> Crisis Payments.</w:t>
      </w:r>
    </w:p>
    <w:p w14:paraId="66D1FC19" w14:textId="77777777" w:rsidR="00242B90" w:rsidRDefault="00242B90" w:rsidP="00242B90">
      <w:pPr>
        <w:spacing w:after="120" w:line="240" w:lineRule="auto"/>
        <w:ind w:left="357"/>
        <w:jc w:val="left"/>
      </w:pPr>
      <w:r>
        <w:t>Over 10 per</w:t>
      </w:r>
      <w:r w:rsidR="00880F57">
        <w:t xml:space="preserve"> </w:t>
      </w:r>
      <w:r>
        <w:t xml:space="preserve">cent of the </w:t>
      </w:r>
      <w:r w:rsidR="00290F96">
        <w:t>CDC participant</w:t>
      </w:r>
      <w:r>
        <w:t xml:space="preserve">s </w:t>
      </w:r>
      <w:r w:rsidR="004D75A7">
        <w:t xml:space="preserve">triggered onto the card in the Bundaberg and Hervey Bay region </w:t>
      </w:r>
      <w:r>
        <w:t xml:space="preserve">have been granted at least one </w:t>
      </w:r>
      <w:r w:rsidR="00BF4511">
        <w:t>C</w:t>
      </w:r>
      <w:r>
        <w:t xml:space="preserve">risis </w:t>
      </w:r>
      <w:r w:rsidR="00BF4511">
        <w:t>P</w:t>
      </w:r>
      <w:r>
        <w:t>ayment.</w:t>
      </w:r>
    </w:p>
    <w:p w14:paraId="20C1357C" w14:textId="77777777" w:rsidR="00130498" w:rsidRPr="00242B90" w:rsidRDefault="00130498" w:rsidP="00E0362E">
      <w:pPr>
        <w:pStyle w:val="IntenseQuote"/>
        <w:ind w:left="426"/>
        <w:jc w:val="left"/>
      </w:pPr>
      <w:r w:rsidRPr="00A4064D">
        <w:rPr>
          <w:color w:val="2F5496" w:themeColor="accent5" w:themeShade="BF"/>
        </w:rPr>
        <w:lastRenderedPageBreak/>
        <w:t>Benefit cancellations and suspensions</w:t>
      </w:r>
      <w:r w:rsidR="00A336B0" w:rsidRPr="00A4064D">
        <w:rPr>
          <w:color w:val="2F5496" w:themeColor="accent5" w:themeShade="BF"/>
        </w:rPr>
        <w:t>:</w:t>
      </w:r>
    </w:p>
    <w:p w14:paraId="2F2D86D4" w14:textId="77777777" w:rsidR="00242B90" w:rsidRDefault="00D70961" w:rsidP="00E0362E">
      <w:pPr>
        <w:spacing w:after="120" w:line="240" w:lineRule="auto"/>
        <w:ind w:left="357"/>
        <w:jc w:val="left"/>
      </w:pPr>
      <w:r w:rsidRPr="00FD0291">
        <w:t xml:space="preserve">Australian Government administrative </w:t>
      </w:r>
      <w:r w:rsidR="00242B90" w:rsidRPr="00FD0291">
        <w:t>data allows us to examine the different types of benefit payments and their associated cancellations and suspensions.</w:t>
      </w:r>
    </w:p>
    <w:p w14:paraId="009A3003" w14:textId="798F6036" w:rsidR="00BF4511" w:rsidRDefault="00130498" w:rsidP="00BF4511">
      <w:pPr>
        <w:spacing w:after="120" w:line="240" w:lineRule="auto"/>
        <w:ind w:left="357"/>
        <w:jc w:val="left"/>
      </w:pPr>
      <w:r>
        <w:t xml:space="preserve">The total number of suspensions has reduced significantly </w:t>
      </w:r>
      <w:r w:rsidR="00BF4511">
        <w:t>when one compares the one</w:t>
      </w:r>
      <w:r w:rsidR="004D75A7">
        <w:t>-</w:t>
      </w:r>
      <w:r w:rsidR="00BF4511">
        <w:t>year period preceding the roll out of the CDC</w:t>
      </w:r>
      <w:r w:rsidR="004D75A7">
        <w:t xml:space="preserve"> </w:t>
      </w:r>
      <w:r w:rsidR="00BF4511">
        <w:t>(29</w:t>
      </w:r>
      <w:r w:rsidR="00BF4511" w:rsidRPr="00FE0BBD">
        <w:rPr>
          <w:vertAlign w:val="superscript"/>
        </w:rPr>
        <w:t>th</w:t>
      </w:r>
      <w:r w:rsidR="00BF4511">
        <w:t xml:space="preserve"> January 2018 to 28</w:t>
      </w:r>
      <w:r w:rsidR="00BF4511" w:rsidRPr="00FE0BBD">
        <w:rPr>
          <w:vertAlign w:val="superscript"/>
        </w:rPr>
        <w:t>th</w:t>
      </w:r>
      <w:r w:rsidR="00BF4511">
        <w:t xml:space="preserve"> January 2019) and the 12 month</w:t>
      </w:r>
      <w:r w:rsidR="004D75A7">
        <w:t>s</w:t>
      </w:r>
      <w:r w:rsidR="00BF4511">
        <w:t xml:space="preserve"> following the roll out (January 2019 to 8</w:t>
      </w:r>
      <w:r w:rsidR="00BF4511" w:rsidRPr="00FE0BBD">
        <w:rPr>
          <w:vertAlign w:val="superscript"/>
        </w:rPr>
        <w:t>th</w:t>
      </w:r>
      <w:r w:rsidR="00BF4511">
        <w:t xml:space="preserve"> January 2020). Note that this does not give an indication about the impact of the CDC on these suspensions</w:t>
      </w:r>
      <w:r w:rsidR="00E275A2">
        <w:t>.</w:t>
      </w:r>
      <w:r w:rsidR="00BF4511">
        <w:t xml:space="preserve"> </w:t>
      </w:r>
    </w:p>
    <w:p w14:paraId="36309106" w14:textId="6A0B4AAC" w:rsidR="00BF4511" w:rsidRDefault="00130498" w:rsidP="00E275A2">
      <w:pPr>
        <w:spacing w:after="120" w:line="240" w:lineRule="auto"/>
        <w:ind w:left="357"/>
        <w:jc w:val="left"/>
      </w:pPr>
      <w:r>
        <w:t>The likelihood of benefit cancellations/suspensions varies by gender, age group and benefit type.</w:t>
      </w:r>
      <w:r w:rsidR="00E275A2">
        <w:t xml:space="preserve"> </w:t>
      </w:r>
      <w:r w:rsidR="00BF4511">
        <w:t xml:space="preserve">Younger CDC participants, males and CDC participants who are on the </w:t>
      </w:r>
      <w:proofErr w:type="spellStart"/>
      <w:r w:rsidR="00BF4511">
        <w:t>Newstart</w:t>
      </w:r>
      <w:proofErr w:type="spellEnd"/>
      <w:r w:rsidR="00BF4511">
        <w:t xml:space="preserve"> Allowance are over-represented among the instances of both cancellations and suspensions</w:t>
      </w:r>
      <w:r w:rsidR="00E2052E">
        <w:t>.</w:t>
      </w:r>
      <w:r w:rsidR="00BF4511">
        <w:t xml:space="preserve"> </w:t>
      </w:r>
    </w:p>
    <w:p w14:paraId="003853EC" w14:textId="77777777" w:rsidR="00453EA5" w:rsidRDefault="00453EA5" w:rsidP="0079482A"/>
    <w:p w14:paraId="0BF84148" w14:textId="77777777" w:rsidR="00453EA5" w:rsidRDefault="00453EA5" w:rsidP="0079482A">
      <w:pPr>
        <w:sectPr w:rsidR="00453EA5">
          <w:pgSz w:w="11906" w:h="16838"/>
          <w:pgMar w:top="1440" w:right="1440" w:bottom="1440" w:left="1440" w:header="708" w:footer="708" w:gutter="0"/>
          <w:cols w:space="708"/>
          <w:docGrid w:linePitch="360"/>
        </w:sectPr>
      </w:pPr>
    </w:p>
    <w:p w14:paraId="4DED11A4" w14:textId="77777777" w:rsidR="00742D92" w:rsidRPr="00A04315" w:rsidRDefault="00742D92">
      <w:pPr>
        <w:pStyle w:val="Heading1"/>
      </w:pPr>
      <w:bookmarkStart w:id="3" w:name="_Toc34818217"/>
      <w:bookmarkStart w:id="4" w:name="_Toc34935573"/>
      <w:bookmarkStart w:id="5" w:name="_Toc37258344"/>
      <w:r w:rsidRPr="00A04315">
        <w:lastRenderedPageBreak/>
        <w:t>Introduction</w:t>
      </w:r>
      <w:bookmarkEnd w:id="3"/>
      <w:bookmarkEnd w:id="4"/>
      <w:bookmarkEnd w:id="5"/>
    </w:p>
    <w:p w14:paraId="6BABF858" w14:textId="77777777" w:rsidR="00D70961" w:rsidRPr="00FB339C" w:rsidRDefault="00FB339C" w:rsidP="0079482A">
      <w:r w:rsidRPr="00FB339C">
        <w:t xml:space="preserve">This </w:t>
      </w:r>
      <w:r w:rsidR="009C33DE">
        <w:t xml:space="preserve">data snapshot </w:t>
      </w:r>
      <w:r w:rsidRPr="00FB339C">
        <w:t>provides a quantitative overview of key social and economic characteristics of the population living in the Cashless Debit Card (CDC) site</w:t>
      </w:r>
      <w:r w:rsidR="009C33DE">
        <w:t xml:space="preserve"> in</w:t>
      </w:r>
      <w:r w:rsidRPr="00FB339C">
        <w:t xml:space="preserve"> the Bundaberg and Hervey Bay</w:t>
      </w:r>
      <w:r w:rsidR="00DE2029">
        <w:t xml:space="preserve"> region</w:t>
      </w:r>
      <w:r w:rsidR="009C33DE">
        <w:t xml:space="preserve"> prior to the </w:t>
      </w:r>
      <w:r w:rsidR="00FC5B8A">
        <w:t xml:space="preserve">start of the </w:t>
      </w:r>
      <w:r w:rsidR="009C33DE">
        <w:t>rollout of the CDC</w:t>
      </w:r>
      <w:r w:rsidR="00D70961">
        <w:t xml:space="preserve"> </w:t>
      </w:r>
      <w:r w:rsidR="00FC5B8A">
        <w:t>on</w:t>
      </w:r>
      <w:r w:rsidR="00D70961">
        <w:t xml:space="preserve"> </w:t>
      </w:r>
      <w:r w:rsidR="0063770C">
        <w:t>29</w:t>
      </w:r>
      <w:r w:rsidR="0063770C" w:rsidRPr="00D70961">
        <w:rPr>
          <w:vertAlign w:val="superscript"/>
        </w:rPr>
        <w:t>th</w:t>
      </w:r>
      <w:r w:rsidR="0063770C">
        <w:t xml:space="preserve"> </w:t>
      </w:r>
      <w:r w:rsidR="00D70961">
        <w:t>January 2019</w:t>
      </w:r>
      <w:r w:rsidR="00DE2029">
        <w:t xml:space="preserve">. The </w:t>
      </w:r>
      <w:r w:rsidR="00FE7B5B">
        <w:t>Bundaberg and Hervey Bay</w:t>
      </w:r>
      <w:r w:rsidR="00FE7B5B" w:rsidDel="00FE7B5B">
        <w:t xml:space="preserve"> </w:t>
      </w:r>
      <w:r w:rsidR="00FE7B5B">
        <w:t>region</w:t>
      </w:r>
      <w:r w:rsidR="00DE2029">
        <w:t xml:space="preserve"> statistics are</w:t>
      </w:r>
      <w:r w:rsidRPr="00FB339C">
        <w:t xml:space="preserve"> compared</w:t>
      </w:r>
      <w:r w:rsidR="00B46B7F">
        <w:t>, where appropriate,</w:t>
      </w:r>
      <w:r w:rsidRPr="00FB339C">
        <w:t xml:space="preserve"> with </w:t>
      </w:r>
      <w:r w:rsidR="009C33DE">
        <w:t xml:space="preserve">the state of </w:t>
      </w:r>
      <w:r w:rsidRPr="00FB339C">
        <w:t xml:space="preserve">Queensland </w:t>
      </w:r>
      <w:r w:rsidR="009C33DE">
        <w:t xml:space="preserve">as a whole </w:t>
      </w:r>
      <w:r w:rsidRPr="00FB339C">
        <w:t xml:space="preserve">and </w:t>
      </w:r>
      <w:r w:rsidR="009C33DE">
        <w:t xml:space="preserve">with </w:t>
      </w:r>
      <w:r w:rsidRPr="00FB339C">
        <w:t xml:space="preserve">Australia </w:t>
      </w:r>
      <w:r w:rsidR="009C33DE">
        <w:t>as a whole</w:t>
      </w:r>
      <w:r>
        <w:t>. We focus on a number of</w:t>
      </w:r>
      <w:r w:rsidRPr="00FB339C">
        <w:t xml:space="preserve"> themes</w:t>
      </w:r>
      <w:r>
        <w:t xml:space="preserve"> regarding</w:t>
      </w:r>
      <w:r w:rsidRPr="00FB339C">
        <w:t xml:space="preserve"> the characteristics of the population. We start by presenting several social aspects of the region, including hospital presentation</w:t>
      </w:r>
      <w:r w:rsidR="00B46B7F">
        <w:t>s</w:t>
      </w:r>
      <w:r w:rsidRPr="00FB339C">
        <w:t xml:space="preserve">, </w:t>
      </w:r>
      <w:r w:rsidR="00B46B7F">
        <w:t xml:space="preserve">offences and </w:t>
      </w:r>
      <w:r w:rsidRPr="00FB339C">
        <w:t xml:space="preserve">crime, </w:t>
      </w:r>
      <w:r w:rsidR="0049456A">
        <w:t xml:space="preserve">and </w:t>
      </w:r>
      <w:r w:rsidRPr="00FB339C">
        <w:t xml:space="preserve">gambling. We continue by outlining several key economic indicators, which comprise labour market indicators, household characteristics, and </w:t>
      </w:r>
      <w:r w:rsidR="00DE2029">
        <w:t xml:space="preserve">a </w:t>
      </w:r>
      <w:r w:rsidR="00CE7C03">
        <w:t>socio-economic index. In addition</w:t>
      </w:r>
      <w:r w:rsidRPr="00FB339C">
        <w:t>, we examine schooling, education and training</w:t>
      </w:r>
      <w:r w:rsidR="00CE7C03">
        <w:t>, and child development</w:t>
      </w:r>
      <w:r w:rsidRPr="00FB339C">
        <w:t xml:space="preserve"> outcomes.</w:t>
      </w:r>
    </w:p>
    <w:p w14:paraId="3F634241" w14:textId="77777777" w:rsidR="00FB339C" w:rsidRPr="00FB339C" w:rsidRDefault="00FB339C" w:rsidP="0079482A">
      <w:r w:rsidRPr="00FB339C">
        <w:t xml:space="preserve">The analysis is </w:t>
      </w:r>
      <w:r w:rsidR="00FC5B8A">
        <w:t xml:space="preserve">primarily </w:t>
      </w:r>
      <w:r w:rsidRPr="00FB339C">
        <w:t xml:space="preserve">conducted using publicly available data sources. The first </w:t>
      </w:r>
      <w:r w:rsidR="00FC5B8A">
        <w:t xml:space="preserve">data source </w:t>
      </w:r>
      <w:r w:rsidRPr="00FB339C">
        <w:t xml:space="preserve">is the Census of Population and Housing, 2016. The second is the ‘Total </w:t>
      </w:r>
      <w:r w:rsidR="0096167B">
        <w:t>VET</w:t>
      </w:r>
      <w:r w:rsidR="0096167B" w:rsidRPr="00FB339C">
        <w:t xml:space="preserve"> </w:t>
      </w:r>
      <w:r w:rsidRPr="00FB339C">
        <w:t>activity (TVA)</w:t>
      </w:r>
      <w:r w:rsidR="00730093">
        <w:t xml:space="preserve"> 2016</w:t>
      </w:r>
      <w:r w:rsidRPr="00FB339C">
        <w:t xml:space="preserve">’ from the National VET Provider Collection, which contains information on </w:t>
      </w:r>
      <w:r w:rsidR="0096167B">
        <w:t>Vocational Education and Training (</w:t>
      </w:r>
      <w:r w:rsidRPr="00FB339C">
        <w:t>VET</w:t>
      </w:r>
      <w:r w:rsidR="0096167B">
        <w:t>)</w:t>
      </w:r>
      <w:r w:rsidRPr="00FB339C">
        <w:t xml:space="preserve"> students and courses. Further, we use datasets published by various Queensland Government</w:t>
      </w:r>
      <w:r w:rsidR="00386CBC">
        <w:t xml:space="preserve"> departments</w:t>
      </w:r>
      <w:r w:rsidRPr="00FB339C">
        <w:t>. In addition, we use data from the Australian Early Development Census (AEDC)</w:t>
      </w:r>
      <w:r w:rsidR="007B33A9">
        <w:t xml:space="preserve">, </w:t>
      </w:r>
      <w:r w:rsidRPr="00FB339C">
        <w:t>2012, 2015 and 201</w:t>
      </w:r>
      <w:r w:rsidR="007B33A9">
        <w:t>8</w:t>
      </w:r>
      <w:r w:rsidRPr="00FB339C">
        <w:t xml:space="preserve">. </w:t>
      </w:r>
      <w:r w:rsidR="000445D5" w:rsidRPr="000445D5">
        <w:t>It is possible that the presence of a large number of tourist</w:t>
      </w:r>
      <w:r w:rsidR="000445D5">
        <w:t>s in the Bundaberg and Hervey Bay</w:t>
      </w:r>
      <w:r w:rsidR="000445D5" w:rsidRPr="000445D5">
        <w:t xml:space="preserve"> region may have an impact on several types of community level administrative data. </w:t>
      </w:r>
      <w:r w:rsidR="00EE30DD">
        <w:t xml:space="preserve">A further explanation of these data sources will be presented later in the relevant sections of the </w:t>
      </w:r>
      <w:r w:rsidR="0064389D">
        <w:t>snapshot</w:t>
      </w:r>
      <w:r w:rsidR="00EE30DD">
        <w:t>.</w:t>
      </w:r>
    </w:p>
    <w:p w14:paraId="5DF17BDF" w14:textId="77777777" w:rsidR="00A9663F" w:rsidRDefault="00DE2029" w:rsidP="0079482A">
      <w:r>
        <w:t>T</w:t>
      </w:r>
      <w:r w:rsidR="00FB339C" w:rsidRPr="00FB339C">
        <w:t xml:space="preserve">he </w:t>
      </w:r>
      <w:r w:rsidR="000445D5">
        <w:t xml:space="preserve">Bundaberg and Hervey Bay </w:t>
      </w:r>
      <w:r w:rsidR="00FB339C" w:rsidRPr="00FB339C">
        <w:t>CDC site</w:t>
      </w:r>
      <w:r w:rsidR="000445D5">
        <w:t xml:space="preserve"> area is defined by the boundaries of </w:t>
      </w:r>
      <w:r w:rsidR="00FB339C" w:rsidRPr="00FB339C">
        <w:t xml:space="preserve">the Federal Electoral Division of Hinkler, </w:t>
      </w:r>
      <w:r w:rsidR="00D70961">
        <w:t>with a population of 141,717 (</w:t>
      </w:r>
      <w:r w:rsidR="00D70961" w:rsidRPr="00FB339C">
        <w:t>Census of Population and Housing, 2016</w:t>
      </w:r>
      <w:r w:rsidR="00D70961">
        <w:t>)</w:t>
      </w:r>
      <w:r w:rsidR="000445D5">
        <w:rPr>
          <w:rStyle w:val="FootnoteReference"/>
        </w:rPr>
        <w:footnoteReference w:id="6"/>
      </w:r>
      <w:r w:rsidR="00FB339C" w:rsidRPr="00FB339C">
        <w:t>. However, information on electoral division</w:t>
      </w:r>
      <w:r w:rsidR="00FC5B8A">
        <w:t>s</w:t>
      </w:r>
      <w:r w:rsidR="00FB339C" w:rsidRPr="00FB339C">
        <w:t xml:space="preserve"> is only available from the Census</w:t>
      </w:r>
      <w:r w:rsidR="00FB339C">
        <w:t xml:space="preserve"> data</w:t>
      </w:r>
      <w:r w:rsidR="007B33A9">
        <w:t>. Thus, for other data sources</w:t>
      </w:r>
      <w:r w:rsidR="00FB339C" w:rsidRPr="00FB339C">
        <w:t xml:space="preserve">, we </w:t>
      </w:r>
      <w:r w:rsidR="00FC5B8A">
        <w:t>had</w:t>
      </w:r>
      <w:r w:rsidR="00FB339C" w:rsidRPr="00FB339C">
        <w:t xml:space="preserve"> to consider altern</w:t>
      </w:r>
      <w:r>
        <w:t xml:space="preserve">ative ways to identify the </w:t>
      </w:r>
      <w:r w:rsidR="00FC5B8A">
        <w:t>Bundaberg and Hervey Bay</w:t>
      </w:r>
      <w:r w:rsidR="00FC5B8A" w:rsidRPr="00FB339C">
        <w:t xml:space="preserve"> </w:t>
      </w:r>
      <w:r>
        <w:t xml:space="preserve">CDC </w:t>
      </w:r>
      <w:r w:rsidR="00FC5B8A">
        <w:t xml:space="preserve">trial </w:t>
      </w:r>
      <w:r>
        <w:t>s</w:t>
      </w:r>
      <w:r w:rsidR="00FB339C" w:rsidRPr="00FB339C">
        <w:t>ite.</w:t>
      </w:r>
      <w:r w:rsidR="00FB339C" w:rsidRPr="00FB339C">
        <w:rPr>
          <w:vertAlign w:val="superscript"/>
        </w:rPr>
        <w:footnoteReference w:id="7"/>
      </w:r>
      <w:r w:rsidR="00FB339C" w:rsidRPr="00FB339C">
        <w:t xml:space="preserve"> In some </w:t>
      </w:r>
      <w:r>
        <w:t>cases</w:t>
      </w:r>
      <w:r w:rsidR="00FB339C" w:rsidRPr="00FB339C">
        <w:t xml:space="preserve"> the geographic information is classified using the </w:t>
      </w:r>
      <w:r w:rsidR="00870E6D" w:rsidRPr="00870E6D">
        <w:t xml:space="preserve">Australian Bureau of Statistics </w:t>
      </w:r>
      <w:r w:rsidR="00870E6D">
        <w:t>(</w:t>
      </w:r>
      <w:r w:rsidR="007F4E5D">
        <w:t>ABS</w:t>
      </w:r>
      <w:r w:rsidR="00870E6D">
        <w:t>)</w:t>
      </w:r>
      <w:r w:rsidR="007F4E5D">
        <w:t xml:space="preserve"> Main Area Structure </w:t>
      </w:r>
      <w:r w:rsidR="00FB339C" w:rsidRPr="00FB339C">
        <w:t>at the SA3 level and we use the areas of Bundaberg and Hervey Bay as the proxy of the CDC site. When the geographic information is classified using the Local Government Areas (LGAs) classification, we use the LGAs of Bundaberg and Fraser Coast as the proxy.</w:t>
      </w:r>
      <w:r w:rsidR="000445D5">
        <w:rPr>
          <w:rStyle w:val="FootnoteReference"/>
        </w:rPr>
        <w:footnoteReference w:id="8"/>
      </w:r>
      <w:r w:rsidR="00FB339C" w:rsidRPr="00FB339C">
        <w:t xml:space="preserve"> In </w:t>
      </w:r>
      <w:r w:rsidR="00FC5B8A">
        <w:t>the</w:t>
      </w:r>
      <w:r w:rsidR="00FB339C" w:rsidRPr="00FB339C">
        <w:t xml:space="preserve"> special case of crime/offence analysis, Bundaberg and Hervey Bay are identified using the Queensland Police</w:t>
      </w:r>
      <w:r w:rsidR="00B86993">
        <w:t xml:space="preserve"> Service (QPS)</w:t>
      </w:r>
      <w:r w:rsidR="00FB339C" w:rsidRPr="00FB339C">
        <w:t xml:space="preserve"> Statistics </w:t>
      </w:r>
      <w:r w:rsidR="00B86993">
        <w:t xml:space="preserve">geographical </w:t>
      </w:r>
      <w:r w:rsidR="00FB339C" w:rsidRPr="00FB339C">
        <w:t>classification</w:t>
      </w:r>
      <w:r w:rsidR="00B86993">
        <w:t xml:space="preserve"> at the division level</w:t>
      </w:r>
      <w:r w:rsidR="00FB339C" w:rsidRPr="00FB339C">
        <w:t>.</w:t>
      </w:r>
      <w:r w:rsidR="00A9663F">
        <w:t xml:space="preserve"> </w:t>
      </w:r>
    </w:p>
    <w:p w14:paraId="142A0610" w14:textId="77777777" w:rsidR="00FB339C" w:rsidRDefault="00A9663F" w:rsidP="0079482A">
      <w:r>
        <w:t xml:space="preserve">The population of CDC participants </w:t>
      </w:r>
      <w:r w:rsidR="00FC5B8A">
        <w:t xml:space="preserve">in Bundaberg and Hervey Bay </w:t>
      </w:r>
      <w:r>
        <w:t xml:space="preserve">is not constant and we use numbers that </w:t>
      </w:r>
      <w:r w:rsidR="00CD48AD">
        <w:t xml:space="preserve">are most relevant to </w:t>
      </w:r>
      <w:r>
        <w:t xml:space="preserve">what we need to describe and the relevant questions. Since the </w:t>
      </w:r>
      <w:r w:rsidR="00CD48AD">
        <w:t xml:space="preserve">start of the CDC rollout on </w:t>
      </w:r>
      <w:r>
        <w:t>January 2019</w:t>
      </w:r>
      <w:r w:rsidR="00CD48AD">
        <w:t>,</w:t>
      </w:r>
      <w:r>
        <w:t xml:space="preserve"> 8,061 individuals have been triggered </w:t>
      </w:r>
      <w:r w:rsidR="00CD48AD">
        <w:t xml:space="preserve">onto the </w:t>
      </w:r>
      <w:r>
        <w:t xml:space="preserve">CDC </w:t>
      </w:r>
      <w:r w:rsidR="00CD48AD">
        <w:t>in the Bundaberg and Hervey Bay region</w:t>
      </w:r>
      <w:r>
        <w:t xml:space="preserve">. </w:t>
      </w:r>
      <w:r w:rsidR="00BC5882">
        <w:t>As at</w:t>
      </w:r>
      <w:r>
        <w:t xml:space="preserve"> February 2020</w:t>
      </w:r>
      <w:r w:rsidR="00CD48AD">
        <w:t>,</w:t>
      </w:r>
      <w:r>
        <w:t xml:space="preserve"> there were 6,183 active CDC participants, 5,204 still residing in </w:t>
      </w:r>
      <w:r w:rsidR="00CD48AD">
        <w:t>the Bundaberg and Hervey Bay region</w:t>
      </w:r>
      <w:r>
        <w:t xml:space="preserve"> and 979 having moved out of </w:t>
      </w:r>
      <w:r w:rsidR="00CD48AD">
        <w:t>the Bundaberg and Hervey Bay region</w:t>
      </w:r>
      <w:r>
        <w:t xml:space="preserve"> since they were triggered</w:t>
      </w:r>
      <w:r w:rsidR="00CD48AD">
        <w:t xml:space="preserve"> onto the CDC</w:t>
      </w:r>
      <w:r>
        <w:t>.</w:t>
      </w:r>
      <w:r w:rsidR="003103BC">
        <w:t xml:space="preserve"> A CDC participant continues to receive </w:t>
      </w:r>
      <w:r w:rsidR="003103BC">
        <w:lastRenderedPageBreak/>
        <w:t>payments onto their CDC when they move out of the CDC region. This snapshot includes some data analysis of regions where some CDC participants have moved to since commencing on the program.</w:t>
      </w:r>
    </w:p>
    <w:p w14:paraId="2B374471" w14:textId="77777777" w:rsidR="00E55EAE" w:rsidRPr="00E55EAE" w:rsidRDefault="00E55EAE" w:rsidP="00E55EAE">
      <w:r w:rsidRPr="00E55EAE">
        <w:t xml:space="preserve">The statistics presented in the </w:t>
      </w:r>
      <w:r w:rsidR="00CD48AD">
        <w:t xml:space="preserve">snapshot </w:t>
      </w:r>
      <w:r w:rsidRPr="00E55EAE">
        <w:t>come from various sources. Each of these sources present data on given geographical delimitations, at various levels of aggregation. For some of the sources we can go down to postcode level (the most disaggregated</w:t>
      </w:r>
      <w:r w:rsidR="00DA23B0">
        <w:t xml:space="preserve"> level</w:t>
      </w:r>
      <w:r w:rsidRPr="00E55EAE">
        <w:t>). For others, the most disaggregated level is LGA.</w:t>
      </w:r>
    </w:p>
    <w:p w14:paraId="02497879" w14:textId="77777777" w:rsidR="00E55EAE" w:rsidRPr="00E55EAE" w:rsidRDefault="00E55EAE" w:rsidP="00E55EAE">
      <w:r w:rsidRPr="00E55EAE">
        <w:t>The following map shows that LGAs and postcodes overlap in the B</w:t>
      </w:r>
      <w:r w:rsidR="0018193D">
        <w:t>undaberg and Hervey Bay</w:t>
      </w:r>
      <w:r w:rsidRPr="00E55EAE">
        <w:t xml:space="preserve"> area as in most parts of Australia. Both also overlap with the geographical definition of the </w:t>
      </w:r>
      <w:r w:rsidR="00481FCC">
        <w:t xml:space="preserve">Federal electorate of </w:t>
      </w:r>
      <w:r w:rsidRPr="00E55EAE">
        <w:t>Hinkler with some parts of both Bundaberg and Hervey Bay being both inside and outside this federal electorate. Some of the Hervey Bay area (at LGA level) is both in the Hinkler and Wide Bay electorate</w:t>
      </w:r>
      <w:r w:rsidR="004A7033">
        <w:t>s</w:t>
      </w:r>
      <w:r w:rsidRPr="00E55EAE">
        <w:t>. Some of the Bundaberg area is both in the Hinkler and Flynn electorate</w:t>
      </w:r>
      <w:r w:rsidR="004A7033">
        <w:t>s</w:t>
      </w:r>
      <w:r w:rsidRPr="00E55EAE">
        <w:t xml:space="preserve">. The data sources used do not allow a harmonised geographical zone </w:t>
      </w:r>
      <w:r w:rsidR="004A7033">
        <w:t xml:space="preserve">to be constructed </w:t>
      </w:r>
      <w:r w:rsidRPr="00E55EAE">
        <w:t xml:space="preserve">which we could </w:t>
      </w:r>
      <w:r w:rsidR="004A7033">
        <w:t xml:space="preserve">use to </w:t>
      </w:r>
      <w:r w:rsidRPr="00E55EAE">
        <w:t xml:space="preserve">report all statistics. Also, for some topics presented in the </w:t>
      </w:r>
      <w:r w:rsidR="0064389D">
        <w:t>snapshot</w:t>
      </w:r>
      <w:r w:rsidRPr="00E55EAE">
        <w:t xml:space="preserve">, </w:t>
      </w:r>
      <w:r w:rsidR="00BB5239">
        <w:t>such as</w:t>
      </w:r>
      <w:r w:rsidRPr="00E55EAE">
        <w:t xml:space="preserve"> </w:t>
      </w:r>
      <w:r w:rsidR="004A7033">
        <w:t>h</w:t>
      </w:r>
      <w:r w:rsidRPr="00E55EAE">
        <w:t>ospital data, we present statistics for given physical</w:t>
      </w:r>
      <w:r w:rsidR="00AE589A">
        <w:t xml:space="preserve"> places</w:t>
      </w:r>
      <w:r w:rsidR="00582802">
        <w:t xml:space="preserve"> </w:t>
      </w:r>
      <w:r w:rsidRPr="00E55EAE">
        <w:t xml:space="preserve">(hospitals) whose catchment area may extend beyond the strict boundaries of the Bundaberg </w:t>
      </w:r>
      <w:r w:rsidR="0018193D">
        <w:t xml:space="preserve">and </w:t>
      </w:r>
      <w:r w:rsidRPr="00E55EAE">
        <w:t>Hervey Bay area.</w:t>
      </w:r>
    </w:p>
    <w:p w14:paraId="579F7021" w14:textId="77777777" w:rsidR="00E55EAE" w:rsidRPr="00E55EAE" w:rsidRDefault="00E55EAE" w:rsidP="00E55EAE">
      <w:r w:rsidRPr="00E55EAE">
        <w:t>Altogether, the definitions used for ‘Bundaberg’, ‘Hervey Bay’, ‘</w:t>
      </w:r>
      <w:r w:rsidR="00DA23B0">
        <w:t>Federal electorate</w:t>
      </w:r>
      <w:r w:rsidR="00DA23B0" w:rsidRPr="00E55EAE">
        <w:t xml:space="preserve"> </w:t>
      </w:r>
      <w:r w:rsidR="00DA23B0">
        <w:t xml:space="preserve">of </w:t>
      </w:r>
      <w:r w:rsidRPr="00E55EAE">
        <w:t>Hinkler’ or ‘B</w:t>
      </w:r>
      <w:r w:rsidR="0018193D">
        <w:t xml:space="preserve">undaberg and </w:t>
      </w:r>
      <w:r w:rsidRPr="00E55EAE">
        <w:t>H</w:t>
      </w:r>
      <w:r w:rsidR="0018193D">
        <w:t xml:space="preserve">ervey </w:t>
      </w:r>
      <w:r w:rsidRPr="00E55EAE">
        <w:t>B</w:t>
      </w:r>
      <w:r w:rsidR="0018193D">
        <w:t>ay</w:t>
      </w:r>
      <w:r w:rsidRPr="00E55EAE">
        <w:t>’ are consistent within each theme on which the statistics are reported but not across themes. For instance, throughout the Police data, the definition of each area does not change. However, the definitions may change across themes where, for instance, ‘Bundaberg’ may refer to the LGA in one theme but to the</w:t>
      </w:r>
      <w:r w:rsidR="0018193D">
        <w:t xml:space="preserve"> </w:t>
      </w:r>
      <w:r w:rsidR="00582802">
        <w:t xml:space="preserve">ABS Main Area Structure </w:t>
      </w:r>
      <w:r w:rsidR="00DA23B0">
        <w:t>in</w:t>
      </w:r>
      <w:r w:rsidR="00DA23B0" w:rsidRPr="00E55EAE">
        <w:t xml:space="preserve"> </w:t>
      </w:r>
      <w:r w:rsidRPr="00E55EAE">
        <w:t>another theme. Hence, the groupings such as ‘</w:t>
      </w:r>
      <w:r w:rsidR="00DA23B0">
        <w:t>Federal electorate</w:t>
      </w:r>
      <w:r w:rsidR="00DA23B0" w:rsidRPr="00E55EAE">
        <w:t xml:space="preserve"> </w:t>
      </w:r>
      <w:r w:rsidR="00DA23B0">
        <w:t xml:space="preserve">of </w:t>
      </w:r>
      <w:r w:rsidR="00DA23B0" w:rsidRPr="00E55EAE">
        <w:t>Hinkler</w:t>
      </w:r>
      <w:r w:rsidRPr="00E55EAE">
        <w:t>’ or ‘</w:t>
      </w:r>
      <w:r w:rsidR="0018193D">
        <w:t>Bundaberg and Hervey Bay</w:t>
      </w:r>
      <w:r w:rsidRPr="00E55EAE">
        <w:t xml:space="preserve">’ </w:t>
      </w:r>
      <w:r w:rsidR="00AE589A">
        <w:t>(</w:t>
      </w:r>
      <w:r w:rsidRPr="00E55EAE">
        <w:t>defined as the sum of Bundaberg and Hervey Bay</w:t>
      </w:r>
      <w:r w:rsidR="00AE589A">
        <w:t>)</w:t>
      </w:r>
      <w:r w:rsidRPr="00E55EAE">
        <w:t xml:space="preserve"> </w:t>
      </w:r>
      <w:r w:rsidR="00AE589A">
        <w:t xml:space="preserve">also </w:t>
      </w:r>
      <w:r w:rsidRPr="00E55EAE">
        <w:t>vary across themes.</w:t>
      </w:r>
    </w:p>
    <w:p w14:paraId="1A9D8858" w14:textId="77777777" w:rsidR="00E55EAE" w:rsidRDefault="00E55EAE" w:rsidP="00E55EAE">
      <w:r w:rsidRPr="00E55EAE">
        <w:t xml:space="preserve">We do not </w:t>
      </w:r>
      <w:r w:rsidR="00AE589A">
        <w:t xml:space="preserve">consider </w:t>
      </w:r>
      <w:r w:rsidRPr="00E55EAE">
        <w:t>this inability to harmonise the geographical level of reporting to be an issue because the population is mobile across areas</w:t>
      </w:r>
      <w:r w:rsidR="00AE589A">
        <w:t>. For example</w:t>
      </w:r>
      <w:r w:rsidRPr="00E55EAE">
        <w:t>, people living in neighbouring areas of Bundaberg or Hervey Bay may use hospitals or commit offences or engage in studies</w:t>
      </w:r>
      <w:r w:rsidR="00582802">
        <w:t xml:space="preserve"> there, thereby contributing to the data for Bundaberg and Hervey Bay</w:t>
      </w:r>
      <w:r w:rsidRPr="00E55EAE">
        <w:t>.</w:t>
      </w:r>
      <w:r w:rsidR="00364EE5">
        <w:t xml:space="preserve"> </w:t>
      </w:r>
      <w:r w:rsidR="00AE589A">
        <w:t>In addition</w:t>
      </w:r>
      <w:r w:rsidRPr="00E55EAE">
        <w:t xml:space="preserve">, people living in the </w:t>
      </w:r>
      <w:r w:rsidR="00AE589A">
        <w:t xml:space="preserve">Bundaberg and Hervey Bay CDC trial site also </w:t>
      </w:r>
      <w:r w:rsidRPr="00E55EAE">
        <w:t xml:space="preserve">undertake activities outside that area. For the purpose of this snapshot, the statistics give a good understanding of local circumstances in and around the Bundaberg and Hervey </w:t>
      </w:r>
      <w:r w:rsidR="0018193D">
        <w:t xml:space="preserve">Bay </w:t>
      </w:r>
      <w:r w:rsidRPr="00E55EAE">
        <w:t xml:space="preserve">area. </w:t>
      </w:r>
      <w:r w:rsidR="00AE589A">
        <w:t xml:space="preserve">However, we advise caution </w:t>
      </w:r>
      <w:r w:rsidRPr="00E55EAE">
        <w:t xml:space="preserve">when trying to compare areas across themes. Within themes, the Bundaberg and Hervey Bay areas are compared, when possible, to the </w:t>
      </w:r>
      <w:r w:rsidR="00AE589A">
        <w:t xml:space="preserve">state of </w:t>
      </w:r>
      <w:r w:rsidRPr="00E55EAE">
        <w:t xml:space="preserve">Queensland </w:t>
      </w:r>
      <w:r w:rsidR="00AE589A">
        <w:t xml:space="preserve">as a whole </w:t>
      </w:r>
      <w:r w:rsidRPr="00E55EAE">
        <w:t>and</w:t>
      </w:r>
      <w:r w:rsidR="00AE589A">
        <w:t xml:space="preserve"> Australia as a whole</w:t>
      </w:r>
      <w:r w:rsidRPr="00E55EAE">
        <w:t>.</w:t>
      </w:r>
    </w:p>
    <w:p w14:paraId="28846718" w14:textId="77777777" w:rsidR="008A2FAF" w:rsidRDefault="008A2FAF">
      <w:pPr>
        <w:jc w:val="left"/>
        <w:rPr>
          <w:rFonts w:cstheme="minorHAnsi"/>
          <w:b/>
          <w:bCs/>
          <w:caps/>
          <w:sz w:val="20"/>
          <w:szCs w:val="18"/>
        </w:rPr>
      </w:pPr>
      <w:r>
        <w:br w:type="page"/>
      </w:r>
    </w:p>
    <w:p w14:paraId="7A73D65D" w14:textId="19D011D9" w:rsidR="008A2FAF" w:rsidRPr="0079482A" w:rsidRDefault="008A2FAF" w:rsidP="008A2FAF">
      <w:pPr>
        <w:pStyle w:val="Caption"/>
      </w:pPr>
      <w:bookmarkStart w:id="6" w:name="_Toc37263824"/>
      <w:r>
        <w:lastRenderedPageBreak/>
        <w:t>Figure 1</w:t>
      </w:r>
      <w:r>
        <w:noBreakHyphen/>
      </w:r>
      <w:r w:rsidR="006C0554">
        <w:fldChar w:fldCharType="begin"/>
      </w:r>
      <w:r w:rsidR="006C0554">
        <w:instrText xml:space="preserve"> SEQ Figure \* ARABIC \s 1 </w:instrText>
      </w:r>
      <w:r w:rsidR="006C0554">
        <w:fldChar w:fldCharType="separate"/>
      </w:r>
      <w:r w:rsidR="008E2086">
        <w:rPr>
          <w:noProof/>
        </w:rPr>
        <w:t>1</w:t>
      </w:r>
      <w:r w:rsidR="006C0554">
        <w:rPr>
          <w:noProof/>
        </w:rPr>
        <w:fldChar w:fldCharType="end"/>
      </w:r>
      <w:r w:rsidR="0056594A">
        <w:t xml:space="preserve">: </w:t>
      </w:r>
      <w:r>
        <w:t xml:space="preserve">Map of </w:t>
      </w:r>
      <w:r w:rsidR="00A525A9">
        <w:t>B</w:t>
      </w:r>
      <w:r>
        <w:t>undaberg and Hervey Bay region</w:t>
      </w:r>
      <w:bookmarkEnd w:id="6"/>
    </w:p>
    <w:p w14:paraId="01C680EB" w14:textId="2D657D50" w:rsidR="00843CD7" w:rsidRDefault="0018193D" w:rsidP="0079482A">
      <w:r w:rsidRPr="0018193D">
        <w:rPr>
          <w:noProof/>
          <w:lang w:eastAsia="en-AU"/>
        </w:rPr>
        <w:drawing>
          <wp:inline distT="0" distB="0" distL="0" distR="0" wp14:anchorId="02156725" wp14:editId="7081BDD6">
            <wp:extent cx="5062729" cy="6521115"/>
            <wp:effectExtent l="0" t="0" r="0" b="0"/>
            <wp:docPr id="5" name="Picture 5" descr="Map of Bundaberg and Hervey Bay Region showing overlaps in local government areas and postcodes in those areas." title="Figure 1-1: Map of Bundaberg and Hervey Ba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2729" cy="6521115"/>
                    </a:xfrm>
                    <a:prstGeom prst="rect">
                      <a:avLst/>
                    </a:prstGeom>
                    <a:noFill/>
                    <a:ln>
                      <a:noFill/>
                    </a:ln>
                  </pic:spPr>
                </pic:pic>
              </a:graphicData>
            </a:graphic>
          </wp:inline>
        </w:drawing>
      </w:r>
    </w:p>
    <w:p w14:paraId="43A95FCC" w14:textId="77777777" w:rsidR="00B46B7F" w:rsidRPr="00FB339C" w:rsidRDefault="00B46B7F" w:rsidP="0079482A">
      <w:r>
        <w:t xml:space="preserve">The second part of the </w:t>
      </w:r>
      <w:r w:rsidR="00E47B43">
        <w:t xml:space="preserve">snapshot </w:t>
      </w:r>
      <w:r>
        <w:t xml:space="preserve">uses </w:t>
      </w:r>
      <w:r w:rsidR="00DA23B0">
        <w:t>Australian Government administrative data</w:t>
      </w:r>
      <w:r>
        <w:t xml:space="preserve"> to describe the actual CDC population triggered on</w:t>
      </w:r>
      <w:r w:rsidR="00E47B43">
        <w:t>to</w:t>
      </w:r>
      <w:r>
        <w:t xml:space="preserve"> the card in the </w:t>
      </w:r>
      <w:r w:rsidR="00FE7B5B">
        <w:t>Bundaberg and Hervey Bay</w:t>
      </w:r>
      <w:r>
        <w:t xml:space="preserve"> area. It includes demographic and spatial descriptions, </w:t>
      </w:r>
      <w:r w:rsidR="00E47B43">
        <w:t xml:space="preserve">the </w:t>
      </w:r>
      <w:r>
        <w:t xml:space="preserve">type of government benefit received by location, age and other relevant individual characteristics. </w:t>
      </w:r>
      <w:r w:rsidR="00A91F95">
        <w:rPr>
          <w:rFonts w:ascii="Calibri" w:hAnsi="Calibri" w:cs="Calibri"/>
          <w:color w:val="201F1E"/>
          <w:shd w:val="clear" w:color="auto" w:fill="FFFFFF"/>
        </w:rPr>
        <w:t xml:space="preserve">We also include </w:t>
      </w:r>
      <w:r w:rsidR="00C65176">
        <w:rPr>
          <w:rFonts w:ascii="Calibri" w:hAnsi="Calibri" w:cs="Calibri"/>
          <w:color w:val="201F1E"/>
          <w:shd w:val="clear" w:color="auto" w:fill="FFFFFF"/>
        </w:rPr>
        <w:t>C</w:t>
      </w:r>
      <w:r w:rsidR="00A91F95">
        <w:rPr>
          <w:rFonts w:ascii="Calibri" w:hAnsi="Calibri" w:cs="Calibri"/>
          <w:color w:val="201F1E"/>
          <w:shd w:val="clear" w:color="auto" w:fill="FFFFFF"/>
        </w:rPr>
        <w:t xml:space="preserve">risis </w:t>
      </w:r>
      <w:r w:rsidR="00C65176">
        <w:rPr>
          <w:rFonts w:ascii="Calibri" w:hAnsi="Calibri" w:cs="Calibri"/>
          <w:color w:val="201F1E"/>
          <w:shd w:val="clear" w:color="auto" w:fill="FFFFFF"/>
        </w:rPr>
        <w:t>P</w:t>
      </w:r>
      <w:r w:rsidR="00A91F95">
        <w:rPr>
          <w:rFonts w:ascii="Calibri" w:hAnsi="Calibri" w:cs="Calibri"/>
          <w:color w:val="201F1E"/>
          <w:shd w:val="clear" w:color="auto" w:fill="FFFFFF"/>
        </w:rPr>
        <w:t>ayments received by CDC participants pre- and post- the start of the CDC roll out</w:t>
      </w:r>
      <w:r w:rsidR="00C65176">
        <w:rPr>
          <w:rFonts w:ascii="Calibri" w:hAnsi="Calibri" w:cs="Calibri"/>
          <w:color w:val="201F1E"/>
          <w:shd w:val="clear" w:color="auto" w:fill="FFFFFF"/>
        </w:rPr>
        <w:t xml:space="preserve">. </w:t>
      </w:r>
      <w:r w:rsidR="00C035BD">
        <w:t>In addition</w:t>
      </w:r>
      <w:r w:rsidR="00BB5239">
        <w:t>,</w:t>
      </w:r>
      <w:r>
        <w:t xml:space="preserve"> we describe the characteristics of </w:t>
      </w:r>
      <w:r w:rsidR="00290F96">
        <w:t>CDC participant</w:t>
      </w:r>
      <w:r>
        <w:t xml:space="preserve">s who have had their benefit cancelled or suspended. </w:t>
      </w:r>
      <w:r w:rsidR="00493513">
        <w:t>In general, t</w:t>
      </w:r>
      <w:r>
        <w:t xml:space="preserve">he </w:t>
      </w:r>
      <w:r w:rsidR="00290F96">
        <w:t>CDC participant</w:t>
      </w:r>
      <w:r>
        <w:t xml:space="preserve">s included in the descriptions correspond to those who have been rolled out into the CDC </w:t>
      </w:r>
      <w:r w:rsidR="00493513">
        <w:t xml:space="preserve">in the Bundaberg and Hervey Bay region </w:t>
      </w:r>
      <w:r>
        <w:t xml:space="preserve">up to February 2020. The analysis focuses on the full </w:t>
      </w:r>
      <w:r w:rsidR="00290F96">
        <w:t>CDC participant</w:t>
      </w:r>
      <w:r>
        <w:t xml:space="preserve"> population triggered on</w:t>
      </w:r>
      <w:r w:rsidR="00493513">
        <w:t>to</w:t>
      </w:r>
      <w:r>
        <w:t xml:space="preserve"> the card </w:t>
      </w:r>
      <w:r w:rsidR="00493513">
        <w:t xml:space="preserve">in the Bundaberg and Hervey Bay region </w:t>
      </w:r>
      <w:r>
        <w:t xml:space="preserve">since the </w:t>
      </w:r>
      <w:r w:rsidR="00493513">
        <w:t xml:space="preserve">start of the </w:t>
      </w:r>
      <w:r>
        <w:t xml:space="preserve">roll out and, where appropriate, </w:t>
      </w:r>
      <w:r w:rsidR="00522977">
        <w:t xml:space="preserve">we display information applying to the </w:t>
      </w:r>
      <w:r w:rsidR="00290F96">
        <w:t>CDC participant</w:t>
      </w:r>
      <w:r w:rsidR="00522977">
        <w:t>s who are currently active on the card.</w:t>
      </w:r>
    </w:p>
    <w:p w14:paraId="53CCF3AB" w14:textId="77777777" w:rsidR="00545269" w:rsidRPr="00545269" w:rsidRDefault="00545269">
      <w:pPr>
        <w:pStyle w:val="Heading1"/>
      </w:pPr>
      <w:bookmarkStart w:id="7" w:name="_Toc34935574"/>
      <w:bookmarkStart w:id="8" w:name="_Toc34818218"/>
      <w:bookmarkStart w:id="9" w:name="_Toc37258345"/>
      <w:r w:rsidRPr="00545269">
        <w:lastRenderedPageBreak/>
        <w:t xml:space="preserve">Descriptive Statistics on the </w:t>
      </w:r>
      <w:r w:rsidR="00A30A66">
        <w:t>Bundaberg and Hervey Bay Region</w:t>
      </w:r>
      <w:r w:rsidRPr="00545269">
        <w:t xml:space="preserve"> Using </w:t>
      </w:r>
      <w:bookmarkEnd w:id="7"/>
      <w:r w:rsidR="007319B6">
        <w:t>C</w:t>
      </w:r>
      <w:r w:rsidR="007319B6" w:rsidRPr="00545269">
        <w:t>ommunity</w:t>
      </w:r>
      <w:r w:rsidR="000445D5">
        <w:t xml:space="preserve"> Level</w:t>
      </w:r>
      <w:r w:rsidR="007319B6" w:rsidRPr="00545269">
        <w:t xml:space="preserve"> </w:t>
      </w:r>
      <w:bookmarkEnd w:id="8"/>
      <w:r w:rsidR="007319B6">
        <w:t>D</w:t>
      </w:r>
      <w:r w:rsidR="007319B6" w:rsidRPr="00545269">
        <w:t>ata</w:t>
      </w:r>
      <w:bookmarkEnd w:id="9"/>
    </w:p>
    <w:p w14:paraId="17C69FC8" w14:textId="77777777" w:rsidR="00FB339C" w:rsidRPr="00A04315" w:rsidRDefault="00FB339C">
      <w:pPr>
        <w:pStyle w:val="Heading2"/>
      </w:pPr>
      <w:bookmarkStart w:id="10" w:name="_Toc34818219"/>
      <w:bookmarkStart w:id="11" w:name="_Toc34935575"/>
      <w:bookmarkStart w:id="12" w:name="_Toc37258346"/>
      <w:r w:rsidRPr="00A04315">
        <w:t>Hospital presentation</w:t>
      </w:r>
      <w:r w:rsidR="00545269" w:rsidRPr="00A04315">
        <w:t>s</w:t>
      </w:r>
      <w:bookmarkEnd w:id="10"/>
      <w:bookmarkEnd w:id="11"/>
      <w:r w:rsidR="00FB6959" w:rsidRPr="00A04315">
        <w:t xml:space="preserve"> in 2018</w:t>
      </w:r>
      <w:bookmarkEnd w:id="12"/>
    </w:p>
    <w:p w14:paraId="403C2855" w14:textId="77777777" w:rsidR="00A32F53" w:rsidRPr="00A32F53" w:rsidRDefault="00FB339C" w:rsidP="00A32F53">
      <w:r w:rsidRPr="00FB339C">
        <w:t>In this section, we use the monthly summary of</w:t>
      </w:r>
      <w:r w:rsidR="007319B6">
        <w:t xml:space="preserve"> statistics about</w:t>
      </w:r>
      <w:r w:rsidRPr="00FB339C">
        <w:t xml:space="preserve"> the </w:t>
      </w:r>
      <w:r w:rsidR="0096167B">
        <w:t>Emergency Department (</w:t>
      </w:r>
      <w:r w:rsidR="003C7F2F">
        <w:t>EDs</w:t>
      </w:r>
      <w:r w:rsidR="0096167B">
        <w:t>)</w:t>
      </w:r>
      <w:r w:rsidRPr="00FB339C">
        <w:t xml:space="preserve"> of public hospitals in Queensland</w:t>
      </w:r>
      <w:r>
        <w:t xml:space="preserve"> from July</w:t>
      </w:r>
      <w:r w:rsidR="00264C76">
        <w:t xml:space="preserve"> to December</w:t>
      </w:r>
      <w:r w:rsidR="0029673A">
        <w:t xml:space="preserve"> 2018</w:t>
      </w:r>
      <w:r w:rsidRPr="00FB339C">
        <w:t xml:space="preserve"> to compare ED attendance in the </w:t>
      </w:r>
      <w:r w:rsidR="007319B6">
        <w:t>Bundaberg and Hervey Bay region</w:t>
      </w:r>
      <w:r w:rsidRPr="00FB339C">
        <w:t xml:space="preserve"> with </w:t>
      </w:r>
      <w:r w:rsidR="007319B6">
        <w:t xml:space="preserve">the state of </w:t>
      </w:r>
      <w:r w:rsidRPr="00FB339C">
        <w:t xml:space="preserve">Queensland as a </w:t>
      </w:r>
      <w:r w:rsidR="007319B6">
        <w:t>whole</w:t>
      </w:r>
      <w:r w:rsidRPr="00FB339C">
        <w:t>.</w:t>
      </w:r>
      <w:r w:rsidR="00A32F53">
        <w:t xml:space="preserve"> The data source used for analysis is the</w:t>
      </w:r>
      <w:r w:rsidR="00A32F53" w:rsidRPr="00A32F53">
        <w:t xml:space="preserve"> </w:t>
      </w:r>
      <w:r w:rsidR="00A32F53">
        <w:t>ED</w:t>
      </w:r>
      <w:r w:rsidR="00A32F53" w:rsidRPr="00A32F53">
        <w:t xml:space="preserve"> datase</w:t>
      </w:r>
      <w:r w:rsidR="00A32F53">
        <w:t>t from the Queens</w:t>
      </w:r>
      <w:r w:rsidR="00BB5239">
        <w:t>land</w:t>
      </w:r>
      <w:r w:rsidR="00A32F53">
        <w:t xml:space="preserve"> Government Open Data Portal. The dataset contains </w:t>
      </w:r>
      <w:r w:rsidR="00A32F53" w:rsidRPr="00A32F53">
        <w:t>information on</w:t>
      </w:r>
      <w:r w:rsidR="00A32F53">
        <w:t xml:space="preserve"> ED</w:t>
      </w:r>
      <w:r w:rsidR="00A32F53" w:rsidRPr="00A32F53">
        <w:t xml:space="preserve"> activity and performance measures b</w:t>
      </w:r>
      <w:r w:rsidR="00A32F53">
        <w:t>y hospital</w:t>
      </w:r>
      <w:r w:rsidR="00BB5239">
        <w:t>s</w:t>
      </w:r>
      <w:r w:rsidR="00A32F53">
        <w:t xml:space="preserve"> for the latest month, including number of </w:t>
      </w:r>
      <w:r w:rsidR="00A32F53" w:rsidRPr="00A32F53">
        <w:t>attendances</w:t>
      </w:r>
      <w:r w:rsidR="00A32F53">
        <w:t xml:space="preserve">, waiting time, treatment time, and where </w:t>
      </w:r>
      <w:r w:rsidR="00871505">
        <w:t xml:space="preserve">patients </w:t>
      </w:r>
      <w:r w:rsidR="00A32F53">
        <w:t>go after departing the ED.</w:t>
      </w:r>
      <w:r w:rsidR="00A32F53" w:rsidRPr="00A32F53">
        <w:t xml:space="preserve"> </w:t>
      </w:r>
      <w:r w:rsidR="00FB6959">
        <w:t>A</w:t>
      </w:r>
      <w:r w:rsidR="00A32F53">
        <w:t xml:space="preserve">ll information is recorded by the severity level of the </w:t>
      </w:r>
      <w:r w:rsidR="00A9663F">
        <w:t>emergency</w:t>
      </w:r>
      <w:r w:rsidR="00A32F53">
        <w:t>. The dataset is refreshed monthly</w:t>
      </w:r>
      <w:r w:rsidR="0029673A">
        <w:t xml:space="preserve"> and we present the average of the available </w:t>
      </w:r>
      <w:r w:rsidR="00FB6959">
        <w:t xml:space="preserve">2018 </w:t>
      </w:r>
      <w:r w:rsidR="0029673A">
        <w:t>monthly data</w:t>
      </w:r>
      <w:r w:rsidR="005D761E">
        <w:t>.</w:t>
      </w:r>
    </w:p>
    <w:p w14:paraId="5EE41713" w14:textId="3C5AA43A" w:rsidR="00FB339C" w:rsidRPr="00FB339C" w:rsidRDefault="00FB339C" w:rsidP="0079482A">
      <w:r w:rsidRPr="00FB339C">
        <w:t>Based on the</w:t>
      </w:r>
      <w:r w:rsidR="0029673A">
        <w:t>ir location, we have identified the</w:t>
      </w:r>
      <w:r w:rsidRPr="00FB339C">
        <w:t xml:space="preserve"> three </w:t>
      </w:r>
      <w:r w:rsidR="0029673A">
        <w:t xml:space="preserve">relevant </w:t>
      </w:r>
      <w:r w:rsidRPr="00FB339C">
        <w:t>public hospitals in the</w:t>
      </w:r>
      <w:r w:rsidR="001E49E7">
        <w:t xml:space="preserve"> Federal electorate of</w:t>
      </w:r>
      <w:r w:rsidRPr="00FB339C">
        <w:t xml:space="preserve"> Hinkler, namely Bundaberg Hospital, Childers Hospital and Hervey Bay Hospital. </w:t>
      </w:r>
      <w:r w:rsidR="00D83D8B">
        <w:t xml:space="preserve">The </w:t>
      </w:r>
      <w:r w:rsidR="0029673A">
        <w:t>number of ED attendances is presented in</w:t>
      </w:r>
      <w:r w:rsidR="00D83D8B">
        <w:t xml:space="preserve"> the following table (</w:t>
      </w:r>
      <w:r w:rsidR="000851DE">
        <w:fldChar w:fldCharType="begin"/>
      </w:r>
      <w:r w:rsidR="000851DE">
        <w:instrText xml:space="preserve"> REF _Ref34911450 \h </w:instrText>
      </w:r>
      <w:r w:rsidR="000851DE">
        <w:fldChar w:fldCharType="separate"/>
      </w:r>
      <w:r w:rsidR="008E2086">
        <w:t xml:space="preserve">Table </w:t>
      </w:r>
      <w:r w:rsidR="008E2086">
        <w:rPr>
          <w:noProof/>
        </w:rPr>
        <w:t>2</w:t>
      </w:r>
      <w:r w:rsidR="008E2086">
        <w:noBreakHyphen/>
      </w:r>
      <w:r w:rsidR="008E2086">
        <w:rPr>
          <w:noProof/>
        </w:rPr>
        <w:t>1</w:t>
      </w:r>
      <w:r w:rsidR="000851DE">
        <w:fldChar w:fldCharType="end"/>
      </w:r>
      <w:r w:rsidR="00D83D8B">
        <w:t>).</w:t>
      </w:r>
    </w:p>
    <w:p w14:paraId="6F5617B4" w14:textId="647209BA" w:rsidR="00525B11" w:rsidRPr="0079482A" w:rsidRDefault="000851DE" w:rsidP="00A4064D">
      <w:pPr>
        <w:pStyle w:val="Caption"/>
        <w:spacing w:before="240"/>
      </w:pPr>
      <w:bookmarkStart w:id="13" w:name="_Ref34911450"/>
      <w:bookmarkStart w:id="14" w:name="_Toc34935525"/>
      <w:bookmarkStart w:id="15" w:name="_Toc37263564"/>
      <w:r>
        <w:t xml:space="preserve">Table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w:t>
      </w:r>
      <w:r w:rsidR="006C0554">
        <w:rPr>
          <w:noProof/>
        </w:rPr>
        <w:fldChar w:fldCharType="end"/>
      </w:r>
      <w:bookmarkEnd w:id="13"/>
      <w:r w:rsidR="00CD154F">
        <w:t xml:space="preserve">: </w:t>
      </w:r>
      <w:r w:rsidR="00525B11" w:rsidRPr="0079482A">
        <w:t xml:space="preserve">Average monthly number of </w:t>
      </w:r>
      <w:r w:rsidR="00961F6D">
        <w:t>E</w:t>
      </w:r>
      <w:r w:rsidR="00961F6D" w:rsidRPr="0079482A">
        <w:t xml:space="preserve">mergency </w:t>
      </w:r>
      <w:r w:rsidR="00961F6D">
        <w:t>D</w:t>
      </w:r>
      <w:r w:rsidR="00961F6D" w:rsidRPr="0079482A">
        <w:t xml:space="preserve">epartment </w:t>
      </w:r>
      <w:r w:rsidR="00525B11" w:rsidRPr="0079482A">
        <w:t xml:space="preserve">attendances </w:t>
      </w:r>
      <w:r w:rsidR="00961F6D">
        <w:t>f</w:t>
      </w:r>
      <w:r w:rsidR="00FB6959">
        <w:t xml:space="preserve">rom July to December </w:t>
      </w:r>
      <w:r w:rsidR="00525B11" w:rsidRPr="0079482A">
        <w:t>2018</w:t>
      </w:r>
      <w:bookmarkEnd w:id="14"/>
      <w:bookmarkEnd w:id="15"/>
    </w:p>
    <w:tbl>
      <w:tblPr>
        <w:tblStyle w:val="ListTable3-Accent5"/>
        <w:tblW w:w="5000" w:type="pct"/>
        <w:tblLayout w:type="fixed"/>
        <w:tblLook w:val="04A0" w:firstRow="1" w:lastRow="0" w:firstColumn="1" w:lastColumn="0" w:noHBand="0" w:noVBand="1"/>
      </w:tblPr>
      <w:tblGrid>
        <w:gridCol w:w="4508"/>
        <w:gridCol w:w="4508"/>
      </w:tblGrid>
      <w:tr w:rsidR="00264C76" w:rsidRPr="003542F0" w14:paraId="2FDA7B27" w14:textId="77777777" w:rsidTr="006C0554">
        <w:trPr>
          <w:cnfStyle w:val="100000000000" w:firstRow="1" w:lastRow="0" w:firstColumn="0" w:lastColumn="0" w:oddVBand="0" w:evenVBand="0" w:oddHBand="0" w:evenHBand="0" w:firstRowFirstColumn="0" w:firstRowLastColumn="0" w:lastRowFirstColumn="0" w:lastRowLastColumn="0"/>
          <w:trHeight w:val="304"/>
          <w:tblHeader/>
        </w:trPr>
        <w:tc>
          <w:tcPr>
            <w:cnfStyle w:val="001000000100" w:firstRow="0" w:lastRow="0" w:firstColumn="1" w:lastColumn="0" w:oddVBand="0" w:evenVBand="0" w:oddHBand="0" w:evenHBand="0" w:firstRowFirstColumn="1" w:firstRowLastColumn="0" w:lastRowFirstColumn="0" w:lastRowLastColumn="0"/>
            <w:tcW w:w="2500" w:type="pct"/>
            <w:noWrap/>
            <w:hideMark/>
          </w:tcPr>
          <w:p w14:paraId="54D8527E" w14:textId="77777777" w:rsidR="00264C76" w:rsidRPr="003542F0" w:rsidRDefault="00264C76" w:rsidP="0079482A">
            <w:pPr>
              <w:rPr>
                <w:b w:val="0"/>
                <w:lang w:eastAsia="en-AU"/>
              </w:rPr>
            </w:pPr>
          </w:p>
        </w:tc>
        <w:tc>
          <w:tcPr>
            <w:tcW w:w="2500" w:type="pct"/>
            <w:noWrap/>
          </w:tcPr>
          <w:p w14:paraId="09E1A097" w14:textId="77777777" w:rsidR="00264C76" w:rsidRPr="003542F0" w:rsidRDefault="00871505"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871505">
              <w:rPr>
                <w:lang w:eastAsia="en-AU"/>
              </w:rPr>
              <w:t>Average Monthly ED Attendances</w:t>
            </w:r>
          </w:p>
        </w:tc>
      </w:tr>
      <w:tr w:rsidR="00264C76" w:rsidRPr="005D4E0F" w14:paraId="7A836BB5"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6BB346C8" w14:textId="77777777" w:rsidR="00264C76" w:rsidRPr="000613C9" w:rsidRDefault="00264C76" w:rsidP="0079482A">
            <w:pPr>
              <w:rPr>
                <w:lang w:eastAsia="en-AU"/>
              </w:rPr>
            </w:pPr>
            <w:r w:rsidRPr="00A70B16">
              <w:rPr>
                <w:lang w:eastAsia="en-AU"/>
              </w:rPr>
              <w:t>Bundaberg Hospital</w:t>
            </w:r>
          </w:p>
        </w:tc>
        <w:tc>
          <w:tcPr>
            <w:tcW w:w="2500" w:type="pct"/>
            <w:noWrap/>
          </w:tcPr>
          <w:p w14:paraId="57AF48A9" w14:textId="77777777" w:rsidR="00264C76" w:rsidRPr="00CD154F" w:rsidRDefault="00264C76" w:rsidP="0079482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CD154F">
              <w:rPr>
                <w:sz w:val="20"/>
                <w:szCs w:val="20"/>
                <w:lang w:eastAsia="en-AU"/>
              </w:rPr>
              <w:t>4,208</w:t>
            </w:r>
          </w:p>
        </w:tc>
      </w:tr>
      <w:tr w:rsidR="00264C76" w:rsidRPr="005D4E0F" w14:paraId="433C8258"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1EC809AC" w14:textId="77777777" w:rsidR="00264C76" w:rsidRPr="000613C9" w:rsidRDefault="00264C76" w:rsidP="0079482A">
            <w:pPr>
              <w:rPr>
                <w:lang w:eastAsia="en-AU"/>
              </w:rPr>
            </w:pPr>
            <w:r w:rsidRPr="00A70B16">
              <w:rPr>
                <w:lang w:eastAsia="en-AU"/>
              </w:rPr>
              <w:t>Childers Hospital</w:t>
            </w:r>
          </w:p>
        </w:tc>
        <w:tc>
          <w:tcPr>
            <w:tcW w:w="2500" w:type="pct"/>
            <w:noWrap/>
          </w:tcPr>
          <w:p w14:paraId="7B27DC54" w14:textId="77777777" w:rsidR="00264C76" w:rsidRPr="00CD154F" w:rsidRDefault="00264C76" w:rsidP="0079482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CD154F">
              <w:rPr>
                <w:sz w:val="20"/>
                <w:szCs w:val="20"/>
                <w:lang w:eastAsia="en-AU"/>
              </w:rPr>
              <w:t>195</w:t>
            </w:r>
          </w:p>
        </w:tc>
      </w:tr>
      <w:tr w:rsidR="00264C76" w:rsidRPr="005D4E0F" w14:paraId="1632CBF7"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03613F51" w14:textId="77777777" w:rsidR="00264C76" w:rsidRPr="000613C9" w:rsidRDefault="00264C76" w:rsidP="0079482A">
            <w:pPr>
              <w:rPr>
                <w:lang w:eastAsia="en-AU"/>
              </w:rPr>
            </w:pPr>
            <w:r w:rsidRPr="00A70B16">
              <w:rPr>
                <w:lang w:eastAsia="en-AU"/>
              </w:rPr>
              <w:t>Hervey Bay Hospital</w:t>
            </w:r>
          </w:p>
        </w:tc>
        <w:tc>
          <w:tcPr>
            <w:tcW w:w="2500" w:type="pct"/>
            <w:noWrap/>
          </w:tcPr>
          <w:p w14:paraId="44C6B5A1" w14:textId="77777777" w:rsidR="00264C76" w:rsidRPr="00CD154F" w:rsidRDefault="00264C76" w:rsidP="0079482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CD154F">
              <w:rPr>
                <w:sz w:val="20"/>
                <w:szCs w:val="20"/>
                <w:lang w:eastAsia="en-AU"/>
              </w:rPr>
              <w:t>3,207</w:t>
            </w:r>
          </w:p>
        </w:tc>
      </w:tr>
      <w:tr w:rsidR="00264C76" w:rsidRPr="005D4E0F" w14:paraId="19EE1142"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2500" w:type="pct"/>
            <w:noWrap/>
          </w:tcPr>
          <w:p w14:paraId="35C77A7A" w14:textId="77777777" w:rsidR="00264C76" w:rsidRPr="00B95FFF" w:rsidRDefault="001E49E7" w:rsidP="00A21A30">
            <w:pPr>
              <w:rPr>
                <w:rFonts w:ascii="Calibri" w:eastAsia="Times New Roman" w:hAnsi="Calibri" w:cs="Calibri"/>
                <w:color w:val="000000"/>
                <w:lang w:eastAsia="en-AU"/>
              </w:rPr>
            </w:pPr>
            <w:r>
              <w:t>F</w:t>
            </w:r>
            <w:r w:rsidR="007A58F7" w:rsidRPr="007A58F7">
              <w:t>ederal electorate</w:t>
            </w:r>
            <w:r>
              <w:t xml:space="preserve"> of </w:t>
            </w:r>
            <w:r w:rsidRPr="00B95FFF">
              <w:t>Hinkler</w:t>
            </w:r>
          </w:p>
        </w:tc>
        <w:tc>
          <w:tcPr>
            <w:tcW w:w="2500" w:type="pct"/>
            <w:noWrap/>
          </w:tcPr>
          <w:p w14:paraId="40B2798E" w14:textId="77777777" w:rsidR="00264C76" w:rsidRPr="00CD154F" w:rsidRDefault="00264C76" w:rsidP="0079482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CD154F">
              <w:rPr>
                <w:b/>
                <w:sz w:val="20"/>
                <w:szCs w:val="20"/>
                <w:lang w:eastAsia="en-AU"/>
              </w:rPr>
              <w:t>7,611</w:t>
            </w:r>
          </w:p>
        </w:tc>
      </w:tr>
      <w:tr w:rsidR="00264C76" w:rsidRPr="005D4E0F" w14:paraId="0D9E35BE"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14:paraId="5D18CE31" w14:textId="77777777" w:rsidR="00264C76" w:rsidRPr="00B95FFF" w:rsidRDefault="00264C76" w:rsidP="0079482A">
            <w:pPr>
              <w:rPr>
                <w:lang w:eastAsia="en-AU"/>
              </w:rPr>
            </w:pPr>
            <w:r w:rsidRPr="00B95FFF">
              <w:rPr>
                <w:lang w:eastAsia="en-AU"/>
              </w:rPr>
              <w:t>Queensland</w:t>
            </w:r>
          </w:p>
        </w:tc>
        <w:tc>
          <w:tcPr>
            <w:tcW w:w="2500" w:type="pct"/>
            <w:noWrap/>
          </w:tcPr>
          <w:p w14:paraId="1BAB1701" w14:textId="77777777" w:rsidR="00264C76" w:rsidRPr="00CD154F" w:rsidRDefault="00264C76" w:rsidP="0079482A">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CD154F">
              <w:rPr>
                <w:b/>
                <w:sz w:val="20"/>
                <w:szCs w:val="20"/>
                <w:lang w:eastAsia="en-AU"/>
              </w:rPr>
              <w:t>167,043</w:t>
            </w:r>
          </w:p>
        </w:tc>
      </w:tr>
    </w:tbl>
    <w:p w14:paraId="09806C3B" w14:textId="77777777" w:rsidR="0079482A" w:rsidRPr="0079482A" w:rsidRDefault="007D68E6" w:rsidP="0079482A">
      <w:pPr>
        <w:spacing w:after="0"/>
        <w:rPr>
          <w:i/>
          <w:sz w:val="18"/>
          <w:szCs w:val="18"/>
        </w:rPr>
      </w:pPr>
      <w:r w:rsidRPr="0079482A">
        <w:rPr>
          <w:i/>
          <w:sz w:val="18"/>
          <w:szCs w:val="18"/>
        </w:rPr>
        <w:t xml:space="preserve">Source: Queensland Government Open Data Portal: Emergency Department dataset. </w:t>
      </w:r>
    </w:p>
    <w:p w14:paraId="1EC4BB5F" w14:textId="77777777" w:rsidR="00556E19" w:rsidRDefault="007D68E6" w:rsidP="00A4064D">
      <w:pPr>
        <w:spacing w:after="240" w:line="240" w:lineRule="auto"/>
      </w:pPr>
      <w:r w:rsidRPr="0079482A">
        <w:rPr>
          <w:i/>
          <w:sz w:val="18"/>
          <w:szCs w:val="18"/>
        </w:rPr>
        <w:t>Notes: The 2018 numbers only use the</w:t>
      </w:r>
      <w:r w:rsidR="00B325AA" w:rsidRPr="0079482A">
        <w:rPr>
          <w:i/>
          <w:sz w:val="18"/>
          <w:szCs w:val="18"/>
        </w:rPr>
        <w:t xml:space="preserve"> data from July to December because of a substantial change of the scope of the Emergency Departm</w:t>
      </w:r>
      <w:bookmarkStart w:id="16" w:name="_GoBack"/>
      <w:bookmarkEnd w:id="16"/>
      <w:r w:rsidR="00B325AA" w:rsidRPr="0079482A">
        <w:rPr>
          <w:i/>
          <w:sz w:val="18"/>
          <w:szCs w:val="18"/>
        </w:rPr>
        <w:t>ent dataset from July 2018.</w:t>
      </w:r>
      <w:r w:rsidR="00465BE9">
        <w:rPr>
          <w:i/>
          <w:sz w:val="18"/>
          <w:szCs w:val="18"/>
        </w:rPr>
        <w:t xml:space="preserve"> </w:t>
      </w:r>
      <w:r w:rsidR="00481FCC">
        <w:rPr>
          <w:i/>
          <w:sz w:val="18"/>
          <w:szCs w:val="18"/>
        </w:rPr>
        <w:t xml:space="preserve">Federal electorate of </w:t>
      </w:r>
      <w:r w:rsidR="00465BE9" w:rsidRPr="00465BE9">
        <w:rPr>
          <w:i/>
          <w:sz w:val="18"/>
          <w:szCs w:val="18"/>
        </w:rPr>
        <w:t xml:space="preserve">Hinkler </w:t>
      </w:r>
      <w:r w:rsidR="00465BE9">
        <w:rPr>
          <w:i/>
          <w:sz w:val="18"/>
          <w:szCs w:val="18"/>
        </w:rPr>
        <w:t xml:space="preserve">refers to </w:t>
      </w:r>
      <w:r w:rsidR="00BF3A12">
        <w:rPr>
          <w:i/>
          <w:sz w:val="18"/>
          <w:szCs w:val="18"/>
        </w:rPr>
        <w:t xml:space="preserve">the three hospitals in the electorate added together. Due to rounding, the total number may not be exactly the same as the sum of </w:t>
      </w:r>
      <w:r w:rsidR="00CC2E3B">
        <w:rPr>
          <w:i/>
          <w:sz w:val="18"/>
          <w:szCs w:val="18"/>
        </w:rPr>
        <w:t>all</w:t>
      </w:r>
      <w:r w:rsidR="00BF3A12">
        <w:rPr>
          <w:i/>
          <w:sz w:val="18"/>
          <w:szCs w:val="18"/>
        </w:rPr>
        <w:t xml:space="preserve"> row</w:t>
      </w:r>
      <w:r w:rsidR="00CC2E3B">
        <w:rPr>
          <w:i/>
          <w:sz w:val="18"/>
          <w:szCs w:val="18"/>
        </w:rPr>
        <w:t>s</w:t>
      </w:r>
      <w:r w:rsidR="00BF3A12">
        <w:rPr>
          <w:i/>
          <w:sz w:val="18"/>
          <w:szCs w:val="18"/>
        </w:rPr>
        <w:t>.</w:t>
      </w:r>
      <w:r w:rsidR="00B325AA" w:rsidRPr="0079482A">
        <w:rPr>
          <w:i/>
          <w:sz w:val="18"/>
          <w:szCs w:val="18"/>
        </w:rPr>
        <w:t xml:space="preserve"> </w:t>
      </w:r>
    </w:p>
    <w:p w14:paraId="63AA0BA7" w14:textId="77777777" w:rsidR="00802DB3" w:rsidRDefault="00802DB3" w:rsidP="0079482A">
      <w:pPr>
        <w:pStyle w:val="ListParagraph"/>
        <w:numPr>
          <w:ilvl w:val="0"/>
          <w:numId w:val="1"/>
        </w:numPr>
        <w:spacing w:after="120"/>
        <w:ind w:left="714" w:hanging="357"/>
        <w:contextualSpacing w:val="0"/>
      </w:pPr>
      <w:r>
        <w:t xml:space="preserve">About </w:t>
      </w:r>
      <w:r w:rsidR="00264C76">
        <w:t>7,600</w:t>
      </w:r>
      <w:r>
        <w:t xml:space="preserve"> ED attendances are recorded monthly in the three hospitals in</w:t>
      </w:r>
      <w:r w:rsidR="007A58F7">
        <w:t xml:space="preserve"> the</w:t>
      </w:r>
      <w:r w:rsidR="001E49E7">
        <w:t xml:space="preserve"> Federal electorate of</w:t>
      </w:r>
      <w:r>
        <w:t xml:space="preserve"> Hinkler</w:t>
      </w:r>
      <w:r w:rsidR="00D83D8B">
        <w:t>. T</w:t>
      </w:r>
      <w:r>
        <w:t>he corresponding figure is about 1</w:t>
      </w:r>
      <w:r w:rsidR="00264C76">
        <w:t>67</w:t>
      </w:r>
      <w:r>
        <w:t xml:space="preserve">,000 </w:t>
      </w:r>
      <w:r w:rsidR="00D83D8B">
        <w:t>for</w:t>
      </w:r>
      <w:r>
        <w:t xml:space="preserve"> the whole </w:t>
      </w:r>
      <w:r w:rsidR="00D83D8B">
        <w:t xml:space="preserve">of </w:t>
      </w:r>
      <w:r>
        <w:t>Queensland.</w:t>
      </w:r>
    </w:p>
    <w:p w14:paraId="0D8DE701" w14:textId="77777777" w:rsidR="00264C76" w:rsidRDefault="00264C76" w:rsidP="0079482A">
      <w:pPr>
        <w:pStyle w:val="ListParagraph"/>
        <w:numPr>
          <w:ilvl w:val="0"/>
          <w:numId w:val="1"/>
        </w:numPr>
        <w:spacing w:after="120"/>
        <w:ind w:left="714" w:hanging="357"/>
        <w:contextualSpacing w:val="0"/>
      </w:pPr>
      <w:r>
        <w:t>The number of attendances varies substantially between the three hospitals in</w:t>
      </w:r>
      <w:r w:rsidR="007A58F7">
        <w:t xml:space="preserve"> the</w:t>
      </w:r>
      <w:r w:rsidR="001E49E7">
        <w:t xml:space="preserve"> Federal electorate of</w:t>
      </w:r>
      <w:r>
        <w:t xml:space="preserve"> Hinkler. The highest figure is observed in </w:t>
      </w:r>
      <w:r w:rsidRPr="00264C76">
        <w:t>Bundaberg Hospital</w:t>
      </w:r>
      <w:r>
        <w:t>, where over 4,000 people attend the ED department per month. In contrast, Childers Hospital admits less than 200 ED patients.</w:t>
      </w:r>
    </w:p>
    <w:p w14:paraId="17E3C2F8" w14:textId="61E9A058" w:rsidR="0079482A" w:rsidRDefault="00D83D8B" w:rsidP="0079482A">
      <w:r w:rsidRPr="0079482A">
        <w:t>T</w:t>
      </w:r>
      <w:r w:rsidR="0029673A">
        <w:t>o allow for comparisons</w:t>
      </w:r>
      <w:r w:rsidR="0029673A" w:rsidRPr="0029673A">
        <w:t xml:space="preserve"> </w:t>
      </w:r>
      <w:r w:rsidR="0029673A" w:rsidRPr="0079482A">
        <w:t xml:space="preserve">between </w:t>
      </w:r>
      <w:r w:rsidR="0029673A">
        <w:t xml:space="preserve">the </w:t>
      </w:r>
      <w:r w:rsidR="001E49E7">
        <w:t>F</w:t>
      </w:r>
      <w:r w:rsidR="0029673A" w:rsidRPr="007A58F7">
        <w:t>ederal electorate</w:t>
      </w:r>
      <w:r w:rsidR="0029673A" w:rsidRPr="0079482A">
        <w:t xml:space="preserve"> </w:t>
      </w:r>
      <w:r w:rsidR="001E49E7">
        <w:t xml:space="preserve">of </w:t>
      </w:r>
      <w:r w:rsidR="001E49E7" w:rsidRPr="0079482A">
        <w:t xml:space="preserve">Hinkler </w:t>
      </w:r>
      <w:r w:rsidR="0029673A" w:rsidRPr="0079482A">
        <w:t>and the whole of Queensland</w:t>
      </w:r>
      <w:r w:rsidR="0029673A">
        <w:t>, t</w:t>
      </w:r>
      <w:r w:rsidRPr="0079482A">
        <w:t>he following table (</w:t>
      </w:r>
      <w:r w:rsidR="000851DE">
        <w:fldChar w:fldCharType="begin"/>
      </w:r>
      <w:r w:rsidR="000851DE">
        <w:instrText xml:space="preserve"> REF _Ref34911482 \h </w:instrText>
      </w:r>
      <w:r w:rsidR="000851DE">
        <w:fldChar w:fldCharType="separate"/>
      </w:r>
      <w:r w:rsidR="008E2086">
        <w:t xml:space="preserve">Table </w:t>
      </w:r>
      <w:r w:rsidR="008E2086">
        <w:rPr>
          <w:noProof/>
        </w:rPr>
        <w:t>2</w:t>
      </w:r>
      <w:r w:rsidR="008E2086">
        <w:noBreakHyphen/>
      </w:r>
      <w:r w:rsidR="008E2086">
        <w:rPr>
          <w:noProof/>
        </w:rPr>
        <w:t>2</w:t>
      </w:r>
      <w:r w:rsidR="000851DE">
        <w:fldChar w:fldCharType="end"/>
      </w:r>
      <w:r w:rsidRPr="0079482A">
        <w:t xml:space="preserve">) displays the </w:t>
      </w:r>
      <w:r w:rsidR="0029673A">
        <w:t xml:space="preserve">number of </w:t>
      </w:r>
      <w:r w:rsidR="003C7F2F">
        <w:t>ED</w:t>
      </w:r>
      <w:r w:rsidRPr="0079482A">
        <w:t xml:space="preserve"> attendance</w:t>
      </w:r>
      <w:r w:rsidR="0029673A">
        <w:t>s per 100 population</w:t>
      </w:r>
      <w:r w:rsidRPr="0079482A">
        <w:t xml:space="preserve">. </w:t>
      </w:r>
      <w:r w:rsidR="009B44B1">
        <w:t xml:space="preserve">We also present the comparison in </w:t>
      </w:r>
      <w:r w:rsidR="007B6616">
        <w:fldChar w:fldCharType="begin"/>
      </w:r>
      <w:r w:rsidR="007B6616">
        <w:instrText xml:space="preserve"> REF _Ref35850426 \h </w:instrText>
      </w:r>
      <w:r w:rsidR="007B6616">
        <w:fldChar w:fldCharType="separate"/>
      </w:r>
      <w:r w:rsidR="008E2086">
        <w:t xml:space="preserve">Figure </w:t>
      </w:r>
      <w:r w:rsidR="008E2086">
        <w:rPr>
          <w:noProof/>
        </w:rPr>
        <w:t>2</w:t>
      </w:r>
      <w:r w:rsidR="008E2086">
        <w:noBreakHyphen/>
      </w:r>
      <w:r w:rsidR="008E2086">
        <w:rPr>
          <w:noProof/>
        </w:rPr>
        <w:t>1</w:t>
      </w:r>
      <w:r w:rsidR="007B6616">
        <w:fldChar w:fldCharType="end"/>
      </w:r>
      <w:r w:rsidR="0079482A" w:rsidRPr="0079482A">
        <w:t xml:space="preserve"> </w:t>
      </w:r>
      <w:r w:rsidR="009B44B1">
        <w:t xml:space="preserve">to </w:t>
      </w:r>
      <w:r w:rsidR="0079482A" w:rsidRPr="0079482A">
        <w:t xml:space="preserve">highlight the scale difference between the </w:t>
      </w:r>
      <w:r w:rsidR="001E49E7">
        <w:t>F</w:t>
      </w:r>
      <w:r w:rsidR="001E49E7" w:rsidRPr="007A58F7">
        <w:t>ederal electorate</w:t>
      </w:r>
      <w:r w:rsidR="001E49E7" w:rsidRPr="0079482A">
        <w:t xml:space="preserve"> </w:t>
      </w:r>
      <w:r w:rsidR="001E49E7">
        <w:t xml:space="preserve">of </w:t>
      </w:r>
      <w:r w:rsidR="001E49E7" w:rsidRPr="0079482A">
        <w:t>Hinkler</w:t>
      </w:r>
      <w:r w:rsidR="0079482A" w:rsidRPr="0079482A">
        <w:t xml:space="preserve"> and the whole of Queensland</w:t>
      </w:r>
      <w:r w:rsidR="0079482A">
        <w:t>.</w:t>
      </w:r>
    </w:p>
    <w:p w14:paraId="17BB6103" w14:textId="77777777" w:rsidR="0079482A" w:rsidRDefault="0079482A" w:rsidP="0079482A">
      <w:pPr>
        <w:pStyle w:val="ListParagraph"/>
        <w:numPr>
          <w:ilvl w:val="0"/>
          <w:numId w:val="2"/>
        </w:numPr>
      </w:pPr>
      <w:r w:rsidRPr="00D4437C">
        <w:t>Overall, th</w:t>
      </w:r>
      <w:r w:rsidR="0029673A">
        <w:t>e monthly ED attendance rate is</w:t>
      </w:r>
      <w:r>
        <w:t xml:space="preserve"> </w:t>
      </w:r>
      <w:r w:rsidR="00264C76">
        <w:t xml:space="preserve">over 5 </w:t>
      </w:r>
      <w:r>
        <w:t>per 100 population</w:t>
      </w:r>
      <w:r w:rsidRPr="00D4437C">
        <w:t xml:space="preserve"> in </w:t>
      </w:r>
      <w:r w:rsidR="007A58F7">
        <w:t xml:space="preserve">the </w:t>
      </w:r>
      <w:r w:rsidR="001E49E7">
        <w:t>F</w:t>
      </w:r>
      <w:r w:rsidR="001E49E7" w:rsidRPr="007A58F7">
        <w:t>ederal electorate</w:t>
      </w:r>
      <w:r w:rsidR="001E49E7" w:rsidRPr="0079482A">
        <w:t xml:space="preserve"> </w:t>
      </w:r>
      <w:r w:rsidR="001E49E7">
        <w:t xml:space="preserve">of </w:t>
      </w:r>
      <w:r w:rsidR="001E49E7" w:rsidRPr="0079482A">
        <w:t>Hinkler</w:t>
      </w:r>
      <w:r w:rsidR="007A58F7" w:rsidRPr="007A58F7">
        <w:t xml:space="preserve"> </w:t>
      </w:r>
      <w:r w:rsidRPr="00D4437C">
        <w:t xml:space="preserve">and the corresponding </w:t>
      </w:r>
      <w:r>
        <w:t>rate</w:t>
      </w:r>
      <w:r w:rsidRPr="00D4437C">
        <w:t xml:space="preserve"> is</w:t>
      </w:r>
      <w:r w:rsidR="00264C76">
        <w:t xml:space="preserve"> about</w:t>
      </w:r>
      <w:r>
        <w:t xml:space="preserve"> 3.5 for </w:t>
      </w:r>
      <w:r w:rsidR="00600A90">
        <w:t xml:space="preserve">the state of </w:t>
      </w:r>
      <w:r>
        <w:t>Queensland</w:t>
      </w:r>
      <w:r w:rsidR="00600A90">
        <w:t xml:space="preserve"> as a whole</w:t>
      </w:r>
      <w:r>
        <w:t>, suggesting</w:t>
      </w:r>
      <w:r w:rsidRPr="00D4437C">
        <w:t xml:space="preserve"> that a larger proportion of </w:t>
      </w:r>
      <w:r>
        <w:t xml:space="preserve">the </w:t>
      </w:r>
      <w:r w:rsidRPr="00D4437C">
        <w:t>population</w:t>
      </w:r>
      <w:r w:rsidR="00361A75">
        <w:t xml:space="preserve"> in the </w:t>
      </w:r>
      <w:r w:rsidR="001E49E7">
        <w:t>F</w:t>
      </w:r>
      <w:r w:rsidR="001E49E7" w:rsidRPr="007A58F7">
        <w:t>ederal electorate</w:t>
      </w:r>
      <w:r w:rsidR="001E49E7" w:rsidRPr="0079482A">
        <w:t xml:space="preserve"> </w:t>
      </w:r>
      <w:r w:rsidR="001E49E7">
        <w:t xml:space="preserve">of </w:t>
      </w:r>
      <w:r w:rsidR="001E49E7" w:rsidRPr="0079482A">
        <w:t>Hinkler</w:t>
      </w:r>
      <w:r w:rsidRPr="00D4437C">
        <w:t xml:space="preserve"> attend the ED than the Queensland average population</w:t>
      </w:r>
      <w:r>
        <w:t>.</w:t>
      </w:r>
    </w:p>
    <w:p w14:paraId="0A857D6B" w14:textId="77777777" w:rsidR="0079482A" w:rsidRDefault="0079482A" w:rsidP="0079482A">
      <w:pPr>
        <w:pStyle w:val="ListParagraph"/>
        <w:numPr>
          <w:ilvl w:val="0"/>
          <w:numId w:val="2"/>
        </w:numPr>
      </w:pPr>
      <w:r>
        <w:lastRenderedPageBreak/>
        <w:t xml:space="preserve">The quarterly </w:t>
      </w:r>
      <w:r w:rsidR="00264C76">
        <w:t>variation</w:t>
      </w:r>
      <w:r>
        <w:t xml:space="preserve"> of ED attendance rate</w:t>
      </w:r>
      <w:r w:rsidR="00D565E9">
        <w:t>s</w:t>
      </w:r>
      <w:r>
        <w:t xml:space="preserve"> </w:t>
      </w:r>
      <w:r w:rsidR="00D565E9">
        <w:t xml:space="preserve">is </w:t>
      </w:r>
      <w:r>
        <w:t>similar between</w:t>
      </w:r>
      <w:r w:rsidR="007A58F7">
        <w:t xml:space="preserve"> the</w:t>
      </w:r>
      <w:r>
        <w:t xml:space="preserve"> </w:t>
      </w:r>
      <w:r w:rsidR="001E49E7">
        <w:t>F</w:t>
      </w:r>
      <w:r w:rsidR="001E49E7" w:rsidRPr="007A58F7">
        <w:t>ederal electorate</w:t>
      </w:r>
      <w:r w:rsidR="001E49E7" w:rsidRPr="0079482A">
        <w:t xml:space="preserve"> </w:t>
      </w:r>
      <w:r w:rsidR="001E49E7">
        <w:t xml:space="preserve">of </w:t>
      </w:r>
      <w:r w:rsidR="001E49E7" w:rsidRPr="0079482A">
        <w:t>Hinkler</w:t>
      </w:r>
      <w:r>
        <w:t xml:space="preserve"> and </w:t>
      </w:r>
      <w:r w:rsidR="00D565E9">
        <w:t xml:space="preserve">the state of </w:t>
      </w:r>
      <w:r>
        <w:t>Queensland</w:t>
      </w:r>
      <w:r w:rsidR="00D565E9">
        <w:t xml:space="preserve"> as a whole</w:t>
      </w:r>
      <w:r>
        <w:t xml:space="preserve">. The figure in both regions </w:t>
      </w:r>
      <w:r w:rsidR="003C7F2F">
        <w:t xml:space="preserve">is </w:t>
      </w:r>
      <w:r w:rsidR="00264C76">
        <w:t xml:space="preserve">marginally higher in </w:t>
      </w:r>
      <w:r w:rsidR="00501FA9">
        <w:t>the fourth quarter of</w:t>
      </w:r>
      <w:r w:rsidR="00264C76">
        <w:t xml:space="preserve"> 2018 than in </w:t>
      </w:r>
      <w:r w:rsidR="00501FA9">
        <w:t xml:space="preserve">the </w:t>
      </w:r>
      <w:r w:rsidR="00D565E9">
        <w:t xml:space="preserve">third </w:t>
      </w:r>
      <w:r w:rsidR="00501FA9">
        <w:t>quarter</w:t>
      </w:r>
      <w:r w:rsidR="00264C76">
        <w:t>.</w:t>
      </w:r>
    </w:p>
    <w:p w14:paraId="4E257B00" w14:textId="631013A7" w:rsidR="00283B36" w:rsidRPr="0079482A" w:rsidRDefault="000851DE" w:rsidP="00A4064D">
      <w:pPr>
        <w:pStyle w:val="Caption"/>
        <w:spacing w:before="240"/>
      </w:pPr>
      <w:bookmarkStart w:id="17" w:name="_Ref34911482"/>
      <w:bookmarkStart w:id="18" w:name="_Toc34935526"/>
      <w:bookmarkStart w:id="19" w:name="_Toc37263565"/>
      <w:r>
        <w:t>Table</w:t>
      </w:r>
      <w:r w:rsidR="00B95FFF">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2</w:t>
      </w:r>
      <w:r w:rsidR="006C0554">
        <w:rPr>
          <w:noProof/>
        </w:rPr>
        <w:fldChar w:fldCharType="end"/>
      </w:r>
      <w:bookmarkEnd w:id="17"/>
      <w:r w:rsidR="00D83D8B" w:rsidRPr="0079482A">
        <w:t xml:space="preserve">: </w:t>
      </w:r>
      <w:r w:rsidR="00556E19">
        <w:t>Average monthly</w:t>
      </w:r>
      <w:r w:rsidR="00283B36" w:rsidRPr="0079482A">
        <w:t xml:space="preserve"> </w:t>
      </w:r>
      <w:r w:rsidR="00961F6D">
        <w:t>E</w:t>
      </w:r>
      <w:r w:rsidR="00961F6D" w:rsidRPr="0079482A">
        <w:t xml:space="preserve">mergency </w:t>
      </w:r>
      <w:r w:rsidR="00961F6D">
        <w:t>D</w:t>
      </w:r>
      <w:r w:rsidR="00961F6D" w:rsidRPr="0079482A">
        <w:t xml:space="preserve">epartment </w:t>
      </w:r>
      <w:r w:rsidR="008C66A5" w:rsidRPr="0079482A">
        <w:t>attendance rate</w:t>
      </w:r>
      <w:r w:rsidR="00556E19">
        <w:t>s</w:t>
      </w:r>
      <w:bookmarkEnd w:id="18"/>
      <w:r w:rsidR="00BB397D" w:rsidRPr="0079482A">
        <w:t xml:space="preserve"> </w:t>
      </w:r>
      <w:r w:rsidR="005F5E9E">
        <w:t xml:space="preserve">per </w:t>
      </w:r>
      <w:r w:rsidR="00361A75">
        <w:t>100 population</w:t>
      </w:r>
      <w:bookmarkEnd w:id="19"/>
    </w:p>
    <w:tbl>
      <w:tblPr>
        <w:tblStyle w:val="ListTable3-Accent5"/>
        <w:tblW w:w="5000" w:type="pct"/>
        <w:tblLayout w:type="fixed"/>
        <w:tblLook w:val="04A0" w:firstRow="1" w:lastRow="0" w:firstColumn="1" w:lastColumn="0" w:noHBand="0" w:noVBand="1"/>
      </w:tblPr>
      <w:tblGrid>
        <w:gridCol w:w="3006"/>
        <w:gridCol w:w="3005"/>
        <w:gridCol w:w="3005"/>
      </w:tblGrid>
      <w:tr w:rsidR="00264C76" w:rsidRPr="003542F0" w14:paraId="390B86B2"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pct"/>
            <w:shd w:val="clear" w:color="auto" w:fill="2F5496" w:themeFill="accent5" w:themeFillShade="BF"/>
            <w:noWrap/>
            <w:hideMark/>
          </w:tcPr>
          <w:p w14:paraId="0EEC8B64" w14:textId="77777777" w:rsidR="00264C76" w:rsidRPr="003542F0" w:rsidRDefault="00264C76" w:rsidP="0079482A">
            <w:pPr>
              <w:rPr>
                <w:lang w:eastAsia="en-AU"/>
              </w:rPr>
            </w:pPr>
          </w:p>
        </w:tc>
        <w:tc>
          <w:tcPr>
            <w:tcW w:w="0" w:type="pct"/>
            <w:shd w:val="clear" w:color="auto" w:fill="2F5496" w:themeFill="accent5" w:themeFillShade="BF"/>
            <w:noWrap/>
          </w:tcPr>
          <w:p w14:paraId="23AC2D62" w14:textId="77777777" w:rsidR="00264C76" w:rsidRPr="003542F0" w:rsidRDefault="00264C76" w:rsidP="0029673A">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Q</w:t>
            </w:r>
            <w:r w:rsidR="0029673A" w:rsidRPr="003542F0">
              <w:rPr>
                <w:lang w:eastAsia="en-AU"/>
              </w:rPr>
              <w:t>uarter 3 /</w:t>
            </w:r>
            <w:r w:rsidR="0029673A" w:rsidRPr="000613C9">
              <w:t xml:space="preserve"> </w:t>
            </w:r>
            <w:r w:rsidRPr="000613C9">
              <w:t>2018</w:t>
            </w:r>
          </w:p>
        </w:tc>
        <w:tc>
          <w:tcPr>
            <w:tcW w:w="0" w:type="pct"/>
            <w:shd w:val="clear" w:color="auto" w:fill="2F5496" w:themeFill="accent5" w:themeFillShade="BF"/>
            <w:noWrap/>
          </w:tcPr>
          <w:p w14:paraId="1F55C8F8" w14:textId="77777777" w:rsidR="00264C76" w:rsidRPr="003542F0" w:rsidRDefault="00264C76" w:rsidP="0029673A">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Q</w:t>
            </w:r>
            <w:r w:rsidR="0029673A" w:rsidRPr="003542F0">
              <w:rPr>
                <w:lang w:eastAsia="en-AU"/>
              </w:rPr>
              <w:t xml:space="preserve">uarter </w:t>
            </w:r>
            <w:r w:rsidRPr="003542F0">
              <w:rPr>
                <w:lang w:eastAsia="en-AU"/>
              </w:rPr>
              <w:t>4</w:t>
            </w:r>
            <w:r w:rsidR="0029673A" w:rsidRPr="003542F0">
              <w:rPr>
                <w:lang w:eastAsia="en-AU"/>
              </w:rPr>
              <w:t xml:space="preserve"> /</w:t>
            </w:r>
            <w:r w:rsidRPr="000613C9">
              <w:t xml:space="preserve"> 2018</w:t>
            </w:r>
          </w:p>
        </w:tc>
      </w:tr>
      <w:tr w:rsidR="00264C76" w:rsidRPr="005D4E0F" w14:paraId="6426B76D"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noWrap/>
          </w:tcPr>
          <w:p w14:paraId="0A3B21C6" w14:textId="77777777" w:rsidR="00264C76" w:rsidRPr="005D4E0F" w:rsidRDefault="00FC50A4" w:rsidP="0079482A">
            <w:pPr>
              <w:rPr>
                <w:rFonts w:ascii="Calibri" w:eastAsia="Times New Roman" w:hAnsi="Calibri" w:cs="Calibri"/>
                <w:color w:val="000000"/>
                <w:lang w:eastAsia="en-AU"/>
              </w:rPr>
            </w:pPr>
            <w:r>
              <w:t xml:space="preserve">Federal electorate of </w:t>
            </w:r>
            <w:r w:rsidR="00264C76" w:rsidRPr="005D4E0F">
              <w:t>Hinkler</w:t>
            </w:r>
            <w:r w:rsidR="007A58F7">
              <w:t xml:space="preserve"> </w:t>
            </w:r>
          </w:p>
        </w:tc>
        <w:tc>
          <w:tcPr>
            <w:tcW w:w="0" w:type="pct"/>
            <w:noWrap/>
          </w:tcPr>
          <w:p w14:paraId="198B6ADF" w14:textId="77777777" w:rsidR="00264C76" w:rsidRPr="00CE0D44" w:rsidRDefault="00264C76" w:rsidP="0029673A">
            <w:pPr>
              <w:jc w:val="center"/>
              <w:cnfStyle w:val="000000100000" w:firstRow="0" w:lastRow="0" w:firstColumn="0" w:lastColumn="0" w:oddVBand="0" w:evenVBand="0" w:oddHBand="1" w:evenHBand="0" w:firstRowFirstColumn="0" w:firstRowLastColumn="0" w:lastRowFirstColumn="0" w:lastRowLastColumn="0"/>
              <w:rPr>
                <w:lang w:eastAsia="en-AU"/>
              </w:rPr>
            </w:pPr>
            <w:r w:rsidRPr="00CE0D44">
              <w:rPr>
                <w:lang w:eastAsia="en-AU"/>
              </w:rPr>
              <w:t>5.32</w:t>
            </w:r>
          </w:p>
        </w:tc>
        <w:tc>
          <w:tcPr>
            <w:tcW w:w="0" w:type="pct"/>
            <w:noWrap/>
          </w:tcPr>
          <w:p w14:paraId="148F9A7F" w14:textId="77777777" w:rsidR="00264C76" w:rsidRPr="00CE0D44" w:rsidRDefault="00264C76" w:rsidP="0029673A">
            <w:pPr>
              <w:jc w:val="center"/>
              <w:cnfStyle w:val="000000100000" w:firstRow="0" w:lastRow="0" w:firstColumn="0" w:lastColumn="0" w:oddVBand="0" w:evenVBand="0" w:oddHBand="1" w:evenHBand="0" w:firstRowFirstColumn="0" w:firstRowLastColumn="0" w:lastRowFirstColumn="0" w:lastRowLastColumn="0"/>
              <w:rPr>
                <w:lang w:eastAsia="en-AU"/>
              </w:rPr>
            </w:pPr>
            <w:r w:rsidRPr="00CE0D44">
              <w:rPr>
                <w:lang w:eastAsia="en-AU"/>
              </w:rPr>
              <w:t>5.42</w:t>
            </w:r>
          </w:p>
        </w:tc>
      </w:tr>
      <w:tr w:rsidR="00264C76" w:rsidRPr="005D4E0F" w14:paraId="12306C37"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3C57C0C4" w14:textId="77777777" w:rsidR="00264C76" w:rsidRPr="005D4E0F" w:rsidRDefault="00264C76" w:rsidP="0079482A">
            <w:pPr>
              <w:rPr>
                <w:lang w:eastAsia="en-AU"/>
              </w:rPr>
            </w:pPr>
            <w:r w:rsidRPr="005D4E0F">
              <w:rPr>
                <w:lang w:eastAsia="en-AU"/>
              </w:rPr>
              <w:t>Queensland</w:t>
            </w:r>
          </w:p>
        </w:tc>
        <w:tc>
          <w:tcPr>
            <w:tcW w:w="0" w:type="pct"/>
            <w:noWrap/>
          </w:tcPr>
          <w:p w14:paraId="0D8AF5D3" w14:textId="77777777" w:rsidR="00264C76" w:rsidRPr="00CE0D44" w:rsidRDefault="00264C76" w:rsidP="0029673A">
            <w:pPr>
              <w:jc w:val="center"/>
              <w:cnfStyle w:val="000000000000" w:firstRow="0" w:lastRow="0" w:firstColumn="0" w:lastColumn="0" w:oddVBand="0" w:evenVBand="0" w:oddHBand="0" w:evenHBand="0" w:firstRowFirstColumn="0" w:firstRowLastColumn="0" w:lastRowFirstColumn="0" w:lastRowLastColumn="0"/>
              <w:rPr>
                <w:lang w:eastAsia="en-AU"/>
              </w:rPr>
            </w:pPr>
            <w:r w:rsidRPr="00CE0D44">
              <w:rPr>
                <w:lang w:eastAsia="en-AU"/>
              </w:rPr>
              <w:t>3.48</w:t>
            </w:r>
          </w:p>
        </w:tc>
        <w:tc>
          <w:tcPr>
            <w:tcW w:w="0" w:type="pct"/>
            <w:noWrap/>
          </w:tcPr>
          <w:p w14:paraId="2705523B" w14:textId="77777777" w:rsidR="00264C76" w:rsidRPr="00CE0D44" w:rsidRDefault="00264C76" w:rsidP="0029673A">
            <w:pPr>
              <w:jc w:val="center"/>
              <w:cnfStyle w:val="000000000000" w:firstRow="0" w:lastRow="0" w:firstColumn="0" w:lastColumn="0" w:oddVBand="0" w:evenVBand="0" w:oddHBand="0" w:evenHBand="0" w:firstRowFirstColumn="0" w:firstRowLastColumn="0" w:lastRowFirstColumn="0" w:lastRowLastColumn="0"/>
              <w:rPr>
                <w:lang w:eastAsia="en-AU"/>
              </w:rPr>
            </w:pPr>
            <w:r w:rsidRPr="00CE0D44">
              <w:rPr>
                <w:lang w:eastAsia="en-AU"/>
              </w:rPr>
              <w:t>3.63</w:t>
            </w:r>
          </w:p>
        </w:tc>
      </w:tr>
    </w:tbl>
    <w:p w14:paraId="66B43818" w14:textId="77777777" w:rsidR="00C833BE" w:rsidRPr="0079482A" w:rsidRDefault="00C833BE" w:rsidP="0079482A">
      <w:pPr>
        <w:spacing w:after="0"/>
        <w:rPr>
          <w:i/>
          <w:sz w:val="18"/>
          <w:szCs w:val="18"/>
        </w:rPr>
      </w:pPr>
      <w:r w:rsidRPr="0079482A">
        <w:rPr>
          <w:i/>
          <w:sz w:val="18"/>
          <w:szCs w:val="18"/>
        </w:rPr>
        <w:t xml:space="preserve">Source: Queensland Government Open Data Portal: Emergency Department dataset; Census of Population and Housing, 2016, </w:t>
      </w:r>
      <w:proofErr w:type="spellStart"/>
      <w:r w:rsidRPr="0079482A">
        <w:rPr>
          <w:i/>
          <w:sz w:val="18"/>
          <w:szCs w:val="18"/>
        </w:rPr>
        <w:t>TableBuilder</w:t>
      </w:r>
      <w:proofErr w:type="spellEnd"/>
      <w:r w:rsidRPr="0079482A">
        <w:rPr>
          <w:i/>
          <w:sz w:val="18"/>
          <w:szCs w:val="18"/>
        </w:rPr>
        <w:t>.</w:t>
      </w:r>
    </w:p>
    <w:p w14:paraId="2AD8E0D0" w14:textId="77777777" w:rsidR="00283B36" w:rsidRPr="009B44B1" w:rsidRDefault="008C66A5" w:rsidP="00A4064D">
      <w:pPr>
        <w:spacing w:after="240"/>
        <w:rPr>
          <w:i/>
          <w:sz w:val="18"/>
          <w:szCs w:val="18"/>
        </w:rPr>
      </w:pPr>
      <w:r w:rsidRPr="0079482A">
        <w:rPr>
          <w:i/>
          <w:sz w:val="18"/>
          <w:szCs w:val="18"/>
        </w:rPr>
        <w:t>Note</w:t>
      </w:r>
      <w:r w:rsidR="009F1770">
        <w:rPr>
          <w:i/>
          <w:sz w:val="18"/>
          <w:szCs w:val="18"/>
        </w:rPr>
        <w:t>s</w:t>
      </w:r>
      <w:r w:rsidRPr="0079482A">
        <w:rPr>
          <w:i/>
          <w:sz w:val="18"/>
          <w:szCs w:val="18"/>
        </w:rPr>
        <w:t>: The attendance rate</w:t>
      </w:r>
      <w:r w:rsidR="00C833BE" w:rsidRPr="0079482A">
        <w:rPr>
          <w:i/>
          <w:sz w:val="18"/>
          <w:szCs w:val="18"/>
        </w:rPr>
        <w:t xml:space="preserve"> is calculated using the average monthly number of </w:t>
      </w:r>
      <w:r w:rsidR="00D565E9">
        <w:rPr>
          <w:i/>
          <w:sz w:val="18"/>
          <w:szCs w:val="18"/>
        </w:rPr>
        <w:t>E</w:t>
      </w:r>
      <w:r w:rsidR="00C833BE" w:rsidRPr="0079482A">
        <w:rPr>
          <w:i/>
          <w:sz w:val="18"/>
          <w:szCs w:val="18"/>
        </w:rPr>
        <w:t xml:space="preserve">mergency </w:t>
      </w:r>
      <w:r w:rsidR="00D565E9">
        <w:rPr>
          <w:i/>
          <w:sz w:val="18"/>
          <w:szCs w:val="18"/>
        </w:rPr>
        <w:t>D</w:t>
      </w:r>
      <w:r w:rsidR="00C833BE" w:rsidRPr="0079482A">
        <w:rPr>
          <w:i/>
          <w:sz w:val="18"/>
          <w:szCs w:val="18"/>
        </w:rPr>
        <w:t>epartment attendances divided by the 2016 Census population in the region</w:t>
      </w:r>
      <w:r w:rsidR="00C30F9D" w:rsidRPr="0079482A">
        <w:rPr>
          <w:i/>
          <w:sz w:val="18"/>
          <w:szCs w:val="18"/>
        </w:rPr>
        <w:t>. They are</w:t>
      </w:r>
      <w:r w:rsidR="00C833BE" w:rsidRPr="0079482A">
        <w:rPr>
          <w:i/>
          <w:sz w:val="18"/>
          <w:szCs w:val="18"/>
        </w:rPr>
        <w:t xml:space="preserve"> </w:t>
      </w:r>
      <w:r w:rsidRPr="0079482A">
        <w:rPr>
          <w:i/>
          <w:sz w:val="18"/>
          <w:szCs w:val="18"/>
        </w:rPr>
        <w:t xml:space="preserve">expressed as </w:t>
      </w:r>
      <w:r w:rsidR="00C30F9D" w:rsidRPr="0079482A">
        <w:rPr>
          <w:i/>
          <w:sz w:val="18"/>
          <w:szCs w:val="18"/>
        </w:rPr>
        <w:t xml:space="preserve">attendances </w:t>
      </w:r>
      <w:r w:rsidRPr="0079482A">
        <w:rPr>
          <w:i/>
          <w:sz w:val="18"/>
          <w:szCs w:val="18"/>
        </w:rPr>
        <w:t>per 100 population</w:t>
      </w:r>
      <w:r w:rsidRPr="009B44B1">
        <w:rPr>
          <w:i/>
          <w:sz w:val="18"/>
          <w:szCs w:val="18"/>
        </w:rPr>
        <w:t>.</w:t>
      </w:r>
      <w:r w:rsidR="00361A75" w:rsidRPr="009B44B1">
        <w:rPr>
          <w:i/>
          <w:sz w:val="18"/>
          <w:szCs w:val="18"/>
        </w:rPr>
        <w:t xml:space="preserve"> </w:t>
      </w:r>
    </w:p>
    <w:p w14:paraId="5D355B36" w14:textId="5F0CCFB9" w:rsidR="00BB397D" w:rsidRPr="0079482A" w:rsidRDefault="000851DE" w:rsidP="00A4064D">
      <w:pPr>
        <w:pStyle w:val="Caption"/>
        <w:spacing w:before="240"/>
      </w:pPr>
      <w:bookmarkStart w:id="20" w:name="_Ref35850426"/>
      <w:bookmarkStart w:id="21" w:name="_Ref34911576"/>
      <w:bookmarkStart w:id="22" w:name="_Ref35850384"/>
      <w:bookmarkStart w:id="23" w:name="_Toc34935495"/>
      <w:bookmarkStart w:id="24" w:name="_Toc37263825"/>
      <w:r>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6B022F">
        <w:noBreakHyphen/>
      </w:r>
      <w:r w:rsidR="006C0554">
        <w:fldChar w:fldCharType="begin"/>
      </w:r>
      <w:r w:rsidR="006C0554">
        <w:instrText xml:space="preserve"> SEQ Figure \* ARABIC \s 1 </w:instrText>
      </w:r>
      <w:r w:rsidR="006C0554">
        <w:fldChar w:fldCharType="separate"/>
      </w:r>
      <w:r w:rsidR="008E2086">
        <w:rPr>
          <w:noProof/>
        </w:rPr>
        <w:t>1</w:t>
      </w:r>
      <w:r w:rsidR="006C0554">
        <w:rPr>
          <w:noProof/>
        </w:rPr>
        <w:fldChar w:fldCharType="end"/>
      </w:r>
      <w:bookmarkEnd w:id="20"/>
      <w:r>
        <w:t xml:space="preserve">: </w:t>
      </w:r>
      <w:r w:rsidR="0079482A" w:rsidRPr="0079482A">
        <w:t xml:space="preserve">Average monthly </w:t>
      </w:r>
      <w:r w:rsidR="00961F6D">
        <w:t>E</w:t>
      </w:r>
      <w:r w:rsidR="00961F6D" w:rsidRPr="0079482A">
        <w:t xml:space="preserve">mergency </w:t>
      </w:r>
      <w:r w:rsidR="00961F6D">
        <w:t>D</w:t>
      </w:r>
      <w:r w:rsidR="00961F6D" w:rsidRPr="0079482A">
        <w:t xml:space="preserve">epartment </w:t>
      </w:r>
      <w:r w:rsidR="0079482A" w:rsidRPr="0079482A">
        <w:t>attendance rate</w:t>
      </w:r>
      <w:bookmarkEnd w:id="21"/>
      <w:r w:rsidR="00556E19">
        <w:t>s</w:t>
      </w:r>
      <w:bookmarkEnd w:id="22"/>
      <w:bookmarkEnd w:id="23"/>
      <w:bookmarkEnd w:id="24"/>
    </w:p>
    <w:p w14:paraId="203C56ED" w14:textId="1D7EBAB8" w:rsidR="00843CD7" w:rsidRDefault="00264C76" w:rsidP="00A4064D">
      <w:pPr>
        <w:spacing w:before="360"/>
        <w:jc w:val="center"/>
      </w:pPr>
      <w:r w:rsidRPr="00264C76">
        <w:rPr>
          <w:noProof/>
          <w:lang w:eastAsia="en-AU"/>
        </w:rPr>
        <w:drawing>
          <wp:inline distT="0" distB="0" distL="0" distR="0" wp14:anchorId="6F700772" wp14:editId="51428BBE">
            <wp:extent cx="3377110" cy="2625133"/>
            <wp:effectExtent l="0" t="0" r="0" b="3810"/>
            <wp:docPr id="1" name="Picture 1" descr="Figure 2 1: Average monthly Emergency Department attendance rates&#10;&#10;Difference in the ED attendance rate per 100 population between the Federal electorate of Hinkler and the whole of Queensland.&#10;Quarter 3 2018: Hinkler 5.32, Queensland 3.48&#10;Quarter 4 2018: Hinkler 5.42, Queensland 3.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7110" cy="2625133"/>
                    </a:xfrm>
                    <a:prstGeom prst="rect">
                      <a:avLst/>
                    </a:prstGeom>
                    <a:noFill/>
                    <a:ln>
                      <a:noFill/>
                    </a:ln>
                  </pic:spPr>
                </pic:pic>
              </a:graphicData>
            </a:graphic>
          </wp:inline>
        </w:drawing>
      </w:r>
    </w:p>
    <w:p w14:paraId="06CB130A" w14:textId="783E9BFE" w:rsidR="00D42DE3" w:rsidRDefault="00D42DE3" w:rsidP="00A4064D">
      <w:pPr>
        <w:spacing w:before="360"/>
      </w:pPr>
      <w:r>
        <w:t xml:space="preserve">Hospitals in Australia use the ‘triage’ system to sort </w:t>
      </w:r>
      <w:r w:rsidRPr="00413922">
        <w:t xml:space="preserve">when and where patients will be seen in an </w:t>
      </w:r>
      <w:r w:rsidR="003C7F2F">
        <w:t>ED</w:t>
      </w:r>
      <w:r w:rsidRPr="00413922">
        <w:t xml:space="preserve">. </w:t>
      </w:r>
      <w:r>
        <w:t>The system</w:t>
      </w:r>
      <w:r w:rsidRPr="00413922">
        <w:t xml:space="preserve"> </w:t>
      </w:r>
      <w:r w:rsidR="003C7F2F">
        <w:t>consists of</w:t>
      </w:r>
      <w:r w:rsidR="003C7F2F" w:rsidRPr="00413922">
        <w:t xml:space="preserve"> </w:t>
      </w:r>
      <w:r w:rsidRPr="00413922">
        <w:t>five c</w:t>
      </w:r>
      <w:r>
        <w:t>ategories.</w:t>
      </w:r>
      <w:r w:rsidRPr="00413922">
        <w:t xml:space="preserve"> Patients given a Rating 1 are those currently experiencing life-threatening illnesses or injuries that require immediate attenti</w:t>
      </w:r>
      <w:r>
        <w:t>on</w:t>
      </w:r>
      <w:r w:rsidRPr="00413922">
        <w:t>.</w:t>
      </w:r>
      <w:r>
        <w:t xml:space="preserve"> </w:t>
      </w:r>
      <w:r w:rsidRPr="00413922">
        <w:t>Rating 2 patients require very urgent attention,</w:t>
      </w:r>
      <w:r w:rsidR="00EC7B1E">
        <w:t xml:space="preserve"> </w:t>
      </w:r>
      <w:r w:rsidRPr="00413922">
        <w:t>and may be seriously ill or injured.</w:t>
      </w:r>
      <w:r>
        <w:t xml:space="preserve"> </w:t>
      </w:r>
      <w:r w:rsidRPr="00413922">
        <w:t>Rating 3 relates to patients with serious illness or injury who are in a stable condition, while Rating 4 is for patients who are not in immediate danger or severe stress. Patients who have presented with a non-emergency health concern are classified as Rating 5</w:t>
      </w:r>
      <w:r>
        <w:t>.</w:t>
      </w:r>
      <w:r w:rsidR="00025A2A">
        <w:t xml:space="preserve"> The following figure </w:t>
      </w:r>
      <w:r w:rsidR="005D7F8C">
        <w:t>(</w:t>
      </w:r>
      <w:r w:rsidR="009F1770">
        <w:fldChar w:fldCharType="begin"/>
      </w:r>
      <w:r w:rsidR="009F1770">
        <w:instrText xml:space="preserve"> REF _Ref36818243 \h </w:instrText>
      </w:r>
      <w:r w:rsidR="009F1770">
        <w:fldChar w:fldCharType="separate"/>
      </w:r>
      <w:r w:rsidR="008E2086">
        <w:t xml:space="preserve">Figure </w:t>
      </w:r>
      <w:r w:rsidR="008E2086">
        <w:rPr>
          <w:noProof/>
        </w:rPr>
        <w:t>2</w:t>
      </w:r>
      <w:r w:rsidR="008E2086">
        <w:noBreakHyphen/>
      </w:r>
      <w:r w:rsidR="008E2086">
        <w:rPr>
          <w:noProof/>
        </w:rPr>
        <w:t>2</w:t>
      </w:r>
      <w:r w:rsidR="009F1770">
        <w:fldChar w:fldCharType="end"/>
      </w:r>
      <w:r w:rsidR="005D7F8C">
        <w:t xml:space="preserve">) </w:t>
      </w:r>
      <w:r w:rsidR="00025A2A">
        <w:t xml:space="preserve">displays the distribution of hospital presentations according to this triage system for </w:t>
      </w:r>
      <w:r w:rsidR="00D565E9">
        <w:t xml:space="preserve">each of </w:t>
      </w:r>
      <w:r w:rsidR="00025A2A">
        <w:t xml:space="preserve">the three </w:t>
      </w:r>
      <w:r w:rsidR="00D565E9">
        <w:t xml:space="preserve">individual </w:t>
      </w:r>
      <w:r w:rsidR="00025A2A">
        <w:t xml:space="preserve">hospitals in the </w:t>
      </w:r>
      <w:r w:rsidR="001E49E7">
        <w:t>F</w:t>
      </w:r>
      <w:r w:rsidR="001E49E7" w:rsidRPr="007A58F7">
        <w:t>ederal electorate</w:t>
      </w:r>
      <w:r w:rsidR="001E49E7" w:rsidRPr="0079482A">
        <w:t xml:space="preserve"> </w:t>
      </w:r>
      <w:r w:rsidR="001E49E7">
        <w:t xml:space="preserve">of </w:t>
      </w:r>
      <w:r w:rsidR="001E49E7" w:rsidRPr="0079482A">
        <w:t>Hinkler</w:t>
      </w:r>
      <w:r w:rsidR="0063774F">
        <w:t>,</w:t>
      </w:r>
      <w:r w:rsidR="00025A2A">
        <w:t xml:space="preserve"> the </w:t>
      </w:r>
      <w:r w:rsidR="00D565E9">
        <w:t xml:space="preserve">sum of these three individual hospitals </w:t>
      </w:r>
      <w:r w:rsidR="005D7F8C">
        <w:t xml:space="preserve">and the </w:t>
      </w:r>
      <w:r w:rsidR="00D565E9">
        <w:t xml:space="preserve">state of </w:t>
      </w:r>
      <w:r w:rsidR="005D7F8C">
        <w:t>Queensland</w:t>
      </w:r>
      <w:r w:rsidR="00264C76">
        <w:t xml:space="preserve"> </w:t>
      </w:r>
      <w:r w:rsidR="00D565E9">
        <w:t xml:space="preserve">as a whole </w:t>
      </w:r>
      <w:r w:rsidR="00264C76">
        <w:t>in 2018</w:t>
      </w:r>
      <w:r w:rsidR="005D7F8C">
        <w:t xml:space="preserve"> (</w:t>
      </w:r>
      <w:r w:rsidR="009F1770">
        <w:fldChar w:fldCharType="begin"/>
      </w:r>
      <w:r w:rsidR="009F1770">
        <w:instrText xml:space="preserve"> REF _Ref36818297 \h </w:instrText>
      </w:r>
      <w:r w:rsidR="009F1770">
        <w:fldChar w:fldCharType="separate"/>
      </w:r>
      <w:r w:rsidR="008E2086">
        <w:t xml:space="preserve">Table </w:t>
      </w:r>
      <w:r w:rsidR="008E2086">
        <w:rPr>
          <w:noProof/>
        </w:rPr>
        <w:t>5</w:t>
      </w:r>
      <w:r w:rsidR="008E2086">
        <w:noBreakHyphen/>
      </w:r>
      <w:r w:rsidR="008E2086">
        <w:rPr>
          <w:noProof/>
        </w:rPr>
        <w:t>2</w:t>
      </w:r>
      <w:r w:rsidR="009F1770">
        <w:fldChar w:fldCharType="end"/>
      </w:r>
      <w:r w:rsidR="005D7F8C">
        <w:t xml:space="preserve"> in the appendices contains the numbers from which the figure was drawn).</w:t>
      </w:r>
      <w:r w:rsidR="00AC1D45">
        <w:t xml:space="preserve"> </w:t>
      </w:r>
      <w:r w:rsidR="009B44B1" w:rsidRPr="00413922">
        <w:t>Ratings 1 and 2 relate to the most serious of illnesses and injuries</w:t>
      </w:r>
      <w:r w:rsidR="009B44B1">
        <w:t xml:space="preserve"> and thus warrant special attention</w:t>
      </w:r>
      <w:r w:rsidR="009B44B1" w:rsidRPr="00413922">
        <w:t>.</w:t>
      </w:r>
    </w:p>
    <w:p w14:paraId="37A61E9B" w14:textId="77777777" w:rsidR="00600CEB" w:rsidRDefault="00600CEB">
      <w:pPr>
        <w:jc w:val="left"/>
      </w:pPr>
      <w:r>
        <w:br w:type="page"/>
      </w:r>
    </w:p>
    <w:p w14:paraId="7AF0EE15" w14:textId="58FB122B" w:rsidR="0057784F" w:rsidRDefault="000851DE" w:rsidP="000851DE">
      <w:pPr>
        <w:pStyle w:val="Caption"/>
      </w:pPr>
      <w:bookmarkStart w:id="25" w:name="_Ref36818243"/>
      <w:bookmarkStart w:id="26" w:name="_Toc34935496"/>
      <w:bookmarkStart w:id="27" w:name="_Toc37263826"/>
      <w:r>
        <w:lastRenderedPageBreak/>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6B022F">
        <w:noBreakHyphen/>
      </w:r>
      <w:r w:rsidR="006C0554">
        <w:fldChar w:fldCharType="begin"/>
      </w:r>
      <w:r w:rsidR="006C0554">
        <w:instrText xml:space="preserve"> SEQ Figure \* ARABIC \s 1 </w:instrText>
      </w:r>
      <w:r w:rsidR="006C0554">
        <w:fldChar w:fldCharType="separate"/>
      </w:r>
      <w:r w:rsidR="008E2086">
        <w:rPr>
          <w:noProof/>
        </w:rPr>
        <w:t>2</w:t>
      </w:r>
      <w:r w:rsidR="006C0554">
        <w:rPr>
          <w:noProof/>
        </w:rPr>
        <w:fldChar w:fldCharType="end"/>
      </w:r>
      <w:bookmarkEnd w:id="25"/>
      <w:r>
        <w:t xml:space="preserve">: </w:t>
      </w:r>
      <w:r w:rsidR="0057784F">
        <w:t xml:space="preserve">Distribution of </w:t>
      </w:r>
      <w:r w:rsidR="00182E1F">
        <w:t>E</w:t>
      </w:r>
      <w:r w:rsidR="00961F6D">
        <w:t xml:space="preserve">mergency </w:t>
      </w:r>
      <w:r w:rsidR="00182E1F">
        <w:t>D</w:t>
      </w:r>
      <w:r w:rsidR="00961F6D">
        <w:t xml:space="preserve">epartment </w:t>
      </w:r>
      <w:r w:rsidR="0057784F" w:rsidRPr="00B93915">
        <w:t>attendances</w:t>
      </w:r>
      <w:r w:rsidR="0057784F">
        <w:t xml:space="preserve"> across triage categories</w:t>
      </w:r>
      <w:bookmarkEnd w:id="26"/>
      <w:bookmarkEnd w:id="27"/>
    </w:p>
    <w:p w14:paraId="07EA8A4D" w14:textId="77777777" w:rsidR="0057784F" w:rsidRDefault="00114F1F" w:rsidP="0057784F">
      <w:pPr>
        <w:jc w:val="center"/>
      </w:pPr>
      <w:r>
        <w:rPr>
          <w:noProof/>
          <w:lang w:eastAsia="en-AU"/>
        </w:rPr>
        <w:drawing>
          <wp:inline distT="0" distB="0" distL="0" distR="0" wp14:anchorId="59F13BE4" wp14:editId="5E08092E">
            <wp:extent cx="5731510" cy="3872230"/>
            <wp:effectExtent l="0" t="0" r="2540" b="0"/>
            <wp:docPr id="13" name="Picture 13" descr="Distribution of Emergency Department attendances across triage categories. &#10;Categories 1 and 2: Bundaberg Hospital 10.4%, Childers Hospital 3.3%, Hervey Bay Hospital 14.7%, Hinkler 12.0%, Queensland 15.2%&#10;Category 3: Bundaberg Hospital 40.2%, Childers Hospital 27.9%, Hervey Bay Hospital 43.0%, Hinkler 41.0%, Queensland 41.2%&#10;Category 4: Bundaberg Hospital 41.7%, Childers Hospital 49.7%, Hervey Bay Hospital 38.3%, Hinkler 40.5%, Queensland 33.8%&#10;Category 5: Bundaberg Hospital 7.6%, Childers Hospital 19.1%, Hervey Bay Hospital 4.0%, Hinkler 6.4%, Queensland 9.8%&#10;" title="Figure 2 2: Distribution of Emergency Department attendances across triage categorie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872230"/>
                    </a:xfrm>
                    <a:prstGeom prst="rect">
                      <a:avLst/>
                    </a:prstGeom>
                    <a:noFill/>
                    <a:ln>
                      <a:noFill/>
                    </a:ln>
                  </pic:spPr>
                </pic:pic>
              </a:graphicData>
            </a:graphic>
          </wp:inline>
        </w:drawing>
      </w:r>
    </w:p>
    <w:p w14:paraId="4BC86A63" w14:textId="77777777" w:rsidR="002B5A69" w:rsidRPr="0079482A" w:rsidRDefault="002B5A69" w:rsidP="002B5A69">
      <w:pPr>
        <w:spacing w:after="0"/>
        <w:rPr>
          <w:i/>
          <w:sz w:val="18"/>
          <w:szCs w:val="18"/>
        </w:rPr>
      </w:pPr>
      <w:r w:rsidRPr="0079482A">
        <w:rPr>
          <w:i/>
          <w:sz w:val="18"/>
          <w:szCs w:val="18"/>
        </w:rPr>
        <w:t xml:space="preserve">Source: Queensland Government Open Data Portal: Emergency Department dataset. </w:t>
      </w:r>
    </w:p>
    <w:p w14:paraId="62A63D91" w14:textId="77777777" w:rsidR="002B5A69" w:rsidRPr="00B51060" w:rsidRDefault="002B5A69" w:rsidP="00A4064D">
      <w:pPr>
        <w:spacing w:after="360"/>
        <w:rPr>
          <w:i/>
          <w:sz w:val="18"/>
          <w:szCs w:val="18"/>
        </w:rPr>
      </w:pPr>
      <w:r>
        <w:rPr>
          <w:i/>
          <w:sz w:val="18"/>
          <w:szCs w:val="18"/>
        </w:rPr>
        <w:t xml:space="preserve">Notes: Hinkler refers to the </w:t>
      </w:r>
      <w:r w:rsidR="001E49E7" w:rsidRPr="001E49E7">
        <w:rPr>
          <w:i/>
          <w:sz w:val="18"/>
          <w:szCs w:val="18"/>
        </w:rPr>
        <w:t>Federal electorate of Hinkler</w:t>
      </w:r>
      <w:r>
        <w:rPr>
          <w:i/>
          <w:sz w:val="18"/>
          <w:szCs w:val="18"/>
        </w:rPr>
        <w:t>. Due to rounding, the total percentages may not sum up exactly to 100.</w:t>
      </w:r>
    </w:p>
    <w:p w14:paraId="4CF7AE73" w14:textId="0159A4DC" w:rsidR="00B2202F" w:rsidRDefault="00B2202F" w:rsidP="000851DE">
      <w:r>
        <w:t>Childers Hospital differs significantly from the other hospital</w:t>
      </w:r>
      <w:r w:rsidR="00806554">
        <w:t>s</w:t>
      </w:r>
      <w:r>
        <w:t xml:space="preserve"> </w:t>
      </w:r>
      <w:r w:rsidR="003C7F2F">
        <w:t>in relation</w:t>
      </w:r>
      <w:r>
        <w:t xml:space="preserve"> to the triage categories</w:t>
      </w:r>
      <w:r w:rsidR="00806554">
        <w:t>,</w:t>
      </w:r>
      <w:r>
        <w:t xml:space="preserve"> with a much lower proportion of </w:t>
      </w:r>
      <w:r w:rsidR="00871505">
        <w:t>R</w:t>
      </w:r>
      <w:r>
        <w:t>atings 1</w:t>
      </w:r>
      <w:r w:rsidR="00041F2B">
        <w:t xml:space="preserve"> and </w:t>
      </w:r>
      <w:r>
        <w:t xml:space="preserve">2 as well as </w:t>
      </w:r>
      <w:r w:rsidR="00871505">
        <w:t>R</w:t>
      </w:r>
      <w:r>
        <w:t>ating 3s. These figures suggest that there probably is a difference in specialisation for this hospital compared to the others.</w:t>
      </w:r>
      <w:r w:rsidR="00871505">
        <w:t xml:space="preserve"> </w:t>
      </w:r>
      <w:r w:rsidR="00871505" w:rsidRPr="00871505">
        <w:t xml:space="preserve">Childers Hospital is relatively small and it has </w:t>
      </w:r>
      <w:r w:rsidR="00A91F95">
        <w:t xml:space="preserve">only </w:t>
      </w:r>
      <w:r w:rsidR="00871505" w:rsidRPr="00871505">
        <w:t xml:space="preserve">20 beds. It </w:t>
      </w:r>
      <w:r w:rsidR="00A91F95">
        <w:t>is described as a</w:t>
      </w:r>
      <w:r w:rsidR="00871505" w:rsidRPr="00871505">
        <w:t xml:space="preserve"> ‘Multipurpose Health Service’</w:t>
      </w:r>
      <w:r w:rsidR="00A91F95">
        <w:t xml:space="preserve">, which does not offer ICU or maternity services. The travel time between Childers Hospital and Bundaberg Hospital is about </w:t>
      </w:r>
      <w:r w:rsidR="00871505" w:rsidRPr="00871505">
        <w:t xml:space="preserve">40 minutes’ drive. Bundaberg Hospital has 240 beds (with ICU and maternity services) and is the largest hospital in the Federal electorate of Hinkler. Hervey Bay Hospital has 203 beds, also with ICU and maternity services.  Although just outside of Hinkler, Maryborough Hospital has </w:t>
      </w:r>
      <w:r w:rsidR="00A91F95">
        <w:t>97</w:t>
      </w:r>
      <w:r w:rsidR="00871505" w:rsidRPr="00871505">
        <w:t xml:space="preserve"> beds, which does not offer ICU or maternity services and is a 25</w:t>
      </w:r>
      <w:r w:rsidR="009F2CD0">
        <w:t>-</w:t>
      </w:r>
      <w:r w:rsidR="00871505" w:rsidRPr="00871505">
        <w:t>minute drive from Hervey Bay Hospital</w:t>
      </w:r>
      <w:r w:rsidR="00871505">
        <w:t>.</w:t>
      </w:r>
      <w:r w:rsidR="00871505">
        <w:rPr>
          <w:rStyle w:val="FootnoteReference"/>
        </w:rPr>
        <w:footnoteReference w:id="9"/>
      </w:r>
    </w:p>
    <w:p w14:paraId="54EC5475" w14:textId="09654FD3" w:rsidR="00535C4E" w:rsidRDefault="000122FA" w:rsidP="000851DE">
      <w:r>
        <w:t>T</w:t>
      </w:r>
      <w:r w:rsidRPr="000122FA">
        <w:t xml:space="preserve">he proportion of ED attendances in the </w:t>
      </w:r>
      <w:r w:rsidR="00264C76">
        <w:t>two</w:t>
      </w:r>
      <w:r w:rsidRPr="000122FA">
        <w:t xml:space="preserve"> </w:t>
      </w:r>
      <w:r w:rsidR="00041F2B">
        <w:t xml:space="preserve">most </w:t>
      </w:r>
      <w:r w:rsidRPr="000122FA">
        <w:t xml:space="preserve">serious categories </w:t>
      </w:r>
      <w:r w:rsidR="00806A87" w:rsidRPr="000122FA">
        <w:t>(</w:t>
      </w:r>
      <w:r w:rsidR="00041F2B">
        <w:t xml:space="preserve">categories </w:t>
      </w:r>
      <w:r w:rsidR="00806A87" w:rsidRPr="000122FA">
        <w:t>1</w:t>
      </w:r>
      <w:r w:rsidR="00264C76">
        <w:t xml:space="preserve"> and 2</w:t>
      </w:r>
      <w:r w:rsidR="00041F2B">
        <w:t xml:space="preserve"> combined</w:t>
      </w:r>
      <w:r w:rsidR="00806A87" w:rsidRPr="000122FA">
        <w:t>)</w:t>
      </w:r>
      <w:r w:rsidR="00806A87">
        <w:t xml:space="preserve"> </w:t>
      </w:r>
      <w:r w:rsidR="00014993">
        <w:t>is</w:t>
      </w:r>
      <w:r w:rsidRPr="000122FA">
        <w:t xml:space="preserve"> </w:t>
      </w:r>
      <w:r w:rsidR="00264C76">
        <w:t>much lower</w:t>
      </w:r>
      <w:r w:rsidRPr="000122FA">
        <w:t xml:space="preserve"> </w:t>
      </w:r>
      <w:r w:rsidR="00264C76">
        <w:t>in</w:t>
      </w:r>
      <w:r w:rsidRPr="000122FA">
        <w:t xml:space="preserve"> the </w:t>
      </w:r>
      <w:r w:rsidR="001E49E7">
        <w:t>F</w:t>
      </w:r>
      <w:r w:rsidR="001E49E7" w:rsidRPr="007A58F7">
        <w:t>ederal electorate</w:t>
      </w:r>
      <w:r w:rsidR="001E49E7" w:rsidRPr="0079482A">
        <w:t xml:space="preserve"> </w:t>
      </w:r>
      <w:r w:rsidR="001E49E7">
        <w:t xml:space="preserve">of </w:t>
      </w:r>
      <w:r w:rsidR="001E49E7" w:rsidRPr="0079482A">
        <w:t>Hinkler</w:t>
      </w:r>
      <w:r w:rsidRPr="000122FA">
        <w:t xml:space="preserve"> </w:t>
      </w:r>
      <w:r w:rsidR="00F13600">
        <w:t>compared with</w:t>
      </w:r>
      <w:r w:rsidRPr="000122FA">
        <w:t xml:space="preserve"> Queensland as whole</w:t>
      </w:r>
      <w:r w:rsidR="00264C76">
        <w:t>.</w:t>
      </w:r>
      <w:r w:rsidR="009B44B1">
        <w:rPr>
          <w:rStyle w:val="FootnoteReference"/>
        </w:rPr>
        <w:footnoteReference w:id="10"/>
      </w:r>
      <w:r w:rsidR="00264C76">
        <w:t xml:space="preserve"> In particular, the percentage in Rating 1 in </w:t>
      </w:r>
      <w:r w:rsidR="007A58F7">
        <w:t xml:space="preserve">the </w:t>
      </w:r>
      <w:r w:rsidR="001E49E7">
        <w:t>F</w:t>
      </w:r>
      <w:r w:rsidR="001E49E7" w:rsidRPr="007A58F7">
        <w:t>ederal electorate</w:t>
      </w:r>
      <w:r w:rsidR="001E49E7" w:rsidRPr="0079482A">
        <w:t xml:space="preserve"> </w:t>
      </w:r>
      <w:r w:rsidR="001E49E7">
        <w:t xml:space="preserve">of </w:t>
      </w:r>
      <w:r w:rsidR="001E49E7" w:rsidRPr="0079482A">
        <w:t>Hinkler</w:t>
      </w:r>
      <w:r w:rsidR="001E49E7">
        <w:t xml:space="preserve"> </w:t>
      </w:r>
      <w:r w:rsidR="00264C76">
        <w:t xml:space="preserve">is about half as </w:t>
      </w:r>
      <w:r w:rsidR="002E32B8">
        <w:t>that in the state of</w:t>
      </w:r>
      <w:r w:rsidR="00264C76">
        <w:t xml:space="preserve"> Queensland (as shown in </w:t>
      </w:r>
      <w:r w:rsidR="00894330">
        <w:fldChar w:fldCharType="begin"/>
      </w:r>
      <w:r w:rsidR="00894330">
        <w:instrText xml:space="preserve"> REF _Ref36818297 \h </w:instrText>
      </w:r>
      <w:r w:rsidR="00894330">
        <w:fldChar w:fldCharType="separate"/>
      </w:r>
      <w:r w:rsidR="008E2086">
        <w:t xml:space="preserve">Table </w:t>
      </w:r>
      <w:r w:rsidR="008E2086">
        <w:rPr>
          <w:noProof/>
        </w:rPr>
        <w:t>5</w:t>
      </w:r>
      <w:r w:rsidR="008E2086">
        <w:noBreakHyphen/>
      </w:r>
      <w:r w:rsidR="008E2086">
        <w:rPr>
          <w:noProof/>
        </w:rPr>
        <w:t>2</w:t>
      </w:r>
      <w:r w:rsidR="00894330">
        <w:fldChar w:fldCharType="end"/>
      </w:r>
      <w:r w:rsidR="00264C76">
        <w:t>)</w:t>
      </w:r>
      <w:r w:rsidRPr="000122FA">
        <w:t xml:space="preserve">. </w:t>
      </w:r>
      <w:r w:rsidR="00F13600">
        <w:t>A d</w:t>
      </w:r>
      <w:r w:rsidRPr="000122FA">
        <w:t xml:space="preserve">ifference between </w:t>
      </w:r>
      <w:r w:rsidR="00F13600">
        <w:t>Federal electorate of Hinkler and the state of Queensland</w:t>
      </w:r>
      <w:r w:rsidR="00264C76">
        <w:t xml:space="preserve"> also</w:t>
      </w:r>
      <w:r w:rsidR="0051772B">
        <w:t xml:space="preserve"> occurs in the Rating</w:t>
      </w:r>
      <w:r w:rsidR="008D6E98">
        <w:t>s</w:t>
      </w:r>
      <w:r w:rsidRPr="000122FA">
        <w:t xml:space="preserve"> 4 and 5</w:t>
      </w:r>
      <w:r w:rsidR="00264C76">
        <w:t>.</w:t>
      </w:r>
      <w:r w:rsidRPr="000122FA">
        <w:t xml:space="preserve"> </w:t>
      </w:r>
      <w:r w:rsidR="00264C76">
        <w:t>A</w:t>
      </w:r>
      <w:r w:rsidRPr="000122FA">
        <w:t xml:space="preserve"> larger proportion of </w:t>
      </w:r>
      <w:r w:rsidR="00041F2B">
        <w:t>category</w:t>
      </w:r>
      <w:r w:rsidR="00041F2B" w:rsidRPr="000122FA">
        <w:t xml:space="preserve"> </w:t>
      </w:r>
      <w:r w:rsidRPr="000122FA">
        <w:t xml:space="preserve">4 </w:t>
      </w:r>
      <w:r w:rsidR="00041F2B">
        <w:t>is</w:t>
      </w:r>
      <w:r w:rsidR="00041F2B" w:rsidRPr="000122FA">
        <w:t xml:space="preserve"> </w:t>
      </w:r>
      <w:r w:rsidRPr="000122FA">
        <w:t xml:space="preserve">observed in </w:t>
      </w:r>
      <w:r w:rsidR="007A58F7">
        <w:t xml:space="preserve">the </w:t>
      </w:r>
      <w:r w:rsidR="001E49E7">
        <w:t>F</w:t>
      </w:r>
      <w:r w:rsidR="001E49E7" w:rsidRPr="007A58F7">
        <w:t>ederal electorate</w:t>
      </w:r>
      <w:r w:rsidR="001E49E7" w:rsidRPr="0079482A">
        <w:t xml:space="preserve"> </w:t>
      </w:r>
      <w:r w:rsidR="001E49E7">
        <w:t xml:space="preserve">of </w:t>
      </w:r>
      <w:r w:rsidR="001E49E7" w:rsidRPr="0079482A">
        <w:t>Hinkler</w:t>
      </w:r>
      <w:r w:rsidRPr="000122FA">
        <w:t xml:space="preserve"> and a larger proportion of </w:t>
      </w:r>
      <w:r w:rsidR="00041F2B">
        <w:t>category</w:t>
      </w:r>
      <w:r w:rsidR="00041F2B" w:rsidRPr="000122FA">
        <w:t xml:space="preserve"> </w:t>
      </w:r>
      <w:r w:rsidRPr="000122FA">
        <w:t>5</w:t>
      </w:r>
      <w:r w:rsidR="00014993">
        <w:t xml:space="preserve"> </w:t>
      </w:r>
      <w:r w:rsidR="00041F2B">
        <w:t>is observed</w:t>
      </w:r>
      <w:r w:rsidR="00041F2B" w:rsidRPr="000122FA">
        <w:t xml:space="preserve"> </w:t>
      </w:r>
      <w:r w:rsidRPr="000122FA">
        <w:t xml:space="preserve">in </w:t>
      </w:r>
      <w:r w:rsidR="00041F2B">
        <w:t xml:space="preserve">the state of </w:t>
      </w:r>
      <w:r w:rsidRPr="000122FA">
        <w:t>Queensland</w:t>
      </w:r>
      <w:r w:rsidR="00041F2B">
        <w:t xml:space="preserve"> as a whole</w:t>
      </w:r>
      <w:r w:rsidR="009454BA">
        <w:t>.</w:t>
      </w:r>
      <w:r w:rsidR="00264C76">
        <w:t xml:space="preserve"> The proportion of Rating 3 is similar.</w:t>
      </w:r>
    </w:p>
    <w:p w14:paraId="0970EED0" w14:textId="77777777" w:rsidR="009454BA" w:rsidRDefault="009454BA" w:rsidP="000851DE">
      <w:r>
        <w:lastRenderedPageBreak/>
        <w:t>There is</w:t>
      </w:r>
      <w:r w:rsidR="0051772B">
        <w:t xml:space="preserve"> a</w:t>
      </w:r>
      <w:r w:rsidRPr="009454BA">
        <w:t xml:space="preserve"> considerable difference between the three hospitals in </w:t>
      </w:r>
      <w:r w:rsidR="007A58F7">
        <w:t xml:space="preserve">the </w:t>
      </w:r>
      <w:r w:rsidR="001E49E7">
        <w:t>F</w:t>
      </w:r>
      <w:r w:rsidR="001E49E7" w:rsidRPr="007A58F7">
        <w:t>ederal electorate</w:t>
      </w:r>
      <w:r w:rsidR="001E49E7" w:rsidRPr="0079482A">
        <w:t xml:space="preserve"> </w:t>
      </w:r>
      <w:r w:rsidR="001E49E7">
        <w:t xml:space="preserve">of </w:t>
      </w:r>
      <w:r w:rsidR="001E49E7" w:rsidRPr="0079482A">
        <w:t>Hinkler</w:t>
      </w:r>
      <w:r w:rsidRPr="009454BA">
        <w:t>. Hervey Bay Hospital admits the largest proportion of patients with</w:t>
      </w:r>
      <w:r w:rsidR="00B2202F">
        <w:t xml:space="preserve"> serious conditions (1-3), with a profile that is very similar to the </w:t>
      </w:r>
      <w:r w:rsidR="00041F2B">
        <w:t xml:space="preserve">state of </w:t>
      </w:r>
      <w:r w:rsidR="00B2202F">
        <w:t xml:space="preserve">Queensland </w:t>
      </w:r>
      <w:r w:rsidR="00041F2B">
        <w:t xml:space="preserve">as a whole </w:t>
      </w:r>
      <w:r w:rsidR="00083B1F">
        <w:t xml:space="preserve">while Childers </w:t>
      </w:r>
      <w:r w:rsidR="00041F2B">
        <w:t xml:space="preserve">Hospital </w:t>
      </w:r>
      <w:r w:rsidR="00083B1F">
        <w:t xml:space="preserve">admits mostly </w:t>
      </w:r>
      <w:r w:rsidR="009C0FB5">
        <w:t xml:space="preserve">Ratings </w:t>
      </w:r>
      <w:r w:rsidR="00083B1F">
        <w:t xml:space="preserve">4 </w:t>
      </w:r>
      <w:r w:rsidR="00041F2B">
        <w:t xml:space="preserve">and </w:t>
      </w:r>
      <w:r w:rsidR="00083B1F">
        <w:t xml:space="preserve">5, as previously noted. </w:t>
      </w:r>
      <w:r w:rsidR="00264C76" w:rsidRPr="00264C76">
        <w:t xml:space="preserve">The proportion of Rating 1 attendances in Hervey Bay Hospital is about twice </w:t>
      </w:r>
      <w:r w:rsidR="00CE52C9">
        <w:t xml:space="preserve">that of </w:t>
      </w:r>
      <w:r w:rsidR="00264C76" w:rsidRPr="00264C76">
        <w:t>Bundaberg Hospital while Childers Hospital admits very few patients in this category. The percentage of Rating 2 admission</w:t>
      </w:r>
      <w:r w:rsidR="00CE52C9">
        <w:t>s</w:t>
      </w:r>
      <w:r w:rsidR="00264C76" w:rsidRPr="00264C76">
        <w:t xml:space="preserve"> in Hervey Bay Hospital is about 40 per</w:t>
      </w:r>
      <w:r w:rsidR="00880F57">
        <w:t xml:space="preserve"> </w:t>
      </w:r>
      <w:r w:rsidR="00264C76" w:rsidRPr="00264C76">
        <w:t xml:space="preserve">cent higher than Bundaberg Hospital and over four times as </w:t>
      </w:r>
      <w:r w:rsidR="00CE52C9">
        <w:t xml:space="preserve">high as </w:t>
      </w:r>
      <w:r w:rsidR="00264C76" w:rsidRPr="00264C76">
        <w:t>Childers Hospital.</w:t>
      </w:r>
      <w:r w:rsidR="00F13600">
        <w:rPr>
          <w:rStyle w:val="FootnoteReference"/>
        </w:rPr>
        <w:footnoteReference w:id="11"/>
      </w:r>
      <w:r w:rsidR="00264C76" w:rsidRPr="00264C76">
        <w:t xml:space="preserve"> The proportion in the middle category </w:t>
      </w:r>
      <w:r w:rsidR="00CE52C9">
        <w:t xml:space="preserve">(category 3) </w:t>
      </w:r>
      <w:r w:rsidR="00264C76" w:rsidRPr="00264C76">
        <w:t>is similar between Bundaberg and Hervey Bay Hospital</w:t>
      </w:r>
      <w:r w:rsidR="00CE52C9">
        <w:t xml:space="preserve"> and are </w:t>
      </w:r>
      <w:r w:rsidR="00264C76" w:rsidRPr="00264C76">
        <w:t>both higher than Childers Hospital by over a third.</w:t>
      </w:r>
      <w:r w:rsidR="00C72BA6">
        <w:t xml:space="preserve"> However accurately these differences may have been measured, they should be interpreted with caution as the three hospitals are different in many ways including their size, purpose, location and specialisation. </w:t>
      </w:r>
      <w:r w:rsidR="003D73C6">
        <w:t>It follows that for some comparisons it would be more appropriate to focus on the differences between hospital provision in the whole of</w:t>
      </w:r>
      <w:r w:rsidR="00C72BA6">
        <w:t xml:space="preserve"> </w:t>
      </w:r>
      <w:r w:rsidR="001E49E7">
        <w:t>the F</w:t>
      </w:r>
      <w:r w:rsidR="001E49E7" w:rsidRPr="007A58F7">
        <w:t>ederal electorate</w:t>
      </w:r>
      <w:r w:rsidR="001E49E7" w:rsidRPr="0079482A">
        <w:t xml:space="preserve"> </w:t>
      </w:r>
      <w:r w:rsidR="001E49E7">
        <w:t xml:space="preserve">of </w:t>
      </w:r>
      <w:r w:rsidR="001E49E7" w:rsidRPr="0079482A">
        <w:t>Hinkler</w:t>
      </w:r>
      <w:r w:rsidR="009E074A">
        <w:t xml:space="preserve"> (the sum of the three hospitals)</w:t>
      </w:r>
      <w:r w:rsidR="003D73C6">
        <w:t>, compared</w:t>
      </w:r>
      <w:r w:rsidR="00C72BA6">
        <w:t xml:space="preserve"> with </w:t>
      </w:r>
      <w:r w:rsidR="003D73C6">
        <w:t xml:space="preserve">hospital provision in </w:t>
      </w:r>
      <w:r w:rsidR="00C72BA6">
        <w:t>the state of Queensland as a whole.</w:t>
      </w:r>
    </w:p>
    <w:p w14:paraId="4C866107" w14:textId="053558FD" w:rsidR="00FB6388" w:rsidRDefault="00FB6388" w:rsidP="00FB6388">
      <w:r>
        <w:t>The following table</w:t>
      </w:r>
      <w:r w:rsidR="00656C6E">
        <w:t xml:space="preserve"> (</w:t>
      </w:r>
      <w:r w:rsidR="00656C6E">
        <w:fldChar w:fldCharType="begin"/>
      </w:r>
      <w:r w:rsidR="00656C6E">
        <w:instrText xml:space="preserve"> REF _Ref34829560 \h </w:instrText>
      </w:r>
      <w:r w:rsidR="00656C6E">
        <w:fldChar w:fldCharType="separate"/>
      </w:r>
      <w:r w:rsidR="008E2086">
        <w:t xml:space="preserve">Table </w:t>
      </w:r>
      <w:r w:rsidR="008E2086">
        <w:rPr>
          <w:noProof/>
        </w:rPr>
        <w:t>2</w:t>
      </w:r>
      <w:r w:rsidR="008E2086">
        <w:noBreakHyphen/>
      </w:r>
      <w:r w:rsidR="008E2086">
        <w:rPr>
          <w:noProof/>
        </w:rPr>
        <w:t>3</w:t>
      </w:r>
      <w:r w:rsidR="00656C6E">
        <w:fldChar w:fldCharType="end"/>
      </w:r>
      <w:r w:rsidR="00656C6E">
        <w:t>)</w:t>
      </w:r>
      <w:r>
        <w:t xml:space="preserve"> </w:t>
      </w:r>
      <w:r w:rsidR="00656C6E">
        <w:t xml:space="preserve">displays </w:t>
      </w:r>
      <w:r w:rsidR="003D73C6">
        <w:t xml:space="preserve">the attendance rate per 100 population </w:t>
      </w:r>
      <w:r>
        <w:t>by triage categories.</w:t>
      </w:r>
      <w:r w:rsidR="00656C6E">
        <w:t xml:space="preserve"> </w:t>
      </w:r>
      <w:r w:rsidR="00264C76" w:rsidRPr="00264C76">
        <w:t xml:space="preserve">The attendance rate in Rating 1 is marginally lower in </w:t>
      </w:r>
      <w:r w:rsidR="007A58F7">
        <w:t xml:space="preserve">the </w:t>
      </w:r>
      <w:r w:rsidR="001E49E7">
        <w:t>F</w:t>
      </w:r>
      <w:r w:rsidR="001E49E7" w:rsidRPr="007A58F7">
        <w:t>ederal electorate</w:t>
      </w:r>
      <w:r w:rsidR="001E49E7" w:rsidRPr="0079482A">
        <w:t xml:space="preserve"> </w:t>
      </w:r>
      <w:r w:rsidR="001E49E7">
        <w:t xml:space="preserve">of </w:t>
      </w:r>
      <w:r w:rsidR="001E49E7" w:rsidRPr="0079482A">
        <w:t>Hinkler</w:t>
      </w:r>
      <w:r w:rsidR="00264C76" w:rsidRPr="00264C76">
        <w:t xml:space="preserve"> than </w:t>
      </w:r>
      <w:r w:rsidR="003D73C6">
        <w:t xml:space="preserve">in the state of </w:t>
      </w:r>
      <w:r w:rsidR="00264C76" w:rsidRPr="00264C76">
        <w:t>Queensland</w:t>
      </w:r>
      <w:r w:rsidR="003D73C6">
        <w:t xml:space="preserve"> as a whole</w:t>
      </w:r>
      <w:r w:rsidR="00264C76" w:rsidRPr="00264C76">
        <w:t xml:space="preserve">. In contrast, the rate in Rating 2 is modestly higher in </w:t>
      </w:r>
      <w:r w:rsidR="007A58F7">
        <w:t xml:space="preserve">the </w:t>
      </w:r>
      <w:r w:rsidR="001E49E7">
        <w:t>F</w:t>
      </w:r>
      <w:r w:rsidR="001E49E7" w:rsidRPr="007A58F7">
        <w:t>ederal electorate</w:t>
      </w:r>
      <w:r w:rsidR="001E49E7" w:rsidRPr="0079482A">
        <w:t xml:space="preserve"> </w:t>
      </w:r>
      <w:r w:rsidR="001E49E7">
        <w:t xml:space="preserve">of </w:t>
      </w:r>
      <w:r w:rsidR="001E49E7" w:rsidRPr="0079482A">
        <w:t>Hinkler</w:t>
      </w:r>
      <w:r w:rsidR="00264C76" w:rsidRPr="00264C76">
        <w:t xml:space="preserve"> than Queensland.</w:t>
      </w:r>
      <w:r w:rsidR="009B44B1">
        <w:rPr>
          <w:rStyle w:val="FootnoteReference"/>
        </w:rPr>
        <w:footnoteReference w:id="12"/>
      </w:r>
      <w:r w:rsidR="00264C76">
        <w:t xml:space="preserve"> A substantial</w:t>
      </w:r>
      <w:r w:rsidR="00656C6E">
        <w:t xml:space="preserve"> difference between the </w:t>
      </w:r>
      <w:r w:rsidR="001E49E7">
        <w:t>F</w:t>
      </w:r>
      <w:r w:rsidR="001E49E7" w:rsidRPr="007A58F7">
        <w:t>ederal electorate</w:t>
      </w:r>
      <w:r w:rsidR="001E49E7" w:rsidRPr="0079482A">
        <w:t xml:space="preserve"> </w:t>
      </w:r>
      <w:r w:rsidR="001E49E7">
        <w:t xml:space="preserve">of </w:t>
      </w:r>
      <w:r w:rsidR="001E49E7" w:rsidRPr="0079482A">
        <w:t>Hinkler</w:t>
      </w:r>
      <w:r w:rsidR="00656C6E">
        <w:t xml:space="preserve"> and Queensland as a whole is </w:t>
      </w:r>
      <w:r w:rsidR="003D73C6">
        <w:t>found for</w:t>
      </w:r>
      <w:r w:rsidR="00656C6E">
        <w:t xml:space="preserve"> </w:t>
      </w:r>
      <w:r w:rsidR="00041F2B">
        <w:t xml:space="preserve">categories </w:t>
      </w:r>
      <w:r w:rsidR="00656C6E">
        <w:t>3 and 4 where the number of attendances per 100 person</w:t>
      </w:r>
      <w:r w:rsidR="003D73C6">
        <w:t>s</w:t>
      </w:r>
      <w:r w:rsidR="00656C6E">
        <w:t xml:space="preserve"> is significantly larger in the </w:t>
      </w:r>
      <w:r w:rsidR="001E49E7">
        <w:t>F</w:t>
      </w:r>
      <w:r w:rsidR="001E49E7" w:rsidRPr="007A58F7">
        <w:t>ederal electorate</w:t>
      </w:r>
      <w:r w:rsidR="001E49E7" w:rsidRPr="0079482A">
        <w:t xml:space="preserve"> </w:t>
      </w:r>
      <w:r w:rsidR="001E49E7">
        <w:t xml:space="preserve">of </w:t>
      </w:r>
      <w:r w:rsidR="001E49E7" w:rsidRPr="0079482A">
        <w:t>Hinkler</w:t>
      </w:r>
      <w:r w:rsidR="00656C6E">
        <w:t xml:space="preserve"> (the number of </w:t>
      </w:r>
      <w:r w:rsidR="00041F2B">
        <w:t xml:space="preserve">categories </w:t>
      </w:r>
      <w:r w:rsidR="00656C6E">
        <w:t>3 and 4 attendances per 100 person is 80</w:t>
      </w:r>
      <w:r w:rsidR="00A05380">
        <w:t xml:space="preserve"> per cent </w:t>
      </w:r>
      <w:r w:rsidR="00656C6E">
        <w:t xml:space="preserve">larger in the </w:t>
      </w:r>
      <w:r w:rsidR="001E49E7">
        <w:t>F</w:t>
      </w:r>
      <w:r w:rsidR="001E49E7" w:rsidRPr="007A58F7">
        <w:t>ederal electorate</w:t>
      </w:r>
      <w:r w:rsidR="001E49E7" w:rsidRPr="0079482A">
        <w:t xml:space="preserve"> </w:t>
      </w:r>
      <w:r w:rsidR="001E49E7">
        <w:t xml:space="preserve">of </w:t>
      </w:r>
      <w:r w:rsidR="001E49E7" w:rsidRPr="0079482A">
        <w:t>Hinkler</w:t>
      </w:r>
      <w:r w:rsidR="00656C6E">
        <w:t xml:space="preserve"> than in Queensland as a whole). These numbers </w:t>
      </w:r>
      <w:r w:rsidR="006C7B21">
        <w:t xml:space="preserve">may </w:t>
      </w:r>
      <w:r w:rsidR="00656C6E">
        <w:t xml:space="preserve">suggest that the </w:t>
      </w:r>
      <w:r w:rsidR="00041F2B">
        <w:t>population of</w:t>
      </w:r>
      <w:r w:rsidR="00BE06D1">
        <w:t xml:space="preserve"> the</w:t>
      </w:r>
      <w:r w:rsidR="009B44B1">
        <w:t xml:space="preserve"> </w:t>
      </w:r>
      <w:r w:rsidR="001E49E7">
        <w:t>F</w:t>
      </w:r>
      <w:r w:rsidR="001E49E7" w:rsidRPr="007A58F7">
        <w:t>ederal electorate</w:t>
      </w:r>
      <w:r w:rsidR="001E49E7" w:rsidRPr="0079482A">
        <w:t xml:space="preserve"> </w:t>
      </w:r>
      <w:r w:rsidR="001E49E7">
        <w:t xml:space="preserve">of </w:t>
      </w:r>
      <w:r w:rsidR="001E49E7" w:rsidRPr="0079482A">
        <w:t>Hinkler</w:t>
      </w:r>
      <w:r w:rsidR="006C7B21">
        <w:t xml:space="preserve"> is more reliant on hospital services for non-life</w:t>
      </w:r>
      <w:r w:rsidR="00E1621F">
        <w:t>-</w:t>
      </w:r>
      <w:r w:rsidR="006C7B21">
        <w:t xml:space="preserve">threatening cases than the overall population in Queensland. </w:t>
      </w:r>
      <w:r w:rsidR="0025790C">
        <w:t>However, since more granular data at hospital level was not available, this possibility could not be investigated further.</w:t>
      </w:r>
    </w:p>
    <w:p w14:paraId="5A451D9C" w14:textId="6F4630D8" w:rsidR="00535C4E" w:rsidRPr="00EA680D" w:rsidRDefault="000851DE" w:rsidP="00083B1F">
      <w:pPr>
        <w:pStyle w:val="Caption"/>
      </w:pPr>
      <w:bookmarkStart w:id="28" w:name="_Ref34829560"/>
      <w:bookmarkStart w:id="29" w:name="_Toc34935527"/>
      <w:bookmarkStart w:id="30" w:name="_Toc37263566"/>
      <w:r>
        <w:t>Table</w:t>
      </w:r>
      <w:r w:rsidR="00083B1F">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3</w:t>
      </w:r>
      <w:r w:rsidR="006C0554">
        <w:rPr>
          <w:noProof/>
        </w:rPr>
        <w:fldChar w:fldCharType="end"/>
      </w:r>
      <w:bookmarkEnd w:id="28"/>
      <w:r w:rsidR="00083B1F">
        <w:t xml:space="preserve">: </w:t>
      </w:r>
      <w:r w:rsidR="00961F6D">
        <w:t>A</w:t>
      </w:r>
      <w:r w:rsidR="00B134EA">
        <w:t xml:space="preserve">verage </w:t>
      </w:r>
      <w:r w:rsidR="00961F6D">
        <w:t xml:space="preserve">monthly Emergency Department </w:t>
      </w:r>
      <w:r w:rsidR="00535C4E">
        <w:t>attendance rate</w:t>
      </w:r>
      <w:r w:rsidR="00010E6C">
        <w:t>s</w:t>
      </w:r>
      <w:r w:rsidR="00535C4E">
        <w:t xml:space="preserve"> </w:t>
      </w:r>
      <w:r w:rsidR="00FB6388">
        <w:t xml:space="preserve">(per 100 persons) </w:t>
      </w:r>
      <w:r w:rsidR="00535C4E">
        <w:t>by triage category</w:t>
      </w:r>
      <w:bookmarkEnd w:id="29"/>
      <w:r w:rsidR="00B134EA">
        <w:t xml:space="preserve"> (</w:t>
      </w:r>
      <w:r w:rsidR="00961F6D">
        <w:t>J</w:t>
      </w:r>
      <w:r w:rsidR="00B134EA">
        <w:t xml:space="preserve">uly to </w:t>
      </w:r>
      <w:r w:rsidR="00961F6D">
        <w:t>D</w:t>
      </w:r>
      <w:r w:rsidR="00B134EA">
        <w:t>ecember 2018)</w:t>
      </w:r>
      <w:bookmarkEnd w:id="30"/>
    </w:p>
    <w:tbl>
      <w:tblPr>
        <w:tblStyle w:val="ListTable3-Accent5"/>
        <w:tblW w:w="5000" w:type="pct"/>
        <w:tblLook w:val="04A0" w:firstRow="1" w:lastRow="0" w:firstColumn="1" w:lastColumn="0" w:noHBand="0" w:noVBand="1"/>
      </w:tblPr>
      <w:tblGrid>
        <w:gridCol w:w="2601"/>
        <w:gridCol w:w="2569"/>
        <w:gridCol w:w="3846"/>
      </w:tblGrid>
      <w:tr w:rsidR="00264C76" w:rsidRPr="003542F0" w14:paraId="72E1D84A"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442" w:type="pct"/>
            <w:shd w:val="clear" w:color="auto" w:fill="2F5496" w:themeFill="accent5" w:themeFillShade="BF"/>
            <w:noWrap/>
          </w:tcPr>
          <w:p w14:paraId="288DE23C" w14:textId="77777777" w:rsidR="00264C76" w:rsidRPr="003542F0" w:rsidRDefault="00264C76" w:rsidP="00083B1F">
            <w:pPr>
              <w:rPr>
                <w:lang w:eastAsia="en-AU"/>
              </w:rPr>
            </w:pPr>
          </w:p>
        </w:tc>
        <w:tc>
          <w:tcPr>
            <w:tcW w:w="1424" w:type="pct"/>
            <w:shd w:val="clear" w:color="auto" w:fill="2F5496" w:themeFill="accent5" w:themeFillShade="BF"/>
            <w:noWrap/>
          </w:tcPr>
          <w:p w14:paraId="662CD53C" w14:textId="77777777" w:rsidR="00264C76" w:rsidRPr="003542F0" w:rsidRDefault="00264C76" w:rsidP="00656C6E">
            <w:pPr>
              <w:jc w:val="right"/>
              <w:cnfStyle w:val="100000000000" w:firstRow="1" w:lastRow="0" w:firstColumn="0" w:lastColumn="0" w:oddVBand="0" w:evenVBand="0" w:oddHBand="0" w:evenHBand="0" w:firstRowFirstColumn="0" w:firstRowLastColumn="0" w:lastRowFirstColumn="0" w:lastRowLastColumn="0"/>
              <w:rPr>
                <w:b w:val="0"/>
                <w:lang w:eastAsia="en-AU"/>
              </w:rPr>
            </w:pPr>
            <w:r w:rsidRPr="003542F0">
              <w:rPr>
                <w:lang w:eastAsia="en-AU"/>
              </w:rPr>
              <w:t>Hinkler</w:t>
            </w:r>
          </w:p>
        </w:tc>
        <w:tc>
          <w:tcPr>
            <w:tcW w:w="2133" w:type="pct"/>
            <w:shd w:val="clear" w:color="auto" w:fill="2F5496" w:themeFill="accent5" w:themeFillShade="BF"/>
          </w:tcPr>
          <w:p w14:paraId="60FD5CE6" w14:textId="77777777" w:rsidR="00264C76" w:rsidRPr="003542F0" w:rsidRDefault="00264C76" w:rsidP="00656C6E">
            <w:pPr>
              <w:jc w:val="right"/>
              <w:cnfStyle w:val="100000000000" w:firstRow="1" w:lastRow="0" w:firstColumn="0" w:lastColumn="0" w:oddVBand="0" w:evenVBand="0" w:oddHBand="0" w:evenHBand="0" w:firstRowFirstColumn="0" w:firstRowLastColumn="0" w:lastRowFirstColumn="0" w:lastRowLastColumn="0"/>
              <w:rPr>
                <w:b w:val="0"/>
                <w:lang w:eastAsia="en-AU"/>
              </w:rPr>
            </w:pPr>
            <w:r w:rsidRPr="003542F0">
              <w:rPr>
                <w:lang w:eastAsia="en-AU"/>
              </w:rPr>
              <w:t>Queensland</w:t>
            </w:r>
          </w:p>
        </w:tc>
      </w:tr>
      <w:tr w:rsidR="00264C76" w:rsidRPr="00EA680D" w14:paraId="4EC80084"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2" w:type="pct"/>
            <w:noWrap/>
            <w:hideMark/>
          </w:tcPr>
          <w:p w14:paraId="5D338EEF" w14:textId="77777777" w:rsidR="00264C76" w:rsidRPr="00EA680D" w:rsidRDefault="00264C76" w:rsidP="00264C76">
            <w:pPr>
              <w:rPr>
                <w:lang w:eastAsia="en-AU"/>
              </w:rPr>
            </w:pPr>
            <w:r>
              <w:rPr>
                <w:lang w:eastAsia="en-AU"/>
              </w:rPr>
              <w:t>1 (most severe)</w:t>
            </w:r>
          </w:p>
        </w:tc>
        <w:tc>
          <w:tcPr>
            <w:tcW w:w="1424" w:type="pct"/>
            <w:noWrap/>
          </w:tcPr>
          <w:p w14:paraId="1DFF5100" w14:textId="77777777" w:rsidR="00264C76" w:rsidRPr="008C66A5" w:rsidRDefault="00264C76" w:rsidP="00264C76">
            <w:pPr>
              <w:jc w:val="right"/>
              <w:cnfStyle w:val="000000100000" w:firstRow="0" w:lastRow="0" w:firstColumn="0" w:lastColumn="0" w:oddVBand="0" w:evenVBand="0" w:oddHBand="1" w:evenHBand="0" w:firstRowFirstColumn="0" w:firstRowLastColumn="0" w:lastRowFirstColumn="0" w:lastRowLastColumn="0"/>
              <w:rPr>
                <w:lang w:eastAsia="en-AU"/>
              </w:rPr>
            </w:pPr>
            <w:r w:rsidRPr="008C66A5">
              <w:rPr>
                <w:lang w:eastAsia="en-AU"/>
              </w:rPr>
              <w:t>0.02</w:t>
            </w:r>
          </w:p>
        </w:tc>
        <w:tc>
          <w:tcPr>
            <w:tcW w:w="2133" w:type="pct"/>
          </w:tcPr>
          <w:p w14:paraId="66D32F3C" w14:textId="77777777" w:rsidR="00264C76" w:rsidRPr="008C66A5" w:rsidRDefault="00264C76" w:rsidP="00264C76">
            <w:pPr>
              <w:jc w:val="right"/>
              <w:cnfStyle w:val="000000100000" w:firstRow="0" w:lastRow="0" w:firstColumn="0" w:lastColumn="0" w:oddVBand="0" w:evenVBand="0" w:oddHBand="1" w:evenHBand="0" w:firstRowFirstColumn="0" w:firstRowLastColumn="0" w:lastRowFirstColumn="0" w:lastRowLastColumn="0"/>
              <w:rPr>
                <w:lang w:eastAsia="en-AU"/>
              </w:rPr>
            </w:pPr>
            <w:r w:rsidRPr="008C66A5">
              <w:rPr>
                <w:lang w:eastAsia="en-AU"/>
              </w:rPr>
              <w:t>0.03</w:t>
            </w:r>
          </w:p>
        </w:tc>
      </w:tr>
      <w:tr w:rsidR="00264C76" w:rsidRPr="00EA680D" w14:paraId="5E481A84"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42" w:type="pct"/>
            <w:noWrap/>
            <w:hideMark/>
          </w:tcPr>
          <w:p w14:paraId="69C89B1F" w14:textId="77777777" w:rsidR="00264C76" w:rsidRPr="00EA680D" w:rsidRDefault="00264C76" w:rsidP="00264C76">
            <w:pPr>
              <w:rPr>
                <w:lang w:eastAsia="en-AU"/>
              </w:rPr>
            </w:pPr>
            <w:r>
              <w:rPr>
                <w:lang w:eastAsia="en-AU"/>
              </w:rPr>
              <w:t>2</w:t>
            </w:r>
          </w:p>
        </w:tc>
        <w:tc>
          <w:tcPr>
            <w:tcW w:w="1424" w:type="pct"/>
            <w:noWrap/>
          </w:tcPr>
          <w:p w14:paraId="4FF3E5ED" w14:textId="77777777" w:rsidR="00264C76" w:rsidRPr="008C66A5" w:rsidRDefault="00264C76" w:rsidP="00264C76">
            <w:pPr>
              <w:jc w:val="right"/>
              <w:cnfStyle w:val="000000000000" w:firstRow="0" w:lastRow="0" w:firstColumn="0" w:lastColumn="0" w:oddVBand="0" w:evenVBand="0" w:oddHBand="0" w:evenHBand="0" w:firstRowFirstColumn="0" w:firstRowLastColumn="0" w:lastRowFirstColumn="0" w:lastRowLastColumn="0"/>
              <w:rPr>
                <w:lang w:eastAsia="en-AU"/>
              </w:rPr>
            </w:pPr>
            <w:r w:rsidRPr="008C66A5">
              <w:rPr>
                <w:lang w:eastAsia="en-AU"/>
              </w:rPr>
              <w:t>0.62</w:t>
            </w:r>
          </w:p>
        </w:tc>
        <w:tc>
          <w:tcPr>
            <w:tcW w:w="2133" w:type="pct"/>
          </w:tcPr>
          <w:p w14:paraId="5AC8A3FD" w14:textId="77777777" w:rsidR="00264C76" w:rsidRPr="008C66A5" w:rsidRDefault="00264C76" w:rsidP="00264C76">
            <w:pPr>
              <w:jc w:val="right"/>
              <w:cnfStyle w:val="000000000000" w:firstRow="0" w:lastRow="0" w:firstColumn="0" w:lastColumn="0" w:oddVBand="0" w:evenVBand="0" w:oddHBand="0" w:evenHBand="0" w:firstRowFirstColumn="0" w:firstRowLastColumn="0" w:lastRowFirstColumn="0" w:lastRowLastColumn="0"/>
              <w:rPr>
                <w:lang w:eastAsia="en-AU"/>
              </w:rPr>
            </w:pPr>
            <w:r w:rsidRPr="008C66A5">
              <w:rPr>
                <w:lang w:eastAsia="en-AU"/>
              </w:rPr>
              <w:t>0.51</w:t>
            </w:r>
          </w:p>
        </w:tc>
      </w:tr>
      <w:tr w:rsidR="00264C76" w:rsidRPr="00EA680D" w14:paraId="415FF9E7"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2" w:type="pct"/>
            <w:noWrap/>
            <w:hideMark/>
          </w:tcPr>
          <w:p w14:paraId="0F2E3297" w14:textId="77777777" w:rsidR="00264C76" w:rsidRPr="00EA680D" w:rsidRDefault="00264C76" w:rsidP="00264C76">
            <w:pPr>
              <w:rPr>
                <w:lang w:eastAsia="en-AU"/>
              </w:rPr>
            </w:pPr>
            <w:r>
              <w:rPr>
                <w:lang w:eastAsia="en-AU"/>
              </w:rPr>
              <w:t>3</w:t>
            </w:r>
          </w:p>
        </w:tc>
        <w:tc>
          <w:tcPr>
            <w:tcW w:w="1424" w:type="pct"/>
            <w:noWrap/>
          </w:tcPr>
          <w:p w14:paraId="7A578F43" w14:textId="77777777" w:rsidR="00264C76" w:rsidRPr="008C66A5" w:rsidRDefault="00264C76" w:rsidP="00264C76">
            <w:pPr>
              <w:jc w:val="right"/>
              <w:cnfStyle w:val="000000100000" w:firstRow="0" w:lastRow="0" w:firstColumn="0" w:lastColumn="0" w:oddVBand="0" w:evenVBand="0" w:oddHBand="1" w:evenHBand="0" w:firstRowFirstColumn="0" w:firstRowLastColumn="0" w:lastRowFirstColumn="0" w:lastRowLastColumn="0"/>
              <w:rPr>
                <w:lang w:eastAsia="en-AU"/>
              </w:rPr>
            </w:pPr>
            <w:r w:rsidRPr="008C66A5">
              <w:rPr>
                <w:lang w:eastAsia="en-AU"/>
              </w:rPr>
              <w:t>2.20</w:t>
            </w:r>
          </w:p>
        </w:tc>
        <w:tc>
          <w:tcPr>
            <w:tcW w:w="2133" w:type="pct"/>
          </w:tcPr>
          <w:p w14:paraId="0C1FF754" w14:textId="77777777" w:rsidR="00264C76" w:rsidRPr="008C66A5" w:rsidRDefault="00264C76" w:rsidP="00264C76">
            <w:pPr>
              <w:jc w:val="right"/>
              <w:cnfStyle w:val="000000100000" w:firstRow="0" w:lastRow="0" w:firstColumn="0" w:lastColumn="0" w:oddVBand="0" w:evenVBand="0" w:oddHBand="1" w:evenHBand="0" w:firstRowFirstColumn="0" w:firstRowLastColumn="0" w:lastRowFirstColumn="0" w:lastRowLastColumn="0"/>
              <w:rPr>
                <w:lang w:eastAsia="en-AU"/>
              </w:rPr>
            </w:pPr>
            <w:r w:rsidRPr="008C66A5">
              <w:rPr>
                <w:lang w:eastAsia="en-AU"/>
              </w:rPr>
              <w:t>1.46</w:t>
            </w:r>
          </w:p>
        </w:tc>
      </w:tr>
      <w:tr w:rsidR="00264C76" w:rsidRPr="00EA680D" w14:paraId="3B7E1174"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42" w:type="pct"/>
            <w:noWrap/>
            <w:hideMark/>
          </w:tcPr>
          <w:p w14:paraId="1A02E917" w14:textId="77777777" w:rsidR="00264C76" w:rsidRPr="00EA680D" w:rsidRDefault="00264C76" w:rsidP="00264C76">
            <w:pPr>
              <w:rPr>
                <w:lang w:eastAsia="en-AU"/>
              </w:rPr>
            </w:pPr>
            <w:r>
              <w:rPr>
                <w:lang w:eastAsia="en-AU"/>
              </w:rPr>
              <w:t>4</w:t>
            </w:r>
          </w:p>
        </w:tc>
        <w:tc>
          <w:tcPr>
            <w:tcW w:w="1424" w:type="pct"/>
            <w:noWrap/>
          </w:tcPr>
          <w:p w14:paraId="7CB4C67B" w14:textId="77777777" w:rsidR="00264C76" w:rsidRPr="008C66A5" w:rsidRDefault="00264C76" w:rsidP="00264C76">
            <w:pPr>
              <w:jc w:val="right"/>
              <w:cnfStyle w:val="000000000000" w:firstRow="0" w:lastRow="0" w:firstColumn="0" w:lastColumn="0" w:oddVBand="0" w:evenVBand="0" w:oddHBand="0" w:evenHBand="0" w:firstRowFirstColumn="0" w:firstRowLastColumn="0" w:lastRowFirstColumn="0" w:lastRowLastColumn="0"/>
              <w:rPr>
                <w:lang w:eastAsia="en-AU"/>
              </w:rPr>
            </w:pPr>
            <w:r w:rsidRPr="008C66A5">
              <w:rPr>
                <w:lang w:eastAsia="en-AU"/>
              </w:rPr>
              <w:t>2.17</w:t>
            </w:r>
          </w:p>
        </w:tc>
        <w:tc>
          <w:tcPr>
            <w:tcW w:w="2133" w:type="pct"/>
          </w:tcPr>
          <w:p w14:paraId="3E2F668D" w14:textId="77777777" w:rsidR="00264C76" w:rsidRPr="008C66A5" w:rsidRDefault="00264C76" w:rsidP="00264C76">
            <w:pPr>
              <w:jc w:val="right"/>
              <w:cnfStyle w:val="000000000000" w:firstRow="0" w:lastRow="0" w:firstColumn="0" w:lastColumn="0" w:oddVBand="0" w:evenVBand="0" w:oddHBand="0" w:evenHBand="0" w:firstRowFirstColumn="0" w:firstRowLastColumn="0" w:lastRowFirstColumn="0" w:lastRowLastColumn="0"/>
              <w:rPr>
                <w:lang w:eastAsia="en-AU"/>
              </w:rPr>
            </w:pPr>
            <w:r w:rsidRPr="008C66A5">
              <w:rPr>
                <w:lang w:eastAsia="en-AU"/>
              </w:rPr>
              <w:t>1.20</w:t>
            </w:r>
          </w:p>
        </w:tc>
      </w:tr>
      <w:tr w:rsidR="00264C76" w:rsidRPr="00EA680D" w14:paraId="78403DF5"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2" w:type="pct"/>
            <w:noWrap/>
          </w:tcPr>
          <w:p w14:paraId="6E706DFF" w14:textId="77777777" w:rsidR="00264C76" w:rsidRDefault="00264C76" w:rsidP="00264C76">
            <w:pPr>
              <w:rPr>
                <w:lang w:eastAsia="en-AU"/>
              </w:rPr>
            </w:pPr>
            <w:r>
              <w:rPr>
                <w:lang w:eastAsia="en-AU"/>
              </w:rPr>
              <w:t>5 (least severe)</w:t>
            </w:r>
          </w:p>
        </w:tc>
        <w:tc>
          <w:tcPr>
            <w:tcW w:w="1424" w:type="pct"/>
            <w:noWrap/>
          </w:tcPr>
          <w:p w14:paraId="6A38CE30" w14:textId="77777777" w:rsidR="00264C76" w:rsidRPr="008C66A5" w:rsidRDefault="00264C76" w:rsidP="00264C76">
            <w:pPr>
              <w:jc w:val="right"/>
              <w:cnfStyle w:val="000000100000" w:firstRow="0" w:lastRow="0" w:firstColumn="0" w:lastColumn="0" w:oddVBand="0" w:evenVBand="0" w:oddHBand="1" w:evenHBand="0" w:firstRowFirstColumn="0" w:firstRowLastColumn="0" w:lastRowFirstColumn="0" w:lastRowLastColumn="0"/>
              <w:rPr>
                <w:lang w:eastAsia="en-AU"/>
              </w:rPr>
            </w:pPr>
            <w:r w:rsidRPr="008C66A5">
              <w:rPr>
                <w:lang w:eastAsia="en-AU"/>
              </w:rPr>
              <w:t>0.34</w:t>
            </w:r>
          </w:p>
        </w:tc>
        <w:tc>
          <w:tcPr>
            <w:tcW w:w="2133" w:type="pct"/>
          </w:tcPr>
          <w:p w14:paraId="204AFFB3" w14:textId="77777777" w:rsidR="00264C76" w:rsidRPr="008C66A5" w:rsidRDefault="00264C76" w:rsidP="00264C76">
            <w:pPr>
              <w:jc w:val="right"/>
              <w:cnfStyle w:val="000000100000" w:firstRow="0" w:lastRow="0" w:firstColumn="0" w:lastColumn="0" w:oddVBand="0" w:evenVBand="0" w:oddHBand="1" w:evenHBand="0" w:firstRowFirstColumn="0" w:firstRowLastColumn="0" w:lastRowFirstColumn="0" w:lastRowLastColumn="0"/>
              <w:rPr>
                <w:lang w:eastAsia="en-AU"/>
              </w:rPr>
            </w:pPr>
            <w:r w:rsidRPr="008C66A5">
              <w:rPr>
                <w:lang w:eastAsia="en-AU"/>
              </w:rPr>
              <w:t>0.35</w:t>
            </w:r>
          </w:p>
        </w:tc>
      </w:tr>
      <w:tr w:rsidR="00264C76" w:rsidRPr="00EA680D" w14:paraId="25D52DA5"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42" w:type="pct"/>
            <w:noWrap/>
            <w:hideMark/>
          </w:tcPr>
          <w:p w14:paraId="5395C83A" w14:textId="77777777" w:rsidR="00264C76" w:rsidRPr="00EA680D" w:rsidRDefault="00264C76" w:rsidP="00264C76">
            <w:pPr>
              <w:rPr>
                <w:lang w:eastAsia="en-AU"/>
              </w:rPr>
            </w:pPr>
            <w:r>
              <w:rPr>
                <w:lang w:eastAsia="en-AU"/>
              </w:rPr>
              <w:t>Total</w:t>
            </w:r>
          </w:p>
        </w:tc>
        <w:tc>
          <w:tcPr>
            <w:tcW w:w="1424" w:type="pct"/>
            <w:noWrap/>
          </w:tcPr>
          <w:p w14:paraId="342F4C63" w14:textId="77777777" w:rsidR="00264C76" w:rsidRPr="00656C6E" w:rsidRDefault="00264C76" w:rsidP="00264C76">
            <w:pPr>
              <w:jc w:val="right"/>
              <w:cnfStyle w:val="000000000000" w:firstRow="0" w:lastRow="0" w:firstColumn="0" w:lastColumn="0" w:oddVBand="0" w:evenVBand="0" w:oddHBand="0" w:evenHBand="0" w:firstRowFirstColumn="0" w:firstRowLastColumn="0" w:lastRowFirstColumn="0" w:lastRowLastColumn="0"/>
              <w:rPr>
                <w:b/>
                <w:lang w:eastAsia="en-AU"/>
              </w:rPr>
            </w:pPr>
            <w:r w:rsidRPr="00656C6E">
              <w:rPr>
                <w:b/>
                <w:lang w:eastAsia="en-AU"/>
              </w:rPr>
              <w:t>5.37</w:t>
            </w:r>
          </w:p>
        </w:tc>
        <w:tc>
          <w:tcPr>
            <w:tcW w:w="2133" w:type="pct"/>
          </w:tcPr>
          <w:p w14:paraId="15923A59" w14:textId="77777777" w:rsidR="00264C76" w:rsidRPr="00656C6E" w:rsidRDefault="00264C76" w:rsidP="00264C76">
            <w:pPr>
              <w:jc w:val="right"/>
              <w:cnfStyle w:val="000000000000" w:firstRow="0" w:lastRow="0" w:firstColumn="0" w:lastColumn="0" w:oddVBand="0" w:evenVBand="0" w:oddHBand="0" w:evenHBand="0" w:firstRowFirstColumn="0" w:firstRowLastColumn="0" w:lastRowFirstColumn="0" w:lastRowLastColumn="0"/>
              <w:rPr>
                <w:b/>
                <w:lang w:eastAsia="en-AU"/>
              </w:rPr>
            </w:pPr>
            <w:r w:rsidRPr="00656C6E">
              <w:rPr>
                <w:b/>
                <w:lang w:eastAsia="en-AU"/>
              </w:rPr>
              <w:t>3.55</w:t>
            </w:r>
          </w:p>
        </w:tc>
      </w:tr>
    </w:tbl>
    <w:p w14:paraId="7E44C717" w14:textId="77777777" w:rsidR="001B0C2E" w:rsidRDefault="00535C4E" w:rsidP="000613C9">
      <w:pPr>
        <w:spacing w:after="0"/>
        <w:rPr>
          <w:i/>
          <w:sz w:val="18"/>
          <w:szCs w:val="18"/>
        </w:rPr>
      </w:pPr>
      <w:r w:rsidRPr="00083B1F">
        <w:rPr>
          <w:i/>
          <w:sz w:val="18"/>
          <w:szCs w:val="18"/>
        </w:rPr>
        <w:t>Source: Queensland Government Open Data Portal: Emergency Department dataset; Census of Population and Housing, 2016, Table</w:t>
      </w:r>
      <w:r w:rsidR="00555F7D">
        <w:rPr>
          <w:i/>
          <w:sz w:val="18"/>
          <w:szCs w:val="18"/>
        </w:rPr>
        <w:t xml:space="preserve"> </w:t>
      </w:r>
      <w:r w:rsidRPr="00083B1F">
        <w:rPr>
          <w:i/>
          <w:sz w:val="18"/>
          <w:szCs w:val="18"/>
        </w:rPr>
        <w:t>Builder.</w:t>
      </w:r>
      <w:r w:rsidR="00BF3A12">
        <w:rPr>
          <w:i/>
          <w:sz w:val="18"/>
          <w:szCs w:val="18"/>
        </w:rPr>
        <w:t xml:space="preserve"> </w:t>
      </w:r>
      <w:bookmarkStart w:id="31" w:name="_Hlk36220664"/>
    </w:p>
    <w:p w14:paraId="2F96A761" w14:textId="77777777" w:rsidR="00535C4E" w:rsidRPr="00083B1F" w:rsidRDefault="001B0C2E" w:rsidP="0079482A">
      <w:pPr>
        <w:rPr>
          <w:i/>
          <w:sz w:val="18"/>
          <w:szCs w:val="18"/>
        </w:rPr>
      </w:pPr>
      <w:r>
        <w:rPr>
          <w:i/>
          <w:sz w:val="18"/>
          <w:szCs w:val="18"/>
        </w:rPr>
        <w:t xml:space="preserve">Notes: Hinkler refers to the </w:t>
      </w:r>
      <w:r w:rsidRPr="001E49E7">
        <w:rPr>
          <w:i/>
          <w:sz w:val="18"/>
          <w:szCs w:val="18"/>
        </w:rPr>
        <w:t>Federal electorate of Hinkler</w:t>
      </w:r>
      <w:r>
        <w:rPr>
          <w:i/>
          <w:sz w:val="18"/>
          <w:szCs w:val="18"/>
        </w:rPr>
        <w:t xml:space="preserve">. </w:t>
      </w:r>
      <w:r w:rsidR="00BF3A12" w:rsidRPr="00BF3A12">
        <w:rPr>
          <w:i/>
          <w:sz w:val="18"/>
          <w:szCs w:val="18"/>
        </w:rPr>
        <w:t>Due to rounding, the total number may not be exactly the same as the sum of each row</w:t>
      </w:r>
      <w:r w:rsidR="00BF3A12">
        <w:rPr>
          <w:i/>
          <w:sz w:val="18"/>
          <w:szCs w:val="18"/>
        </w:rPr>
        <w:t>.</w:t>
      </w:r>
      <w:bookmarkEnd w:id="31"/>
    </w:p>
    <w:p w14:paraId="41A00EFA" w14:textId="77777777" w:rsidR="009F2CD0" w:rsidRDefault="009F2CD0">
      <w:pPr>
        <w:jc w:val="left"/>
      </w:pPr>
      <w:bookmarkStart w:id="32" w:name="_Toc34935576"/>
      <w:bookmarkStart w:id="33" w:name="_Toc34818220"/>
      <w:bookmarkStart w:id="34" w:name="_Toc37258347"/>
      <w:r>
        <w:rPr>
          <w:b/>
        </w:rPr>
        <w:br w:type="page"/>
      </w:r>
    </w:p>
    <w:p w14:paraId="346B6563" w14:textId="77777777" w:rsidR="00014993" w:rsidRDefault="006C7B21">
      <w:pPr>
        <w:pStyle w:val="Heading2"/>
      </w:pPr>
      <w:r>
        <w:lastRenderedPageBreak/>
        <w:t xml:space="preserve">Offences and </w:t>
      </w:r>
      <w:bookmarkEnd w:id="32"/>
      <w:r w:rsidR="00CC2E3B">
        <w:t>c</w:t>
      </w:r>
      <w:r w:rsidR="00014993">
        <w:t>rime</w:t>
      </w:r>
      <w:bookmarkEnd w:id="33"/>
      <w:r w:rsidR="0025790C">
        <w:t xml:space="preserve"> in 2018</w:t>
      </w:r>
      <w:bookmarkEnd w:id="34"/>
    </w:p>
    <w:p w14:paraId="5B5CE46C" w14:textId="77777777" w:rsidR="00654D0C" w:rsidRDefault="00010E6C" w:rsidP="0079482A">
      <w:r>
        <w:t>T</w:t>
      </w:r>
      <w:r w:rsidR="00C571B4">
        <w:t>his section use</w:t>
      </w:r>
      <w:r>
        <w:t>s</w:t>
      </w:r>
      <w:r w:rsidR="00C571B4">
        <w:t xml:space="preserve"> crime statistics from the </w:t>
      </w:r>
      <w:r w:rsidR="00C571B4" w:rsidRPr="00C571B4">
        <w:t>Queensland Police Service (QPS)</w:t>
      </w:r>
      <w:r w:rsidR="00C571B4">
        <w:t xml:space="preserve"> to compare the prevalence and distribution of offences </w:t>
      </w:r>
      <w:r w:rsidR="005E5C5A">
        <w:t>in</w:t>
      </w:r>
      <w:r w:rsidR="00C571B4">
        <w:t xml:space="preserve"> Bundaberg, Hervey Bay and </w:t>
      </w:r>
      <w:r w:rsidR="005E5C5A">
        <w:t xml:space="preserve">the whole of </w:t>
      </w:r>
      <w:r w:rsidR="00C571B4">
        <w:t>Queensland.</w:t>
      </w:r>
      <w:r w:rsidR="006B1860">
        <w:t xml:space="preserve"> </w:t>
      </w:r>
      <w:r w:rsidR="00654D0C">
        <w:t>The QPS provides a broad record of crime statistics in Queensland. The data used for our analysis is from the reported offence statistics, which comprises comprehensive and disaggregate information. The dataset contains the monthly time series of both</w:t>
      </w:r>
      <w:r w:rsidR="005D761E">
        <w:t xml:space="preserve"> </w:t>
      </w:r>
      <w:r w:rsidR="00654D0C" w:rsidRPr="00654D0C">
        <w:t xml:space="preserve">number of reported </w:t>
      </w:r>
      <w:r w:rsidR="00654D0C">
        <w:t>offences and offence rates</w:t>
      </w:r>
      <w:r w:rsidR="00654D0C" w:rsidRPr="00654D0C">
        <w:t xml:space="preserve"> for Queensland</w:t>
      </w:r>
      <w:r w:rsidR="00654D0C">
        <w:t xml:space="preserve"> by type </w:t>
      </w:r>
      <w:r w:rsidR="000018B7">
        <w:t>of crime and geographic area</w:t>
      </w:r>
      <w:r w:rsidR="00654D0C">
        <w:t>. The dataset is publicly available</w:t>
      </w:r>
      <w:r w:rsidR="00654D0C" w:rsidRPr="00A32F53">
        <w:t>.</w:t>
      </w:r>
    </w:p>
    <w:p w14:paraId="15B3F175" w14:textId="2D519340" w:rsidR="0063774F" w:rsidRDefault="00BF7EEB" w:rsidP="00BF7EEB">
      <w:pPr>
        <w:spacing w:after="120"/>
      </w:pPr>
      <w:bookmarkStart w:id="35" w:name="_Ref34831049"/>
      <w:r w:rsidRPr="00413492">
        <w:t>The following table (</w:t>
      </w:r>
      <w:r w:rsidR="007B6616">
        <w:fldChar w:fldCharType="begin"/>
      </w:r>
      <w:r w:rsidR="007B6616">
        <w:instrText xml:space="preserve"> REF _Ref36652783 \h </w:instrText>
      </w:r>
      <w:r w:rsidR="007B6616">
        <w:fldChar w:fldCharType="separate"/>
      </w:r>
      <w:r w:rsidR="008E2086">
        <w:t xml:space="preserve">Table </w:t>
      </w:r>
      <w:r w:rsidR="008E2086">
        <w:rPr>
          <w:noProof/>
        </w:rPr>
        <w:t>2</w:t>
      </w:r>
      <w:r w:rsidR="008E2086">
        <w:noBreakHyphen/>
      </w:r>
      <w:r w:rsidR="008E2086">
        <w:rPr>
          <w:noProof/>
        </w:rPr>
        <w:t>4</w:t>
      </w:r>
      <w:r w:rsidR="007B6616">
        <w:fldChar w:fldCharType="end"/>
      </w:r>
      <w:r w:rsidRPr="00413492">
        <w:t>) displays the total number of offences</w:t>
      </w:r>
      <w:r>
        <w:t xml:space="preserve"> as well as the offence rate (</w:t>
      </w:r>
      <w:r w:rsidRPr="00413492">
        <w:t>expressed as the number of reported offences per 100,000 population) by broad categories for Bundaberg and Hervey Bay and for Queensland as a whole.</w:t>
      </w:r>
    </w:p>
    <w:p w14:paraId="3342D066" w14:textId="65FBF881" w:rsidR="00014993" w:rsidRDefault="000851DE" w:rsidP="006B1860">
      <w:pPr>
        <w:pStyle w:val="Caption"/>
      </w:pPr>
      <w:bookmarkStart w:id="36" w:name="_Ref36652783"/>
      <w:bookmarkStart w:id="37" w:name="_Ref36652757"/>
      <w:bookmarkStart w:id="38" w:name="_Toc34935528"/>
      <w:bookmarkStart w:id="39" w:name="_Toc37263567"/>
      <w:r>
        <w:t>Table</w:t>
      </w:r>
      <w:r w:rsidR="006B18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4</w:t>
      </w:r>
      <w:r w:rsidR="006C0554">
        <w:rPr>
          <w:noProof/>
        </w:rPr>
        <w:fldChar w:fldCharType="end"/>
      </w:r>
      <w:bookmarkEnd w:id="35"/>
      <w:bookmarkEnd w:id="36"/>
      <w:r w:rsidR="006B1860">
        <w:t xml:space="preserve">: </w:t>
      </w:r>
      <w:r w:rsidR="00014993">
        <w:t>Total reported offences by three primary categories in 2018</w:t>
      </w:r>
      <w:bookmarkEnd w:id="37"/>
      <w:bookmarkEnd w:id="38"/>
      <w:bookmarkEnd w:id="39"/>
    </w:p>
    <w:tbl>
      <w:tblPr>
        <w:tblStyle w:val="ListTable3-Accent12"/>
        <w:tblW w:w="5000" w:type="pct"/>
        <w:tblInd w:w="0" w:type="dxa"/>
        <w:tblLayout w:type="fixed"/>
        <w:tblLook w:val="04A0" w:firstRow="1" w:lastRow="0" w:firstColumn="1" w:lastColumn="0" w:noHBand="0" w:noVBand="1"/>
      </w:tblPr>
      <w:tblGrid>
        <w:gridCol w:w="2870"/>
        <w:gridCol w:w="1080"/>
        <w:gridCol w:w="1626"/>
        <w:gridCol w:w="1617"/>
        <w:gridCol w:w="1798"/>
        <w:gridCol w:w="25"/>
      </w:tblGrid>
      <w:tr w:rsidR="0063774F" w:rsidRPr="00843CD7" w14:paraId="7811E80C" w14:textId="77777777" w:rsidTr="00A4064D">
        <w:trPr>
          <w:gridAfter w:val="1"/>
          <w:cnfStyle w:val="100000000000" w:firstRow="1" w:lastRow="0" w:firstColumn="0" w:lastColumn="0" w:oddVBand="0" w:evenVBand="0" w:oddHBand="0" w:evenHBand="0" w:firstRowFirstColumn="0" w:firstRowLastColumn="0" w:lastRowFirstColumn="0" w:lastRowLastColumn="0"/>
          <w:wAfter w:w="14" w:type="pct"/>
          <w:trHeight w:val="300"/>
          <w:tblHeader/>
        </w:trPr>
        <w:tc>
          <w:tcPr>
            <w:cnfStyle w:val="001000000100" w:firstRow="0" w:lastRow="0" w:firstColumn="1" w:lastColumn="0" w:oddVBand="0" w:evenVBand="0" w:oddHBand="0" w:evenHBand="0" w:firstRowFirstColumn="1" w:firstRowLastColumn="0" w:lastRowFirstColumn="0" w:lastRowLastColumn="0"/>
            <w:tcW w:w="1591" w:type="pct"/>
            <w:shd w:val="clear" w:color="auto" w:fill="2F5496" w:themeFill="accent5" w:themeFillShade="BF"/>
          </w:tcPr>
          <w:p w14:paraId="2541AA0E" w14:textId="77777777" w:rsidR="00BF7EEB" w:rsidRPr="003542F0" w:rsidRDefault="00BF7EEB" w:rsidP="00BF7EEB">
            <w:pPr>
              <w:rPr>
                <w:color w:val="FFFFFF" w:themeColor="background1"/>
                <w:lang w:eastAsia="en-AU"/>
              </w:rPr>
            </w:pPr>
          </w:p>
        </w:tc>
        <w:tc>
          <w:tcPr>
            <w:tcW w:w="599" w:type="pct"/>
            <w:shd w:val="clear" w:color="auto" w:fill="2F5496" w:themeFill="accent5" w:themeFillShade="BF"/>
            <w:noWrap/>
          </w:tcPr>
          <w:p w14:paraId="63259C1F" w14:textId="77777777" w:rsidR="00BF7EEB" w:rsidRPr="003542F0" w:rsidRDefault="00BF7EEB" w:rsidP="00BF7EEB">
            <w:pP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p>
        </w:tc>
        <w:tc>
          <w:tcPr>
            <w:tcW w:w="902" w:type="pct"/>
            <w:shd w:val="clear" w:color="auto" w:fill="2F5496" w:themeFill="accent5" w:themeFillShade="BF"/>
            <w:noWrap/>
            <w:vAlign w:val="center"/>
          </w:tcPr>
          <w:p w14:paraId="34E34494" w14:textId="77777777" w:rsidR="00BF7EEB" w:rsidRPr="003542F0" w:rsidRDefault="00BF7EEB" w:rsidP="00A4064D">
            <w:pP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3542F0">
              <w:rPr>
                <w:color w:val="FFFFFF" w:themeColor="background1"/>
                <w:lang w:eastAsia="en-AU"/>
              </w:rPr>
              <w:t>Bundaberg</w:t>
            </w:r>
          </w:p>
        </w:tc>
        <w:tc>
          <w:tcPr>
            <w:tcW w:w="897" w:type="pct"/>
            <w:shd w:val="clear" w:color="auto" w:fill="2F5496" w:themeFill="accent5" w:themeFillShade="BF"/>
            <w:noWrap/>
            <w:vAlign w:val="center"/>
          </w:tcPr>
          <w:p w14:paraId="0DCAAA26" w14:textId="77777777" w:rsidR="00BF7EEB" w:rsidRPr="003542F0" w:rsidRDefault="00BF7EEB" w:rsidP="00A4064D">
            <w:pP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3542F0">
              <w:rPr>
                <w:color w:val="FFFFFF" w:themeColor="background1"/>
                <w:lang w:eastAsia="en-AU"/>
              </w:rPr>
              <w:t>Hervey Bay</w:t>
            </w:r>
          </w:p>
        </w:tc>
        <w:tc>
          <w:tcPr>
            <w:tcW w:w="997" w:type="pct"/>
            <w:shd w:val="clear" w:color="auto" w:fill="2F5496" w:themeFill="accent5" w:themeFillShade="BF"/>
            <w:vAlign w:val="center"/>
          </w:tcPr>
          <w:p w14:paraId="32EE391D" w14:textId="77777777" w:rsidR="00BF7EEB" w:rsidRPr="003542F0" w:rsidRDefault="00BF7EEB" w:rsidP="00A4064D">
            <w:pP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3542F0">
              <w:rPr>
                <w:color w:val="FFFFFF" w:themeColor="background1"/>
                <w:lang w:eastAsia="en-AU"/>
              </w:rPr>
              <w:t>Queensland</w:t>
            </w:r>
          </w:p>
        </w:tc>
      </w:tr>
      <w:tr w:rsidR="00BF7EEB" w:rsidRPr="00413492" w14:paraId="00CF1941"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1" w:type="pct"/>
            <w:vMerge w:val="restart"/>
            <w:vAlign w:val="center"/>
          </w:tcPr>
          <w:p w14:paraId="61FFFE62" w14:textId="77777777" w:rsidR="00BF7EEB" w:rsidRPr="00413492" w:rsidRDefault="00BF7EEB" w:rsidP="00BF7EEB">
            <w:pPr>
              <w:jc w:val="left"/>
              <w:rPr>
                <w:rFonts w:ascii="Times New Roman" w:hAnsi="Times New Roman" w:cs="Times New Roman"/>
                <w:sz w:val="24"/>
                <w:szCs w:val="24"/>
                <w:lang w:eastAsia="en-AU"/>
              </w:rPr>
            </w:pPr>
            <w:r w:rsidRPr="00413492">
              <w:rPr>
                <w:lang w:eastAsia="en-AU"/>
              </w:rPr>
              <w:t>Offences against the person</w:t>
            </w:r>
          </w:p>
        </w:tc>
        <w:tc>
          <w:tcPr>
            <w:tcW w:w="599" w:type="pct"/>
            <w:shd w:val="clear" w:color="auto" w:fill="auto"/>
            <w:noWrap/>
            <w:vAlign w:val="center"/>
          </w:tcPr>
          <w:p w14:paraId="34CED057" w14:textId="77777777" w:rsidR="00BF7EEB" w:rsidRPr="00413492" w:rsidRDefault="00BF7EEB" w:rsidP="00BF7EEB">
            <w:pPr>
              <w:jc w:val="left"/>
              <w:cnfStyle w:val="000000100000" w:firstRow="0" w:lastRow="0" w:firstColumn="0" w:lastColumn="0" w:oddVBand="0" w:evenVBand="0" w:oddHBand="1" w:evenHBand="0" w:firstRowFirstColumn="0" w:firstRowLastColumn="0" w:lastRowFirstColumn="0" w:lastRowLastColumn="0"/>
              <w:rPr>
                <w:lang w:eastAsia="en-AU"/>
              </w:rPr>
            </w:pPr>
            <w:r w:rsidRPr="00413492">
              <w:rPr>
                <w:lang w:eastAsia="en-AU"/>
              </w:rPr>
              <w:t>Cases</w:t>
            </w:r>
          </w:p>
        </w:tc>
        <w:tc>
          <w:tcPr>
            <w:tcW w:w="902" w:type="pct"/>
            <w:shd w:val="clear" w:color="auto" w:fill="auto"/>
            <w:noWrap/>
            <w:vAlign w:val="center"/>
          </w:tcPr>
          <w:p w14:paraId="7D1B722B" w14:textId="77777777" w:rsidR="00BF7EEB" w:rsidRPr="00413492" w:rsidRDefault="00BF7EEB" w:rsidP="00BF7EEB">
            <w:pPr>
              <w:jc w:val="right"/>
              <w:cnfStyle w:val="000000100000" w:firstRow="0" w:lastRow="0" w:firstColumn="0" w:lastColumn="0" w:oddVBand="0" w:evenVBand="0" w:oddHBand="1" w:evenHBand="0" w:firstRowFirstColumn="0" w:firstRowLastColumn="0" w:lastRowFirstColumn="0" w:lastRowLastColumn="0"/>
              <w:rPr>
                <w:sz w:val="24"/>
                <w:szCs w:val="24"/>
                <w:lang w:eastAsia="en-AU"/>
              </w:rPr>
            </w:pPr>
            <w:r w:rsidRPr="00413492">
              <w:rPr>
                <w:lang w:eastAsia="en-AU"/>
              </w:rPr>
              <w:t>478</w:t>
            </w:r>
          </w:p>
        </w:tc>
        <w:tc>
          <w:tcPr>
            <w:tcW w:w="897" w:type="pct"/>
            <w:shd w:val="clear" w:color="auto" w:fill="auto"/>
            <w:noWrap/>
            <w:vAlign w:val="center"/>
          </w:tcPr>
          <w:p w14:paraId="20F7D049" w14:textId="77777777" w:rsidR="00BF7EEB" w:rsidRPr="00413492" w:rsidRDefault="00BF7EEB" w:rsidP="00BF7EEB">
            <w:pPr>
              <w:jc w:val="right"/>
              <w:cnfStyle w:val="000000100000" w:firstRow="0" w:lastRow="0" w:firstColumn="0" w:lastColumn="0" w:oddVBand="0" w:evenVBand="0" w:oddHBand="1" w:evenHBand="0" w:firstRowFirstColumn="0" w:firstRowLastColumn="0" w:lastRowFirstColumn="0" w:lastRowLastColumn="0"/>
              <w:rPr>
                <w:sz w:val="24"/>
                <w:szCs w:val="24"/>
                <w:lang w:eastAsia="en-AU"/>
              </w:rPr>
            </w:pPr>
            <w:r w:rsidRPr="00413492">
              <w:rPr>
                <w:lang w:eastAsia="en-AU"/>
              </w:rPr>
              <w:t>424</w:t>
            </w:r>
          </w:p>
        </w:tc>
        <w:tc>
          <w:tcPr>
            <w:tcW w:w="1012" w:type="pct"/>
            <w:gridSpan w:val="2"/>
            <w:shd w:val="clear" w:color="auto" w:fill="auto"/>
            <w:vAlign w:val="center"/>
          </w:tcPr>
          <w:p w14:paraId="5DFE5350" w14:textId="77777777" w:rsidR="00BF7EEB" w:rsidRPr="00413492" w:rsidRDefault="00BF7EEB" w:rsidP="00BF7EEB">
            <w:pPr>
              <w:jc w:val="right"/>
              <w:cnfStyle w:val="000000100000" w:firstRow="0" w:lastRow="0" w:firstColumn="0" w:lastColumn="0" w:oddVBand="0" w:evenVBand="0" w:oddHBand="1" w:evenHBand="0" w:firstRowFirstColumn="0" w:firstRowLastColumn="0" w:lastRowFirstColumn="0" w:lastRowLastColumn="0"/>
              <w:rPr>
                <w:sz w:val="24"/>
                <w:szCs w:val="24"/>
                <w:lang w:eastAsia="en-AU"/>
              </w:rPr>
            </w:pPr>
            <w:r w:rsidRPr="00413492">
              <w:rPr>
                <w:lang w:eastAsia="en-AU"/>
              </w:rPr>
              <w:t>37,251</w:t>
            </w:r>
          </w:p>
        </w:tc>
      </w:tr>
      <w:tr w:rsidR="00BF7EEB" w:rsidRPr="00413492" w14:paraId="479A3224"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591" w:type="pct"/>
            <w:vMerge/>
            <w:vAlign w:val="center"/>
          </w:tcPr>
          <w:p w14:paraId="24088963" w14:textId="77777777" w:rsidR="00BF7EEB" w:rsidRPr="00413492" w:rsidRDefault="00BF7EEB" w:rsidP="00BF7EEB">
            <w:pPr>
              <w:jc w:val="left"/>
              <w:rPr>
                <w:lang w:eastAsia="en-AU"/>
              </w:rPr>
            </w:pPr>
          </w:p>
        </w:tc>
        <w:tc>
          <w:tcPr>
            <w:tcW w:w="599" w:type="pct"/>
            <w:noWrap/>
            <w:vAlign w:val="center"/>
          </w:tcPr>
          <w:p w14:paraId="768B6C56" w14:textId="77777777" w:rsidR="00BF7EEB" w:rsidRPr="00F13600" w:rsidRDefault="00BF7EEB" w:rsidP="00BF7EEB">
            <w:pPr>
              <w:jc w:val="left"/>
              <w:cnfStyle w:val="000000000000" w:firstRow="0" w:lastRow="0" w:firstColumn="0" w:lastColumn="0" w:oddVBand="0" w:evenVBand="0" w:oddHBand="0" w:evenHBand="0" w:firstRowFirstColumn="0" w:firstRowLastColumn="0" w:lastRowFirstColumn="0" w:lastRowLastColumn="0"/>
              <w:rPr>
                <w:i/>
                <w:lang w:eastAsia="en-AU"/>
              </w:rPr>
            </w:pPr>
            <w:r w:rsidRPr="00F13600">
              <w:rPr>
                <w:i/>
                <w:lang w:eastAsia="en-AU"/>
              </w:rPr>
              <w:t>%</w:t>
            </w:r>
          </w:p>
        </w:tc>
        <w:tc>
          <w:tcPr>
            <w:tcW w:w="902" w:type="pct"/>
            <w:noWrap/>
            <w:vAlign w:val="center"/>
          </w:tcPr>
          <w:p w14:paraId="5DC80E9F" w14:textId="77777777" w:rsidR="00BF7EEB" w:rsidRPr="00F13600" w:rsidRDefault="00BF7EEB" w:rsidP="00BF7EEB">
            <w:pPr>
              <w:jc w:val="right"/>
              <w:cnfStyle w:val="000000000000" w:firstRow="0" w:lastRow="0" w:firstColumn="0" w:lastColumn="0" w:oddVBand="0" w:evenVBand="0" w:oddHBand="0" w:evenHBand="0" w:firstRowFirstColumn="0" w:firstRowLastColumn="0" w:lastRowFirstColumn="0" w:lastRowLastColumn="0"/>
              <w:rPr>
                <w:i/>
                <w:lang w:eastAsia="en-AU"/>
              </w:rPr>
            </w:pPr>
            <w:r w:rsidRPr="00F13600">
              <w:rPr>
                <w:i/>
                <w:lang w:eastAsia="en-AU"/>
              </w:rPr>
              <w:t>6.6</w:t>
            </w:r>
          </w:p>
        </w:tc>
        <w:tc>
          <w:tcPr>
            <w:tcW w:w="897" w:type="pct"/>
            <w:noWrap/>
            <w:vAlign w:val="center"/>
          </w:tcPr>
          <w:p w14:paraId="5EE5D73B" w14:textId="77777777" w:rsidR="00BF7EEB" w:rsidRPr="00F13600" w:rsidRDefault="00BF7EEB" w:rsidP="00BF7EEB">
            <w:pPr>
              <w:jc w:val="right"/>
              <w:cnfStyle w:val="000000000000" w:firstRow="0" w:lastRow="0" w:firstColumn="0" w:lastColumn="0" w:oddVBand="0" w:evenVBand="0" w:oddHBand="0" w:evenHBand="0" w:firstRowFirstColumn="0" w:firstRowLastColumn="0" w:lastRowFirstColumn="0" w:lastRowLastColumn="0"/>
              <w:rPr>
                <w:i/>
                <w:lang w:eastAsia="en-AU"/>
              </w:rPr>
            </w:pPr>
            <w:r w:rsidRPr="00F13600">
              <w:rPr>
                <w:i/>
                <w:lang w:eastAsia="en-AU"/>
              </w:rPr>
              <w:t>7.1</w:t>
            </w:r>
          </w:p>
        </w:tc>
        <w:tc>
          <w:tcPr>
            <w:tcW w:w="1012" w:type="pct"/>
            <w:gridSpan w:val="2"/>
            <w:vAlign w:val="center"/>
          </w:tcPr>
          <w:p w14:paraId="327EDABC" w14:textId="77777777" w:rsidR="00BF7EEB" w:rsidRPr="00F13600" w:rsidRDefault="00BF7EEB" w:rsidP="00BF7EEB">
            <w:pPr>
              <w:jc w:val="right"/>
              <w:cnfStyle w:val="000000000000" w:firstRow="0" w:lastRow="0" w:firstColumn="0" w:lastColumn="0" w:oddVBand="0" w:evenVBand="0" w:oddHBand="0" w:evenHBand="0" w:firstRowFirstColumn="0" w:firstRowLastColumn="0" w:lastRowFirstColumn="0" w:lastRowLastColumn="0"/>
              <w:rPr>
                <w:i/>
                <w:lang w:eastAsia="en-AU"/>
              </w:rPr>
            </w:pPr>
            <w:r w:rsidRPr="00F13600">
              <w:rPr>
                <w:i/>
                <w:lang w:eastAsia="en-AU"/>
              </w:rPr>
              <w:t>7.2</w:t>
            </w:r>
          </w:p>
        </w:tc>
      </w:tr>
      <w:tr w:rsidR="00BF7EEB" w:rsidRPr="00413492" w14:paraId="27862CFE" w14:textId="77777777" w:rsidTr="00A4064D">
        <w:trPr>
          <w:gridAfter w:val="1"/>
          <w:cnfStyle w:val="000000100000" w:firstRow="0" w:lastRow="0" w:firstColumn="0" w:lastColumn="0" w:oddVBand="0" w:evenVBand="0" w:oddHBand="1" w:evenHBand="0" w:firstRowFirstColumn="0" w:firstRowLastColumn="0" w:lastRowFirstColumn="0" w:lastRowLastColumn="0"/>
          <w:wAfter w:w="14" w:type="pct"/>
          <w:trHeight w:val="300"/>
        </w:trPr>
        <w:tc>
          <w:tcPr>
            <w:cnfStyle w:val="001000000000" w:firstRow="0" w:lastRow="0" w:firstColumn="1" w:lastColumn="0" w:oddVBand="0" w:evenVBand="0" w:oddHBand="0" w:evenHBand="0" w:firstRowFirstColumn="0" w:firstRowLastColumn="0" w:lastRowFirstColumn="0" w:lastRowLastColumn="0"/>
            <w:tcW w:w="1591" w:type="pct"/>
            <w:vMerge/>
            <w:vAlign w:val="center"/>
          </w:tcPr>
          <w:p w14:paraId="018272BD" w14:textId="77777777" w:rsidR="00BF7EEB" w:rsidRPr="00413492" w:rsidRDefault="00BF7EEB" w:rsidP="00BF7EEB">
            <w:pPr>
              <w:jc w:val="left"/>
              <w:rPr>
                <w:b w:val="0"/>
                <w:bCs w:val="0"/>
                <w:lang w:eastAsia="en-AU"/>
              </w:rPr>
            </w:pPr>
          </w:p>
        </w:tc>
        <w:tc>
          <w:tcPr>
            <w:tcW w:w="599" w:type="pct"/>
            <w:noWrap/>
            <w:vAlign w:val="center"/>
          </w:tcPr>
          <w:p w14:paraId="0478601B" w14:textId="77777777" w:rsidR="00BF7EEB" w:rsidRPr="00413492" w:rsidRDefault="00BF7EEB" w:rsidP="00BF7EEB">
            <w:pPr>
              <w:jc w:val="left"/>
              <w:cnfStyle w:val="000000100000" w:firstRow="0" w:lastRow="0" w:firstColumn="0" w:lastColumn="0" w:oddVBand="0" w:evenVBand="0" w:oddHBand="1" w:evenHBand="0" w:firstRowFirstColumn="0" w:firstRowLastColumn="0" w:lastRowFirstColumn="0" w:lastRowLastColumn="0"/>
              <w:rPr>
                <w:lang w:eastAsia="en-AU"/>
              </w:rPr>
            </w:pPr>
            <w:r>
              <w:rPr>
                <w:lang w:eastAsia="en-AU"/>
              </w:rPr>
              <w:t>Rate</w:t>
            </w:r>
          </w:p>
        </w:tc>
        <w:tc>
          <w:tcPr>
            <w:tcW w:w="902" w:type="pct"/>
            <w:noWrap/>
          </w:tcPr>
          <w:p w14:paraId="190B9C11" w14:textId="77777777" w:rsidR="00BF7EEB" w:rsidRPr="00046C47" w:rsidRDefault="00BF7EEB" w:rsidP="00BF7EEB">
            <w:pPr>
              <w:jc w:val="right"/>
              <w:cnfStyle w:val="000000100000" w:firstRow="0" w:lastRow="0" w:firstColumn="0" w:lastColumn="0" w:oddVBand="0" w:evenVBand="0" w:oddHBand="1" w:evenHBand="0" w:firstRowFirstColumn="0" w:firstRowLastColumn="0" w:lastRowFirstColumn="0" w:lastRowLastColumn="0"/>
            </w:pPr>
            <w:r w:rsidRPr="00046C47">
              <w:t>787.1</w:t>
            </w:r>
          </w:p>
        </w:tc>
        <w:tc>
          <w:tcPr>
            <w:tcW w:w="897" w:type="pct"/>
            <w:noWrap/>
          </w:tcPr>
          <w:p w14:paraId="6D6EF63F" w14:textId="77777777" w:rsidR="00BF7EEB" w:rsidRPr="00046C47" w:rsidRDefault="00BF7EEB" w:rsidP="00BF7EEB">
            <w:pPr>
              <w:jc w:val="right"/>
              <w:cnfStyle w:val="000000100000" w:firstRow="0" w:lastRow="0" w:firstColumn="0" w:lastColumn="0" w:oddVBand="0" w:evenVBand="0" w:oddHBand="1" w:evenHBand="0" w:firstRowFirstColumn="0" w:firstRowLastColumn="0" w:lastRowFirstColumn="0" w:lastRowLastColumn="0"/>
            </w:pPr>
            <w:r w:rsidRPr="00046C47">
              <w:t>704.1</w:t>
            </w:r>
          </w:p>
        </w:tc>
        <w:tc>
          <w:tcPr>
            <w:tcW w:w="997" w:type="pct"/>
          </w:tcPr>
          <w:p w14:paraId="54E9C70D" w14:textId="77777777" w:rsidR="00BF7EEB" w:rsidRPr="00046C47" w:rsidRDefault="00BF7EEB" w:rsidP="00BF7EEB">
            <w:pPr>
              <w:jc w:val="right"/>
              <w:cnfStyle w:val="000000100000" w:firstRow="0" w:lastRow="0" w:firstColumn="0" w:lastColumn="0" w:oddVBand="0" w:evenVBand="0" w:oddHBand="1" w:evenHBand="0" w:firstRowFirstColumn="0" w:firstRowLastColumn="0" w:lastRowFirstColumn="0" w:lastRowLastColumn="0"/>
            </w:pPr>
            <w:r w:rsidRPr="00046C47">
              <w:t>743.4</w:t>
            </w:r>
          </w:p>
        </w:tc>
      </w:tr>
      <w:tr w:rsidR="00BF7EEB" w:rsidRPr="00413492" w14:paraId="569BD56A" w14:textId="77777777" w:rsidTr="00A4064D">
        <w:trPr>
          <w:gridAfter w:val="1"/>
          <w:wAfter w:w="14" w:type="pct"/>
          <w:trHeight w:val="300"/>
        </w:trPr>
        <w:tc>
          <w:tcPr>
            <w:cnfStyle w:val="001000000000" w:firstRow="0" w:lastRow="0" w:firstColumn="1" w:lastColumn="0" w:oddVBand="0" w:evenVBand="0" w:oddHBand="0" w:evenHBand="0" w:firstRowFirstColumn="0" w:firstRowLastColumn="0" w:lastRowFirstColumn="0" w:lastRowLastColumn="0"/>
            <w:tcW w:w="1591" w:type="pct"/>
            <w:vMerge w:val="restart"/>
            <w:tcBorders>
              <w:top w:val="single" w:sz="4" w:space="0" w:color="5B9BD5"/>
              <w:bottom w:val="single" w:sz="4" w:space="0" w:color="5B9BD5"/>
            </w:tcBorders>
            <w:vAlign w:val="center"/>
          </w:tcPr>
          <w:p w14:paraId="6178DBFF" w14:textId="77777777" w:rsidR="00BF7EEB" w:rsidRPr="00413492" w:rsidRDefault="00BF7EEB" w:rsidP="00BF7EEB">
            <w:pPr>
              <w:jc w:val="left"/>
              <w:rPr>
                <w:rFonts w:ascii="Times New Roman" w:hAnsi="Times New Roman" w:cs="Times New Roman"/>
                <w:sz w:val="24"/>
                <w:szCs w:val="24"/>
                <w:lang w:eastAsia="en-AU"/>
              </w:rPr>
            </w:pPr>
            <w:r w:rsidRPr="00413492">
              <w:rPr>
                <w:lang w:eastAsia="en-AU"/>
              </w:rPr>
              <w:t>Offences against property</w:t>
            </w:r>
          </w:p>
        </w:tc>
        <w:tc>
          <w:tcPr>
            <w:tcW w:w="599" w:type="pct"/>
            <w:tcBorders>
              <w:top w:val="single" w:sz="4" w:space="0" w:color="5B9BD5"/>
              <w:bottom w:val="single" w:sz="4" w:space="0" w:color="5B9BD5"/>
            </w:tcBorders>
            <w:noWrap/>
            <w:vAlign w:val="center"/>
          </w:tcPr>
          <w:p w14:paraId="749CA9AA" w14:textId="77777777" w:rsidR="00BF7EEB" w:rsidRPr="00413492" w:rsidRDefault="00BF7EEB" w:rsidP="00BF7EEB">
            <w:pPr>
              <w:jc w:val="left"/>
              <w:cnfStyle w:val="000000000000" w:firstRow="0" w:lastRow="0" w:firstColumn="0" w:lastColumn="0" w:oddVBand="0" w:evenVBand="0" w:oddHBand="0" w:evenHBand="0" w:firstRowFirstColumn="0" w:firstRowLastColumn="0" w:lastRowFirstColumn="0" w:lastRowLastColumn="0"/>
              <w:rPr>
                <w:lang w:eastAsia="en-AU"/>
              </w:rPr>
            </w:pPr>
            <w:r w:rsidRPr="00413492">
              <w:rPr>
                <w:lang w:eastAsia="en-AU"/>
              </w:rPr>
              <w:t>Cases</w:t>
            </w:r>
          </w:p>
        </w:tc>
        <w:tc>
          <w:tcPr>
            <w:tcW w:w="902" w:type="pct"/>
            <w:tcBorders>
              <w:top w:val="single" w:sz="4" w:space="0" w:color="5B9BD5"/>
              <w:bottom w:val="single" w:sz="4" w:space="0" w:color="5B9BD5"/>
            </w:tcBorders>
            <w:noWrap/>
            <w:vAlign w:val="center"/>
          </w:tcPr>
          <w:p w14:paraId="3925CB68" w14:textId="77777777" w:rsidR="00BF7EEB" w:rsidRPr="00413492" w:rsidRDefault="00BF7EEB" w:rsidP="00BF7EEB">
            <w:pPr>
              <w:jc w:val="right"/>
              <w:cnfStyle w:val="000000000000" w:firstRow="0" w:lastRow="0" w:firstColumn="0" w:lastColumn="0" w:oddVBand="0" w:evenVBand="0" w:oddHBand="0" w:evenHBand="0" w:firstRowFirstColumn="0" w:firstRowLastColumn="0" w:lastRowFirstColumn="0" w:lastRowLastColumn="0"/>
              <w:rPr>
                <w:lang w:eastAsia="en-AU"/>
              </w:rPr>
            </w:pPr>
            <w:r w:rsidRPr="00413492">
              <w:rPr>
                <w:lang w:eastAsia="en-AU"/>
              </w:rPr>
              <w:t>3,408</w:t>
            </w:r>
          </w:p>
        </w:tc>
        <w:tc>
          <w:tcPr>
            <w:tcW w:w="897" w:type="pct"/>
            <w:tcBorders>
              <w:top w:val="single" w:sz="4" w:space="0" w:color="5B9BD5"/>
              <w:bottom w:val="single" w:sz="4" w:space="0" w:color="5B9BD5"/>
            </w:tcBorders>
            <w:noWrap/>
            <w:vAlign w:val="center"/>
          </w:tcPr>
          <w:p w14:paraId="79F916F1" w14:textId="77777777" w:rsidR="00BF7EEB" w:rsidRPr="00413492" w:rsidRDefault="00BF7EEB" w:rsidP="00BF7EEB">
            <w:pPr>
              <w:jc w:val="right"/>
              <w:cnfStyle w:val="000000000000" w:firstRow="0" w:lastRow="0" w:firstColumn="0" w:lastColumn="0" w:oddVBand="0" w:evenVBand="0" w:oddHBand="0" w:evenHBand="0" w:firstRowFirstColumn="0" w:firstRowLastColumn="0" w:lastRowFirstColumn="0" w:lastRowLastColumn="0"/>
              <w:rPr>
                <w:lang w:eastAsia="en-AU"/>
              </w:rPr>
            </w:pPr>
            <w:r w:rsidRPr="00413492">
              <w:rPr>
                <w:lang w:eastAsia="en-AU"/>
              </w:rPr>
              <w:t>2,759</w:t>
            </w:r>
          </w:p>
        </w:tc>
        <w:tc>
          <w:tcPr>
            <w:tcW w:w="997" w:type="pct"/>
            <w:tcBorders>
              <w:top w:val="single" w:sz="4" w:space="0" w:color="5B9BD5"/>
              <w:bottom w:val="single" w:sz="4" w:space="0" w:color="5B9BD5"/>
            </w:tcBorders>
            <w:vAlign w:val="center"/>
          </w:tcPr>
          <w:p w14:paraId="63F2044C" w14:textId="77777777" w:rsidR="00BF7EEB" w:rsidRPr="00413492" w:rsidRDefault="00BF7EEB" w:rsidP="00BF7EEB">
            <w:pPr>
              <w:jc w:val="right"/>
              <w:cnfStyle w:val="000000000000" w:firstRow="0" w:lastRow="0" w:firstColumn="0" w:lastColumn="0" w:oddVBand="0" w:evenVBand="0" w:oddHBand="0" w:evenHBand="0" w:firstRowFirstColumn="0" w:firstRowLastColumn="0" w:lastRowFirstColumn="0" w:lastRowLastColumn="0"/>
              <w:rPr>
                <w:lang w:eastAsia="en-AU"/>
              </w:rPr>
            </w:pPr>
            <w:r w:rsidRPr="00413492">
              <w:rPr>
                <w:lang w:eastAsia="en-AU"/>
              </w:rPr>
              <w:t>252,834</w:t>
            </w:r>
          </w:p>
        </w:tc>
      </w:tr>
      <w:tr w:rsidR="00BF7EEB" w:rsidRPr="00413492" w14:paraId="3CDEF67D" w14:textId="77777777" w:rsidTr="00A4064D">
        <w:trPr>
          <w:gridAfter w:val="1"/>
          <w:cnfStyle w:val="000000100000" w:firstRow="0" w:lastRow="0" w:firstColumn="0" w:lastColumn="0" w:oddVBand="0" w:evenVBand="0" w:oddHBand="1" w:evenHBand="0" w:firstRowFirstColumn="0" w:firstRowLastColumn="0" w:lastRowFirstColumn="0" w:lastRowLastColumn="0"/>
          <w:wAfter w:w="14" w:type="pct"/>
          <w:trHeight w:val="300"/>
        </w:trPr>
        <w:tc>
          <w:tcPr>
            <w:cnfStyle w:val="001000000000" w:firstRow="0" w:lastRow="0" w:firstColumn="1" w:lastColumn="0" w:oddVBand="0" w:evenVBand="0" w:oddHBand="0" w:evenHBand="0" w:firstRowFirstColumn="0" w:firstRowLastColumn="0" w:lastRowFirstColumn="0" w:lastRowLastColumn="0"/>
            <w:tcW w:w="1591" w:type="pct"/>
            <w:vMerge/>
            <w:vAlign w:val="center"/>
          </w:tcPr>
          <w:p w14:paraId="33571C60" w14:textId="77777777" w:rsidR="00BF7EEB" w:rsidRPr="00413492" w:rsidRDefault="00BF7EEB" w:rsidP="00BF7EEB">
            <w:pPr>
              <w:jc w:val="left"/>
              <w:rPr>
                <w:lang w:eastAsia="en-AU"/>
              </w:rPr>
            </w:pPr>
          </w:p>
        </w:tc>
        <w:tc>
          <w:tcPr>
            <w:tcW w:w="599" w:type="pct"/>
            <w:noWrap/>
            <w:vAlign w:val="center"/>
          </w:tcPr>
          <w:p w14:paraId="2FE852B0" w14:textId="77777777" w:rsidR="00BF7EEB" w:rsidRPr="00F13600" w:rsidRDefault="00BF7EEB" w:rsidP="00BF7EEB">
            <w:pPr>
              <w:jc w:val="left"/>
              <w:cnfStyle w:val="000000100000" w:firstRow="0" w:lastRow="0" w:firstColumn="0" w:lastColumn="0" w:oddVBand="0" w:evenVBand="0" w:oddHBand="1" w:evenHBand="0" w:firstRowFirstColumn="0" w:firstRowLastColumn="0" w:lastRowFirstColumn="0" w:lastRowLastColumn="0"/>
              <w:rPr>
                <w:i/>
                <w:lang w:eastAsia="en-AU"/>
              </w:rPr>
            </w:pPr>
            <w:r w:rsidRPr="00F13600">
              <w:rPr>
                <w:i/>
                <w:lang w:eastAsia="en-AU"/>
              </w:rPr>
              <w:t>%</w:t>
            </w:r>
          </w:p>
        </w:tc>
        <w:tc>
          <w:tcPr>
            <w:tcW w:w="902" w:type="pct"/>
            <w:noWrap/>
            <w:vAlign w:val="center"/>
          </w:tcPr>
          <w:p w14:paraId="7EB8EC2C" w14:textId="77777777" w:rsidR="00BF7EEB" w:rsidRPr="00F13600" w:rsidRDefault="00BF7EEB" w:rsidP="00BF7EEB">
            <w:pPr>
              <w:jc w:val="right"/>
              <w:cnfStyle w:val="000000100000" w:firstRow="0" w:lastRow="0" w:firstColumn="0" w:lastColumn="0" w:oddVBand="0" w:evenVBand="0" w:oddHBand="1" w:evenHBand="0" w:firstRowFirstColumn="0" w:firstRowLastColumn="0" w:lastRowFirstColumn="0" w:lastRowLastColumn="0"/>
              <w:rPr>
                <w:i/>
                <w:lang w:eastAsia="en-AU"/>
              </w:rPr>
            </w:pPr>
            <w:r w:rsidRPr="00F13600">
              <w:rPr>
                <w:i/>
                <w:lang w:eastAsia="en-AU"/>
              </w:rPr>
              <w:t>46.9</w:t>
            </w:r>
          </w:p>
        </w:tc>
        <w:tc>
          <w:tcPr>
            <w:tcW w:w="897" w:type="pct"/>
            <w:noWrap/>
            <w:vAlign w:val="center"/>
          </w:tcPr>
          <w:p w14:paraId="174943B5" w14:textId="77777777" w:rsidR="00BF7EEB" w:rsidRPr="00F13600" w:rsidRDefault="00BF7EEB" w:rsidP="00BF7EEB">
            <w:pPr>
              <w:jc w:val="right"/>
              <w:cnfStyle w:val="000000100000" w:firstRow="0" w:lastRow="0" w:firstColumn="0" w:lastColumn="0" w:oddVBand="0" w:evenVBand="0" w:oddHBand="1" w:evenHBand="0" w:firstRowFirstColumn="0" w:firstRowLastColumn="0" w:lastRowFirstColumn="0" w:lastRowLastColumn="0"/>
              <w:rPr>
                <w:i/>
                <w:lang w:eastAsia="en-AU"/>
              </w:rPr>
            </w:pPr>
            <w:r w:rsidRPr="00F13600">
              <w:rPr>
                <w:i/>
                <w:lang w:eastAsia="en-AU"/>
              </w:rPr>
              <w:t>46.4</w:t>
            </w:r>
          </w:p>
        </w:tc>
        <w:tc>
          <w:tcPr>
            <w:tcW w:w="997" w:type="pct"/>
            <w:vAlign w:val="center"/>
          </w:tcPr>
          <w:p w14:paraId="70B723A2" w14:textId="77777777" w:rsidR="00BF7EEB" w:rsidRPr="00F13600" w:rsidRDefault="00BF7EEB" w:rsidP="00BF7EEB">
            <w:pPr>
              <w:jc w:val="right"/>
              <w:cnfStyle w:val="000000100000" w:firstRow="0" w:lastRow="0" w:firstColumn="0" w:lastColumn="0" w:oddVBand="0" w:evenVBand="0" w:oddHBand="1" w:evenHBand="0" w:firstRowFirstColumn="0" w:firstRowLastColumn="0" w:lastRowFirstColumn="0" w:lastRowLastColumn="0"/>
              <w:rPr>
                <w:i/>
                <w:lang w:eastAsia="en-AU"/>
              </w:rPr>
            </w:pPr>
            <w:r w:rsidRPr="00F13600">
              <w:rPr>
                <w:i/>
                <w:lang w:eastAsia="en-AU"/>
              </w:rPr>
              <w:t>48.8</w:t>
            </w:r>
          </w:p>
        </w:tc>
      </w:tr>
      <w:tr w:rsidR="00BF7EEB" w:rsidRPr="00413492" w14:paraId="72E7EDD3" w14:textId="77777777" w:rsidTr="00A4064D">
        <w:trPr>
          <w:gridAfter w:val="1"/>
          <w:wAfter w:w="14" w:type="pct"/>
          <w:trHeight w:val="300"/>
        </w:trPr>
        <w:tc>
          <w:tcPr>
            <w:cnfStyle w:val="001000000000" w:firstRow="0" w:lastRow="0" w:firstColumn="1" w:lastColumn="0" w:oddVBand="0" w:evenVBand="0" w:oddHBand="0" w:evenHBand="0" w:firstRowFirstColumn="0" w:firstRowLastColumn="0" w:lastRowFirstColumn="0" w:lastRowLastColumn="0"/>
            <w:tcW w:w="1591" w:type="pct"/>
            <w:vMerge/>
            <w:vAlign w:val="center"/>
          </w:tcPr>
          <w:p w14:paraId="50A2DDF8" w14:textId="77777777" w:rsidR="00BF7EEB" w:rsidRPr="00413492" w:rsidRDefault="00BF7EEB" w:rsidP="00BF7EEB">
            <w:pPr>
              <w:jc w:val="left"/>
              <w:rPr>
                <w:b w:val="0"/>
                <w:bCs w:val="0"/>
                <w:lang w:eastAsia="en-AU"/>
              </w:rPr>
            </w:pPr>
          </w:p>
        </w:tc>
        <w:tc>
          <w:tcPr>
            <w:tcW w:w="599" w:type="pct"/>
            <w:noWrap/>
            <w:vAlign w:val="center"/>
          </w:tcPr>
          <w:p w14:paraId="132A54A7" w14:textId="77777777" w:rsidR="00BF7EEB" w:rsidRPr="00413492" w:rsidRDefault="00BF7EEB" w:rsidP="00BF7EEB">
            <w:pPr>
              <w:jc w:val="left"/>
              <w:cnfStyle w:val="000000000000" w:firstRow="0" w:lastRow="0" w:firstColumn="0" w:lastColumn="0" w:oddVBand="0" w:evenVBand="0" w:oddHBand="0" w:evenHBand="0" w:firstRowFirstColumn="0" w:firstRowLastColumn="0" w:lastRowFirstColumn="0" w:lastRowLastColumn="0"/>
              <w:rPr>
                <w:lang w:eastAsia="en-AU"/>
              </w:rPr>
            </w:pPr>
            <w:r>
              <w:rPr>
                <w:lang w:eastAsia="en-AU"/>
              </w:rPr>
              <w:t>Rate</w:t>
            </w:r>
          </w:p>
        </w:tc>
        <w:tc>
          <w:tcPr>
            <w:tcW w:w="902" w:type="pct"/>
            <w:noWrap/>
          </w:tcPr>
          <w:p w14:paraId="59FE512D" w14:textId="77777777" w:rsidR="00BF7EEB" w:rsidRPr="00046C47" w:rsidRDefault="00BF7EEB" w:rsidP="00BF7EEB">
            <w:pPr>
              <w:jc w:val="right"/>
              <w:cnfStyle w:val="000000000000" w:firstRow="0" w:lastRow="0" w:firstColumn="0" w:lastColumn="0" w:oddVBand="0" w:evenVBand="0" w:oddHBand="0" w:evenHBand="0" w:firstRowFirstColumn="0" w:firstRowLastColumn="0" w:lastRowFirstColumn="0" w:lastRowLastColumn="0"/>
            </w:pPr>
            <w:r w:rsidRPr="00046C47">
              <w:t>5</w:t>
            </w:r>
            <w:r>
              <w:t>,612.0</w:t>
            </w:r>
          </w:p>
        </w:tc>
        <w:tc>
          <w:tcPr>
            <w:tcW w:w="897" w:type="pct"/>
            <w:noWrap/>
          </w:tcPr>
          <w:p w14:paraId="0C7D0245" w14:textId="77777777" w:rsidR="00BF7EEB" w:rsidRPr="00046C47" w:rsidRDefault="00BF7EEB" w:rsidP="00BF7EEB">
            <w:pPr>
              <w:jc w:val="right"/>
              <w:cnfStyle w:val="000000000000" w:firstRow="0" w:lastRow="0" w:firstColumn="0" w:lastColumn="0" w:oddVBand="0" w:evenVBand="0" w:oddHBand="0" w:evenHBand="0" w:firstRowFirstColumn="0" w:firstRowLastColumn="0" w:lastRowFirstColumn="0" w:lastRowLastColumn="0"/>
            </w:pPr>
            <w:r>
              <w:t>4,581.7</w:t>
            </w:r>
          </w:p>
        </w:tc>
        <w:tc>
          <w:tcPr>
            <w:tcW w:w="997" w:type="pct"/>
          </w:tcPr>
          <w:p w14:paraId="32CCB927" w14:textId="77777777" w:rsidR="00BF7EEB" w:rsidRPr="00046C47" w:rsidRDefault="00BF7EEB" w:rsidP="00BF7EEB">
            <w:pPr>
              <w:jc w:val="right"/>
              <w:cnfStyle w:val="000000000000" w:firstRow="0" w:lastRow="0" w:firstColumn="0" w:lastColumn="0" w:oddVBand="0" w:evenVBand="0" w:oddHBand="0" w:evenHBand="0" w:firstRowFirstColumn="0" w:firstRowLastColumn="0" w:lastRowFirstColumn="0" w:lastRowLastColumn="0"/>
            </w:pPr>
            <w:r>
              <w:t>5,045.4</w:t>
            </w:r>
          </w:p>
        </w:tc>
      </w:tr>
      <w:tr w:rsidR="00BF7EEB" w:rsidRPr="00413492" w14:paraId="33383CBD" w14:textId="77777777" w:rsidTr="00A4064D">
        <w:trPr>
          <w:gridAfter w:val="1"/>
          <w:cnfStyle w:val="000000100000" w:firstRow="0" w:lastRow="0" w:firstColumn="0" w:lastColumn="0" w:oddVBand="0" w:evenVBand="0" w:oddHBand="1" w:evenHBand="0" w:firstRowFirstColumn="0" w:firstRowLastColumn="0" w:lastRowFirstColumn="0" w:lastRowLastColumn="0"/>
          <w:wAfter w:w="14" w:type="pct"/>
          <w:trHeight w:val="300"/>
        </w:trPr>
        <w:tc>
          <w:tcPr>
            <w:cnfStyle w:val="001000000000" w:firstRow="0" w:lastRow="0" w:firstColumn="1" w:lastColumn="0" w:oddVBand="0" w:evenVBand="0" w:oddHBand="0" w:evenHBand="0" w:firstRowFirstColumn="0" w:firstRowLastColumn="0" w:lastRowFirstColumn="0" w:lastRowLastColumn="0"/>
            <w:tcW w:w="1591" w:type="pct"/>
            <w:vMerge w:val="restart"/>
            <w:vAlign w:val="center"/>
          </w:tcPr>
          <w:p w14:paraId="469B9DA1" w14:textId="77777777" w:rsidR="00BF7EEB" w:rsidRPr="00413492" w:rsidRDefault="00BF7EEB" w:rsidP="00BF7EEB">
            <w:pPr>
              <w:jc w:val="left"/>
              <w:rPr>
                <w:rFonts w:ascii="Times New Roman" w:hAnsi="Times New Roman" w:cs="Times New Roman"/>
                <w:sz w:val="24"/>
                <w:szCs w:val="24"/>
                <w:lang w:eastAsia="en-AU"/>
              </w:rPr>
            </w:pPr>
            <w:r w:rsidRPr="00413492">
              <w:rPr>
                <w:lang w:eastAsia="en-AU"/>
              </w:rPr>
              <w:t>Other offences</w:t>
            </w:r>
          </w:p>
        </w:tc>
        <w:tc>
          <w:tcPr>
            <w:tcW w:w="599" w:type="pct"/>
            <w:noWrap/>
            <w:vAlign w:val="center"/>
          </w:tcPr>
          <w:p w14:paraId="5AFB0B91" w14:textId="77777777" w:rsidR="00BF7EEB" w:rsidRPr="00413492" w:rsidRDefault="00BF7EEB" w:rsidP="00BF7EEB">
            <w:pPr>
              <w:jc w:val="left"/>
              <w:cnfStyle w:val="000000100000" w:firstRow="0" w:lastRow="0" w:firstColumn="0" w:lastColumn="0" w:oddVBand="0" w:evenVBand="0" w:oddHBand="1" w:evenHBand="0" w:firstRowFirstColumn="0" w:firstRowLastColumn="0" w:lastRowFirstColumn="0" w:lastRowLastColumn="0"/>
              <w:rPr>
                <w:lang w:eastAsia="en-AU"/>
              </w:rPr>
            </w:pPr>
            <w:r w:rsidRPr="00413492">
              <w:rPr>
                <w:lang w:eastAsia="en-AU"/>
              </w:rPr>
              <w:t>Cases</w:t>
            </w:r>
          </w:p>
        </w:tc>
        <w:tc>
          <w:tcPr>
            <w:tcW w:w="902" w:type="pct"/>
            <w:noWrap/>
            <w:vAlign w:val="center"/>
          </w:tcPr>
          <w:p w14:paraId="6BF7B0F6" w14:textId="77777777" w:rsidR="00BF7EEB" w:rsidRPr="00413492" w:rsidRDefault="00BF7EEB" w:rsidP="00BF7EEB">
            <w:pPr>
              <w:jc w:val="right"/>
              <w:cnfStyle w:val="000000100000" w:firstRow="0" w:lastRow="0" w:firstColumn="0" w:lastColumn="0" w:oddVBand="0" w:evenVBand="0" w:oddHBand="1" w:evenHBand="0" w:firstRowFirstColumn="0" w:firstRowLastColumn="0" w:lastRowFirstColumn="0" w:lastRowLastColumn="0"/>
              <w:rPr>
                <w:lang w:eastAsia="en-AU"/>
              </w:rPr>
            </w:pPr>
            <w:r w:rsidRPr="00413492">
              <w:rPr>
                <w:lang w:eastAsia="en-AU"/>
              </w:rPr>
              <w:t>3,378</w:t>
            </w:r>
          </w:p>
        </w:tc>
        <w:tc>
          <w:tcPr>
            <w:tcW w:w="897" w:type="pct"/>
            <w:noWrap/>
            <w:vAlign w:val="center"/>
          </w:tcPr>
          <w:p w14:paraId="184CADCD" w14:textId="77777777" w:rsidR="00BF7EEB" w:rsidRPr="00413492" w:rsidRDefault="00BF7EEB" w:rsidP="00BF7EEB">
            <w:pPr>
              <w:jc w:val="right"/>
              <w:cnfStyle w:val="000000100000" w:firstRow="0" w:lastRow="0" w:firstColumn="0" w:lastColumn="0" w:oddVBand="0" w:evenVBand="0" w:oddHBand="1" w:evenHBand="0" w:firstRowFirstColumn="0" w:firstRowLastColumn="0" w:lastRowFirstColumn="0" w:lastRowLastColumn="0"/>
              <w:rPr>
                <w:lang w:eastAsia="en-AU"/>
              </w:rPr>
            </w:pPr>
            <w:r w:rsidRPr="00413492">
              <w:rPr>
                <w:lang w:eastAsia="en-AU"/>
              </w:rPr>
              <w:t>2,767</w:t>
            </w:r>
          </w:p>
        </w:tc>
        <w:tc>
          <w:tcPr>
            <w:tcW w:w="997" w:type="pct"/>
            <w:vAlign w:val="center"/>
          </w:tcPr>
          <w:p w14:paraId="50B4629F" w14:textId="77777777" w:rsidR="00BF7EEB" w:rsidRPr="00413492" w:rsidRDefault="00BF7EEB" w:rsidP="00BF7EEB">
            <w:pPr>
              <w:jc w:val="right"/>
              <w:cnfStyle w:val="000000100000" w:firstRow="0" w:lastRow="0" w:firstColumn="0" w:lastColumn="0" w:oddVBand="0" w:evenVBand="0" w:oddHBand="1" w:evenHBand="0" w:firstRowFirstColumn="0" w:firstRowLastColumn="0" w:lastRowFirstColumn="0" w:lastRowLastColumn="0"/>
              <w:rPr>
                <w:lang w:eastAsia="en-AU"/>
              </w:rPr>
            </w:pPr>
            <w:r w:rsidRPr="00413492">
              <w:rPr>
                <w:lang w:eastAsia="en-AU"/>
              </w:rPr>
              <w:t>228,005</w:t>
            </w:r>
          </w:p>
        </w:tc>
      </w:tr>
      <w:tr w:rsidR="00BF7EEB" w:rsidRPr="00413492" w14:paraId="1AC04FE4" w14:textId="77777777" w:rsidTr="00A4064D">
        <w:trPr>
          <w:gridAfter w:val="1"/>
          <w:wAfter w:w="14" w:type="pct"/>
          <w:trHeight w:val="300"/>
        </w:trPr>
        <w:tc>
          <w:tcPr>
            <w:cnfStyle w:val="001000000000" w:firstRow="0" w:lastRow="0" w:firstColumn="1" w:lastColumn="0" w:oddVBand="0" w:evenVBand="0" w:oddHBand="0" w:evenHBand="0" w:firstRowFirstColumn="0" w:firstRowLastColumn="0" w:lastRowFirstColumn="0" w:lastRowLastColumn="0"/>
            <w:tcW w:w="1591" w:type="pct"/>
            <w:vMerge/>
            <w:tcBorders>
              <w:top w:val="single" w:sz="4" w:space="0" w:color="5B9BD5"/>
              <w:bottom w:val="single" w:sz="4" w:space="0" w:color="5B9BD5"/>
            </w:tcBorders>
            <w:vAlign w:val="center"/>
          </w:tcPr>
          <w:p w14:paraId="0F7EE35F" w14:textId="77777777" w:rsidR="00BF7EEB" w:rsidRPr="00413492" w:rsidRDefault="00BF7EEB" w:rsidP="00BF7EEB">
            <w:pPr>
              <w:jc w:val="left"/>
              <w:rPr>
                <w:lang w:eastAsia="en-AU"/>
              </w:rPr>
            </w:pPr>
          </w:p>
        </w:tc>
        <w:tc>
          <w:tcPr>
            <w:tcW w:w="599" w:type="pct"/>
            <w:tcBorders>
              <w:top w:val="single" w:sz="4" w:space="0" w:color="5B9BD5"/>
              <w:bottom w:val="single" w:sz="4" w:space="0" w:color="5B9BD5"/>
            </w:tcBorders>
            <w:noWrap/>
            <w:vAlign w:val="center"/>
          </w:tcPr>
          <w:p w14:paraId="11E57CA5" w14:textId="77777777" w:rsidR="00BF7EEB" w:rsidRPr="00F13600" w:rsidRDefault="00BF7EEB" w:rsidP="00BF7EEB">
            <w:pPr>
              <w:jc w:val="left"/>
              <w:cnfStyle w:val="000000000000" w:firstRow="0" w:lastRow="0" w:firstColumn="0" w:lastColumn="0" w:oddVBand="0" w:evenVBand="0" w:oddHBand="0" w:evenHBand="0" w:firstRowFirstColumn="0" w:firstRowLastColumn="0" w:lastRowFirstColumn="0" w:lastRowLastColumn="0"/>
              <w:rPr>
                <w:i/>
                <w:lang w:eastAsia="en-AU"/>
              </w:rPr>
            </w:pPr>
            <w:r w:rsidRPr="00F13600">
              <w:rPr>
                <w:i/>
                <w:lang w:eastAsia="en-AU"/>
              </w:rPr>
              <w:t>%</w:t>
            </w:r>
          </w:p>
        </w:tc>
        <w:tc>
          <w:tcPr>
            <w:tcW w:w="902" w:type="pct"/>
            <w:tcBorders>
              <w:top w:val="single" w:sz="4" w:space="0" w:color="5B9BD5"/>
              <w:bottom w:val="single" w:sz="4" w:space="0" w:color="5B9BD5"/>
            </w:tcBorders>
            <w:noWrap/>
            <w:vAlign w:val="center"/>
          </w:tcPr>
          <w:p w14:paraId="2BEB8435" w14:textId="77777777" w:rsidR="00BF7EEB" w:rsidRPr="00F13600" w:rsidRDefault="00BF7EEB" w:rsidP="00BF7EEB">
            <w:pPr>
              <w:jc w:val="right"/>
              <w:cnfStyle w:val="000000000000" w:firstRow="0" w:lastRow="0" w:firstColumn="0" w:lastColumn="0" w:oddVBand="0" w:evenVBand="0" w:oddHBand="0" w:evenHBand="0" w:firstRowFirstColumn="0" w:firstRowLastColumn="0" w:lastRowFirstColumn="0" w:lastRowLastColumn="0"/>
              <w:rPr>
                <w:i/>
                <w:lang w:eastAsia="en-AU"/>
              </w:rPr>
            </w:pPr>
            <w:r w:rsidRPr="00F13600">
              <w:rPr>
                <w:i/>
                <w:lang w:eastAsia="en-AU"/>
              </w:rPr>
              <w:t>46.5</w:t>
            </w:r>
          </w:p>
        </w:tc>
        <w:tc>
          <w:tcPr>
            <w:tcW w:w="897" w:type="pct"/>
            <w:tcBorders>
              <w:top w:val="single" w:sz="4" w:space="0" w:color="5B9BD5"/>
              <w:bottom w:val="single" w:sz="4" w:space="0" w:color="5B9BD5"/>
            </w:tcBorders>
            <w:noWrap/>
            <w:vAlign w:val="center"/>
          </w:tcPr>
          <w:p w14:paraId="053BBCED" w14:textId="77777777" w:rsidR="00BF7EEB" w:rsidRPr="00F13600" w:rsidRDefault="00BF7EEB" w:rsidP="00BF7EEB">
            <w:pPr>
              <w:jc w:val="right"/>
              <w:cnfStyle w:val="000000000000" w:firstRow="0" w:lastRow="0" w:firstColumn="0" w:lastColumn="0" w:oddVBand="0" w:evenVBand="0" w:oddHBand="0" w:evenHBand="0" w:firstRowFirstColumn="0" w:firstRowLastColumn="0" w:lastRowFirstColumn="0" w:lastRowLastColumn="0"/>
              <w:rPr>
                <w:i/>
                <w:lang w:eastAsia="en-AU"/>
              </w:rPr>
            </w:pPr>
            <w:r w:rsidRPr="00F13600">
              <w:rPr>
                <w:i/>
                <w:lang w:eastAsia="en-AU"/>
              </w:rPr>
              <w:t>46.5</w:t>
            </w:r>
          </w:p>
        </w:tc>
        <w:tc>
          <w:tcPr>
            <w:tcW w:w="997" w:type="pct"/>
            <w:tcBorders>
              <w:top w:val="single" w:sz="4" w:space="0" w:color="5B9BD5"/>
              <w:bottom w:val="single" w:sz="4" w:space="0" w:color="5B9BD5"/>
            </w:tcBorders>
            <w:vAlign w:val="center"/>
          </w:tcPr>
          <w:p w14:paraId="5FCB7124" w14:textId="77777777" w:rsidR="00BF7EEB" w:rsidRPr="00F13600" w:rsidRDefault="00BF7EEB" w:rsidP="00BF7EEB">
            <w:pPr>
              <w:jc w:val="right"/>
              <w:cnfStyle w:val="000000000000" w:firstRow="0" w:lastRow="0" w:firstColumn="0" w:lastColumn="0" w:oddVBand="0" w:evenVBand="0" w:oddHBand="0" w:evenHBand="0" w:firstRowFirstColumn="0" w:firstRowLastColumn="0" w:lastRowFirstColumn="0" w:lastRowLastColumn="0"/>
              <w:rPr>
                <w:i/>
                <w:lang w:eastAsia="en-AU"/>
              </w:rPr>
            </w:pPr>
            <w:r w:rsidRPr="00F13600">
              <w:rPr>
                <w:i/>
                <w:lang w:eastAsia="en-AU"/>
              </w:rPr>
              <w:t>44.0</w:t>
            </w:r>
          </w:p>
        </w:tc>
      </w:tr>
      <w:tr w:rsidR="00BF7EEB" w:rsidRPr="00413492" w14:paraId="36AC2A62" w14:textId="77777777" w:rsidTr="00A4064D">
        <w:trPr>
          <w:gridAfter w:val="1"/>
          <w:cnfStyle w:val="000000100000" w:firstRow="0" w:lastRow="0" w:firstColumn="0" w:lastColumn="0" w:oddVBand="0" w:evenVBand="0" w:oddHBand="1" w:evenHBand="0" w:firstRowFirstColumn="0" w:firstRowLastColumn="0" w:lastRowFirstColumn="0" w:lastRowLastColumn="0"/>
          <w:wAfter w:w="14" w:type="pct"/>
          <w:trHeight w:val="300"/>
        </w:trPr>
        <w:tc>
          <w:tcPr>
            <w:cnfStyle w:val="001000000000" w:firstRow="0" w:lastRow="0" w:firstColumn="1" w:lastColumn="0" w:oddVBand="0" w:evenVBand="0" w:oddHBand="0" w:evenHBand="0" w:firstRowFirstColumn="0" w:firstRowLastColumn="0" w:lastRowFirstColumn="0" w:lastRowLastColumn="0"/>
            <w:tcW w:w="1591" w:type="pct"/>
            <w:vMerge/>
            <w:vAlign w:val="center"/>
          </w:tcPr>
          <w:p w14:paraId="5EC5A130" w14:textId="77777777" w:rsidR="00BF7EEB" w:rsidRPr="00413492" w:rsidRDefault="00BF7EEB" w:rsidP="00BF7EEB">
            <w:pPr>
              <w:jc w:val="left"/>
              <w:rPr>
                <w:b w:val="0"/>
                <w:bCs w:val="0"/>
                <w:lang w:eastAsia="en-AU"/>
              </w:rPr>
            </w:pPr>
          </w:p>
        </w:tc>
        <w:tc>
          <w:tcPr>
            <w:tcW w:w="599" w:type="pct"/>
            <w:noWrap/>
            <w:vAlign w:val="center"/>
          </w:tcPr>
          <w:p w14:paraId="5EC59397" w14:textId="77777777" w:rsidR="00BF7EEB" w:rsidRPr="00413492" w:rsidRDefault="00BF7EEB" w:rsidP="00BF7EEB">
            <w:pPr>
              <w:jc w:val="left"/>
              <w:cnfStyle w:val="000000100000" w:firstRow="0" w:lastRow="0" w:firstColumn="0" w:lastColumn="0" w:oddVBand="0" w:evenVBand="0" w:oddHBand="1" w:evenHBand="0" w:firstRowFirstColumn="0" w:firstRowLastColumn="0" w:lastRowFirstColumn="0" w:lastRowLastColumn="0"/>
              <w:rPr>
                <w:lang w:eastAsia="en-AU"/>
              </w:rPr>
            </w:pPr>
            <w:r>
              <w:rPr>
                <w:lang w:eastAsia="en-AU"/>
              </w:rPr>
              <w:t>Rate</w:t>
            </w:r>
          </w:p>
        </w:tc>
        <w:tc>
          <w:tcPr>
            <w:tcW w:w="902" w:type="pct"/>
            <w:noWrap/>
          </w:tcPr>
          <w:p w14:paraId="5CBBE9EF" w14:textId="77777777" w:rsidR="00BF7EEB" w:rsidRPr="00046C47" w:rsidRDefault="00BF7EEB" w:rsidP="00BF7EEB">
            <w:pPr>
              <w:jc w:val="right"/>
              <w:cnfStyle w:val="000000100000" w:firstRow="0" w:lastRow="0" w:firstColumn="0" w:lastColumn="0" w:oddVBand="0" w:evenVBand="0" w:oddHBand="1" w:evenHBand="0" w:firstRowFirstColumn="0" w:firstRowLastColumn="0" w:lastRowFirstColumn="0" w:lastRowLastColumn="0"/>
            </w:pPr>
            <w:r>
              <w:t>5</w:t>
            </w:r>
            <w:r w:rsidR="00301525">
              <w:t>,</w:t>
            </w:r>
            <w:r>
              <w:t>562.6</w:t>
            </w:r>
          </w:p>
        </w:tc>
        <w:tc>
          <w:tcPr>
            <w:tcW w:w="897" w:type="pct"/>
            <w:noWrap/>
          </w:tcPr>
          <w:p w14:paraId="300A6D1D" w14:textId="77777777" w:rsidR="00BF7EEB" w:rsidRPr="00046C47" w:rsidRDefault="00BF7EEB" w:rsidP="00BF7EEB">
            <w:pPr>
              <w:jc w:val="right"/>
              <w:cnfStyle w:val="000000100000" w:firstRow="0" w:lastRow="0" w:firstColumn="0" w:lastColumn="0" w:oddVBand="0" w:evenVBand="0" w:oddHBand="1" w:evenHBand="0" w:firstRowFirstColumn="0" w:firstRowLastColumn="0" w:lastRowFirstColumn="0" w:lastRowLastColumn="0"/>
            </w:pPr>
            <w:r>
              <w:t>4</w:t>
            </w:r>
            <w:r w:rsidR="00301525">
              <w:t>,</w:t>
            </w:r>
            <w:r>
              <w:t>595.0</w:t>
            </w:r>
          </w:p>
        </w:tc>
        <w:tc>
          <w:tcPr>
            <w:tcW w:w="997" w:type="pct"/>
          </w:tcPr>
          <w:p w14:paraId="1B08AB9B" w14:textId="77777777" w:rsidR="00BF7EEB" w:rsidRPr="00046C47" w:rsidRDefault="00BF7EEB" w:rsidP="00BF7EEB">
            <w:pPr>
              <w:jc w:val="right"/>
              <w:cnfStyle w:val="000000100000" w:firstRow="0" w:lastRow="0" w:firstColumn="0" w:lastColumn="0" w:oddVBand="0" w:evenVBand="0" w:oddHBand="1" w:evenHBand="0" w:firstRowFirstColumn="0" w:firstRowLastColumn="0" w:lastRowFirstColumn="0" w:lastRowLastColumn="0"/>
            </w:pPr>
            <w:r>
              <w:t>4</w:t>
            </w:r>
            <w:r w:rsidR="00301525">
              <w:t>,</w:t>
            </w:r>
            <w:r>
              <w:t>549.9</w:t>
            </w:r>
          </w:p>
        </w:tc>
      </w:tr>
      <w:tr w:rsidR="00BF7EEB" w:rsidRPr="00413492" w14:paraId="067514E4" w14:textId="77777777" w:rsidTr="00A4064D">
        <w:trPr>
          <w:gridAfter w:val="1"/>
          <w:wAfter w:w="14" w:type="pct"/>
          <w:trHeight w:val="300"/>
        </w:trPr>
        <w:tc>
          <w:tcPr>
            <w:cnfStyle w:val="001000000000" w:firstRow="0" w:lastRow="0" w:firstColumn="1" w:lastColumn="0" w:oddVBand="0" w:evenVBand="0" w:oddHBand="0" w:evenHBand="0" w:firstRowFirstColumn="0" w:firstRowLastColumn="0" w:lastRowFirstColumn="0" w:lastRowLastColumn="0"/>
            <w:tcW w:w="1591" w:type="pct"/>
            <w:vMerge w:val="restart"/>
            <w:tcBorders>
              <w:top w:val="single" w:sz="4" w:space="0" w:color="5B9BD5"/>
              <w:bottom w:val="single" w:sz="4" w:space="0" w:color="5B9BD5"/>
            </w:tcBorders>
            <w:vAlign w:val="center"/>
          </w:tcPr>
          <w:p w14:paraId="05E2B99D" w14:textId="77777777" w:rsidR="00BF7EEB" w:rsidRPr="001179F7" w:rsidRDefault="00BF7EEB" w:rsidP="00BF7EEB">
            <w:pPr>
              <w:jc w:val="left"/>
              <w:rPr>
                <w:lang w:eastAsia="en-AU"/>
              </w:rPr>
            </w:pPr>
            <w:r w:rsidRPr="001179F7">
              <w:rPr>
                <w:lang w:eastAsia="en-AU"/>
              </w:rPr>
              <w:t>Total</w:t>
            </w:r>
          </w:p>
        </w:tc>
        <w:tc>
          <w:tcPr>
            <w:tcW w:w="599" w:type="pct"/>
            <w:tcBorders>
              <w:top w:val="single" w:sz="4" w:space="0" w:color="5B9BD5"/>
              <w:bottom w:val="single" w:sz="4" w:space="0" w:color="5B9BD5"/>
            </w:tcBorders>
            <w:noWrap/>
            <w:vAlign w:val="center"/>
          </w:tcPr>
          <w:p w14:paraId="65F75E80" w14:textId="77777777" w:rsidR="00BF7EEB" w:rsidRPr="001179F7" w:rsidRDefault="00BF7EEB" w:rsidP="00BF7EEB">
            <w:pPr>
              <w:jc w:val="left"/>
              <w:cnfStyle w:val="000000000000" w:firstRow="0" w:lastRow="0" w:firstColumn="0" w:lastColumn="0" w:oddVBand="0" w:evenVBand="0" w:oddHBand="0" w:evenHBand="0" w:firstRowFirstColumn="0" w:firstRowLastColumn="0" w:lastRowFirstColumn="0" w:lastRowLastColumn="0"/>
              <w:rPr>
                <w:b/>
                <w:lang w:eastAsia="en-AU"/>
              </w:rPr>
            </w:pPr>
            <w:r w:rsidRPr="001179F7">
              <w:rPr>
                <w:b/>
                <w:lang w:eastAsia="en-AU"/>
              </w:rPr>
              <w:t>Cases</w:t>
            </w:r>
          </w:p>
        </w:tc>
        <w:tc>
          <w:tcPr>
            <w:tcW w:w="902" w:type="pct"/>
            <w:tcBorders>
              <w:top w:val="single" w:sz="4" w:space="0" w:color="5B9BD5"/>
              <w:bottom w:val="single" w:sz="4" w:space="0" w:color="5B9BD5"/>
            </w:tcBorders>
            <w:noWrap/>
            <w:vAlign w:val="center"/>
          </w:tcPr>
          <w:p w14:paraId="5DF1439E" w14:textId="77777777" w:rsidR="00BF7EEB" w:rsidRPr="001179F7" w:rsidRDefault="00BF7EEB" w:rsidP="00BF7EEB">
            <w:pPr>
              <w:jc w:val="right"/>
              <w:cnfStyle w:val="000000000000" w:firstRow="0" w:lastRow="0" w:firstColumn="0" w:lastColumn="0" w:oddVBand="0" w:evenVBand="0" w:oddHBand="0" w:evenHBand="0" w:firstRowFirstColumn="0" w:firstRowLastColumn="0" w:lastRowFirstColumn="0" w:lastRowLastColumn="0"/>
              <w:rPr>
                <w:b/>
                <w:lang w:eastAsia="en-AU"/>
              </w:rPr>
            </w:pPr>
            <w:r w:rsidRPr="001179F7">
              <w:rPr>
                <w:b/>
                <w:lang w:eastAsia="en-AU"/>
              </w:rPr>
              <w:t>7,264</w:t>
            </w:r>
          </w:p>
        </w:tc>
        <w:tc>
          <w:tcPr>
            <w:tcW w:w="897" w:type="pct"/>
            <w:tcBorders>
              <w:top w:val="single" w:sz="4" w:space="0" w:color="5B9BD5"/>
              <w:bottom w:val="single" w:sz="4" w:space="0" w:color="5B9BD5"/>
            </w:tcBorders>
            <w:noWrap/>
            <w:vAlign w:val="center"/>
          </w:tcPr>
          <w:p w14:paraId="0BBBEC8D" w14:textId="77777777" w:rsidR="00BF7EEB" w:rsidRPr="001179F7" w:rsidRDefault="00BF7EEB" w:rsidP="00BF7EEB">
            <w:pPr>
              <w:jc w:val="right"/>
              <w:cnfStyle w:val="000000000000" w:firstRow="0" w:lastRow="0" w:firstColumn="0" w:lastColumn="0" w:oddVBand="0" w:evenVBand="0" w:oddHBand="0" w:evenHBand="0" w:firstRowFirstColumn="0" w:firstRowLastColumn="0" w:lastRowFirstColumn="0" w:lastRowLastColumn="0"/>
              <w:rPr>
                <w:b/>
                <w:lang w:eastAsia="en-AU"/>
              </w:rPr>
            </w:pPr>
            <w:r w:rsidRPr="001179F7">
              <w:rPr>
                <w:b/>
                <w:lang w:eastAsia="en-AU"/>
              </w:rPr>
              <w:t>5,950</w:t>
            </w:r>
          </w:p>
        </w:tc>
        <w:tc>
          <w:tcPr>
            <w:tcW w:w="997" w:type="pct"/>
            <w:tcBorders>
              <w:top w:val="single" w:sz="4" w:space="0" w:color="5B9BD5"/>
              <w:bottom w:val="single" w:sz="4" w:space="0" w:color="5B9BD5"/>
            </w:tcBorders>
            <w:vAlign w:val="center"/>
          </w:tcPr>
          <w:p w14:paraId="436EA322" w14:textId="77777777" w:rsidR="00BF7EEB" w:rsidRPr="001179F7" w:rsidRDefault="00BF7EEB" w:rsidP="00BF7EEB">
            <w:pPr>
              <w:jc w:val="right"/>
              <w:cnfStyle w:val="000000000000" w:firstRow="0" w:lastRow="0" w:firstColumn="0" w:lastColumn="0" w:oddVBand="0" w:evenVBand="0" w:oddHBand="0" w:evenHBand="0" w:firstRowFirstColumn="0" w:firstRowLastColumn="0" w:lastRowFirstColumn="0" w:lastRowLastColumn="0"/>
              <w:rPr>
                <w:b/>
                <w:lang w:eastAsia="en-AU"/>
              </w:rPr>
            </w:pPr>
            <w:r w:rsidRPr="001179F7">
              <w:rPr>
                <w:b/>
                <w:lang w:eastAsia="en-AU"/>
              </w:rPr>
              <w:t>518,090</w:t>
            </w:r>
          </w:p>
        </w:tc>
      </w:tr>
      <w:tr w:rsidR="00BF7EEB" w:rsidRPr="00413492" w14:paraId="2639742D" w14:textId="77777777" w:rsidTr="00A4064D">
        <w:trPr>
          <w:gridAfter w:val="1"/>
          <w:cnfStyle w:val="000000100000" w:firstRow="0" w:lastRow="0" w:firstColumn="0" w:lastColumn="0" w:oddVBand="0" w:evenVBand="0" w:oddHBand="1" w:evenHBand="0" w:firstRowFirstColumn="0" w:firstRowLastColumn="0" w:lastRowFirstColumn="0" w:lastRowLastColumn="0"/>
          <w:wAfter w:w="14" w:type="pct"/>
          <w:trHeight w:val="300"/>
        </w:trPr>
        <w:tc>
          <w:tcPr>
            <w:cnfStyle w:val="001000000000" w:firstRow="0" w:lastRow="0" w:firstColumn="1" w:lastColumn="0" w:oddVBand="0" w:evenVBand="0" w:oddHBand="0" w:evenHBand="0" w:firstRowFirstColumn="0" w:firstRowLastColumn="0" w:lastRowFirstColumn="0" w:lastRowLastColumn="0"/>
            <w:tcW w:w="1591" w:type="pct"/>
            <w:vMerge/>
            <w:vAlign w:val="center"/>
          </w:tcPr>
          <w:p w14:paraId="54AF1185" w14:textId="77777777" w:rsidR="00BF7EEB" w:rsidRPr="001179F7" w:rsidRDefault="00BF7EEB" w:rsidP="00BF7EEB">
            <w:pPr>
              <w:jc w:val="left"/>
              <w:rPr>
                <w:lang w:eastAsia="en-AU"/>
              </w:rPr>
            </w:pPr>
          </w:p>
        </w:tc>
        <w:tc>
          <w:tcPr>
            <w:tcW w:w="599" w:type="pct"/>
            <w:noWrap/>
            <w:vAlign w:val="center"/>
          </w:tcPr>
          <w:p w14:paraId="5B3FF8FA" w14:textId="77777777" w:rsidR="00BF7EEB" w:rsidRPr="00F13600" w:rsidRDefault="00BF7EEB" w:rsidP="00BF7EEB">
            <w:pPr>
              <w:jc w:val="left"/>
              <w:cnfStyle w:val="000000100000" w:firstRow="0" w:lastRow="0" w:firstColumn="0" w:lastColumn="0" w:oddVBand="0" w:evenVBand="0" w:oddHBand="1" w:evenHBand="0" w:firstRowFirstColumn="0" w:firstRowLastColumn="0" w:lastRowFirstColumn="0" w:lastRowLastColumn="0"/>
              <w:rPr>
                <w:b/>
                <w:i/>
                <w:lang w:eastAsia="en-AU"/>
              </w:rPr>
            </w:pPr>
            <w:r w:rsidRPr="00F13600">
              <w:rPr>
                <w:b/>
                <w:i/>
                <w:lang w:eastAsia="en-AU"/>
              </w:rPr>
              <w:t>%</w:t>
            </w:r>
          </w:p>
        </w:tc>
        <w:tc>
          <w:tcPr>
            <w:tcW w:w="902" w:type="pct"/>
            <w:noWrap/>
            <w:vAlign w:val="center"/>
          </w:tcPr>
          <w:p w14:paraId="403F6A9C" w14:textId="77777777" w:rsidR="00BF7EEB" w:rsidRPr="00F13600" w:rsidRDefault="00BF7EEB" w:rsidP="00BF7EEB">
            <w:pPr>
              <w:jc w:val="right"/>
              <w:cnfStyle w:val="000000100000" w:firstRow="0" w:lastRow="0" w:firstColumn="0" w:lastColumn="0" w:oddVBand="0" w:evenVBand="0" w:oddHBand="1" w:evenHBand="0" w:firstRowFirstColumn="0" w:firstRowLastColumn="0" w:lastRowFirstColumn="0" w:lastRowLastColumn="0"/>
              <w:rPr>
                <w:b/>
                <w:i/>
                <w:lang w:eastAsia="en-AU"/>
              </w:rPr>
            </w:pPr>
            <w:r w:rsidRPr="00F13600">
              <w:rPr>
                <w:b/>
                <w:i/>
                <w:lang w:eastAsia="en-AU"/>
              </w:rPr>
              <w:t>100.0</w:t>
            </w:r>
          </w:p>
        </w:tc>
        <w:tc>
          <w:tcPr>
            <w:tcW w:w="897" w:type="pct"/>
            <w:noWrap/>
            <w:vAlign w:val="center"/>
          </w:tcPr>
          <w:p w14:paraId="5BE9A9B4" w14:textId="77777777" w:rsidR="00BF7EEB" w:rsidRPr="00F13600" w:rsidRDefault="00BF7EEB" w:rsidP="00BF7EEB">
            <w:pPr>
              <w:jc w:val="right"/>
              <w:cnfStyle w:val="000000100000" w:firstRow="0" w:lastRow="0" w:firstColumn="0" w:lastColumn="0" w:oddVBand="0" w:evenVBand="0" w:oddHBand="1" w:evenHBand="0" w:firstRowFirstColumn="0" w:firstRowLastColumn="0" w:lastRowFirstColumn="0" w:lastRowLastColumn="0"/>
              <w:rPr>
                <w:b/>
                <w:i/>
                <w:lang w:eastAsia="en-AU"/>
              </w:rPr>
            </w:pPr>
            <w:r w:rsidRPr="00F13600">
              <w:rPr>
                <w:b/>
                <w:i/>
                <w:lang w:eastAsia="en-AU"/>
              </w:rPr>
              <w:t>100.0</w:t>
            </w:r>
          </w:p>
        </w:tc>
        <w:tc>
          <w:tcPr>
            <w:tcW w:w="997" w:type="pct"/>
            <w:vAlign w:val="center"/>
          </w:tcPr>
          <w:p w14:paraId="2E203FB9" w14:textId="77777777" w:rsidR="00BF7EEB" w:rsidRPr="00F13600" w:rsidRDefault="00BF7EEB" w:rsidP="00BF7EEB">
            <w:pPr>
              <w:jc w:val="right"/>
              <w:cnfStyle w:val="000000100000" w:firstRow="0" w:lastRow="0" w:firstColumn="0" w:lastColumn="0" w:oddVBand="0" w:evenVBand="0" w:oddHBand="1" w:evenHBand="0" w:firstRowFirstColumn="0" w:firstRowLastColumn="0" w:lastRowFirstColumn="0" w:lastRowLastColumn="0"/>
              <w:rPr>
                <w:b/>
                <w:i/>
                <w:lang w:eastAsia="en-AU"/>
              </w:rPr>
            </w:pPr>
            <w:r w:rsidRPr="00F13600">
              <w:rPr>
                <w:b/>
                <w:i/>
                <w:lang w:eastAsia="en-AU"/>
              </w:rPr>
              <w:t>100.0</w:t>
            </w:r>
          </w:p>
        </w:tc>
      </w:tr>
      <w:tr w:rsidR="00BF7EEB" w:rsidRPr="00413492" w14:paraId="768EA28E" w14:textId="77777777" w:rsidTr="00A4064D">
        <w:trPr>
          <w:gridAfter w:val="1"/>
          <w:wAfter w:w="14" w:type="pct"/>
          <w:trHeight w:val="300"/>
        </w:trPr>
        <w:tc>
          <w:tcPr>
            <w:cnfStyle w:val="001000000000" w:firstRow="0" w:lastRow="0" w:firstColumn="1" w:lastColumn="0" w:oddVBand="0" w:evenVBand="0" w:oddHBand="0" w:evenHBand="0" w:firstRowFirstColumn="0" w:firstRowLastColumn="0" w:lastRowFirstColumn="0" w:lastRowLastColumn="0"/>
            <w:tcW w:w="1591" w:type="pct"/>
            <w:vMerge/>
            <w:vAlign w:val="center"/>
          </w:tcPr>
          <w:p w14:paraId="052A9F45" w14:textId="77777777" w:rsidR="00BF7EEB" w:rsidRPr="001179F7" w:rsidRDefault="00BF7EEB" w:rsidP="00BF7EEB">
            <w:pPr>
              <w:jc w:val="left"/>
              <w:rPr>
                <w:bCs w:val="0"/>
                <w:lang w:eastAsia="en-AU"/>
              </w:rPr>
            </w:pPr>
          </w:p>
        </w:tc>
        <w:tc>
          <w:tcPr>
            <w:tcW w:w="599" w:type="pct"/>
            <w:noWrap/>
            <w:vAlign w:val="center"/>
          </w:tcPr>
          <w:p w14:paraId="4F2CC107" w14:textId="77777777" w:rsidR="00BF7EEB" w:rsidRPr="001179F7" w:rsidRDefault="00BF7EEB" w:rsidP="00BF7EEB">
            <w:pPr>
              <w:jc w:val="left"/>
              <w:cnfStyle w:val="000000000000" w:firstRow="0" w:lastRow="0" w:firstColumn="0" w:lastColumn="0" w:oddVBand="0" w:evenVBand="0" w:oddHBand="0" w:evenHBand="0" w:firstRowFirstColumn="0" w:firstRowLastColumn="0" w:lastRowFirstColumn="0" w:lastRowLastColumn="0"/>
              <w:rPr>
                <w:b/>
                <w:lang w:eastAsia="en-AU"/>
              </w:rPr>
            </w:pPr>
            <w:r w:rsidRPr="001179F7">
              <w:rPr>
                <w:b/>
                <w:lang w:eastAsia="en-AU"/>
              </w:rPr>
              <w:t>Rate</w:t>
            </w:r>
          </w:p>
        </w:tc>
        <w:tc>
          <w:tcPr>
            <w:tcW w:w="902" w:type="pct"/>
            <w:noWrap/>
          </w:tcPr>
          <w:p w14:paraId="02F614C5" w14:textId="77777777" w:rsidR="00BF7EEB" w:rsidRPr="001179F7" w:rsidRDefault="00BF7EEB" w:rsidP="00BF7EEB">
            <w:pPr>
              <w:jc w:val="right"/>
              <w:cnfStyle w:val="000000000000" w:firstRow="0" w:lastRow="0" w:firstColumn="0" w:lastColumn="0" w:oddVBand="0" w:evenVBand="0" w:oddHBand="0" w:evenHBand="0" w:firstRowFirstColumn="0" w:firstRowLastColumn="0" w:lastRowFirstColumn="0" w:lastRowLastColumn="0"/>
              <w:rPr>
                <w:b/>
              </w:rPr>
            </w:pPr>
            <w:r w:rsidRPr="001179F7">
              <w:rPr>
                <w:b/>
              </w:rPr>
              <w:t>11</w:t>
            </w:r>
            <w:r w:rsidR="00301525">
              <w:rPr>
                <w:b/>
              </w:rPr>
              <w:t>,</w:t>
            </w:r>
            <w:r w:rsidRPr="001179F7">
              <w:rPr>
                <w:b/>
              </w:rPr>
              <w:t>961.7</w:t>
            </w:r>
          </w:p>
        </w:tc>
        <w:tc>
          <w:tcPr>
            <w:tcW w:w="897" w:type="pct"/>
            <w:noWrap/>
          </w:tcPr>
          <w:p w14:paraId="35877A45" w14:textId="77777777" w:rsidR="00BF7EEB" w:rsidRPr="001179F7" w:rsidRDefault="00BF7EEB" w:rsidP="00BF7EEB">
            <w:pPr>
              <w:jc w:val="right"/>
              <w:cnfStyle w:val="000000000000" w:firstRow="0" w:lastRow="0" w:firstColumn="0" w:lastColumn="0" w:oddVBand="0" w:evenVBand="0" w:oddHBand="0" w:evenHBand="0" w:firstRowFirstColumn="0" w:firstRowLastColumn="0" w:lastRowFirstColumn="0" w:lastRowLastColumn="0"/>
              <w:rPr>
                <w:b/>
              </w:rPr>
            </w:pPr>
            <w:r w:rsidRPr="001179F7">
              <w:rPr>
                <w:b/>
              </w:rPr>
              <w:t>9</w:t>
            </w:r>
            <w:r w:rsidR="00301525">
              <w:rPr>
                <w:b/>
              </w:rPr>
              <w:t>,</w:t>
            </w:r>
            <w:r w:rsidRPr="001179F7">
              <w:rPr>
                <w:b/>
              </w:rPr>
              <w:t>880.8</w:t>
            </w:r>
          </w:p>
        </w:tc>
        <w:tc>
          <w:tcPr>
            <w:tcW w:w="997" w:type="pct"/>
          </w:tcPr>
          <w:p w14:paraId="296A8575" w14:textId="77777777" w:rsidR="00BF7EEB" w:rsidRPr="001179F7" w:rsidRDefault="00BF7EEB" w:rsidP="00BF7EEB">
            <w:pPr>
              <w:jc w:val="right"/>
              <w:cnfStyle w:val="000000000000" w:firstRow="0" w:lastRow="0" w:firstColumn="0" w:lastColumn="0" w:oddVBand="0" w:evenVBand="0" w:oddHBand="0" w:evenHBand="0" w:firstRowFirstColumn="0" w:firstRowLastColumn="0" w:lastRowFirstColumn="0" w:lastRowLastColumn="0"/>
              <w:rPr>
                <w:b/>
              </w:rPr>
            </w:pPr>
            <w:r w:rsidRPr="001179F7">
              <w:rPr>
                <w:b/>
              </w:rPr>
              <w:t>10,338.6</w:t>
            </w:r>
          </w:p>
        </w:tc>
      </w:tr>
    </w:tbl>
    <w:p w14:paraId="58FF259C" w14:textId="77777777" w:rsidR="00BF7EEB" w:rsidRDefault="00BF7EEB" w:rsidP="00BF7EEB">
      <w:pPr>
        <w:spacing w:after="0" w:line="240" w:lineRule="auto"/>
        <w:rPr>
          <w:i/>
          <w:sz w:val="18"/>
          <w:szCs w:val="18"/>
          <w:lang w:val="en"/>
        </w:rPr>
      </w:pPr>
      <w:r w:rsidRPr="006B1860">
        <w:rPr>
          <w:i/>
          <w:sz w:val="18"/>
          <w:szCs w:val="18"/>
        </w:rPr>
        <w:t xml:space="preserve">Source: </w:t>
      </w:r>
      <w:r w:rsidRPr="006B1860">
        <w:rPr>
          <w:i/>
          <w:sz w:val="18"/>
          <w:szCs w:val="18"/>
          <w:lang w:val="en"/>
        </w:rPr>
        <w:t>QPS offence statistics</w:t>
      </w:r>
      <w:r>
        <w:rPr>
          <w:i/>
          <w:sz w:val="18"/>
          <w:szCs w:val="18"/>
          <w:lang w:val="en"/>
        </w:rPr>
        <w:t xml:space="preserve"> </w:t>
      </w:r>
      <w:r w:rsidRPr="00764B2B">
        <w:rPr>
          <w:i/>
          <w:sz w:val="18"/>
          <w:szCs w:val="18"/>
          <w:lang w:val="en"/>
        </w:rPr>
        <w:t xml:space="preserve">reported offences </w:t>
      </w:r>
      <w:r>
        <w:rPr>
          <w:i/>
          <w:sz w:val="18"/>
          <w:szCs w:val="18"/>
          <w:lang w:val="en"/>
        </w:rPr>
        <w:t>number and offences rates</w:t>
      </w:r>
      <w:r w:rsidRPr="006B1860">
        <w:rPr>
          <w:i/>
          <w:sz w:val="18"/>
          <w:szCs w:val="18"/>
          <w:lang w:val="en"/>
        </w:rPr>
        <w:t>.</w:t>
      </w:r>
      <w:r>
        <w:rPr>
          <w:i/>
          <w:sz w:val="18"/>
          <w:szCs w:val="18"/>
          <w:lang w:val="en"/>
        </w:rPr>
        <w:t xml:space="preserve"> </w:t>
      </w:r>
    </w:p>
    <w:p w14:paraId="4F52AD9C" w14:textId="77777777" w:rsidR="00BF7EEB" w:rsidRPr="004853FE" w:rsidRDefault="00BF7EEB" w:rsidP="00BF7EEB">
      <w:pPr>
        <w:spacing w:after="0" w:line="240" w:lineRule="auto"/>
        <w:rPr>
          <w:i/>
          <w:sz w:val="18"/>
          <w:szCs w:val="18"/>
        </w:rPr>
      </w:pPr>
      <w:r w:rsidRPr="004853FE">
        <w:rPr>
          <w:i/>
          <w:sz w:val="18"/>
          <w:szCs w:val="18"/>
          <w:lang w:val="en"/>
        </w:rPr>
        <w:t xml:space="preserve">Notes: Bundaberg and Hervey Bay are identified by using the QPS Statistics geographical classification at the division level. </w:t>
      </w:r>
      <w:r w:rsidRPr="004853FE">
        <w:rPr>
          <w:i/>
          <w:sz w:val="18"/>
          <w:szCs w:val="18"/>
        </w:rPr>
        <w:t>Due to rounding, the total percentage may not be exactly the same as the sum of all rows.</w:t>
      </w:r>
    </w:p>
    <w:p w14:paraId="31DB0EA4" w14:textId="77777777" w:rsidR="00764B2B" w:rsidRPr="006B1860" w:rsidRDefault="00764B2B" w:rsidP="00764B2B">
      <w:pPr>
        <w:rPr>
          <w:i/>
          <w:sz w:val="18"/>
          <w:szCs w:val="18"/>
        </w:rPr>
      </w:pPr>
      <w:r w:rsidRPr="00764B2B">
        <w:rPr>
          <w:i/>
          <w:sz w:val="18"/>
          <w:szCs w:val="18"/>
        </w:rPr>
        <w:t xml:space="preserve">The offence division of </w:t>
      </w:r>
      <w:r w:rsidR="00E5081A">
        <w:rPr>
          <w:i/>
          <w:sz w:val="18"/>
          <w:szCs w:val="18"/>
        </w:rPr>
        <w:t>‘</w:t>
      </w:r>
      <w:r w:rsidRPr="00764B2B">
        <w:rPr>
          <w:i/>
          <w:sz w:val="18"/>
          <w:szCs w:val="18"/>
        </w:rPr>
        <w:t>other offences</w:t>
      </w:r>
      <w:r w:rsidR="00E5081A">
        <w:rPr>
          <w:i/>
          <w:sz w:val="18"/>
          <w:szCs w:val="18"/>
        </w:rPr>
        <w:t>’</w:t>
      </w:r>
      <w:r w:rsidRPr="00764B2B">
        <w:rPr>
          <w:i/>
          <w:sz w:val="18"/>
          <w:szCs w:val="18"/>
        </w:rPr>
        <w:t xml:space="preserve"> includes the</w:t>
      </w:r>
      <w:r>
        <w:rPr>
          <w:i/>
          <w:sz w:val="18"/>
          <w:szCs w:val="18"/>
        </w:rPr>
        <w:t xml:space="preserve"> </w:t>
      </w:r>
      <w:r w:rsidRPr="00764B2B">
        <w:rPr>
          <w:i/>
          <w:sz w:val="18"/>
          <w:szCs w:val="18"/>
        </w:rPr>
        <w:t>following offence sub-divisions: drug offences;</w:t>
      </w:r>
      <w:r>
        <w:rPr>
          <w:i/>
          <w:sz w:val="18"/>
          <w:szCs w:val="18"/>
        </w:rPr>
        <w:t xml:space="preserve"> </w:t>
      </w:r>
      <w:r w:rsidRPr="00764B2B">
        <w:rPr>
          <w:i/>
          <w:sz w:val="18"/>
          <w:szCs w:val="18"/>
        </w:rPr>
        <w:t>prostitution offences; liquor (excluding drunkenness);</w:t>
      </w:r>
      <w:r>
        <w:rPr>
          <w:i/>
          <w:sz w:val="18"/>
          <w:szCs w:val="18"/>
        </w:rPr>
        <w:t xml:space="preserve"> </w:t>
      </w:r>
      <w:r w:rsidRPr="00764B2B">
        <w:rPr>
          <w:i/>
          <w:sz w:val="18"/>
          <w:szCs w:val="18"/>
        </w:rPr>
        <w:t>gaming, racing and betting offences; breach of</w:t>
      </w:r>
      <w:r w:rsidR="00CC2E3B">
        <w:rPr>
          <w:i/>
          <w:sz w:val="18"/>
          <w:szCs w:val="18"/>
        </w:rPr>
        <w:t xml:space="preserve"> </w:t>
      </w:r>
      <w:r w:rsidRPr="00764B2B">
        <w:rPr>
          <w:i/>
          <w:sz w:val="18"/>
          <w:szCs w:val="18"/>
        </w:rPr>
        <w:t>domestic violence protection orders; trespassing and</w:t>
      </w:r>
      <w:r>
        <w:rPr>
          <w:i/>
          <w:sz w:val="18"/>
          <w:szCs w:val="18"/>
        </w:rPr>
        <w:t xml:space="preserve"> </w:t>
      </w:r>
      <w:r w:rsidRPr="00764B2B">
        <w:rPr>
          <w:i/>
          <w:sz w:val="18"/>
          <w:szCs w:val="18"/>
        </w:rPr>
        <w:t>vagrancy; weapons act offences; good order offences;</w:t>
      </w:r>
      <w:r>
        <w:rPr>
          <w:i/>
          <w:sz w:val="18"/>
          <w:szCs w:val="18"/>
        </w:rPr>
        <w:t xml:space="preserve"> </w:t>
      </w:r>
      <w:r w:rsidRPr="00764B2B">
        <w:rPr>
          <w:i/>
          <w:sz w:val="18"/>
          <w:szCs w:val="18"/>
        </w:rPr>
        <w:t>stock related offences; traffic and related offences; and</w:t>
      </w:r>
      <w:r>
        <w:rPr>
          <w:i/>
          <w:sz w:val="18"/>
          <w:szCs w:val="18"/>
        </w:rPr>
        <w:t xml:space="preserve"> </w:t>
      </w:r>
      <w:r w:rsidRPr="00764B2B">
        <w:rPr>
          <w:i/>
          <w:sz w:val="18"/>
          <w:szCs w:val="18"/>
        </w:rPr>
        <w:t>miscellaneous offences.</w:t>
      </w:r>
      <w:r>
        <w:rPr>
          <w:i/>
          <w:sz w:val="18"/>
          <w:szCs w:val="18"/>
        </w:rPr>
        <w:t xml:space="preserve"> The statistics for each sub-division </w:t>
      </w:r>
      <w:r w:rsidR="00E5081A">
        <w:rPr>
          <w:i/>
          <w:sz w:val="18"/>
          <w:szCs w:val="18"/>
        </w:rPr>
        <w:t>are</w:t>
      </w:r>
      <w:r>
        <w:rPr>
          <w:i/>
          <w:sz w:val="18"/>
          <w:szCs w:val="18"/>
        </w:rPr>
        <w:t xml:space="preserve"> shown in T</w:t>
      </w:r>
      <w:r w:rsidR="001360F9">
        <w:rPr>
          <w:i/>
          <w:sz w:val="18"/>
          <w:szCs w:val="18"/>
        </w:rPr>
        <w:t>able</w:t>
      </w:r>
      <w:r w:rsidR="00137BE4">
        <w:rPr>
          <w:i/>
          <w:sz w:val="18"/>
          <w:szCs w:val="18"/>
        </w:rPr>
        <w:t>s</w:t>
      </w:r>
      <w:r>
        <w:rPr>
          <w:i/>
          <w:sz w:val="18"/>
          <w:szCs w:val="18"/>
        </w:rPr>
        <w:t xml:space="preserve"> 5-</w:t>
      </w:r>
      <w:r w:rsidR="00137BE4">
        <w:rPr>
          <w:i/>
          <w:sz w:val="18"/>
          <w:szCs w:val="18"/>
        </w:rPr>
        <w:t>5 and 5-8</w:t>
      </w:r>
      <w:r>
        <w:rPr>
          <w:i/>
          <w:sz w:val="18"/>
          <w:szCs w:val="18"/>
        </w:rPr>
        <w:t xml:space="preserve"> of the Appendix. </w:t>
      </w:r>
    </w:p>
    <w:p w14:paraId="3BCD82AB" w14:textId="77777777" w:rsidR="00C80399" w:rsidRDefault="001F36A0" w:rsidP="004D583D">
      <w:pPr>
        <w:spacing w:after="120"/>
      </w:pPr>
      <w:r w:rsidRPr="001F36A0">
        <w:t>The</w:t>
      </w:r>
      <w:r>
        <w:t xml:space="preserve"> </w:t>
      </w:r>
      <w:r w:rsidR="0016641F">
        <w:t>distribution</w:t>
      </w:r>
      <w:r>
        <w:t xml:space="preserve"> </w:t>
      </w:r>
      <w:r w:rsidR="00346ACC">
        <w:t xml:space="preserve">of offences </w:t>
      </w:r>
      <w:r w:rsidR="0016641F">
        <w:t>across</w:t>
      </w:r>
      <w:r>
        <w:t xml:space="preserve"> </w:t>
      </w:r>
      <w:r w:rsidR="00C80399">
        <w:t>the three primary categories</w:t>
      </w:r>
      <w:r>
        <w:t xml:space="preserve"> does not differ </w:t>
      </w:r>
      <w:r w:rsidR="00C80399">
        <w:t>considerably</w:t>
      </w:r>
      <w:r>
        <w:t xml:space="preserve"> between Bundaberg, He</w:t>
      </w:r>
      <w:r w:rsidR="006B1860">
        <w:t>r</w:t>
      </w:r>
      <w:r>
        <w:t>v</w:t>
      </w:r>
      <w:r w:rsidR="006B1860">
        <w:t>e</w:t>
      </w:r>
      <w:r>
        <w:t xml:space="preserve">y Bay and </w:t>
      </w:r>
      <w:r w:rsidR="00C83274">
        <w:t xml:space="preserve">the state of </w:t>
      </w:r>
      <w:r>
        <w:t>Queensland</w:t>
      </w:r>
      <w:r w:rsidR="00C83274">
        <w:t xml:space="preserve"> as a whole</w:t>
      </w:r>
      <w:r>
        <w:t xml:space="preserve">. In all these three </w:t>
      </w:r>
      <w:r w:rsidR="00DE0CD6">
        <w:t>case</w:t>
      </w:r>
      <w:r>
        <w:t xml:space="preserve">s, </w:t>
      </w:r>
      <w:r w:rsidR="00F921BE">
        <w:t>‘</w:t>
      </w:r>
      <w:r>
        <w:t>offences a</w:t>
      </w:r>
      <w:r w:rsidR="0016641F">
        <w:t>gainst the person</w:t>
      </w:r>
      <w:r w:rsidR="00F921BE">
        <w:t>’</w:t>
      </w:r>
      <w:r w:rsidR="0016641F">
        <w:t xml:space="preserve"> account</w:t>
      </w:r>
      <w:r>
        <w:t xml:space="preserve"> for about 7 per</w:t>
      </w:r>
      <w:r w:rsidR="00880F57">
        <w:t xml:space="preserve"> </w:t>
      </w:r>
      <w:r>
        <w:t>cent of all offences.</w:t>
      </w:r>
      <w:r w:rsidR="00C80399">
        <w:t xml:space="preserve"> </w:t>
      </w:r>
      <w:r w:rsidR="0016641F">
        <w:t>Each of the other two categories</w:t>
      </w:r>
      <w:r w:rsidR="00C80399">
        <w:t xml:space="preserve"> comp</w:t>
      </w:r>
      <w:r w:rsidR="00010E6C">
        <w:t>rises</w:t>
      </w:r>
      <w:r w:rsidR="00C80399">
        <w:t xml:space="preserve"> about 45-50 per</w:t>
      </w:r>
      <w:r w:rsidR="00880F57">
        <w:t xml:space="preserve"> </w:t>
      </w:r>
      <w:r w:rsidR="00C80399">
        <w:t>cent</w:t>
      </w:r>
      <w:r w:rsidR="00346ACC">
        <w:t xml:space="preserve"> of all offences</w:t>
      </w:r>
      <w:r w:rsidR="00C80399">
        <w:t>.</w:t>
      </w:r>
      <w:r>
        <w:t xml:space="preserve"> Bundaberg and</w:t>
      </w:r>
      <w:r w:rsidRPr="001F36A0">
        <w:t xml:space="preserve"> </w:t>
      </w:r>
      <w:r w:rsidR="00EC346A" w:rsidRPr="001F36A0">
        <w:t>He</w:t>
      </w:r>
      <w:r w:rsidR="00EC346A">
        <w:t>r</w:t>
      </w:r>
      <w:r w:rsidR="00EC346A" w:rsidRPr="001F36A0">
        <w:t>v</w:t>
      </w:r>
      <w:r w:rsidR="00EC346A">
        <w:t>e</w:t>
      </w:r>
      <w:r w:rsidR="00EC346A" w:rsidRPr="001F36A0">
        <w:t xml:space="preserve">y </w:t>
      </w:r>
      <w:r w:rsidRPr="001F36A0">
        <w:t>Bay</w:t>
      </w:r>
      <w:r w:rsidR="0016641F">
        <w:t xml:space="preserve"> have a slightly</w:t>
      </w:r>
      <w:r w:rsidR="001A77B2">
        <w:t xml:space="preserve"> lower</w:t>
      </w:r>
      <w:r>
        <w:t xml:space="preserve"> proportion of offences against </w:t>
      </w:r>
      <w:r w:rsidR="0016641F">
        <w:t>property</w:t>
      </w:r>
      <w:r>
        <w:t xml:space="preserve"> and a higher proportion of other </w:t>
      </w:r>
      <w:r w:rsidR="001A77B2">
        <w:t>offences, relative to</w:t>
      </w:r>
      <w:r w:rsidR="002E32B8" w:rsidRPr="002E32B8">
        <w:t xml:space="preserve"> the state of Que</w:t>
      </w:r>
      <w:r w:rsidR="002E32B8">
        <w:t>ensland as a whole</w:t>
      </w:r>
      <w:r>
        <w:t>.</w:t>
      </w:r>
      <w:r w:rsidR="004D583D">
        <w:t xml:space="preserve"> </w:t>
      </w:r>
    </w:p>
    <w:p w14:paraId="561AB2D6" w14:textId="77777777" w:rsidR="00BF7EEB" w:rsidRDefault="00BF7EEB" w:rsidP="00BF7EEB">
      <w:pPr>
        <w:spacing w:after="120"/>
      </w:pPr>
      <w:r>
        <w:t>The overall offence</w:t>
      </w:r>
      <w:r w:rsidRPr="00046C47">
        <w:t xml:space="preserve"> rate in Bundaberg is higher than </w:t>
      </w:r>
      <w:r w:rsidR="002E32B8">
        <w:t xml:space="preserve">that </w:t>
      </w:r>
      <w:r w:rsidR="002E32B8" w:rsidRPr="002E32B8">
        <w:t>in the state of Que</w:t>
      </w:r>
      <w:r w:rsidR="002E32B8">
        <w:t>ensland as a whole</w:t>
      </w:r>
      <w:r w:rsidR="00E5081A">
        <w:t>,</w:t>
      </w:r>
      <w:r w:rsidR="002E32B8">
        <w:t xml:space="preserve"> </w:t>
      </w:r>
      <w:r w:rsidRPr="00046C47">
        <w:t>while Hervey Bay h</w:t>
      </w:r>
      <w:r>
        <w:t>as a lower offence</w:t>
      </w:r>
      <w:r w:rsidRPr="00046C47">
        <w:t xml:space="preserve"> rate than the Queensland average. This finding holds for both ‘offences against the person’ and ‘offences against property’. For ‘other offences’, the offences rate in Bundaberg is substantially higher than Queensland while Hervey Bay is marginally higher than Queensland.</w:t>
      </w:r>
    </w:p>
    <w:p w14:paraId="594B97FA" w14:textId="0220E12E" w:rsidR="00F0367C" w:rsidRDefault="00451FD2" w:rsidP="00236370">
      <w:pPr>
        <w:spacing w:after="120"/>
      </w:pPr>
      <w:r>
        <w:t xml:space="preserve">We computed the number of offences within each of the broader categories for Bundaberg, Hervey Bay and the </w:t>
      </w:r>
      <w:r w:rsidR="00E5081A">
        <w:t xml:space="preserve">state of </w:t>
      </w:r>
      <w:r>
        <w:t>Queensland</w:t>
      </w:r>
      <w:r w:rsidR="00E5081A">
        <w:t xml:space="preserve"> as a whole</w:t>
      </w:r>
      <w:r>
        <w:t xml:space="preserve">. The </w:t>
      </w:r>
      <w:r w:rsidR="00AD2BA8">
        <w:t>numbers</w:t>
      </w:r>
      <w:r>
        <w:t xml:space="preserve"> are available in the</w:t>
      </w:r>
      <w:r w:rsidR="00F1161D">
        <w:t xml:space="preserve"> </w:t>
      </w:r>
      <w:r w:rsidR="00E5081A">
        <w:t>A</w:t>
      </w:r>
      <w:r w:rsidR="00F1161D">
        <w:t>ppendi</w:t>
      </w:r>
      <w:r w:rsidR="009B5D36">
        <w:t>x</w:t>
      </w:r>
      <w:r w:rsidR="00F1161D">
        <w:t xml:space="preserve"> in </w:t>
      </w:r>
      <w:r w:rsidR="00F1161D">
        <w:fldChar w:fldCharType="begin"/>
      </w:r>
      <w:r w:rsidR="00F1161D">
        <w:instrText xml:space="preserve"> REF _Ref34834336 \h </w:instrText>
      </w:r>
      <w:r w:rsidR="00B9422E">
        <w:instrText xml:space="preserve"> \* MERGEFORMAT </w:instrText>
      </w:r>
      <w:r w:rsidR="00F1161D">
        <w:fldChar w:fldCharType="separate"/>
      </w:r>
      <w:r w:rsidR="008E2086">
        <w:t xml:space="preserve">Table </w:t>
      </w:r>
      <w:r w:rsidR="008E2086">
        <w:rPr>
          <w:noProof/>
        </w:rPr>
        <w:t>5</w:t>
      </w:r>
      <w:r w:rsidR="008E2086">
        <w:rPr>
          <w:noProof/>
        </w:rPr>
        <w:noBreakHyphen/>
        <w:t>3</w:t>
      </w:r>
      <w:r w:rsidR="00F1161D">
        <w:fldChar w:fldCharType="end"/>
      </w:r>
      <w:r w:rsidR="00F1161D">
        <w:t xml:space="preserve">, </w:t>
      </w:r>
      <w:r w:rsidR="00B9422E">
        <w:fldChar w:fldCharType="begin"/>
      </w:r>
      <w:r w:rsidR="00B9422E">
        <w:instrText xml:space="preserve"> REF _Ref35851231 \h  \* MERGEFORMAT </w:instrText>
      </w:r>
      <w:r w:rsidR="00B9422E">
        <w:fldChar w:fldCharType="separate"/>
      </w:r>
      <w:r w:rsidR="008E2086">
        <w:t xml:space="preserve">Table </w:t>
      </w:r>
      <w:r w:rsidR="008E2086">
        <w:rPr>
          <w:noProof/>
        </w:rPr>
        <w:t>5</w:t>
      </w:r>
      <w:r w:rsidR="008E2086">
        <w:rPr>
          <w:noProof/>
        </w:rPr>
        <w:noBreakHyphen/>
        <w:t>4</w:t>
      </w:r>
      <w:r w:rsidR="00B9422E">
        <w:fldChar w:fldCharType="end"/>
      </w:r>
      <w:r w:rsidR="00B9422E">
        <w:t xml:space="preserve"> </w:t>
      </w:r>
      <w:r w:rsidR="00F1161D">
        <w:t>and</w:t>
      </w:r>
      <w:r w:rsidR="00236370">
        <w:t xml:space="preserve"> </w:t>
      </w:r>
      <w:r w:rsidR="00236370">
        <w:fldChar w:fldCharType="begin"/>
      </w:r>
      <w:r w:rsidR="00236370">
        <w:instrText xml:space="preserve"> REF _Ref36652910 \h </w:instrText>
      </w:r>
      <w:r w:rsidR="00236370">
        <w:fldChar w:fldCharType="separate"/>
      </w:r>
      <w:r w:rsidR="008E2086">
        <w:t xml:space="preserve">Table </w:t>
      </w:r>
      <w:r w:rsidR="008E2086">
        <w:rPr>
          <w:noProof/>
        </w:rPr>
        <w:t>5</w:t>
      </w:r>
      <w:r w:rsidR="008E2086">
        <w:noBreakHyphen/>
      </w:r>
      <w:r w:rsidR="008E2086">
        <w:rPr>
          <w:noProof/>
        </w:rPr>
        <w:t>5</w:t>
      </w:r>
      <w:r w:rsidR="00236370">
        <w:fldChar w:fldCharType="end"/>
      </w:r>
      <w:r w:rsidR="00236370">
        <w:t xml:space="preserve">. </w:t>
      </w:r>
      <w:r w:rsidR="00F1161D">
        <w:t xml:space="preserve">We </w:t>
      </w:r>
      <w:r w:rsidR="00AD2BA8">
        <w:t>select and present below a few relevant</w:t>
      </w:r>
      <w:r w:rsidR="00F0367C">
        <w:t xml:space="preserve"> subcategories</w:t>
      </w:r>
      <w:r w:rsidR="00C83274">
        <w:t>.</w:t>
      </w:r>
      <w:r w:rsidR="00F1161D">
        <w:t xml:space="preserve"> </w:t>
      </w:r>
      <w:r w:rsidR="00C12DD2">
        <w:t xml:space="preserve">Some of the </w:t>
      </w:r>
      <w:r w:rsidR="00AD2BA8">
        <w:lastRenderedPageBreak/>
        <w:t>number</w:t>
      </w:r>
      <w:r w:rsidR="00C12DD2">
        <w:t xml:space="preserve">s reported in the table below are either broad categories of offences or </w:t>
      </w:r>
      <w:r w:rsidR="00AD2BA8">
        <w:t>a</w:t>
      </w:r>
      <w:r w:rsidR="00C12DD2">
        <w:t xml:space="preserve"> select</w:t>
      </w:r>
      <w:r w:rsidR="00AD2BA8">
        <w:t>ion</w:t>
      </w:r>
      <w:r w:rsidR="00C12DD2">
        <w:t xml:space="preserve"> </w:t>
      </w:r>
      <w:r w:rsidR="00AD2BA8">
        <w:t xml:space="preserve">of </w:t>
      </w:r>
      <w:r w:rsidR="00C12DD2">
        <w:t>sub categories. Note that we included the whole of the ‘</w:t>
      </w:r>
      <w:r w:rsidR="0085538D">
        <w:t>o</w:t>
      </w:r>
      <w:r w:rsidR="00C12DD2">
        <w:t xml:space="preserve">ther </w:t>
      </w:r>
      <w:r w:rsidR="0085538D">
        <w:t>t</w:t>
      </w:r>
      <w:r w:rsidR="00C12DD2">
        <w:t>heft’ and ‘</w:t>
      </w:r>
      <w:r w:rsidR="0085538D">
        <w:t>d</w:t>
      </w:r>
      <w:r w:rsidR="00C12DD2">
        <w:t xml:space="preserve">rug </w:t>
      </w:r>
      <w:r w:rsidR="0085538D">
        <w:t>o</w:t>
      </w:r>
      <w:r w:rsidR="00C12DD2">
        <w:t xml:space="preserve">ffences’ with their subcategories because they </w:t>
      </w:r>
      <w:r w:rsidR="0087751E">
        <w:t xml:space="preserve">may be </w:t>
      </w:r>
      <w:r w:rsidR="00C12DD2">
        <w:t>of particular i</w:t>
      </w:r>
      <w:r w:rsidR="00AD2BA8">
        <w:t>nterest</w:t>
      </w:r>
      <w:r w:rsidR="00C12DD2">
        <w:t>.</w:t>
      </w:r>
    </w:p>
    <w:p w14:paraId="441242AA" w14:textId="6B875B67" w:rsidR="00BF7EEB" w:rsidRDefault="00236370" w:rsidP="00BF7EEB">
      <w:pPr>
        <w:spacing w:after="120"/>
      </w:pPr>
      <w:r>
        <w:fldChar w:fldCharType="begin"/>
      </w:r>
      <w:r>
        <w:instrText xml:space="preserve"> REF _Ref34837064 \h </w:instrText>
      </w:r>
      <w:r>
        <w:fldChar w:fldCharType="separate"/>
      </w:r>
      <w:r w:rsidR="008E2086">
        <w:t xml:space="preserve">Table </w:t>
      </w:r>
      <w:r w:rsidR="008E2086">
        <w:rPr>
          <w:noProof/>
        </w:rPr>
        <w:t>2</w:t>
      </w:r>
      <w:r w:rsidR="008E2086">
        <w:noBreakHyphen/>
      </w:r>
      <w:r w:rsidR="008E2086">
        <w:rPr>
          <w:noProof/>
        </w:rPr>
        <w:t>5</w:t>
      </w:r>
      <w:r>
        <w:fldChar w:fldCharType="end"/>
      </w:r>
      <w:r>
        <w:t xml:space="preserve"> </w:t>
      </w:r>
      <w:r w:rsidR="00BF7EEB" w:rsidRPr="004853FE">
        <w:t xml:space="preserve">highlights the </w:t>
      </w:r>
      <w:r w:rsidR="00E5081A">
        <w:t xml:space="preserve">proportion </w:t>
      </w:r>
      <w:r w:rsidR="00BF7EEB" w:rsidRPr="004853FE">
        <w:t xml:space="preserve">of each of these offences </w:t>
      </w:r>
      <w:r w:rsidR="00E5081A">
        <w:t>(</w:t>
      </w:r>
      <w:r w:rsidR="00BF7EEB" w:rsidRPr="004853FE">
        <w:t>out of all offences</w:t>
      </w:r>
      <w:r w:rsidR="00E5081A">
        <w:t>)</w:t>
      </w:r>
      <w:r w:rsidR="00BF7EEB">
        <w:t xml:space="preserve"> and the offence rate</w:t>
      </w:r>
      <w:r w:rsidR="00BF7EEB" w:rsidRPr="004853FE">
        <w:t xml:space="preserve"> across locations. We find that the proportions of these crimes do not differ substantially between Bundaberg, Hervey Bay and </w:t>
      </w:r>
      <w:r w:rsidR="00E5081A">
        <w:t xml:space="preserve">the state of </w:t>
      </w:r>
      <w:r w:rsidR="00BF7EEB" w:rsidRPr="004853FE">
        <w:t>Queensland</w:t>
      </w:r>
      <w:r w:rsidR="00E5081A">
        <w:t xml:space="preserve"> as a whole</w:t>
      </w:r>
      <w:r w:rsidR="00BF7EEB" w:rsidRPr="004853FE">
        <w:t>. In all these three regions, ‘other theft (excl. unlawful entry)’ and ‘drug offences’ are the two most frequent crime types, which account for over 20 per cent and about 15 per cent of all crimes, respectively.</w:t>
      </w:r>
    </w:p>
    <w:p w14:paraId="0B943C5E" w14:textId="77777777" w:rsidR="009F2CD0" w:rsidRDefault="00BF7EEB" w:rsidP="00236370">
      <w:r>
        <w:t xml:space="preserve">In relation to </w:t>
      </w:r>
      <w:r w:rsidRPr="004853FE">
        <w:t>the c</w:t>
      </w:r>
      <w:r>
        <w:t xml:space="preserve">rime rate </w:t>
      </w:r>
      <w:r w:rsidRPr="004853FE">
        <w:t>for the selected offen</w:t>
      </w:r>
      <w:r>
        <w:t>ce categories</w:t>
      </w:r>
      <w:r w:rsidRPr="004853FE">
        <w:t xml:space="preserve"> </w:t>
      </w:r>
      <w:r w:rsidR="00E5081A">
        <w:t>w</w:t>
      </w:r>
      <w:r w:rsidRPr="004853FE">
        <w:t>e find that</w:t>
      </w:r>
      <w:r w:rsidR="00E5081A">
        <w:t>,</w:t>
      </w:r>
      <w:r w:rsidRPr="004853FE">
        <w:t xml:space="preserve"> </w:t>
      </w:r>
      <w:r>
        <w:t xml:space="preserve">for </w:t>
      </w:r>
      <w:r w:rsidRPr="004853FE">
        <w:t xml:space="preserve">about half of these categories, the offence rate in Bundaberg is higher and Hervey Bay is lower than the Queensland average, including  </w:t>
      </w:r>
      <w:r>
        <w:t>‘a</w:t>
      </w:r>
      <w:r w:rsidRPr="004853FE">
        <w:t>ssault</w:t>
      </w:r>
      <w:r>
        <w:t>’</w:t>
      </w:r>
      <w:r w:rsidRPr="004853FE">
        <w:t xml:space="preserve">, </w:t>
      </w:r>
      <w:r>
        <w:t>‘unlawful e</w:t>
      </w:r>
      <w:r w:rsidRPr="004853FE">
        <w:t>ntry</w:t>
      </w:r>
      <w:r>
        <w:t>’</w:t>
      </w:r>
      <w:r w:rsidRPr="004853FE">
        <w:t xml:space="preserve">, </w:t>
      </w:r>
      <w:r>
        <w:t>‘other t</w:t>
      </w:r>
      <w:r w:rsidRPr="004853FE">
        <w:t>heft</w:t>
      </w:r>
      <w:r>
        <w:t>’</w:t>
      </w:r>
      <w:r w:rsidRPr="004853FE">
        <w:t xml:space="preserve">, </w:t>
      </w:r>
      <w:r>
        <w:t>‘shop s</w:t>
      </w:r>
      <w:r w:rsidRPr="004853FE">
        <w:t>tealing</w:t>
      </w:r>
      <w:r>
        <w:t>’</w:t>
      </w:r>
      <w:r w:rsidRPr="004853FE">
        <w:t xml:space="preserve">, </w:t>
      </w:r>
      <w:r>
        <w:t>‘v</w:t>
      </w:r>
      <w:r w:rsidRPr="004853FE">
        <w:t>ehicles</w:t>
      </w:r>
      <w:r>
        <w:t xml:space="preserve"> stealing’</w:t>
      </w:r>
      <w:r w:rsidRPr="004853FE">
        <w:t xml:space="preserve">, </w:t>
      </w:r>
      <w:r>
        <w:t>‘</w:t>
      </w:r>
      <w:r w:rsidRPr="004853FE">
        <w:t>drug offences</w:t>
      </w:r>
      <w:r>
        <w:t>’</w:t>
      </w:r>
      <w:r w:rsidRPr="00046C47">
        <w:t xml:space="preserve">, </w:t>
      </w:r>
      <w:r>
        <w:t>‘possess d</w:t>
      </w:r>
      <w:r w:rsidRPr="00046C47">
        <w:t>rugs</w:t>
      </w:r>
      <w:r>
        <w:t>’</w:t>
      </w:r>
      <w:r w:rsidRPr="00046C47">
        <w:t xml:space="preserve">, </w:t>
      </w:r>
      <w:r>
        <w:t>‘trespassing and v</w:t>
      </w:r>
      <w:r w:rsidRPr="00046C47">
        <w:t>agrancy</w:t>
      </w:r>
      <w:r>
        <w:t>’</w:t>
      </w:r>
      <w:r w:rsidRPr="00046C47">
        <w:t xml:space="preserve">, </w:t>
      </w:r>
      <w:r>
        <w:t>‘p</w:t>
      </w:r>
      <w:r w:rsidRPr="00046C47">
        <w:t>ublic nuisance</w:t>
      </w:r>
      <w:r>
        <w:t>’</w:t>
      </w:r>
      <w:r w:rsidRPr="00046C47">
        <w:t xml:space="preserve">, </w:t>
      </w:r>
      <w:r>
        <w:t>‘drink d</w:t>
      </w:r>
      <w:r w:rsidRPr="00046C47">
        <w:t>riving</w:t>
      </w:r>
      <w:r>
        <w:t>’ and</w:t>
      </w:r>
      <w:r w:rsidRPr="00046C47">
        <w:t xml:space="preserve"> </w:t>
      </w:r>
      <w:r w:rsidRPr="00E5081A">
        <w:t>‘</w:t>
      </w:r>
      <w:r>
        <w:t>disqualified d</w:t>
      </w:r>
      <w:r w:rsidRPr="00046C47">
        <w:t>riving</w:t>
      </w:r>
      <w:r>
        <w:t>’</w:t>
      </w:r>
      <w:r w:rsidRPr="004853FE">
        <w:t>. However</w:t>
      </w:r>
      <w:r>
        <w:t>, for a number of offences, including ‘other property damage’, ‘stealing from dwellings’, ‘produce d</w:t>
      </w:r>
      <w:r w:rsidRPr="004853FE">
        <w:t>rugs</w:t>
      </w:r>
      <w:r>
        <w:t>’ and ‘other drug offences’ and ‘breach domestic violence protection o</w:t>
      </w:r>
      <w:r w:rsidRPr="004853FE">
        <w:t>rder</w:t>
      </w:r>
      <w:r>
        <w:t>’, the offence rate</w:t>
      </w:r>
      <w:r w:rsidRPr="00046C47">
        <w:t xml:space="preserve"> in both Bundaberg and Hervey Bay are high</w:t>
      </w:r>
      <w:r>
        <w:t>er than the Queensland average.</w:t>
      </w:r>
      <w:r w:rsidR="00E5081A">
        <w:t xml:space="preserve"> In contrast</w:t>
      </w:r>
      <w:r>
        <w:t xml:space="preserve">, the </w:t>
      </w:r>
      <w:r w:rsidRPr="00AA5AF4">
        <w:t>offence rate</w:t>
      </w:r>
      <w:r>
        <w:t xml:space="preserve"> of ‘other s</w:t>
      </w:r>
      <w:r w:rsidRPr="00AA5AF4">
        <w:t xml:space="preserve">tealing’, </w:t>
      </w:r>
      <w:r>
        <w:t>‘trafficking d</w:t>
      </w:r>
      <w:r w:rsidRPr="00AA5AF4">
        <w:t>rugs</w:t>
      </w:r>
      <w:r>
        <w:t>’</w:t>
      </w:r>
      <w:r w:rsidRPr="00AA5AF4">
        <w:t xml:space="preserve">, </w:t>
      </w:r>
      <w:r>
        <w:t>‘sell supply d</w:t>
      </w:r>
      <w:r w:rsidRPr="00AA5AF4">
        <w:t>rugs</w:t>
      </w:r>
      <w:r>
        <w:t>’</w:t>
      </w:r>
      <w:r w:rsidRPr="00AA5AF4">
        <w:t xml:space="preserve"> and </w:t>
      </w:r>
      <w:r>
        <w:t>‘l</w:t>
      </w:r>
      <w:r w:rsidRPr="00AA5AF4">
        <w:t>iquor</w:t>
      </w:r>
      <w:r>
        <w:t xml:space="preserve"> offences’</w:t>
      </w:r>
      <w:r w:rsidRPr="00AA5AF4">
        <w:t xml:space="preserve"> in both Bundaberg and Hervey B</w:t>
      </w:r>
      <w:r>
        <w:t>ay are lower than the state</w:t>
      </w:r>
      <w:r w:rsidRPr="00AA5AF4">
        <w:t xml:space="preserve"> average</w:t>
      </w:r>
      <w:r>
        <w:t>. In addition, ‘r</w:t>
      </w:r>
      <w:r w:rsidRPr="004853FE">
        <w:t>obbery</w:t>
      </w:r>
      <w:r>
        <w:t xml:space="preserve">’ is the only category </w:t>
      </w:r>
      <w:r w:rsidR="00E5081A">
        <w:t xml:space="preserve">where </w:t>
      </w:r>
      <w:r>
        <w:t xml:space="preserve">the </w:t>
      </w:r>
      <w:r w:rsidRPr="00AA5AF4">
        <w:t>offence</w:t>
      </w:r>
      <w:r>
        <w:t xml:space="preserve"> rate in Bundaberg </w:t>
      </w:r>
      <w:r w:rsidR="00E5081A">
        <w:t xml:space="preserve">is </w:t>
      </w:r>
      <w:r>
        <w:t>lower and Hervey Bay is higher than the state</w:t>
      </w:r>
      <w:r w:rsidRPr="00AA5AF4">
        <w:t xml:space="preserve"> average</w:t>
      </w:r>
      <w:r>
        <w:t>.</w:t>
      </w:r>
    </w:p>
    <w:p w14:paraId="50DC9600" w14:textId="77777777" w:rsidR="009F2CD0" w:rsidRDefault="009F2CD0">
      <w:pPr>
        <w:jc w:val="left"/>
      </w:pPr>
      <w:r>
        <w:br w:type="page"/>
      </w:r>
    </w:p>
    <w:p w14:paraId="39734C27" w14:textId="2354CFD3" w:rsidR="00F1161D" w:rsidRDefault="000851DE" w:rsidP="00236370">
      <w:pPr>
        <w:pStyle w:val="Caption"/>
      </w:pPr>
      <w:bookmarkStart w:id="40" w:name="_Ref34837064"/>
      <w:bookmarkStart w:id="41" w:name="_Toc34935529"/>
      <w:bookmarkStart w:id="42" w:name="_Toc37263568"/>
      <w:r>
        <w:lastRenderedPageBreak/>
        <w:t>Table</w:t>
      </w:r>
      <w:r w:rsidR="004B2E56">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5</w:t>
      </w:r>
      <w:r w:rsidR="006C0554">
        <w:rPr>
          <w:noProof/>
        </w:rPr>
        <w:fldChar w:fldCharType="end"/>
      </w:r>
      <w:bookmarkEnd w:id="40"/>
      <w:r w:rsidR="004B2E56">
        <w:t>: Total re</w:t>
      </w:r>
      <w:r w:rsidR="001D03E4">
        <w:t>ported offences in 2018</w:t>
      </w:r>
      <w:r w:rsidR="004B2E56">
        <w:t xml:space="preserve"> by location, selected offence categories</w:t>
      </w:r>
      <w:bookmarkEnd w:id="41"/>
      <w:bookmarkEnd w:id="42"/>
    </w:p>
    <w:tbl>
      <w:tblPr>
        <w:tblStyle w:val="ListTable3-Accent11"/>
        <w:tblW w:w="9351" w:type="dxa"/>
        <w:jc w:val="center"/>
        <w:tblLayout w:type="fixed"/>
        <w:tblLook w:val="04A0" w:firstRow="1" w:lastRow="0" w:firstColumn="1" w:lastColumn="0" w:noHBand="0" w:noVBand="1"/>
      </w:tblPr>
      <w:tblGrid>
        <w:gridCol w:w="1980"/>
        <w:gridCol w:w="992"/>
        <w:gridCol w:w="736"/>
        <w:gridCol w:w="948"/>
        <w:gridCol w:w="726"/>
        <w:gridCol w:w="709"/>
        <w:gridCol w:w="850"/>
        <w:gridCol w:w="992"/>
        <w:gridCol w:w="567"/>
        <w:gridCol w:w="851"/>
      </w:tblGrid>
      <w:tr w:rsidR="00E10A0A" w:rsidRPr="00843CD7" w14:paraId="6E7765A4" w14:textId="77777777" w:rsidTr="00A4064D">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vAlign w:val="center"/>
          </w:tcPr>
          <w:p w14:paraId="173D38F4" w14:textId="77777777" w:rsidR="00E10A0A" w:rsidRPr="00A4064D" w:rsidRDefault="00E10A0A" w:rsidP="00A4064D">
            <w:pPr>
              <w:jc w:val="center"/>
              <w:rPr>
                <w:lang w:eastAsia="en-AU"/>
              </w:rPr>
            </w:pPr>
          </w:p>
        </w:tc>
        <w:tc>
          <w:tcPr>
            <w:tcW w:w="0" w:type="dxa"/>
            <w:gridSpan w:val="3"/>
            <w:shd w:val="clear" w:color="auto" w:fill="2F5496" w:themeFill="accent5" w:themeFillShade="BF"/>
            <w:noWrap/>
            <w:vAlign w:val="center"/>
          </w:tcPr>
          <w:p w14:paraId="22BEB8BE" w14:textId="77777777" w:rsidR="00E10A0A" w:rsidRPr="00A4064D" w:rsidRDefault="00E10A0A">
            <w:pPr>
              <w:jc w:val="center"/>
              <w:cnfStyle w:val="100000000000" w:firstRow="1" w:lastRow="0" w:firstColumn="0" w:lastColumn="0" w:oddVBand="0" w:evenVBand="0" w:oddHBand="0" w:evenHBand="0" w:firstRowFirstColumn="0" w:firstRowLastColumn="0" w:lastRowFirstColumn="0" w:lastRowLastColumn="0"/>
              <w:rPr>
                <w:lang w:eastAsia="en-AU"/>
              </w:rPr>
            </w:pPr>
            <w:r w:rsidRPr="00A4064D">
              <w:rPr>
                <w:lang w:eastAsia="en-AU"/>
              </w:rPr>
              <w:t>Bundaberg</w:t>
            </w:r>
          </w:p>
        </w:tc>
        <w:tc>
          <w:tcPr>
            <w:tcW w:w="0" w:type="dxa"/>
            <w:gridSpan w:val="3"/>
            <w:shd w:val="clear" w:color="auto" w:fill="2F5496" w:themeFill="accent5" w:themeFillShade="BF"/>
            <w:vAlign w:val="center"/>
          </w:tcPr>
          <w:p w14:paraId="09C20B2C" w14:textId="77777777" w:rsidR="00E10A0A" w:rsidRPr="00A4064D" w:rsidRDefault="00E10A0A">
            <w:pPr>
              <w:jc w:val="center"/>
              <w:cnfStyle w:val="100000000000" w:firstRow="1" w:lastRow="0" w:firstColumn="0" w:lastColumn="0" w:oddVBand="0" w:evenVBand="0" w:oddHBand="0" w:evenHBand="0" w:firstRowFirstColumn="0" w:firstRowLastColumn="0" w:lastRowFirstColumn="0" w:lastRowLastColumn="0"/>
              <w:rPr>
                <w:lang w:eastAsia="en-AU"/>
              </w:rPr>
            </w:pPr>
            <w:r w:rsidRPr="00A4064D">
              <w:rPr>
                <w:lang w:eastAsia="en-AU"/>
              </w:rPr>
              <w:t>Hervey Bay</w:t>
            </w:r>
          </w:p>
        </w:tc>
        <w:tc>
          <w:tcPr>
            <w:tcW w:w="0" w:type="dxa"/>
            <w:gridSpan w:val="3"/>
            <w:shd w:val="clear" w:color="auto" w:fill="2F5496" w:themeFill="accent5" w:themeFillShade="BF"/>
            <w:vAlign w:val="center"/>
          </w:tcPr>
          <w:p w14:paraId="743348A9" w14:textId="77777777" w:rsidR="00E10A0A" w:rsidRPr="00A4064D" w:rsidRDefault="00E10A0A">
            <w:pPr>
              <w:jc w:val="center"/>
              <w:cnfStyle w:val="100000000000" w:firstRow="1" w:lastRow="0" w:firstColumn="0" w:lastColumn="0" w:oddVBand="0" w:evenVBand="0" w:oddHBand="0" w:evenHBand="0" w:firstRowFirstColumn="0" w:firstRowLastColumn="0" w:lastRowFirstColumn="0" w:lastRowLastColumn="0"/>
              <w:rPr>
                <w:lang w:eastAsia="en-AU"/>
              </w:rPr>
            </w:pPr>
            <w:r w:rsidRPr="00A4064D">
              <w:rPr>
                <w:lang w:eastAsia="en-AU"/>
              </w:rPr>
              <w:t>Queensland</w:t>
            </w:r>
          </w:p>
        </w:tc>
      </w:tr>
      <w:tr w:rsidR="00BF7EEB" w:rsidRPr="00E10A0A" w14:paraId="7AC60E18"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7583344B" w14:textId="77777777" w:rsidR="00BF7EEB" w:rsidRPr="00E10A0A" w:rsidRDefault="00BF7EEB" w:rsidP="00E10A0A">
            <w:pPr>
              <w:jc w:val="left"/>
              <w:rPr>
                <w:rFonts w:ascii="Times New Roman" w:eastAsia="Times New Roman" w:hAnsi="Times New Roman" w:cs="Times New Roman"/>
                <w:b w:val="0"/>
                <w:sz w:val="18"/>
                <w:szCs w:val="18"/>
                <w:lang w:eastAsia="en-AU"/>
              </w:rPr>
            </w:pPr>
          </w:p>
        </w:tc>
        <w:tc>
          <w:tcPr>
            <w:tcW w:w="992" w:type="dxa"/>
            <w:noWrap/>
            <w:vAlign w:val="center"/>
          </w:tcPr>
          <w:p w14:paraId="457A1ADB" w14:textId="77777777" w:rsidR="00BF7EEB" w:rsidRPr="00E10A0A" w:rsidRDefault="00BF7EEB" w:rsidP="00E10A0A">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Cases</w:t>
            </w:r>
          </w:p>
        </w:tc>
        <w:tc>
          <w:tcPr>
            <w:tcW w:w="736" w:type="dxa"/>
            <w:noWrap/>
            <w:vAlign w:val="center"/>
          </w:tcPr>
          <w:p w14:paraId="786515E7" w14:textId="77777777" w:rsidR="00BF7EEB" w:rsidRPr="00E10A0A" w:rsidRDefault="00BF7EEB" w:rsidP="00E10A0A">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w:t>
            </w:r>
          </w:p>
        </w:tc>
        <w:tc>
          <w:tcPr>
            <w:tcW w:w="948" w:type="dxa"/>
            <w:noWrap/>
            <w:vAlign w:val="center"/>
          </w:tcPr>
          <w:p w14:paraId="590630A8" w14:textId="77777777" w:rsidR="00BF7EEB" w:rsidRPr="00E10A0A" w:rsidRDefault="00BF7EEB" w:rsidP="00E10A0A">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Rate</w:t>
            </w:r>
          </w:p>
        </w:tc>
        <w:tc>
          <w:tcPr>
            <w:tcW w:w="726" w:type="dxa"/>
            <w:vAlign w:val="center"/>
          </w:tcPr>
          <w:p w14:paraId="5D85930B" w14:textId="77777777" w:rsidR="00BF7EEB" w:rsidRPr="00E10A0A" w:rsidRDefault="00BF7EEB" w:rsidP="00E10A0A">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Cases</w:t>
            </w:r>
          </w:p>
        </w:tc>
        <w:tc>
          <w:tcPr>
            <w:tcW w:w="709" w:type="dxa"/>
            <w:vAlign w:val="center"/>
          </w:tcPr>
          <w:p w14:paraId="6866EA0E" w14:textId="77777777" w:rsidR="00BF7EEB" w:rsidRPr="00E10A0A" w:rsidRDefault="00BF7EEB" w:rsidP="00E10A0A">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w:t>
            </w:r>
          </w:p>
        </w:tc>
        <w:tc>
          <w:tcPr>
            <w:tcW w:w="850" w:type="dxa"/>
            <w:vAlign w:val="center"/>
          </w:tcPr>
          <w:p w14:paraId="4F2E0BDA" w14:textId="77777777" w:rsidR="00BF7EEB" w:rsidRPr="00E10A0A" w:rsidRDefault="00BF7EEB" w:rsidP="00E10A0A">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Rate</w:t>
            </w:r>
          </w:p>
        </w:tc>
        <w:tc>
          <w:tcPr>
            <w:tcW w:w="992" w:type="dxa"/>
            <w:vAlign w:val="center"/>
          </w:tcPr>
          <w:p w14:paraId="34899232" w14:textId="77777777" w:rsidR="00BF7EEB" w:rsidRPr="00E10A0A" w:rsidRDefault="00BF7EEB" w:rsidP="00E10A0A">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Cases</w:t>
            </w:r>
          </w:p>
        </w:tc>
        <w:tc>
          <w:tcPr>
            <w:tcW w:w="567" w:type="dxa"/>
            <w:vAlign w:val="center"/>
          </w:tcPr>
          <w:p w14:paraId="1CBA6680" w14:textId="77777777" w:rsidR="00BF7EEB" w:rsidRPr="00E10A0A" w:rsidRDefault="00BF7EEB" w:rsidP="00E10A0A">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w:t>
            </w:r>
          </w:p>
        </w:tc>
        <w:tc>
          <w:tcPr>
            <w:tcW w:w="851" w:type="dxa"/>
            <w:vAlign w:val="center"/>
          </w:tcPr>
          <w:p w14:paraId="35FB0A47" w14:textId="77777777" w:rsidR="00BF7EEB" w:rsidRPr="00E10A0A" w:rsidRDefault="00BF7EEB" w:rsidP="00E10A0A">
            <w:pP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Rate</w:t>
            </w:r>
          </w:p>
        </w:tc>
      </w:tr>
      <w:tr w:rsidR="00BF7EEB" w:rsidRPr="00E10A0A" w14:paraId="66262E8D"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1B17B9CA" w14:textId="77777777" w:rsidR="00BF7EEB" w:rsidRPr="00E10A0A" w:rsidRDefault="00BF7EEB" w:rsidP="00BF7EEB">
            <w:pPr>
              <w:jc w:val="left"/>
              <w:rPr>
                <w:rFonts w:ascii="Times New Roman" w:eastAsia="Times New Roman" w:hAnsi="Times New Roman" w:cs="Times New Roman"/>
                <w:sz w:val="18"/>
                <w:szCs w:val="18"/>
                <w:lang w:eastAsia="en-AU"/>
              </w:rPr>
            </w:pPr>
            <w:r w:rsidRPr="00E10A0A">
              <w:rPr>
                <w:rFonts w:ascii="Calibri" w:eastAsia="Times New Roman" w:hAnsi="Calibri" w:cs="Calibri"/>
                <w:color w:val="000000"/>
                <w:sz w:val="18"/>
                <w:szCs w:val="18"/>
                <w:lang w:eastAsia="en-AU"/>
              </w:rPr>
              <w:t>Assault</w:t>
            </w:r>
          </w:p>
        </w:tc>
        <w:tc>
          <w:tcPr>
            <w:tcW w:w="992" w:type="dxa"/>
            <w:noWrap/>
            <w:vAlign w:val="center"/>
          </w:tcPr>
          <w:p w14:paraId="783F32A7"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299</w:t>
            </w:r>
          </w:p>
        </w:tc>
        <w:tc>
          <w:tcPr>
            <w:tcW w:w="736" w:type="dxa"/>
            <w:noWrap/>
            <w:vAlign w:val="center"/>
          </w:tcPr>
          <w:p w14:paraId="2B871A52"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4.1</w:t>
            </w:r>
          </w:p>
        </w:tc>
        <w:tc>
          <w:tcPr>
            <w:tcW w:w="948" w:type="dxa"/>
            <w:noWrap/>
            <w:vAlign w:val="center"/>
          </w:tcPr>
          <w:p w14:paraId="790973C2"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492.4</w:t>
            </w:r>
          </w:p>
        </w:tc>
        <w:tc>
          <w:tcPr>
            <w:tcW w:w="726" w:type="dxa"/>
            <w:vAlign w:val="center"/>
          </w:tcPr>
          <w:p w14:paraId="7AAACD9D"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244</w:t>
            </w:r>
          </w:p>
        </w:tc>
        <w:tc>
          <w:tcPr>
            <w:tcW w:w="709" w:type="dxa"/>
            <w:vAlign w:val="center"/>
          </w:tcPr>
          <w:p w14:paraId="059EEEDC"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4.1</w:t>
            </w:r>
          </w:p>
        </w:tc>
        <w:tc>
          <w:tcPr>
            <w:tcW w:w="850" w:type="dxa"/>
            <w:vAlign w:val="center"/>
          </w:tcPr>
          <w:p w14:paraId="3D3E13E9"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405.2</w:t>
            </w:r>
          </w:p>
        </w:tc>
        <w:tc>
          <w:tcPr>
            <w:tcW w:w="992" w:type="dxa"/>
            <w:vAlign w:val="center"/>
          </w:tcPr>
          <w:p w14:paraId="118EAF02"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23,615</w:t>
            </w:r>
          </w:p>
        </w:tc>
        <w:tc>
          <w:tcPr>
            <w:tcW w:w="567" w:type="dxa"/>
            <w:tcBorders>
              <w:right w:val="nil"/>
            </w:tcBorders>
            <w:vAlign w:val="center"/>
          </w:tcPr>
          <w:p w14:paraId="29DC9FA4"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4.6</w:t>
            </w:r>
          </w:p>
        </w:tc>
        <w:tc>
          <w:tcPr>
            <w:tcW w:w="851" w:type="dxa"/>
            <w:tcBorders>
              <w:top w:val="single" w:sz="4" w:space="0" w:color="5B9BD5" w:themeColor="accent1"/>
              <w:left w:val="nil"/>
              <w:bottom w:val="single" w:sz="4" w:space="0" w:color="5B9BD5" w:themeColor="accent1"/>
              <w:right w:val="single" w:sz="4" w:space="0" w:color="5B9BD5" w:themeColor="accent1"/>
            </w:tcBorders>
            <w:vAlign w:val="center"/>
          </w:tcPr>
          <w:p w14:paraId="0FE52E19"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471.2</w:t>
            </w:r>
          </w:p>
        </w:tc>
      </w:tr>
      <w:tr w:rsidR="00BF7EEB" w:rsidRPr="00E10A0A" w14:paraId="6EC49DC4"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61D4BD46" w14:textId="77777777" w:rsidR="00BF7EEB" w:rsidRPr="00E10A0A" w:rsidRDefault="00BF7EEB" w:rsidP="00BF7EEB">
            <w:pPr>
              <w:jc w:val="left"/>
              <w:rPr>
                <w:rFonts w:ascii="Times New Roman" w:eastAsia="Times New Roman" w:hAnsi="Times New Roman" w:cs="Times New Roman"/>
                <w:sz w:val="18"/>
                <w:szCs w:val="18"/>
                <w:lang w:eastAsia="en-AU"/>
              </w:rPr>
            </w:pPr>
            <w:r w:rsidRPr="00E10A0A">
              <w:rPr>
                <w:rFonts w:ascii="Calibri" w:eastAsia="Times New Roman" w:hAnsi="Calibri" w:cs="Calibri"/>
                <w:color w:val="000000"/>
                <w:sz w:val="18"/>
                <w:szCs w:val="18"/>
                <w:lang w:eastAsia="en-AU"/>
              </w:rPr>
              <w:t>Robbery</w:t>
            </w:r>
          </w:p>
        </w:tc>
        <w:tc>
          <w:tcPr>
            <w:tcW w:w="992" w:type="dxa"/>
            <w:noWrap/>
            <w:vAlign w:val="center"/>
          </w:tcPr>
          <w:p w14:paraId="396E0F68"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22</w:t>
            </w:r>
          </w:p>
        </w:tc>
        <w:tc>
          <w:tcPr>
            <w:tcW w:w="736" w:type="dxa"/>
            <w:noWrap/>
            <w:vAlign w:val="center"/>
          </w:tcPr>
          <w:p w14:paraId="4E51CE9D"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0.3</w:t>
            </w:r>
          </w:p>
        </w:tc>
        <w:tc>
          <w:tcPr>
            <w:tcW w:w="948" w:type="dxa"/>
            <w:noWrap/>
            <w:vAlign w:val="center"/>
          </w:tcPr>
          <w:p w14:paraId="337041F7"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36.2</w:t>
            </w:r>
          </w:p>
        </w:tc>
        <w:tc>
          <w:tcPr>
            <w:tcW w:w="726" w:type="dxa"/>
            <w:vAlign w:val="center"/>
          </w:tcPr>
          <w:p w14:paraId="749F6DE7"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28</w:t>
            </w:r>
          </w:p>
        </w:tc>
        <w:tc>
          <w:tcPr>
            <w:tcW w:w="709" w:type="dxa"/>
            <w:vAlign w:val="center"/>
          </w:tcPr>
          <w:p w14:paraId="23483A92"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0.5</w:t>
            </w:r>
          </w:p>
        </w:tc>
        <w:tc>
          <w:tcPr>
            <w:tcW w:w="850" w:type="dxa"/>
            <w:vAlign w:val="center"/>
          </w:tcPr>
          <w:p w14:paraId="24FBAC10"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46.5</w:t>
            </w:r>
          </w:p>
        </w:tc>
        <w:tc>
          <w:tcPr>
            <w:tcW w:w="992" w:type="dxa"/>
            <w:vAlign w:val="center"/>
          </w:tcPr>
          <w:p w14:paraId="66049E0E"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2,189</w:t>
            </w:r>
          </w:p>
        </w:tc>
        <w:tc>
          <w:tcPr>
            <w:tcW w:w="567" w:type="dxa"/>
            <w:tcBorders>
              <w:right w:val="nil"/>
            </w:tcBorders>
            <w:vAlign w:val="center"/>
          </w:tcPr>
          <w:p w14:paraId="5A305A6C"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0.4</w:t>
            </w:r>
          </w:p>
        </w:tc>
        <w:tc>
          <w:tcPr>
            <w:tcW w:w="851" w:type="dxa"/>
            <w:tcBorders>
              <w:left w:val="nil"/>
              <w:right w:val="single" w:sz="4" w:space="0" w:color="5B9BD5" w:themeColor="accent1"/>
            </w:tcBorders>
            <w:shd w:val="clear" w:color="auto" w:fill="FFFFFF" w:themeFill="background1"/>
            <w:vAlign w:val="center"/>
          </w:tcPr>
          <w:p w14:paraId="0C09CB30"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lang w:eastAsia="en-AU"/>
              </w:rPr>
            </w:pPr>
            <w:r w:rsidRPr="00E10A0A">
              <w:rPr>
                <w:b/>
                <w:sz w:val="18"/>
                <w:szCs w:val="18"/>
                <w:lang w:eastAsia="en-AU"/>
              </w:rPr>
              <w:t>43.7</w:t>
            </w:r>
          </w:p>
        </w:tc>
      </w:tr>
      <w:tr w:rsidR="00BF7EEB" w:rsidRPr="00E10A0A" w14:paraId="52ECFA0A"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07E5644A" w14:textId="77777777" w:rsidR="00BF7EEB" w:rsidRPr="00E10A0A" w:rsidRDefault="00BF7EEB" w:rsidP="00BF7EEB">
            <w:pPr>
              <w:jc w:val="left"/>
              <w:rPr>
                <w:rFonts w:ascii="Times New Roman" w:eastAsia="Times New Roman" w:hAnsi="Times New Roman" w:cs="Times New Roman"/>
                <w:sz w:val="18"/>
                <w:szCs w:val="18"/>
                <w:lang w:eastAsia="en-AU"/>
              </w:rPr>
            </w:pPr>
            <w:r w:rsidRPr="00E10A0A">
              <w:rPr>
                <w:rFonts w:ascii="Calibri" w:eastAsia="Times New Roman" w:hAnsi="Calibri" w:cs="Calibri"/>
                <w:color w:val="000000"/>
                <w:sz w:val="18"/>
                <w:szCs w:val="18"/>
                <w:lang w:eastAsia="en-AU"/>
              </w:rPr>
              <w:t>Unlawful Entry</w:t>
            </w:r>
          </w:p>
        </w:tc>
        <w:tc>
          <w:tcPr>
            <w:tcW w:w="992" w:type="dxa"/>
            <w:noWrap/>
            <w:vAlign w:val="center"/>
          </w:tcPr>
          <w:p w14:paraId="06451692"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499</w:t>
            </w:r>
          </w:p>
        </w:tc>
        <w:tc>
          <w:tcPr>
            <w:tcW w:w="736" w:type="dxa"/>
            <w:noWrap/>
            <w:vAlign w:val="center"/>
          </w:tcPr>
          <w:p w14:paraId="237F8E8C"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6.9</w:t>
            </w:r>
          </w:p>
        </w:tc>
        <w:tc>
          <w:tcPr>
            <w:tcW w:w="948" w:type="dxa"/>
            <w:noWrap/>
            <w:vAlign w:val="center"/>
          </w:tcPr>
          <w:p w14:paraId="6F8C4A7A"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821.7</w:t>
            </w:r>
          </w:p>
        </w:tc>
        <w:tc>
          <w:tcPr>
            <w:tcW w:w="726" w:type="dxa"/>
            <w:vAlign w:val="center"/>
          </w:tcPr>
          <w:p w14:paraId="74121E4E"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458</w:t>
            </w:r>
          </w:p>
        </w:tc>
        <w:tc>
          <w:tcPr>
            <w:tcW w:w="709" w:type="dxa"/>
            <w:vAlign w:val="center"/>
          </w:tcPr>
          <w:p w14:paraId="76219D6E"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7.7</w:t>
            </w:r>
          </w:p>
        </w:tc>
        <w:tc>
          <w:tcPr>
            <w:tcW w:w="850" w:type="dxa"/>
            <w:vAlign w:val="center"/>
          </w:tcPr>
          <w:p w14:paraId="02A171FC"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760.6</w:t>
            </w:r>
          </w:p>
        </w:tc>
        <w:tc>
          <w:tcPr>
            <w:tcW w:w="992" w:type="dxa"/>
            <w:vAlign w:val="center"/>
          </w:tcPr>
          <w:p w14:paraId="069E8F1E"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38,782</w:t>
            </w:r>
          </w:p>
        </w:tc>
        <w:tc>
          <w:tcPr>
            <w:tcW w:w="567" w:type="dxa"/>
            <w:tcBorders>
              <w:right w:val="nil"/>
            </w:tcBorders>
            <w:vAlign w:val="center"/>
          </w:tcPr>
          <w:p w14:paraId="0BE518B8"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7.5</w:t>
            </w:r>
          </w:p>
        </w:tc>
        <w:tc>
          <w:tcPr>
            <w:tcW w:w="851" w:type="dxa"/>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vAlign w:val="center"/>
          </w:tcPr>
          <w:p w14:paraId="6EF1F265"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b/>
                <w:sz w:val="18"/>
                <w:szCs w:val="18"/>
                <w:lang w:eastAsia="en-AU"/>
              </w:rPr>
            </w:pPr>
            <w:r w:rsidRPr="00E10A0A">
              <w:rPr>
                <w:b/>
                <w:sz w:val="18"/>
                <w:szCs w:val="18"/>
              </w:rPr>
              <w:t>773.9</w:t>
            </w:r>
          </w:p>
        </w:tc>
      </w:tr>
      <w:tr w:rsidR="00BF7EEB" w:rsidRPr="00E10A0A" w14:paraId="09092553"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68413369" w14:textId="77777777" w:rsidR="00BF7EEB" w:rsidRPr="00E10A0A" w:rsidRDefault="00BF7EEB" w:rsidP="00BF7EEB">
            <w:pPr>
              <w:jc w:val="left"/>
              <w:rPr>
                <w:rFonts w:ascii="Times New Roman" w:eastAsia="Times New Roman" w:hAnsi="Times New Roman" w:cs="Times New Roman"/>
                <w:sz w:val="18"/>
                <w:szCs w:val="18"/>
                <w:lang w:eastAsia="en-AU"/>
              </w:rPr>
            </w:pPr>
            <w:r w:rsidRPr="00E10A0A">
              <w:rPr>
                <w:rFonts w:ascii="Calibri" w:eastAsia="Times New Roman" w:hAnsi="Calibri" w:cs="Calibri"/>
                <w:color w:val="000000"/>
                <w:sz w:val="18"/>
                <w:szCs w:val="18"/>
                <w:lang w:eastAsia="en-AU"/>
              </w:rPr>
              <w:t>Other Property Damage</w:t>
            </w:r>
          </w:p>
        </w:tc>
        <w:tc>
          <w:tcPr>
            <w:tcW w:w="992" w:type="dxa"/>
            <w:noWrap/>
            <w:vAlign w:val="center"/>
          </w:tcPr>
          <w:p w14:paraId="285E44EC"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594</w:t>
            </w:r>
          </w:p>
        </w:tc>
        <w:tc>
          <w:tcPr>
            <w:tcW w:w="736" w:type="dxa"/>
            <w:noWrap/>
            <w:vAlign w:val="center"/>
          </w:tcPr>
          <w:p w14:paraId="4386DC4A"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8.2</w:t>
            </w:r>
          </w:p>
        </w:tc>
        <w:tc>
          <w:tcPr>
            <w:tcW w:w="948" w:type="dxa"/>
            <w:noWrap/>
            <w:vAlign w:val="center"/>
          </w:tcPr>
          <w:p w14:paraId="27BDD275"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978.2</w:t>
            </w:r>
          </w:p>
        </w:tc>
        <w:tc>
          <w:tcPr>
            <w:tcW w:w="726" w:type="dxa"/>
            <w:vAlign w:val="center"/>
          </w:tcPr>
          <w:p w14:paraId="383FA899"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472</w:t>
            </w:r>
          </w:p>
        </w:tc>
        <w:tc>
          <w:tcPr>
            <w:tcW w:w="709" w:type="dxa"/>
            <w:vAlign w:val="center"/>
          </w:tcPr>
          <w:p w14:paraId="7D33C41A"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7.9</w:t>
            </w:r>
          </w:p>
        </w:tc>
        <w:tc>
          <w:tcPr>
            <w:tcW w:w="850" w:type="dxa"/>
            <w:vAlign w:val="center"/>
          </w:tcPr>
          <w:p w14:paraId="45F7276F"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783.8</w:t>
            </w:r>
          </w:p>
        </w:tc>
        <w:tc>
          <w:tcPr>
            <w:tcW w:w="992" w:type="dxa"/>
            <w:vAlign w:val="center"/>
          </w:tcPr>
          <w:p w14:paraId="35B0AF42"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36,781</w:t>
            </w:r>
          </w:p>
        </w:tc>
        <w:tc>
          <w:tcPr>
            <w:tcW w:w="567" w:type="dxa"/>
            <w:tcBorders>
              <w:right w:val="nil"/>
            </w:tcBorders>
            <w:vAlign w:val="center"/>
          </w:tcPr>
          <w:p w14:paraId="564039F6"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7.1</w:t>
            </w:r>
          </w:p>
        </w:tc>
        <w:tc>
          <w:tcPr>
            <w:tcW w:w="851" w:type="dxa"/>
            <w:tcBorders>
              <w:left w:val="nil"/>
              <w:right w:val="single" w:sz="4" w:space="0" w:color="5B9BD5" w:themeColor="accent1"/>
            </w:tcBorders>
            <w:shd w:val="clear" w:color="auto" w:fill="FFFFFF" w:themeFill="background1"/>
            <w:vAlign w:val="center"/>
          </w:tcPr>
          <w:p w14:paraId="78FC7B0A"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eastAsia="Times New Roman"/>
                <w:b/>
                <w:sz w:val="18"/>
                <w:szCs w:val="18"/>
                <w:lang w:eastAsia="en-AU"/>
              </w:rPr>
            </w:pPr>
            <w:r w:rsidRPr="00E10A0A">
              <w:rPr>
                <w:b/>
                <w:sz w:val="18"/>
                <w:szCs w:val="18"/>
              </w:rPr>
              <w:t>734.0</w:t>
            </w:r>
          </w:p>
        </w:tc>
      </w:tr>
      <w:tr w:rsidR="00BF7EEB" w:rsidRPr="00E10A0A" w14:paraId="2C3EE2DC"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3EE989D7" w14:textId="77777777" w:rsidR="00BF7EEB" w:rsidRPr="00E10A0A" w:rsidRDefault="00BF7EEB" w:rsidP="00BF7EEB">
            <w:pPr>
              <w:jc w:val="left"/>
              <w:rPr>
                <w:rFonts w:ascii="Times New Roman" w:eastAsia="Times New Roman" w:hAnsi="Times New Roman" w:cs="Times New Roman"/>
                <w:sz w:val="18"/>
                <w:szCs w:val="18"/>
                <w:lang w:eastAsia="en-AU"/>
              </w:rPr>
            </w:pPr>
            <w:r w:rsidRPr="00E10A0A">
              <w:rPr>
                <w:rFonts w:ascii="Calibri" w:eastAsia="Times New Roman" w:hAnsi="Calibri" w:cs="Calibri"/>
                <w:color w:val="000000"/>
                <w:sz w:val="18"/>
                <w:szCs w:val="18"/>
                <w:lang w:eastAsia="en-AU"/>
              </w:rPr>
              <w:t>Other Theft (excl. Unlawful Entry), including:</w:t>
            </w:r>
          </w:p>
        </w:tc>
        <w:tc>
          <w:tcPr>
            <w:tcW w:w="992" w:type="dxa"/>
            <w:noWrap/>
            <w:vAlign w:val="center"/>
          </w:tcPr>
          <w:p w14:paraId="2059C8C9"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1,716</w:t>
            </w:r>
          </w:p>
        </w:tc>
        <w:tc>
          <w:tcPr>
            <w:tcW w:w="736" w:type="dxa"/>
            <w:noWrap/>
            <w:vAlign w:val="center"/>
          </w:tcPr>
          <w:p w14:paraId="2F788C08"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23.6</w:t>
            </w:r>
          </w:p>
        </w:tc>
        <w:tc>
          <w:tcPr>
            <w:tcW w:w="948" w:type="dxa"/>
            <w:noWrap/>
            <w:vAlign w:val="center"/>
          </w:tcPr>
          <w:p w14:paraId="3EA0CD8C"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2,825.8</w:t>
            </w:r>
          </w:p>
        </w:tc>
        <w:tc>
          <w:tcPr>
            <w:tcW w:w="726" w:type="dxa"/>
            <w:vAlign w:val="center"/>
          </w:tcPr>
          <w:p w14:paraId="39FA4801"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1,249</w:t>
            </w:r>
          </w:p>
        </w:tc>
        <w:tc>
          <w:tcPr>
            <w:tcW w:w="709" w:type="dxa"/>
            <w:vAlign w:val="center"/>
          </w:tcPr>
          <w:p w14:paraId="51A92787"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21.0</w:t>
            </w:r>
          </w:p>
        </w:tc>
        <w:tc>
          <w:tcPr>
            <w:tcW w:w="850" w:type="dxa"/>
            <w:vAlign w:val="center"/>
          </w:tcPr>
          <w:p w14:paraId="615E45BA"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2,074.1</w:t>
            </w:r>
          </w:p>
        </w:tc>
        <w:tc>
          <w:tcPr>
            <w:tcW w:w="992" w:type="dxa"/>
            <w:vAlign w:val="center"/>
          </w:tcPr>
          <w:p w14:paraId="78A5C8AF"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b/>
                <w:color w:val="000000"/>
                <w:sz w:val="18"/>
                <w:szCs w:val="18"/>
                <w:lang w:eastAsia="en-AU"/>
              </w:rPr>
              <w:t>126,400</w:t>
            </w:r>
          </w:p>
        </w:tc>
        <w:tc>
          <w:tcPr>
            <w:tcW w:w="567" w:type="dxa"/>
            <w:tcBorders>
              <w:right w:val="nil"/>
            </w:tcBorders>
            <w:vAlign w:val="center"/>
          </w:tcPr>
          <w:p w14:paraId="0B10D2CB"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24.4</w:t>
            </w:r>
          </w:p>
        </w:tc>
        <w:tc>
          <w:tcPr>
            <w:tcW w:w="851" w:type="dxa"/>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vAlign w:val="center"/>
          </w:tcPr>
          <w:p w14:paraId="1F737AE8"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b/>
                <w:sz w:val="18"/>
                <w:szCs w:val="18"/>
                <w:lang w:eastAsia="en-AU"/>
              </w:rPr>
            </w:pPr>
            <w:r w:rsidRPr="00E10A0A">
              <w:rPr>
                <w:b/>
                <w:sz w:val="18"/>
                <w:szCs w:val="18"/>
              </w:rPr>
              <w:t>2,522.3</w:t>
            </w:r>
          </w:p>
        </w:tc>
      </w:tr>
      <w:tr w:rsidR="00BF7EEB" w:rsidRPr="00E10A0A" w14:paraId="00E8CF4D"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0391DDD4" w14:textId="77777777" w:rsidR="00BF7EEB" w:rsidRPr="00EC7B1E" w:rsidRDefault="00BF7EEB" w:rsidP="00BF7EEB">
            <w:pPr>
              <w:jc w:val="left"/>
              <w:rPr>
                <w:rFonts w:ascii="Times New Roman" w:eastAsia="Times New Roman" w:hAnsi="Times New Roman" w:cs="Times New Roman"/>
                <w:b w:val="0"/>
                <w:bCs w:val="0"/>
                <w:i/>
                <w:sz w:val="18"/>
                <w:szCs w:val="18"/>
                <w:lang w:eastAsia="en-AU"/>
              </w:rPr>
            </w:pPr>
            <w:r w:rsidRPr="00EC7B1E">
              <w:rPr>
                <w:rFonts w:ascii="Calibri" w:eastAsia="Times New Roman" w:hAnsi="Calibri" w:cs="Calibri"/>
                <w:b w:val="0"/>
                <w:bCs w:val="0"/>
                <w:i/>
                <w:color w:val="000000"/>
                <w:sz w:val="18"/>
                <w:szCs w:val="18"/>
                <w:lang w:eastAsia="en-AU"/>
              </w:rPr>
              <w:t>Stealing from Dwellings</w:t>
            </w:r>
          </w:p>
        </w:tc>
        <w:tc>
          <w:tcPr>
            <w:tcW w:w="992" w:type="dxa"/>
            <w:noWrap/>
            <w:vAlign w:val="center"/>
          </w:tcPr>
          <w:p w14:paraId="0DF7C192"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181</w:t>
            </w:r>
          </w:p>
        </w:tc>
        <w:tc>
          <w:tcPr>
            <w:tcW w:w="736" w:type="dxa"/>
            <w:noWrap/>
            <w:vAlign w:val="center"/>
          </w:tcPr>
          <w:p w14:paraId="74C9B050"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2.5</w:t>
            </w:r>
          </w:p>
        </w:tc>
        <w:tc>
          <w:tcPr>
            <w:tcW w:w="948" w:type="dxa"/>
            <w:noWrap/>
            <w:vAlign w:val="center"/>
          </w:tcPr>
          <w:p w14:paraId="787DE8B1"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298.1</w:t>
            </w:r>
          </w:p>
        </w:tc>
        <w:tc>
          <w:tcPr>
            <w:tcW w:w="726" w:type="dxa"/>
            <w:vAlign w:val="center"/>
          </w:tcPr>
          <w:p w14:paraId="1154C36B"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148</w:t>
            </w:r>
          </w:p>
        </w:tc>
        <w:tc>
          <w:tcPr>
            <w:tcW w:w="709" w:type="dxa"/>
            <w:vAlign w:val="center"/>
          </w:tcPr>
          <w:p w14:paraId="7BD98FBF"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2.5</w:t>
            </w:r>
          </w:p>
        </w:tc>
        <w:tc>
          <w:tcPr>
            <w:tcW w:w="850" w:type="dxa"/>
            <w:vAlign w:val="center"/>
          </w:tcPr>
          <w:p w14:paraId="646C9536"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245.8</w:t>
            </w:r>
          </w:p>
        </w:tc>
        <w:tc>
          <w:tcPr>
            <w:tcW w:w="992" w:type="dxa"/>
            <w:vAlign w:val="center"/>
          </w:tcPr>
          <w:p w14:paraId="34A51827"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8,681</w:t>
            </w:r>
          </w:p>
        </w:tc>
        <w:tc>
          <w:tcPr>
            <w:tcW w:w="567" w:type="dxa"/>
            <w:tcBorders>
              <w:right w:val="nil"/>
            </w:tcBorders>
            <w:vAlign w:val="center"/>
          </w:tcPr>
          <w:p w14:paraId="3C9C5A59"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1.7</w:t>
            </w:r>
          </w:p>
        </w:tc>
        <w:tc>
          <w:tcPr>
            <w:tcW w:w="851" w:type="dxa"/>
            <w:tcBorders>
              <w:left w:val="nil"/>
              <w:right w:val="single" w:sz="4" w:space="0" w:color="5B9BD5" w:themeColor="accent1"/>
            </w:tcBorders>
            <w:shd w:val="clear" w:color="auto" w:fill="FFFFFF" w:themeFill="background1"/>
            <w:vAlign w:val="center"/>
          </w:tcPr>
          <w:p w14:paraId="5542DB6D"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eastAsia="Times New Roman"/>
                <w:i/>
                <w:sz w:val="18"/>
                <w:szCs w:val="18"/>
                <w:lang w:eastAsia="en-AU"/>
              </w:rPr>
            </w:pPr>
            <w:r w:rsidRPr="00E10A0A">
              <w:rPr>
                <w:i/>
                <w:sz w:val="18"/>
                <w:szCs w:val="18"/>
              </w:rPr>
              <w:t>173.2</w:t>
            </w:r>
          </w:p>
        </w:tc>
      </w:tr>
      <w:tr w:rsidR="00BF7EEB" w:rsidRPr="00E10A0A" w14:paraId="2BD89ECA"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7E656342" w14:textId="77777777" w:rsidR="00BF7EEB" w:rsidRPr="00EC7B1E" w:rsidRDefault="00BF7EEB" w:rsidP="00BF7EEB">
            <w:pPr>
              <w:jc w:val="left"/>
              <w:rPr>
                <w:rFonts w:ascii="Times New Roman" w:eastAsia="Times New Roman" w:hAnsi="Times New Roman" w:cs="Times New Roman"/>
                <w:b w:val="0"/>
                <w:bCs w:val="0"/>
                <w:i/>
                <w:sz w:val="18"/>
                <w:szCs w:val="18"/>
                <w:lang w:eastAsia="en-AU"/>
              </w:rPr>
            </w:pPr>
            <w:r w:rsidRPr="00EC7B1E">
              <w:rPr>
                <w:rFonts w:ascii="Calibri" w:eastAsia="Times New Roman" w:hAnsi="Calibri" w:cs="Calibri"/>
                <w:b w:val="0"/>
                <w:bCs w:val="0"/>
                <w:i/>
                <w:color w:val="000000"/>
                <w:sz w:val="18"/>
                <w:szCs w:val="18"/>
                <w:lang w:eastAsia="en-AU"/>
              </w:rPr>
              <w:t>Shop Stealing</w:t>
            </w:r>
          </w:p>
        </w:tc>
        <w:tc>
          <w:tcPr>
            <w:tcW w:w="992" w:type="dxa"/>
            <w:noWrap/>
            <w:vAlign w:val="center"/>
          </w:tcPr>
          <w:p w14:paraId="129DD437"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483</w:t>
            </w:r>
          </w:p>
        </w:tc>
        <w:tc>
          <w:tcPr>
            <w:tcW w:w="736" w:type="dxa"/>
            <w:noWrap/>
            <w:vAlign w:val="center"/>
          </w:tcPr>
          <w:p w14:paraId="4BE2FCF3"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6.6</w:t>
            </w:r>
          </w:p>
        </w:tc>
        <w:tc>
          <w:tcPr>
            <w:tcW w:w="948" w:type="dxa"/>
            <w:noWrap/>
            <w:vAlign w:val="center"/>
          </w:tcPr>
          <w:p w14:paraId="5E0ECE3E"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795.4</w:t>
            </w:r>
          </w:p>
        </w:tc>
        <w:tc>
          <w:tcPr>
            <w:tcW w:w="726" w:type="dxa"/>
            <w:vAlign w:val="center"/>
          </w:tcPr>
          <w:p w14:paraId="790B03CD"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255</w:t>
            </w:r>
          </w:p>
        </w:tc>
        <w:tc>
          <w:tcPr>
            <w:tcW w:w="709" w:type="dxa"/>
            <w:vAlign w:val="center"/>
          </w:tcPr>
          <w:p w14:paraId="369DC32A"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4.3</w:t>
            </w:r>
          </w:p>
        </w:tc>
        <w:tc>
          <w:tcPr>
            <w:tcW w:w="850" w:type="dxa"/>
            <w:vAlign w:val="center"/>
          </w:tcPr>
          <w:p w14:paraId="5D54E71E"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423.5</w:t>
            </w:r>
          </w:p>
        </w:tc>
        <w:tc>
          <w:tcPr>
            <w:tcW w:w="992" w:type="dxa"/>
            <w:vAlign w:val="center"/>
          </w:tcPr>
          <w:p w14:paraId="1D3340F8"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24,489</w:t>
            </w:r>
          </w:p>
        </w:tc>
        <w:tc>
          <w:tcPr>
            <w:tcW w:w="567" w:type="dxa"/>
            <w:tcBorders>
              <w:right w:val="nil"/>
            </w:tcBorders>
            <w:vAlign w:val="center"/>
          </w:tcPr>
          <w:p w14:paraId="5250201E"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4.7</w:t>
            </w:r>
          </w:p>
        </w:tc>
        <w:tc>
          <w:tcPr>
            <w:tcW w:w="851" w:type="dxa"/>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vAlign w:val="center"/>
          </w:tcPr>
          <w:p w14:paraId="66ECF750"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i/>
                <w:sz w:val="18"/>
                <w:szCs w:val="18"/>
                <w:lang w:eastAsia="en-AU"/>
              </w:rPr>
            </w:pPr>
            <w:r w:rsidRPr="00E10A0A">
              <w:rPr>
                <w:i/>
                <w:sz w:val="18"/>
                <w:szCs w:val="18"/>
              </w:rPr>
              <w:t>488.7</w:t>
            </w:r>
          </w:p>
        </w:tc>
      </w:tr>
      <w:tr w:rsidR="00BF7EEB" w:rsidRPr="00E10A0A" w14:paraId="4AE668E1"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30508659" w14:textId="77777777" w:rsidR="00BF7EEB" w:rsidRPr="00EC7B1E" w:rsidRDefault="00BF7EEB" w:rsidP="00BF7EEB">
            <w:pPr>
              <w:jc w:val="left"/>
              <w:rPr>
                <w:rFonts w:ascii="Times New Roman" w:eastAsia="Times New Roman" w:hAnsi="Times New Roman" w:cs="Times New Roman"/>
                <w:b w:val="0"/>
                <w:bCs w:val="0"/>
                <w:i/>
                <w:sz w:val="18"/>
                <w:szCs w:val="18"/>
                <w:lang w:eastAsia="en-AU"/>
              </w:rPr>
            </w:pPr>
            <w:r w:rsidRPr="00EC7B1E">
              <w:rPr>
                <w:rFonts w:ascii="Calibri" w:eastAsia="Times New Roman" w:hAnsi="Calibri" w:cs="Calibri"/>
                <w:b w:val="0"/>
                <w:bCs w:val="0"/>
                <w:i/>
                <w:color w:val="000000"/>
                <w:sz w:val="18"/>
                <w:szCs w:val="18"/>
                <w:lang w:eastAsia="en-AU"/>
              </w:rPr>
              <w:t>Vehicles (steal from/enter with intent)</w:t>
            </w:r>
          </w:p>
        </w:tc>
        <w:tc>
          <w:tcPr>
            <w:tcW w:w="992" w:type="dxa"/>
            <w:noWrap/>
            <w:vAlign w:val="center"/>
          </w:tcPr>
          <w:p w14:paraId="1C3ECB71"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395</w:t>
            </w:r>
          </w:p>
        </w:tc>
        <w:tc>
          <w:tcPr>
            <w:tcW w:w="736" w:type="dxa"/>
            <w:noWrap/>
            <w:vAlign w:val="center"/>
          </w:tcPr>
          <w:p w14:paraId="300F6FFD"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5.4</w:t>
            </w:r>
          </w:p>
        </w:tc>
        <w:tc>
          <w:tcPr>
            <w:tcW w:w="948" w:type="dxa"/>
            <w:noWrap/>
            <w:vAlign w:val="center"/>
          </w:tcPr>
          <w:p w14:paraId="5B4810C1"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650.5</w:t>
            </w:r>
          </w:p>
        </w:tc>
        <w:tc>
          <w:tcPr>
            <w:tcW w:w="726" w:type="dxa"/>
            <w:vAlign w:val="center"/>
          </w:tcPr>
          <w:p w14:paraId="76B79FC4"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303</w:t>
            </w:r>
          </w:p>
        </w:tc>
        <w:tc>
          <w:tcPr>
            <w:tcW w:w="709" w:type="dxa"/>
            <w:vAlign w:val="center"/>
          </w:tcPr>
          <w:p w14:paraId="7D79125E"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5.1</w:t>
            </w:r>
          </w:p>
        </w:tc>
        <w:tc>
          <w:tcPr>
            <w:tcW w:w="850" w:type="dxa"/>
            <w:vAlign w:val="center"/>
          </w:tcPr>
          <w:p w14:paraId="28C29D35"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503.2</w:t>
            </w:r>
          </w:p>
        </w:tc>
        <w:tc>
          <w:tcPr>
            <w:tcW w:w="992" w:type="dxa"/>
            <w:vAlign w:val="center"/>
          </w:tcPr>
          <w:p w14:paraId="4D15B3E0"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31,058</w:t>
            </w:r>
          </w:p>
        </w:tc>
        <w:tc>
          <w:tcPr>
            <w:tcW w:w="567" w:type="dxa"/>
            <w:tcBorders>
              <w:right w:val="nil"/>
            </w:tcBorders>
            <w:vAlign w:val="center"/>
          </w:tcPr>
          <w:p w14:paraId="54A26600"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6.0</w:t>
            </w:r>
          </w:p>
        </w:tc>
        <w:tc>
          <w:tcPr>
            <w:tcW w:w="851" w:type="dxa"/>
            <w:tcBorders>
              <w:left w:val="nil"/>
              <w:right w:val="single" w:sz="4" w:space="0" w:color="5B9BD5" w:themeColor="accent1"/>
            </w:tcBorders>
            <w:shd w:val="clear" w:color="auto" w:fill="FFFFFF" w:themeFill="background1"/>
            <w:vAlign w:val="center"/>
          </w:tcPr>
          <w:p w14:paraId="752FEEBB"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eastAsia="Times New Roman"/>
                <w:i/>
                <w:sz w:val="18"/>
                <w:szCs w:val="18"/>
                <w:lang w:eastAsia="en-AU"/>
              </w:rPr>
            </w:pPr>
            <w:r w:rsidRPr="00E10A0A">
              <w:rPr>
                <w:i/>
                <w:sz w:val="18"/>
                <w:szCs w:val="18"/>
              </w:rPr>
              <w:t>619.8</w:t>
            </w:r>
          </w:p>
        </w:tc>
      </w:tr>
      <w:tr w:rsidR="00BF7EEB" w:rsidRPr="00E10A0A" w14:paraId="5C8CFCE2"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04525DC7" w14:textId="77777777" w:rsidR="00BF7EEB" w:rsidRPr="00EC7B1E" w:rsidRDefault="00BF7EEB" w:rsidP="00BF7EEB">
            <w:pPr>
              <w:jc w:val="left"/>
              <w:rPr>
                <w:rFonts w:ascii="Times New Roman" w:eastAsia="Times New Roman" w:hAnsi="Times New Roman" w:cs="Times New Roman"/>
                <w:b w:val="0"/>
                <w:bCs w:val="0"/>
                <w:i/>
                <w:sz w:val="18"/>
                <w:szCs w:val="18"/>
                <w:lang w:eastAsia="en-AU"/>
              </w:rPr>
            </w:pPr>
            <w:r w:rsidRPr="00EC7B1E">
              <w:rPr>
                <w:rFonts w:ascii="Calibri" w:eastAsia="Times New Roman" w:hAnsi="Calibri" w:cs="Calibri"/>
                <w:b w:val="0"/>
                <w:bCs w:val="0"/>
                <w:i/>
                <w:color w:val="000000"/>
                <w:sz w:val="18"/>
                <w:szCs w:val="18"/>
                <w:lang w:eastAsia="en-AU"/>
              </w:rPr>
              <w:t>Other Stealing</w:t>
            </w:r>
          </w:p>
        </w:tc>
        <w:tc>
          <w:tcPr>
            <w:tcW w:w="992" w:type="dxa"/>
            <w:noWrap/>
            <w:vAlign w:val="center"/>
          </w:tcPr>
          <w:p w14:paraId="66E44D31"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657</w:t>
            </w:r>
          </w:p>
        </w:tc>
        <w:tc>
          <w:tcPr>
            <w:tcW w:w="736" w:type="dxa"/>
            <w:noWrap/>
            <w:vAlign w:val="center"/>
          </w:tcPr>
          <w:p w14:paraId="5F724FF4"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9.0</w:t>
            </w:r>
          </w:p>
        </w:tc>
        <w:tc>
          <w:tcPr>
            <w:tcW w:w="948" w:type="dxa"/>
            <w:noWrap/>
            <w:vAlign w:val="center"/>
          </w:tcPr>
          <w:p w14:paraId="3F7226D9"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1,081.9</w:t>
            </w:r>
          </w:p>
        </w:tc>
        <w:tc>
          <w:tcPr>
            <w:tcW w:w="726" w:type="dxa"/>
            <w:vAlign w:val="center"/>
          </w:tcPr>
          <w:p w14:paraId="19491931"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543</w:t>
            </w:r>
          </w:p>
        </w:tc>
        <w:tc>
          <w:tcPr>
            <w:tcW w:w="709" w:type="dxa"/>
            <w:vAlign w:val="center"/>
          </w:tcPr>
          <w:p w14:paraId="245835C8"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9.1</w:t>
            </w:r>
          </w:p>
        </w:tc>
        <w:tc>
          <w:tcPr>
            <w:tcW w:w="850" w:type="dxa"/>
            <w:vAlign w:val="center"/>
          </w:tcPr>
          <w:p w14:paraId="67141059"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901.7</w:t>
            </w:r>
          </w:p>
        </w:tc>
        <w:tc>
          <w:tcPr>
            <w:tcW w:w="992" w:type="dxa"/>
            <w:vAlign w:val="center"/>
          </w:tcPr>
          <w:p w14:paraId="07C4063E"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62,172</w:t>
            </w:r>
          </w:p>
        </w:tc>
        <w:tc>
          <w:tcPr>
            <w:tcW w:w="567" w:type="dxa"/>
            <w:tcBorders>
              <w:right w:val="nil"/>
            </w:tcBorders>
            <w:vAlign w:val="center"/>
          </w:tcPr>
          <w:p w14:paraId="06303F2F"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12.0</w:t>
            </w:r>
          </w:p>
        </w:tc>
        <w:tc>
          <w:tcPr>
            <w:tcW w:w="851" w:type="dxa"/>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vAlign w:val="center"/>
          </w:tcPr>
          <w:p w14:paraId="03F4AC92"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i/>
                <w:sz w:val="18"/>
                <w:szCs w:val="18"/>
                <w:lang w:eastAsia="en-AU"/>
              </w:rPr>
            </w:pPr>
            <w:r w:rsidRPr="00E10A0A">
              <w:rPr>
                <w:i/>
                <w:sz w:val="18"/>
                <w:szCs w:val="18"/>
              </w:rPr>
              <w:t>1,240.7</w:t>
            </w:r>
          </w:p>
        </w:tc>
      </w:tr>
      <w:tr w:rsidR="00BF7EEB" w:rsidRPr="00E10A0A" w14:paraId="1015094F"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27CE4B83" w14:textId="77777777" w:rsidR="00BF7EEB" w:rsidRPr="00E10A0A" w:rsidRDefault="00BF7EEB" w:rsidP="00BF7EEB">
            <w:pPr>
              <w:jc w:val="left"/>
              <w:rPr>
                <w:rFonts w:ascii="Times New Roman" w:eastAsia="Times New Roman" w:hAnsi="Times New Roman" w:cs="Times New Roman"/>
                <w:sz w:val="18"/>
                <w:szCs w:val="18"/>
                <w:lang w:eastAsia="en-AU"/>
              </w:rPr>
            </w:pPr>
            <w:r w:rsidRPr="00E10A0A">
              <w:rPr>
                <w:rFonts w:ascii="Calibri" w:eastAsia="Times New Roman" w:hAnsi="Calibri" w:cs="Calibri"/>
                <w:color w:val="000000"/>
                <w:sz w:val="18"/>
                <w:szCs w:val="18"/>
                <w:lang w:eastAsia="en-AU"/>
              </w:rPr>
              <w:t>Drug Offences, including:</w:t>
            </w:r>
          </w:p>
        </w:tc>
        <w:tc>
          <w:tcPr>
            <w:tcW w:w="992" w:type="dxa"/>
            <w:noWrap/>
            <w:vAlign w:val="center"/>
          </w:tcPr>
          <w:p w14:paraId="30339929"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1,088</w:t>
            </w:r>
          </w:p>
        </w:tc>
        <w:tc>
          <w:tcPr>
            <w:tcW w:w="736" w:type="dxa"/>
            <w:noWrap/>
            <w:vAlign w:val="center"/>
          </w:tcPr>
          <w:p w14:paraId="4687990E"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15.0</w:t>
            </w:r>
          </w:p>
        </w:tc>
        <w:tc>
          <w:tcPr>
            <w:tcW w:w="948" w:type="dxa"/>
            <w:noWrap/>
            <w:vAlign w:val="center"/>
          </w:tcPr>
          <w:p w14:paraId="5B077BC9"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1,791.6</w:t>
            </w:r>
          </w:p>
        </w:tc>
        <w:tc>
          <w:tcPr>
            <w:tcW w:w="726" w:type="dxa"/>
            <w:vAlign w:val="center"/>
          </w:tcPr>
          <w:p w14:paraId="4924B5B8"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930</w:t>
            </w:r>
          </w:p>
        </w:tc>
        <w:tc>
          <w:tcPr>
            <w:tcW w:w="709" w:type="dxa"/>
            <w:vAlign w:val="center"/>
          </w:tcPr>
          <w:p w14:paraId="205C3CAC"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15.6</w:t>
            </w:r>
          </w:p>
        </w:tc>
        <w:tc>
          <w:tcPr>
            <w:tcW w:w="850" w:type="dxa"/>
            <w:vAlign w:val="center"/>
          </w:tcPr>
          <w:p w14:paraId="0D904A62"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1544.4</w:t>
            </w:r>
          </w:p>
        </w:tc>
        <w:tc>
          <w:tcPr>
            <w:tcW w:w="992" w:type="dxa"/>
            <w:vAlign w:val="center"/>
          </w:tcPr>
          <w:p w14:paraId="73825868"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81,659</w:t>
            </w:r>
          </w:p>
        </w:tc>
        <w:tc>
          <w:tcPr>
            <w:tcW w:w="567" w:type="dxa"/>
            <w:tcBorders>
              <w:right w:val="nil"/>
            </w:tcBorders>
            <w:vAlign w:val="center"/>
          </w:tcPr>
          <w:p w14:paraId="6A868092"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15.8</w:t>
            </w:r>
          </w:p>
        </w:tc>
        <w:tc>
          <w:tcPr>
            <w:tcW w:w="851" w:type="dxa"/>
            <w:tcBorders>
              <w:left w:val="nil"/>
              <w:right w:val="single" w:sz="4" w:space="0" w:color="5B9BD5" w:themeColor="accent1"/>
            </w:tcBorders>
            <w:shd w:val="clear" w:color="auto" w:fill="FFFFFF" w:themeFill="background1"/>
            <w:vAlign w:val="center"/>
          </w:tcPr>
          <w:p w14:paraId="44FF455E"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eastAsia="Times New Roman"/>
                <w:b/>
                <w:sz w:val="18"/>
                <w:szCs w:val="18"/>
                <w:lang w:eastAsia="en-AU"/>
              </w:rPr>
            </w:pPr>
            <w:r w:rsidRPr="00E10A0A">
              <w:rPr>
                <w:b/>
                <w:sz w:val="18"/>
                <w:szCs w:val="18"/>
              </w:rPr>
              <w:t>1629.5</w:t>
            </w:r>
          </w:p>
        </w:tc>
      </w:tr>
      <w:tr w:rsidR="00BF7EEB" w:rsidRPr="00E10A0A" w14:paraId="2533756E"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1212CD3B" w14:textId="77777777" w:rsidR="00BF7EEB" w:rsidRPr="00EC7B1E" w:rsidRDefault="00BF7EEB" w:rsidP="00BF7EEB">
            <w:pPr>
              <w:jc w:val="left"/>
              <w:rPr>
                <w:rFonts w:ascii="Times New Roman" w:eastAsia="Times New Roman" w:hAnsi="Times New Roman" w:cs="Times New Roman"/>
                <w:b w:val="0"/>
                <w:bCs w:val="0"/>
                <w:i/>
                <w:sz w:val="18"/>
                <w:szCs w:val="18"/>
                <w:lang w:eastAsia="en-AU"/>
              </w:rPr>
            </w:pPr>
            <w:r w:rsidRPr="00EC7B1E">
              <w:rPr>
                <w:rFonts w:ascii="Calibri" w:eastAsia="Times New Roman" w:hAnsi="Calibri" w:cs="Calibri"/>
                <w:b w:val="0"/>
                <w:bCs w:val="0"/>
                <w:i/>
                <w:color w:val="000000"/>
                <w:sz w:val="18"/>
                <w:szCs w:val="18"/>
                <w:lang w:eastAsia="en-AU"/>
              </w:rPr>
              <w:t>Trafficking Drugs</w:t>
            </w:r>
          </w:p>
        </w:tc>
        <w:tc>
          <w:tcPr>
            <w:tcW w:w="992" w:type="dxa"/>
            <w:noWrap/>
            <w:vAlign w:val="center"/>
          </w:tcPr>
          <w:p w14:paraId="76580661"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4</w:t>
            </w:r>
          </w:p>
        </w:tc>
        <w:tc>
          <w:tcPr>
            <w:tcW w:w="736" w:type="dxa"/>
            <w:noWrap/>
            <w:vAlign w:val="center"/>
          </w:tcPr>
          <w:p w14:paraId="29F9AF0D"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0.1</w:t>
            </w:r>
          </w:p>
        </w:tc>
        <w:tc>
          <w:tcPr>
            <w:tcW w:w="948" w:type="dxa"/>
            <w:noWrap/>
            <w:vAlign w:val="center"/>
          </w:tcPr>
          <w:p w14:paraId="6ABD4A48"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6.6</w:t>
            </w:r>
          </w:p>
        </w:tc>
        <w:tc>
          <w:tcPr>
            <w:tcW w:w="726" w:type="dxa"/>
            <w:vAlign w:val="center"/>
          </w:tcPr>
          <w:p w14:paraId="7AD78DB6"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4</w:t>
            </w:r>
          </w:p>
        </w:tc>
        <w:tc>
          <w:tcPr>
            <w:tcW w:w="709" w:type="dxa"/>
            <w:vAlign w:val="center"/>
          </w:tcPr>
          <w:p w14:paraId="3A646BFD"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0.1</w:t>
            </w:r>
          </w:p>
        </w:tc>
        <w:tc>
          <w:tcPr>
            <w:tcW w:w="850" w:type="dxa"/>
            <w:vAlign w:val="center"/>
          </w:tcPr>
          <w:p w14:paraId="398F9FE7"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6.6</w:t>
            </w:r>
          </w:p>
        </w:tc>
        <w:tc>
          <w:tcPr>
            <w:tcW w:w="992" w:type="dxa"/>
            <w:vAlign w:val="center"/>
          </w:tcPr>
          <w:p w14:paraId="55F63656"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575</w:t>
            </w:r>
          </w:p>
        </w:tc>
        <w:tc>
          <w:tcPr>
            <w:tcW w:w="567" w:type="dxa"/>
            <w:tcBorders>
              <w:right w:val="nil"/>
            </w:tcBorders>
            <w:vAlign w:val="center"/>
          </w:tcPr>
          <w:p w14:paraId="618F5DC7"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0.1</w:t>
            </w:r>
          </w:p>
        </w:tc>
        <w:tc>
          <w:tcPr>
            <w:tcW w:w="851" w:type="dxa"/>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vAlign w:val="center"/>
          </w:tcPr>
          <w:p w14:paraId="540D81A5"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i/>
                <w:sz w:val="18"/>
                <w:szCs w:val="18"/>
                <w:lang w:eastAsia="en-AU"/>
              </w:rPr>
            </w:pPr>
            <w:r w:rsidRPr="00E10A0A">
              <w:rPr>
                <w:i/>
                <w:sz w:val="18"/>
                <w:szCs w:val="18"/>
              </w:rPr>
              <w:t>11.5</w:t>
            </w:r>
          </w:p>
        </w:tc>
      </w:tr>
      <w:tr w:rsidR="00BF7EEB" w:rsidRPr="00E10A0A" w14:paraId="12F5A9EE"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422CB24F" w14:textId="77777777" w:rsidR="00BF7EEB" w:rsidRPr="00EC7B1E" w:rsidRDefault="00BF7EEB" w:rsidP="00BF7EEB">
            <w:pPr>
              <w:jc w:val="left"/>
              <w:rPr>
                <w:rFonts w:ascii="Times New Roman" w:eastAsia="Times New Roman" w:hAnsi="Times New Roman" w:cs="Times New Roman"/>
                <w:b w:val="0"/>
                <w:bCs w:val="0"/>
                <w:i/>
                <w:sz w:val="18"/>
                <w:szCs w:val="18"/>
                <w:lang w:eastAsia="en-AU"/>
              </w:rPr>
            </w:pPr>
            <w:r w:rsidRPr="00EC7B1E">
              <w:rPr>
                <w:rFonts w:ascii="Calibri" w:eastAsia="Times New Roman" w:hAnsi="Calibri" w:cs="Calibri"/>
                <w:b w:val="0"/>
                <w:bCs w:val="0"/>
                <w:i/>
                <w:color w:val="000000"/>
                <w:sz w:val="18"/>
                <w:szCs w:val="18"/>
                <w:lang w:eastAsia="en-AU"/>
              </w:rPr>
              <w:t>Possess Drugs</w:t>
            </w:r>
          </w:p>
        </w:tc>
        <w:tc>
          <w:tcPr>
            <w:tcW w:w="992" w:type="dxa"/>
            <w:noWrap/>
            <w:vAlign w:val="center"/>
          </w:tcPr>
          <w:p w14:paraId="47C16720"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506</w:t>
            </w:r>
          </w:p>
        </w:tc>
        <w:tc>
          <w:tcPr>
            <w:tcW w:w="736" w:type="dxa"/>
            <w:noWrap/>
            <w:vAlign w:val="center"/>
          </w:tcPr>
          <w:p w14:paraId="619E1C14"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7.0</w:t>
            </w:r>
          </w:p>
        </w:tc>
        <w:tc>
          <w:tcPr>
            <w:tcW w:w="948" w:type="dxa"/>
            <w:noWrap/>
            <w:vAlign w:val="center"/>
          </w:tcPr>
          <w:p w14:paraId="09A802DC"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833.2</w:t>
            </w:r>
          </w:p>
        </w:tc>
        <w:tc>
          <w:tcPr>
            <w:tcW w:w="726" w:type="dxa"/>
            <w:vAlign w:val="center"/>
          </w:tcPr>
          <w:p w14:paraId="0D82725D"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418</w:t>
            </w:r>
          </w:p>
        </w:tc>
        <w:tc>
          <w:tcPr>
            <w:tcW w:w="709" w:type="dxa"/>
            <w:vAlign w:val="center"/>
          </w:tcPr>
          <w:p w14:paraId="606A155A"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7.0</w:t>
            </w:r>
          </w:p>
        </w:tc>
        <w:tc>
          <w:tcPr>
            <w:tcW w:w="850" w:type="dxa"/>
            <w:vAlign w:val="center"/>
          </w:tcPr>
          <w:p w14:paraId="60C2070B"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694.1</w:t>
            </w:r>
          </w:p>
        </w:tc>
        <w:tc>
          <w:tcPr>
            <w:tcW w:w="992" w:type="dxa"/>
            <w:vAlign w:val="center"/>
          </w:tcPr>
          <w:p w14:paraId="0E9519AD"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35,349</w:t>
            </w:r>
          </w:p>
        </w:tc>
        <w:tc>
          <w:tcPr>
            <w:tcW w:w="567" w:type="dxa"/>
            <w:tcBorders>
              <w:right w:val="nil"/>
            </w:tcBorders>
            <w:vAlign w:val="center"/>
          </w:tcPr>
          <w:p w14:paraId="0906ABD0"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6.8</w:t>
            </w:r>
          </w:p>
        </w:tc>
        <w:tc>
          <w:tcPr>
            <w:tcW w:w="851" w:type="dxa"/>
            <w:tcBorders>
              <w:left w:val="nil"/>
              <w:right w:val="single" w:sz="4" w:space="0" w:color="5B9BD5" w:themeColor="accent1"/>
            </w:tcBorders>
            <w:shd w:val="clear" w:color="auto" w:fill="FFFFFF" w:themeFill="background1"/>
            <w:vAlign w:val="center"/>
          </w:tcPr>
          <w:p w14:paraId="5FF9F33F"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eastAsia="Times New Roman"/>
                <w:i/>
                <w:sz w:val="18"/>
                <w:szCs w:val="18"/>
                <w:lang w:eastAsia="en-AU"/>
              </w:rPr>
            </w:pPr>
            <w:r w:rsidRPr="00E10A0A">
              <w:rPr>
                <w:i/>
                <w:sz w:val="18"/>
                <w:szCs w:val="18"/>
              </w:rPr>
              <w:t>705.4</w:t>
            </w:r>
          </w:p>
        </w:tc>
      </w:tr>
      <w:tr w:rsidR="00BF7EEB" w:rsidRPr="00E10A0A" w14:paraId="38934AA8"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7584D478" w14:textId="77777777" w:rsidR="00BF7EEB" w:rsidRPr="00EC7B1E" w:rsidRDefault="00BF7EEB" w:rsidP="00BF7EEB">
            <w:pPr>
              <w:jc w:val="left"/>
              <w:rPr>
                <w:rFonts w:ascii="Times New Roman" w:eastAsia="Times New Roman" w:hAnsi="Times New Roman" w:cs="Times New Roman"/>
                <w:b w:val="0"/>
                <w:bCs w:val="0"/>
                <w:i/>
                <w:sz w:val="18"/>
                <w:szCs w:val="18"/>
                <w:lang w:eastAsia="en-AU"/>
              </w:rPr>
            </w:pPr>
            <w:r w:rsidRPr="00EC7B1E">
              <w:rPr>
                <w:rFonts w:ascii="Calibri" w:eastAsia="Times New Roman" w:hAnsi="Calibri" w:cs="Calibri"/>
                <w:b w:val="0"/>
                <w:bCs w:val="0"/>
                <w:i/>
                <w:color w:val="000000"/>
                <w:sz w:val="18"/>
                <w:szCs w:val="18"/>
                <w:lang w:eastAsia="en-AU"/>
              </w:rPr>
              <w:t>Produce Drugs</w:t>
            </w:r>
          </w:p>
        </w:tc>
        <w:tc>
          <w:tcPr>
            <w:tcW w:w="992" w:type="dxa"/>
            <w:noWrap/>
            <w:vAlign w:val="center"/>
          </w:tcPr>
          <w:p w14:paraId="03D7E49A"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32</w:t>
            </w:r>
          </w:p>
        </w:tc>
        <w:tc>
          <w:tcPr>
            <w:tcW w:w="736" w:type="dxa"/>
            <w:noWrap/>
            <w:vAlign w:val="center"/>
          </w:tcPr>
          <w:p w14:paraId="0C6995BB"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0.4</w:t>
            </w:r>
          </w:p>
        </w:tc>
        <w:tc>
          <w:tcPr>
            <w:tcW w:w="948" w:type="dxa"/>
            <w:noWrap/>
            <w:vAlign w:val="center"/>
          </w:tcPr>
          <w:p w14:paraId="49A1D9BC"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52.7</w:t>
            </w:r>
          </w:p>
        </w:tc>
        <w:tc>
          <w:tcPr>
            <w:tcW w:w="726" w:type="dxa"/>
            <w:vAlign w:val="center"/>
          </w:tcPr>
          <w:p w14:paraId="612AE0FB"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30</w:t>
            </w:r>
          </w:p>
        </w:tc>
        <w:tc>
          <w:tcPr>
            <w:tcW w:w="709" w:type="dxa"/>
            <w:vAlign w:val="center"/>
          </w:tcPr>
          <w:p w14:paraId="4505D54D"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0.5</w:t>
            </w:r>
          </w:p>
        </w:tc>
        <w:tc>
          <w:tcPr>
            <w:tcW w:w="850" w:type="dxa"/>
            <w:vAlign w:val="center"/>
          </w:tcPr>
          <w:p w14:paraId="0BD4B5D4"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49.8</w:t>
            </w:r>
          </w:p>
        </w:tc>
        <w:tc>
          <w:tcPr>
            <w:tcW w:w="992" w:type="dxa"/>
            <w:vAlign w:val="center"/>
          </w:tcPr>
          <w:p w14:paraId="7A504B19"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1,638</w:t>
            </w:r>
          </w:p>
        </w:tc>
        <w:tc>
          <w:tcPr>
            <w:tcW w:w="567" w:type="dxa"/>
            <w:tcBorders>
              <w:right w:val="nil"/>
            </w:tcBorders>
            <w:vAlign w:val="center"/>
          </w:tcPr>
          <w:p w14:paraId="755DEA0D"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0.3</w:t>
            </w:r>
          </w:p>
        </w:tc>
        <w:tc>
          <w:tcPr>
            <w:tcW w:w="851" w:type="dxa"/>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vAlign w:val="center"/>
          </w:tcPr>
          <w:p w14:paraId="2EE8EB30"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i/>
                <w:sz w:val="18"/>
                <w:szCs w:val="18"/>
                <w:lang w:eastAsia="en-AU"/>
              </w:rPr>
            </w:pPr>
            <w:r w:rsidRPr="00E10A0A">
              <w:rPr>
                <w:i/>
                <w:sz w:val="18"/>
                <w:szCs w:val="18"/>
              </w:rPr>
              <w:t>32.7</w:t>
            </w:r>
          </w:p>
        </w:tc>
      </w:tr>
      <w:tr w:rsidR="00BF7EEB" w:rsidRPr="00E10A0A" w14:paraId="1747D293"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05A3EE0B" w14:textId="77777777" w:rsidR="00BF7EEB" w:rsidRPr="00EC7B1E" w:rsidRDefault="00BF7EEB" w:rsidP="00BF7EEB">
            <w:pPr>
              <w:jc w:val="left"/>
              <w:rPr>
                <w:rFonts w:ascii="Times New Roman" w:eastAsia="Times New Roman" w:hAnsi="Times New Roman" w:cs="Times New Roman"/>
                <w:b w:val="0"/>
                <w:bCs w:val="0"/>
                <w:i/>
                <w:sz w:val="18"/>
                <w:szCs w:val="18"/>
                <w:lang w:eastAsia="en-AU"/>
              </w:rPr>
            </w:pPr>
            <w:r w:rsidRPr="00EC7B1E">
              <w:rPr>
                <w:rFonts w:ascii="Calibri" w:eastAsia="Times New Roman" w:hAnsi="Calibri" w:cs="Calibri"/>
                <w:b w:val="0"/>
                <w:bCs w:val="0"/>
                <w:i/>
                <w:color w:val="000000"/>
                <w:sz w:val="18"/>
                <w:szCs w:val="18"/>
                <w:lang w:eastAsia="en-AU"/>
              </w:rPr>
              <w:t>Sell Supply Drugs</w:t>
            </w:r>
          </w:p>
        </w:tc>
        <w:tc>
          <w:tcPr>
            <w:tcW w:w="992" w:type="dxa"/>
            <w:noWrap/>
            <w:vAlign w:val="center"/>
          </w:tcPr>
          <w:p w14:paraId="7CEFDBC2"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29</w:t>
            </w:r>
          </w:p>
        </w:tc>
        <w:tc>
          <w:tcPr>
            <w:tcW w:w="736" w:type="dxa"/>
            <w:noWrap/>
            <w:vAlign w:val="center"/>
          </w:tcPr>
          <w:p w14:paraId="18CE916C"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0.4</w:t>
            </w:r>
          </w:p>
        </w:tc>
        <w:tc>
          <w:tcPr>
            <w:tcW w:w="948" w:type="dxa"/>
            <w:noWrap/>
            <w:vAlign w:val="center"/>
          </w:tcPr>
          <w:p w14:paraId="47AD9E19"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47.8</w:t>
            </w:r>
          </w:p>
        </w:tc>
        <w:tc>
          <w:tcPr>
            <w:tcW w:w="726" w:type="dxa"/>
            <w:vAlign w:val="center"/>
          </w:tcPr>
          <w:p w14:paraId="6A96F1F5"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30</w:t>
            </w:r>
          </w:p>
        </w:tc>
        <w:tc>
          <w:tcPr>
            <w:tcW w:w="709" w:type="dxa"/>
            <w:vAlign w:val="center"/>
          </w:tcPr>
          <w:p w14:paraId="3BCD2BC8"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0.5</w:t>
            </w:r>
          </w:p>
        </w:tc>
        <w:tc>
          <w:tcPr>
            <w:tcW w:w="850" w:type="dxa"/>
            <w:vAlign w:val="center"/>
          </w:tcPr>
          <w:p w14:paraId="49156116"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49.8</w:t>
            </w:r>
          </w:p>
        </w:tc>
        <w:tc>
          <w:tcPr>
            <w:tcW w:w="992" w:type="dxa"/>
            <w:vAlign w:val="center"/>
          </w:tcPr>
          <w:p w14:paraId="543A6321"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7,023</w:t>
            </w:r>
          </w:p>
        </w:tc>
        <w:tc>
          <w:tcPr>
            <w:tcW w:w="567" w:type="dxa"/>
            <w:tcBorders>
              <w:right w:val="nil"/>
            </w:tcBorders>
            <w:vAlign w:val="center"/>
          </w:tcPr>
          <w:p w14:paraId="5EF9D688"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1.4</w:t>
            </w:r>
          </w:p>
        </w:tc>
        <w:tc>
          <w:tcPr>
            <w:tcW w:w="851" w:type="dxa"/>
            <w:tcBorders>
              <w:left w:val="nil"/>
              <w:right w:val="single" w:sz="4" w:space="0" w:color="5B9BD5" w:themeColor="accent1"/>
            </w:tcBorders>
            <w:shd w:val="clear" w:color="auto" w:fill="FFFFFF" w:themeFill="background1"/>
            <w:vAlign w:val="center"/>
          </w:tcPr>
          <w:p w14:paraId="31A80EAD"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eastAsia="Times New Roman"/>
                <w:i/>
                <w:sz w:val="18"/>
                <w:szCs w:val="18"/>
                <w:lang w:eastAsia="en-AU"/>
              </w:rPr>
            </w:pPr>
            <w:r w:rsidRPr="00E10A0A">
              <w:rPr>
                <w:i/>
                <w:sz w:val="18"/>
                <w:szCs w:val="18"/>
              </w:rPr>
              <w:t>140.2</w:t>
            </w:r>
          </w:p>
        </w:tc>
      </w:tr>
      <w:tr w:rsidR="00BF7EEB" w:rsidRPr="00E10A0A" w14:paraId="166269DE"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39660F12" w14:textId="77777777" w:rsidR="00BF7EEB" w:rsidRPr="00EC7B1E" w:rsidRDefault="00BF7EEB" w:rsidP="00BF7EEB">
            <w:pPr>
              <w:jc w:val="left"/>
              <w:rPr>
                <w:rFonts w:ascii="Times New Roman" w:eastAsia="Times New Roman" w:hAnsi="Times New Roman" w:cs="Times New Roman"/>
                <w:b w:val="0"/>
                <w:bCs w:val="0"/>
                <w:i/>
                <w:sz w:val="18"/>
                <w:szCs w:val="18"/>
                <w:lang w:eastAsia="en-AU"/>
              </w:rPr>
            </w:pPr>
            <w:r w:rsidRPr="00EC7B1E">
              <w:rPr>
                <w:rFonts w:ascii="Calibri" w:eastAsia="Times New Roman" w:hAnsi="Calibri" w:cs="Calibri"/>
                <w:b w:val="0"/>
                <w:bCs w:val="0"/>
                <w:i/>
                <w:color w:val="000000"/>
                <w:sz w:val="18"/>
                <w:szCs w:val="18"/>
                <w:lang w:eastAsia="en-AU"/>
              </w:rPr>
              <w:t>Other Drug Offences</w:t>
            </w:r>
          </w:p>
        </w:tc>
        <w:tc>
          <w:tcPr>
            <w:tcW w:w="992" w:type="dxa"/>
            <w:noWrap/>
            <w:vAlign w:val="center"/>
          </w:tcPr>
          <w:p w14:paraId="1B5CEBD3"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517</w:t>
            </w:r>
          </w:p>
        </w:tc>
        <w:tc>
          <w:tcPr>
            <w:tcW w:w="736" w:type="dxa"/>
            <w:noWrap/>
            <w:vAlign w:val="center"/>
          </w:tcPr>
          <w:p w14:paraId="56CFBFAA"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7.1</w:t>
            </w:r>
          </w:p>
        </w:tc>
        <w:tc>
          <w:tcPr>
            <w:tcW w:w="948" w:type="dxa"/>
            <w:noWrap/>
            <w:vAlign w:val="center"/>
          </w:tcPr>
          <w:p w14:paraId="7AF8B791"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851.4</w:t>
            </w:r>
          </w:p>
        </w:tc>
        <w:tc>
          <w:tcPr>
            <w:tcW w:w="726" w:type="dxa"/>
            <w:vAlign w:val="center"/>
          </w:tcPr>
          <w:p w14:paraId="32A73B93"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448</w:t>
            </w:r>
          </w:p>
        </w:tc>
        <w:tc>
          <w:tcPr>
            <w:tcW w:w="709" w:type="dxa"/>
            <w:vAlign w:val="center"/>
          </w:tcPr>
          <w:p w14:paraId="54A540A8"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7.5</w:t>
            </w:r>
          </w:p>
        </w:tc>
        <w:tc>
          <w:tcPr>
            <w:tcW w:w="850" w:type="dxa"/>
            <w:vAlign w:val="center"/>
          </w:tcPr>
          <w:p w14:paraId="62AE4718"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744.0</w:t>
            </w:r>
          </w:p>
        </w:tc>
        <w:tc>
          <w:tcPr>
            <w:tcW w:w="992" w:type="dxa"/>
            <w:vAlign w:val="center"/>
          </w:tcPr>
          <w:p w14:paraId="52EA4A4B"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8"/>
                <w:szCs w:val="18"/>
                <w:lang w:eastAsia="en-AU"/>
              </w:rPr>
            </w:pPr>
            <w:r w:rsidRPr="00E10A0A">
              <w:rPr>
                <w:rFonts w:ascii="Calibri" w:eastAsia="Times New Roman" w:hAnsi="Calibri" w:cs="Calibri"/>
                <w:i/>
                <w:color w:val="000000"/>
                <w:sz w:val="18"/>
                <w:szCs w:val="18"/>
                <w:lang w:eastAsia="en-AU"/>
              </w:rPr>
              <w:t>37,074</w:t>
            </w:r>
          </w:p>
        </w:tc>
        <w:tc>
          <w:tcPr>
            <w:tcW w:w="567" w:type="dxa"/>
            <w:tcBorders>
              <w:right w:val="nil"/>
            </w:tcBorders>
            <w:vAlign w:val="center"/>
          </w:tcPr>
          <w:p w14:paraId="013112A4"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7.2</w:t>
            </w:r>
          </w:p>
        </w:tc>
        <w:tc>
          <w:tcPr>
            <w:tcW w:w="851" w:type="dxa"/>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vAlign w:val="center"/>
          </w:tcPr>
          <w:p w14:paraId="52A4C690"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i/>
                <w:sz w:val="18"/>
                <w:szCs w:val="18"/>
                <w:lang w:eastAsia="en-AU"/>
              </w:rPr>
            </w:pPr>
            <w:r w:rsidRPr="00E10A0A">
              <w:rPr>
                <w:i/>
                <w:sz w:val="18"/>
                <w:szCs w:val="18"/>
              </w:rPr>
              <w:t>739.8</w:t>
            </w:r>
          </w:p>
        </w:tc>
      </w:tr>
      <w:tr w:rsidR="00BF7EEB" w:rsidRPr="00E10A0A" w14:paraId="675CD347"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588429A3" w14:textId="77777777" w:rsidR="00BF7EEB" w:rsidRPr="00E10A0A" w:rsidRDefault="00BF7EEB" w:rsidP="00BF7EEB">
            <w:pPr>
              <w:jc w:val="left"/>
              <w:rPr>
                <w:rFonts w:ascii="Times New Roman" w:eastAsia="Times New Roman" w:hAnsi="Times New Roman" w:cs="Times New Roman"/>
                <w:sz w:val="18"/>
                <w:szCs w:val="18"/>
                <w:lang w:eastAsia="en-AU"/>
              </w:rPr>
            </w:pPr>
            <w:r w:rsidRPr="00E10A0A">
              <w:rPr>
                <w:rFonts w:ascii="Calibri" w:eastAsia="Times New Roman" w:hAnsi="Calibri" w:cs="Calibri"/>
                <w:color w:val="000000"/>
                <w:sz w:val="18"/>
                <w:szCs w:val="18"/>
                <w:lang w:eastAsia="en-AU"/>
              </w:rPr>
              <w:t>Liquor (excl. Drunkenness)</w:t>
            </w:r>
          </w:p>
        </w:tc>
        <w:tc>
          <w:tcPr>
            <w:tcW w:w="992" w:type="dxa"/>
            <w:noWrap/>
            <w:vAlign w:val="center"/>
          </w:tcPr>
          <w:p w14:paraId="613E30B3"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33</w:t>
            </w:r>
          </w:p>
        </w:tc>
        <w:tc>
          <w:tcPr>
            <w:tcW w:w="736" w:type="dxa"/>
            <w:noWrap/>
            <w:vAlign w:val="center"/>
          </w:tcPr>
          <w:p w14:paraId="29DF1EBE"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0.5</w:t>
            </w:r>
          </w:p>
        </w:tc>
        <w:tc>
          <w:tcPr>
            <w:tcW w:w="948" w:type="dxa"/>
            <w:noWrap/>
            <w:vAlign w:val="center"/>
          </w:tcPr>
          <w:p w14:paraId="6FAB1F16"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54.3</w:t>
            </w:r>
          </w:p>
        </w:tc>
        <w:tc>
          <w:tcPr>
            <w:tcW w:w="726" w:type="dxa"/>
            <w:vAlign w:val="center"/>
          </w:tcPr>
          <w:p w14:paraId="12D47473"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31</w:t>
            </w:r>
          </w:p>
        </w:tc>
        <w:tc>
          <w:tcPr>
            <w:tcW w:w="709" w:type="dxa"/>
            <w:vAlign w:val="center"/>
          </w:tcPr>
          <w:p w14:paraId="7B841127"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0.5</w:t>
            </w:r>
          </w:p>
        </w:tc>
        <w:tc>
          <w:tcPr>
            <w:tcW w:w="850" w:type="dxa"/>
            <w:vAlign w:val="center"/>
          </w:tcPr>
          <w:p w14:paraId="1492F9E9"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51.5</w:t>
            </w:r>
          </w:p>
        </w:tc>
        <w:tc>
          <w:tcPr>
            <w:tcW w:w="992" w:type="dxa"/>
            <w:vAlign w:val="center"/>
          </w:tcPr>
          <w:p w14:paraId="658A131E"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3,961</w:t>
            </w:r>
          </w:p>
        </w:tc>
        <w:tc>
          <w:tcPr>
            <w:tcW w:w="567" w:type="dxa"/>
            <w:tcBorders>
              <w:right w:val="nil"/>
            </w:tcBorders>
            <w:vAlign w:val="center"/>
          </w:tcPr>
          <w:p w14:paraId="7D0C5DEE"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0.8</w:t>
            </w:r>
          </w:p>
        </w:tc>
        <w:tc>
          <w:tcPr>
            <w:tcW w:w="851" w:type="dxa"/>
            <w:tcBorders>
              <w:left w:val="nil"/>
              <w:right w:val="single" w:sz="4" w:space="0" w:color="5B9BD5" w:themeColor="accent1"/>
            </w:tcBorders>
            <w:shd w:val="clear" w:color="auto" w:fill="FFFFFF" w:themeFill="background1"/>
            <w:vAlign w:val="center"/>
          </w:tcPr>
          <w:p w14:paraId="5E7C7336"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eastAsia="Times New Roman"/>
                <w:b/>
                <w:sz w:val="18"/>
                <w:szCs w:val="18"/>
                <w:lang w:eastAsia="en-AU"/>
              </w:rPr>
            </w:pPr>
            <w:r w:rsidRPr="00E10A0A">
              <w:rPr>
                <w:b/>
                <w:sz w:val="18"/>
                <w:szCs w:val="18"/>
              </w:rPr>
              <w:t>79.0</w:t>
            </w:r>
          </w:p>
        </w:tc>
      </w:tr>
      <w:tr w:rsidR="00BF7EEB" w:rsidRPr="00E10A0A" w14:paraId="51C478F3"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6F2243E0" w14:textId="77777777" w:rsidR="00BF7EEB" w:rsidRPr="00E10A0A" w:rsidRDefault="00BF7EEB" w:rsidP="00BF7EEB">
            <w:pPr>
              <w:jc w:val="left"/>
              <w:rPr>
                <w:rFonts w:ascii="Times New Roman" w:eastAsia="Times New Roman" w:hAnsi="Times New Roman" w:cs="Times New Roman"/>
                <w:sz w:val="18"/>
                <w:szCs w:val="18"/>
                <w:lang w:eastAsia="en-AU"/>
              </w:rPr>
            </w:pPr>
            <w:r w:rsidRPr="00E10A0A">
              <w:rPr>
                <w:rFonts w:ascii="Calibri" w:eastAsia="Times New Roman" w:hAnsi="Calibri" w:cs="Calibri"/>
                <w:color w:val="000000"/>
                <w:sz w:val="18"/>
                <w:szCs w:val="18"/>
                <w:lang w:eastAsia="en-AU"/>
              </w:rPr>
              <w:t>Breach Domestic Violence Protection Order</w:t>
            </w:r>
          </w:p>
        </w:tc>
        <w:tc>
          <w:tcPr>
            <w:tcW w:w="992" w:type="dxa"/>
            <w:noWrap/>
            <w:vAlign w:val="center"/>
          </w:tcPr>
          <w:p w14:paraId="1092D699"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469</w:t>
            </w:r>
          </w:p>
        </w:tc>
        <w:tc>
          <w:tcPr>
            <w:tcW w:w="736" w:type="dxa"/>
            <w:noWrap/>
            <w:vAlign w:val="center"/>
          </w:tcPr>
          <w:p w14:paraId="6C3F668C"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6.5</w:t>
            </w:r>
          </w:p>
        </w:tc>
        <w:tc>
          <w:tcPr>
            <w:tcW w:w="948" w:type="dxa"/>
            <w:noWrap/>
            <w:vAlign w:val="center"/>
          </w:tcPr>
          <w:p w14:paraId="574E0730"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772.3</w:t>
            </w:r>
          </w:p>
        </w:tc>
        <w:tc>
          <w:tcPr>
            <w:tcW w:w="726" w:type="dxa"/>
            <w:vAlign w:val="center"/>
          </w:tcPr>
          <w:p w14:paraId="67769FDE"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401</w:t>
            </w:r>
          </w:p>
        </w:tc>
        <w:tc>
          <w:tcPr>
            <w:tcW w:w="709" w:type="dxa"/>
            <w:vAlign w:val="center"/>
          </w:tcPr>
          <w:p w14:paraId="4CDFE2E9"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6.7</w:t>
            </w:r>
          </w:p>
        </w:tc>
        <w:tc>
          <w:tcPr>
            <w:tcW w:w="850" w:type="dxa"/>
            <w:vAlign w:val="center"/>
          </w:tcPr>
          <w:p w14:paraId="4410E7A0"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665.9</w:t>
            </w:r>
          </w:p>
        </w:tc>
        <w:tc>
          <w:tcPr>
            <w:tcW w:w="992" w:type="dxa"/>
            <w:vAlign w:val="center"/>
          </w:tcPr>
          <w:p w14:paraId="5792BCF1"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27,463</w:t>
            </w:r>
          </w:p>
        </w:tc>
        <w:tc>
          <w:tcPr>
            <w:tcW w:w="567" w:type="dxa"/>
            <w:tcBorders>
              <w:right w:val="nil"/>
            </w:tcBorders>
            <w:vAlign w:val="center"/>
          </w:tcPr>
          <w:p w14:paraId="33673EE5"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E10A0A">
              <w:rPr>
                <w:b/>
                <w:sz w:val="18"/>
                <w:szCs w:val="18"/>
              </w:rPr>
              <w:t>5.3</w:t>
            </w:r>
          </w:p>
        </w:tc>
        <w:tc>
          <w:tcPr>
            <w:tcW w:w="851" w:type="dxa"/>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vAlign w:val="center"/>
          </w:tcPr>
          <w:p w14:paraId="1AE4ACC3"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b/>
                <w:sz w:val="18"/>
                <w:szCs w:val="18"/>
                <w:lang w:eastAsia="en-AU"/>
              </w:rPr>
            </w:pPr>
            <w:r w:rsidRPr="00E10A0A">
              <w:rPr>
                <w:b/>
                <w:sz w:val="18"/>
                <w:szCs w:val="18"/>
              </w:rPr>
              <w:t>548.0</w:t>
            </w:r>
          </w:p>
        </w:tc>
      </w:tr>
      <w:tr w:rsidR="00BF7EEB" w:rsidRPr="00E10A0A" w14:paraId="5BF3BE82"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7960E062" w14:textId="77777777" w:rsidR="00BF7EEB" w:rsidRPr="00E10A0A" w:rsidRDefault="00BF7EEB" w:rsidP="00BF7EEB">
            <w:pPr>
              <w:jc w:val="left"/>
              <w:rPr>
                <w:rFonts w:ascii="Times New Roman" w:eastAsia="Times New Roman" w:hAnsi="Times New Roman" w:cs="Times New Roman"/>
                <w:sz w:val="18"/>
                <w:szCs w:val="18"/>
                <w:lang w:eastAsia="en-AU"/>
              </w:rPr>
            </w:pPr>
            <w:r w:rsidRPr="00E10A0A">
              <w:rPr>
                <w:rFonts w:ascii="Calibri" w:eastAsia="Times New Roman" w:hAnsi="Calibri" w:cs="Calibri"/>
                <w:color w:val="000000"/>
                <w:sz w:val="18"/>
                <w:szCs w:val="18"/>
                <w:lang w:eastAsia="en-AU"/>
              </w:rPr>
              <w:t>Trespassing and Vagrancy</w:t>
            </w:r>
          </w:p>
        </w:tc>
        <w:tc>
          <w:tcPr>
            <w:tcW w:w="992" w:type="dxa"/>
            <w:noWrap/>
            <w:vAlign w:val="center"/>
          </w:tcPr>
          <w:p w14:paraId="148D1534"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114</w:t>
            </w:r>
          </w:p>
        </w:tc>
        <w:tc>
          <w:tcPr>
            <w:tcW w:w="736" w:type="dxa"/>
            <w:noWrap/>
            <w:vAlign w:val="center"/>
          </w:tcPr>
          <w:p w14:paraId="03731A46"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1.6</w:t>
            </w:r>
          </w:p>
        </w:tc>
        <w:tc>
          <w:tcPr>
            <w:tcW w:w="948" w:type="dxa"/>
            <w:noWrap/>
            <w:vAlign w:val="center"/>
          </w:tcPr>
          <w:p w14:paraId="71C3B39D"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187.7</w:t>
            </w:r>
          </w:p>
        </w:tc>
        <w:tc>
          <w:tcPr>
            <w:tcW w:w="726" w:type="dxa"/>
            <w:vAlign w:val="center"/>
          </w:tcPr>
          <w:p w14:paraId="7BCE731C"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67</w:t>
            </w:r>
          </w:p>
        </w:tc>
        <w:tc>
          <w:tcPr>
            <w:tcW w:w="709" w:type="dxa"/>
            <w:vAlign w:val="center"/>
          </w:tcPr>
          <w:p w14:paraId="3A22FAB9"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1.1</w:t>
            </w:r>
          </w:p>
        </w:tc>
        <w:tc>
          <w:tcPr>
            <w:tcW w:w="850" w:type="dxa"/>
            <w:vAlign w:val="center"/>
          </w:tcPr>
          <w:p w14:paraId="6AF9674B"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111.3</w:t>
            </w:r>
          </w:p>
        </w:tc>
        <w:tc>
          <w:tcPr>
            <w:tcW w:w="992" w:type="dxa"/>
            <w:vAlign w:val="center"/>
          </w:tcPr>
          <w:p w14:paraId="7CFC8B26"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lang w:eastAsia="en-AU"/>
              </w:rPr>
            </w:pPr>
            <w:r w:rsidRPr="00E10A0A">
              <w:rPr>
                <w:rFonts w:ascii="Calibri" w:eastAsia="Times New Roman" w:hAnsi="Calibri" w:cs="Calibri"/>
                <w:b/>
                <w:color w:val="000000"/>
                <w:sz w:val="18"/>
                <w:szCs w:val="18"/>
                <w:lang w:eastAsia="en-AU"/>
              </w:rPr>
              <w:t>6,182</w:t>
            </w:r>
          </w:p>
        </w:tc>
        <w:tc>
          <w:tcPr>
            <w:tcW w:w="567" w:type="dxa"/>
            <w:tcBorders>
              <w:right w:val="nil"/>
            </w:tcBorders>
            <w:vAlign w:val="center"/>
          </w:tcPr>
          <w:p w14:paraId="7F732803"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b/>
                <w:sz w:val="18"/>
                <w:szCs w:val="18"/>
              </w:rPr>
            </w:pPr>
            <w:r w:rsidRPr="00E10A0A">
              <w:rPr>
                <w:b/>
                <w:sz w:val="18"/>
                <w:szCs w:val="18"/>
              </w:rPr>
              <w:t>1.2</w:t>
            </w:r>
          </w:p>
        </w:tc>
        <w:tc>
          <w:tcPr>
            <w:tcW w:w="851" w:type="dxa"/>
            <w:tcBorders>
              <w:left w:val="nil"/>
              <w:right w:val="single" w:sz="4" w:space="0" w:color="5B9BD5" w:themeColor="accent1"/>
            </w:tcBorders>
            <w:shd w:val="clear" w:color="auto" w:fill="FFFFFF" w:themeFill="background1"/>
            <w:vAlign w:val="center"/>
          </w:tcPr>
          <w:p w14:paraId="7FD2FAFD"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eastAsia="Times New Roman"/>
                <w:b/>
                <w:sz w:val="18"/>
                <w:szCs w:val="18"/>
                <w:lang w:eastAsia="en-AU"/>
              </w:rPr>
            </w:pPr>
            <w:r w:rsidRPr="00E10A0A">
              <w:rPr>
                <w:b/>
                <w:sz w:val="18"/>
                <w:szCs w:val="18"/>
              </w:rPr>
              <w:t>123.4</w:t>
            </w:r>
          </w:p>
        </w:tc>
      </w:tr>
      <w:tr w:rsidR="00BF7EEB" w:rsidRPr="00E10A0A" w14:paraId="41F8DDDA"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30E07225" w14:textId="77777777" w:rsidR="00BF7EEB" w:rsidRPr="00EC7B1E" w:rsidRDefault="00BF7EEB" w:rsidP="00BF7EEB">
            <w:pPr>
              <w:jc w:val="left"/>
              <w:rPr>
                <w:rFonts w:eastAsia="Times New Roman" w:cs="Times New Roman"/>
                <w:b w:val="0"/>
                <w:bCs w:val="0"/>
                <w:sz w:val="18"/>
                <w:szCs w:val="18"/>
                <w:lang w:eastAsia="en-AU"/>
              </w:rPr>
            </w:pPr>
            <w:r w:rsidRPr="00EC7B1E">
              <w:rPr>
                <w:rFonts w:eastAsia="Times New Roman" w:cs="Times New Roman"/>
                <w:b w:val="0"/>
                <w:bCs w:val="0"/>
                <w:sz w:val="18"/>
                <w:szCs w:val="18"/>
                <w:lang w:eastAsia="en-AU"/>
              </w:rPr>
              <w:t>Public Nuisance</w:t>
            </w:r>
          </w:p>
        </w:tc>
        <w:tc>
          <w:tcPr>
            <w:tcW w:w="992" w:type="dxa"/>
            <w:noWrap/>
            <w:vAlign w:val="center"/>
          </w:tcPr>
          <w:p w14:paraId="2D87C504"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n-AU"/>
              </w:rPr>
            </w:pPr>
            <w:r w:rsidRPr="00E10A0A">
              <w:rPr>
                <w:rFonts w:eastAsia="Times New Roman" w:cs="Calibri"/>
                <w:color w:val="000000"/>
                <w:sz w:val="18"/>
                <w:szCs w:val="18"/>
                <w:lang w:eastAsia="en-AU"/>
              </w:rPr>
              <w:t>309</w:t>
            </w:r>
          </w:p>
        </w:tc>
        <w:tc>
          <w:tcPr>
            <w:tcW w:w="736" w:type="dxa"/>
            <w:noWrap/>
            <w:vAlign w:val="center"/>
          </w:tcPr>
          <w:p w14:paraId="4C9E008C"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4.3</w:t>
            </w:r>
          </w:p>
        </w:tc>
        <w:tc>
          <w:tcPr>
            <w:tcW w:w="948" w:type="dxa"/>
            <w:noWrap/>
            <w:vAlign w:val="center"/>
          </w:tcPr>
          <w:p w14:paraId="6487C962"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508.8</w:t>
            </w:r>
          </w:p>
        </w:tc>
        <w:tc>
          <w:tcPr>
            <w:tcW w:w="726" w:type="dxa"/>
            <w:vAlign w:val="center"/>
          </w:tcPr>
          <w:p w14:paraId="48459C3A"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n-AU"/>
              </w:rPr>
            </w:pPr>
            <w:r w:rsidRPr="00E10A0A">
              <w:rPr>
                <w:rFonts w:eastAsia="Times New Roman" w:cs="Calibri"/>
                <w:color w:val="000000"/>
                <w:sz w:val="18"/>
                <w:szCs w:val="18"/>
                <w:lang w:eastAsia="en-AU"/>
              </w:rPr>
              <w:t>251</w:t>
            </w:r>
          </w:p>
        </w:tc>
        <w:tc>
          <w:tcPr>
            <w:tcW w:w="709" w:type="dxa"/>
            <w:vAlign w:val="center"/>
          </w:tcPr>
          <w:p w14:paraId="31873EEE"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4.2</w:t>
            </w:r>
          </w:p>
        </w:tc>
        <w:tc>
          <w:tcPr>
            <w:tcW w:w="850" w:type="dxa"/>
            <w:vAlign w:val="center"/>
          </w:tcPr>
          <w:p w14:paraId="2C85EC7B"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416.8</w:t>
            </w:r>
          </w:p>
        </w:tc>
        <w:tc>
          <w:tcPr>
            <w:tcW w:w="992" w:type="dxa"/>
            <w:vAlign w:val="center"/>
          </w:tcPr>
          <w:p w14:paraId="28CDF11E"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eastAsia="en-AU"/>
              </w:rPr>
            </w:pPr>
            <w:r w:rsidRPr="00E10A0A">
              <w:rPr>
                <w:rFonts w:eastAsia="Times New Roman" w:cs="Calibri"/>
                <w:color w:val="000000"/>
                <w:sz w:val="18"/>
                <w:szCs w:val="18"/>
                <w:lang w:eastAsia="en-AU"/>
              </w:rPr>
              <w:t>23,706</w:t>
            </w:r>
          </w:p>
        </w:tc>
        <w:tc>
          <w:tcPr>
            <w:tcW w:w="567" w:type="dxa"/>
            <w:tcBorders>
              <w:right w:val="nil"/>
            </w:tcBorders>
            <w:vAlign w:val="center"/>
          </w:tcPr>
          <w:p w14:paraId="7FA7DBD8"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4.6</w:t>
            </w:r>
          </w:p>
        </w:tc>
        <w:tc>
          <w:tcPr>
            <w:tcW w:w="851" w:type="dxa"/>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vAlign w:val="center"/>
          </w:tcPr>
          <w:p w14:paraId="65A9E667"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AU"/>
              </w:rPr>
            </w:pPr>
            <w:r w:rsidRPr="00E10A0A">
              <w:rPr>
                <w:sz w:val="18"/>
                <w:szCs w:val="18"/>
              </w:rPr>
              <w:t>473.1</w:t>
            </w:r>
          </w:p>
        </w:tc>
      </w:tr>
      <w:tr w:rsidR="00BF7EEB" w:rsidRPr="00E10A0A" w14:paraId="5705A9CF" w14:textId="77777777" w:rsidTr="00E10A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0363C546" w14:textId="77777777" w:rsidR="00BF7EEB" w:rsidRPr="00EC7B1E" w:rsidRDefault="00BF7EEB" w:rsidP="00BF7EEB">
            <w:pPr>
              <w:jc w:val="left"/>
              <w:rPr>
                <w:rFonts w:ascii="Times New Roman" w:eastAsia="Times New Roman" w:hAnsi="Times New Roman" w:cs="Times New Roman"/>
                <w:b w:val="0"/>
                <w:bCs w:val="0"/>
                <w:sz w:val="18"/>
                <w:szCs w:val="18"/>
                <w:lang w:eastAsia="en-AU"/>
              </w:rPr>
            </w:pPr>
            <w:r w:rsidRPr="00EC7B1E">
              <w:rPr>
                <w:rFonts w:ascii="Calibri" w:eastAsia="Times New Roman" w:hAnsi="Calibri" w:cs="Calibri"/>
                <w:b w:val="0"/>
                <w:bCs w:val="0"/>
                <w:color w:val="000000"/>
                <w:sz w:val="18"/>
                <w:szCs w:val="18"/>
                <w:lang w:eastAsia="en-AU"/>
              </w:rPr>
              <w:t>Drink Driving</w:t>
            </w:r>
          </w:p>
        </w:tc>
        <w:tc>
          <w:tcPr>
            <w:tcW w:w="992" w:type="dxa"/>
            <w:noWrap/>
            <w:vAlign w:val="center"/>
          </w:tcPr>
          <w:p w14:paraId="2593B013"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color w:val="000000"/>
                <w:sz w:val="18"/>
                <w:szCs w:val="18"/>
                <w:lang w:eastAsia="en-AU"/>
              </w:rPr>
              <w:t>537</w:t>
            </w:r>
          </w:p>
        </w:tc>
        <w:tc>
          <w:tcPr>
            <w:tcW w:w="736" w:type="dxa"/>
            <w:noWrap/>
            <w:vAlign w:val="center"/>
          </w:tcPr>
          <w:p w14:paraId="2DD691BC"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7.4</w:t>
            </w:r>
          </w:p>
        </w:tc>
        <w:tc>
          <w:tcPr>
            <w:tcW w:w="948" w:type="dxa"/>
            <w:noWrap/>
            <w:vAlign w:val="center"/>
          </w:tcPr>
          <w:p w14:paraId="1BA1A20E"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884.3</w:t>
            </w:r>
          </w:p>
        </w:tc>
        <w:tc>
          <w:tcPr>
            <w:tcW w:w="726" w:type="dxa"/>
            <w:vAlign w:val="center"/>
          </w:tcPr>
          <w:p w14:paraId="22D2B4E0"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color w:val="000000"/>
                <w:sz w:val="18"/>
                <w:szCs w:val="18"/>
                <w:lang w:eastAsia="en-AU"/>
              </w:rPr>
              <w:t>368</w:t>
            </w:r>
          </w:p>
        </w:tc>
        <w:tc>
          <w:tcPr>
            <w:tcW w:w="709" w:type="dxa"/>
            <w:vAlign w:val="center"/>
          </w:tcPr>
          <w:p w14:paraId="0871BB49"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6.2</w:t>
            </w:r>
          </w:p>
        </w:tc>
        <w:tc>
          <w:tcPr>
            <w:tcW w:w="850" w:type="dxa"/>
            <w:vAlign w:val="center"/>
          </w:tcPr>
          <w:p w14:paraId="0E2AA50E"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611.1</w:t>
            </w:r>
          </w:p>
        </w:tc>
        <w:tc>
          <w:tcPr>
            <w:tcW w:w="992" w:type="dxa"/>
            <w:vAlign w:val="center"/>
          </w:tcPr>
          <w:p w14:paraId="150AD325"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color w:val="000000"/>
                <w:sz w:val="18"/>
                <w:szCs w:val="18"/>
                <w:lang w:eastAsia="en-AU"/>
              </w:rPr>
              <w:t>30,668</w:t>
            </w:r>
          </w:p>
        </w:tc>
        <w:tc>
          <w:tcPr>
            <w:tcW w:w="567" w:type="dxa"/>
            <w:tcBorders>
              <w:right w:val="nil"/>
            </w:tcBorders>
            <w:vAlign w:val="center"/>
          </w:tcPr>
          <w:p w14:paraId="5B52E9BD"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sz w:val="18"/>
                <w:szCs w:val="18"/>
              </w:rPr>
            </w:pPr>
            <w:r w:rsidRPr="00E10A0A">
              <w:rPr>
                <w:sz w:val="18"/>
                <w:szCs w:val="18"/>
              </w:rPr>
              <w:t>5.9</w:t>
            </w:r>
          </w:p>
        </w:tc>
        <w:tc>
          <w:tcPr>
            <w:tcW w:w="851" w:type="dxa"/>
            <w:tcBorders>
              <w:left w:val="nil"/>
              <w:right w:val="single" w:sz="4" w:space="0" w:color="5B9BD5" w:themeColor="accent1"/>
            </w:tcBorders>
            <w:shd w:val="clear" w:color="auto" w:fill="FFFFFF" w:themeFill="background1"/>
            <w:vAlign w:val="center"/>
          </w:tcPr>
          <w:p w14:paraId="16DDD373" w14:textId="77777777" w:rsidR="00BF7EEB" w:rsidRPr="00E10A0A" w:rsidRDefault="00BF7EEB" w:rsidP="00BF7EEB">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n-AU"/>
              </w:rPr>
            </w:pPr>
            <w:r w:rsidRPr="00E10A0A">
              <w:rPr>
                <w:sz w:val="18"/>
                <w:szCs w:val="18"/>
              </w:rPr>
              <w:t>612.0</w:t>
            </w:r>
          </w:p>
        </w:tc>
      </w:tr>
      <w:tr w:rsidR="00BF7EEB" w:rsidRPr="00E10A0A" w14:paraId="3E65244A" w14:textId="77777777" w:rsidTr="00E10A0A">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14:paraId="0F504B89" w14:textId="77777777" w:rsidR="00BF7EEB" w:rsidRPr="00EC7B1E" w:rsidRDefault="00BF7EEB" w:rsidP="00BF7EEB">
            <w:pPr>
              <w:jc w:val="left"/>
              <w:rPr>
                <w:rFonts w:ascii="Times New Roman" w:eastAsia="Times New Roman" w:hAnsi="Times New Roman" w:cs="Times New Roman"/>
                <w:b w:val="0"/>
                <w:bCs w:val="0"/>
                <w:sz w:val="18"/>
                <w:szCs w:val="18"/>
                <w:lang w:eastAsia="en-AU"/>
              </w:rPr>
            </w:pPr>
            <w:r w:rsidRPr="00EC7B1E">
              <w:rPr>
                <w:rFonts w:ascii="Calibri" w:eastAsia="Times New Roman" w:hAnsi="Calibri" w:cs="Calibri"/>
                <w:b w:val="0"/>
                <w:bCs w:val="0"/>
                <w:color w:val="000000"/>
                <w:sz w:val="18"/>
                <w:szCs w:val="18"/>
                <w:lang w:eastAsia="en-AU"/>
              </w:rPr>
              <w:t>Disqualified Driving</w:t>
            </w:r>
          </w:p>
        </w:tc>
        <w:tc>
          <w:tcPr>
            <w:tcW w:w="992" w:type="dxa"/>
            <w:noWrap/>
            <w:vAlign w:val="center"/>
          </w:tcPr>
          <w:p w14:paraId="166E7860"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color w:val="000000"/>
                <w:sz w:val="18"/>
                <w:szCs w:val="18"/>
                <w:lang w:eastAsia="en-AU"/>
              </w:rPr>
              <w:t>131</w:t>
            </w:r>
          </w:p>
        </w:tc>
        <w:tc>
          <w:tcPr>
            <w:tcW w:w="736" w:type="dxa"/>
            <w:noWrap/>
            <w:vAlign w:val="center"/>
          </w:tcPr>
          <w:p w14:paraId="270CB7CB"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1.8</w:t>
            </w:r>
          </w:p>
        </w:tc>
        <w:tc>
          <w:tcPr>
            <w:tcW w:w="948" w:type="dxa"/>
            <w:noWrap/>
            <w:vAlign w:val="center"/>
          </w:tcPr>
          <w:p w14:paraId="2DF3B413"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215.7</w:t>
            </w:r>
          </w:p>
        </w:tc>
        <w:tc>
          <w:tcPr>
            <w:tcW w:w="726" w:type="dxa"/>
            <w:vAlign w:val="center"/>
          </w:tcPr>
          <w:p w14:paraId="795001C2"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color w:val="000000"/>
                <w:sz w:val="18"/>
                <w:szCs w:val="18"/>
                <w:lang w:eastAsia="en-AU"/>
              </w:rPr>
              <w:t>84</w:t>
            </w:r>
          </w:p>
        </w:tc>
        <w:tc>
          <w:tcPr>
            <w:tcW w:w="709" w:type="dxa"/>
            <w:vAlign w:val="center"/>
          </w:tcPr>
          <w:p w14:paraId="0D606CE9"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1.4</w:t>
            </w:r>
          </w:p>
        </w:tc>
        <w:tc>
          <w:tcPr>
            <w:tcW w:w="850" w:type="dxa"/>
            <w:vAlign w:val="center"/>
          </w:tcPr>
          <w:p w14:paraId="473EDCD1"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139.5</w:t>
            </w:r>
          </w:p>
        </w:tc>
        <w:tc>
          <w:tcPr>
            <w:tcW w:w="992" w:type="dxa"/>
            <w:vAlign w:val="center"/>
          </w:tcPr>
          <w:p w14:paraId="51AA2447"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10A0A">
              <w:rPr>
                <w:rFonts w:ascii="Calibri" w:eastAsia="Times New Roman" w:hAnsi="Calibri" w:cs="Calibri"/>
                <w:color w:val="000000"/>
                <w:sz w:val="18"/>
                <w:szCs w:val="18"/>
                <w:lang w:eastAsia="en-AU"/>
              </w:rPr>
              <w:t>10,265</w:t>
            </w:r>
          </w:p>
        </w:tc>
        <w:tc>
          <w:tcPr>
            <w:tcW w:w="567" w:type="dxa"/>
            <w:tcBorders>
              <w:right w:val="nil"/>
            </w:tcBorders>
            <w:vAlign w:val="center"/>
          </w:tcPr>
          <w:p w14:paraId="073E9648"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sz w:val="18"/>
                <w:szCs w:val="18"/>
              </w:rPr>
            </w:pPr>
            <w:r w:rsidRPr="00E10A0A">
              <w:rPr>
                <w:sz w:val="18"/>
                <w:szCs w:val="18"/>
              </w:rPr>
              <w:t>2.0</w:t>
            </w:r>
          </w:p>
        </w:tc>
        <w:tc>
          <w:tcPr>
            <w:tcW w:w="851" w:type="dxa"/>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vAlign w:val="center"/>
          </w:tcPr>
          <w:p w14:paraId="0717FD82" w14:textId="77777777" w:rsidR="00BF7EEB" w:rsidRPr="00E10A0A" w:rsidRDefault="00BF7EEB" w:rsidP="00BF7EEB">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AU"/>
              </w:rPr>
            </w:pPr>
            <w:r w:rsidRPr="00E10A0A">
              <w:rPr>
                <w:sz w:val="18"/>
                <w:szCs w:val="18"/>
              </w:rPr>
              <w:t>204.8</w:t>
            </w:r>
          </w:p>
        </w:tc>
      </w:tr>
    </w:tbl>
    <w:p w14:paraId="492E1056" w14:textId="77777777" w:rsidR="00BF7EEB" w:rsidRDefault="00BF7EEB" w:rsidP="00BF7EEB">
      <w:pPr>
        <w:spacing w:after="0" w:line="240" w:lineRule="auto"/>
        <w:rPr>
          <w:i/>
          <w:sz w:val="18"/>
          <w:szCs w:val="18"/>
          <w:lang w:val="en"/>
        </w:rPr>
      </w:pPr>
      <w:r w:rsidRPr="006B1860">
        <w:rPr>
          <w:i/>
          <w:sz w:val="18"/>
          <w:szCs w:val="18"/>
        </w:rPr>
        <w:t xml:space="preserve">Source: </w:t>
      </w:r>
      <w:r w:rsidRPr="006B1860">
        <w:rPr>
          <w:i/>
          <w:sz w:val="18"/>
          <w:szCs w:val="18"/>
          <w:lang w:val="en"/>
        </w:rPr>
        <w:t>QPS offence statistics</w:t>
      </w:r>
      <w:r>
        <w:rPr>
          <w:i/>
          <w:sz w:val="18"/>
          <w:szCs w:val="18"/>
          <w:lang w:val="en"/>
        </w:rPr>
        <w:t xml:space="preserve"> </w:t>
      </w:r>
      <w:r w:rsidRPr="00764B2B">
        <w:rPr>
          <w:i/>
          <w:sz w:val="18"/>
          <w:szCs w:val="18"/>
          <w:lang w:val="en"/>
        </w:rPr>
        <w:t xml:space="preserve">reported offences </w:t>
      </w:r>
      <w:r>
        <w:rPr>
          <w:i/>
          <w:sz w:val="18"/>
          <w:szCs w:val="18"/>
          <w:lang w:val="en"/>
        </w:rPr>
        <w:t>number and offences rates</w:t>
      </w:r>
      <w:r w:rsidRPr="006B1860">
        <w:rPr>
          <w:i/>
          <w:sz w:val="18"/>
          <w:szCs w:val="18"/>
          <w:lang w:val="en"/>
        </w:rPr>
        <w:t>.</w:t>
      </w:r>
      <w:r>
        <w:rPr>
          <w:i/>
          <w:sz w:val="18"/>
          <w:szCs w:val="18"/>
          <w:lang w:val="en"/>
        </w:rPr>
        <w:t xml:space="preserve"> </w:t>
      </w:r>
    </w:p>
    <w:p w14:paraId="07358AD6" w14:textId="77777777" w:rsidR="00BF7EEB" w:rsidRDefault="00BF7EEB" w:rsidP="00BF7EEB">
      <w:pPr>
        <w:spacing w:after="0" w:line="240" w:lineRule="auto"/>
      </w:pPr>
      <w:r w:rsidRPr="004853FE">
        <w:rPr>
          <w:i/>
          <w:sz w:val="18"/>
          <w:szCs w:val="18"/>
          <w:lang w:val="en"/>
        </w:rPr>
        <w:t xml:space="preserve">Notes: Bundaberg and Hervey Bay are identified by using the QPS Statistics geographical classification at the division level. </w:t>
      </w:r>
      <w:r w:rsidRPr="004853FE">
        <w:rPr>
          <w:i/>
          <w:sz w:val="18"/>
          <w:szCs w:val="18"/>
        </w:rPr>
        <w:t>Due to rounding, the total percentage may not be exactly the same as the sum of all rows.</w:t>
      </w:r>
      <w:r w:rsidRPr="00BF7EEB">
        <w:rPr>
          <w:rStyle w:val="FootnoteReference"/>
        </w:rPr>
        <w:t xml:space="preserve"> </w:t>
      </w:r>
      <w:r>
        <w:rPr>
          <w:rStyle w:val="FootnoteReference"/>
        </w:rPr>
        <w:footnoteReference w:id="13"/>
      </w:r>
    </w:p>
    <w:p w14:paraId="2C1BF42F" w14:textId="77777777" w:rsidR="00E10A0A" w:rsidRDefault="00E10A0A">
      <w:pPr>
        <w:jc w:val="left"/>
      </w:pPr>
      <w:r>
        <w:br w:type="page"/>
      </w:r>
    </w:p>
    <w:p w14:paraId="47736AA4" w14:textId="77777777" w:rsidR="00C7044A" w:rsidRDefault="00C7044A">
      <w:pPr>
        <w:pStyle w:val="Heading2"/>
      </w:pPr>
      <w:bookmarkStart w:id="43" w:name="_Toc36213110"/>
      <w:bookmarkStart w:id="44" w:name="_Toc34818221"/>
      <w:bookmarkStart w:id="45" w:name="_Toc34935577"/>
      <w:bookmarkStart w:id="46" w:name="_Toc37258348"/>
      <w:bookmarkEnd w:id="43"/>
      <w:r w:rsidRPr="00C7044A">
        <w:lastRenderedPageBreak/>
        <w:t>Gaming in hotels</w:t>
      </w:r>
      <w:bookmarkEnd w:id="44"/>
      <w:bookmarkEnd w:id="45"/>
      <w:bookmarkEnd w:id="46"/>
    </w:p>
    <w:p w14:paraId="6D16B2C5" w14:textId="77777777" w:rsidR="00864374" w:rsidRPr="00864374" w:rsidRDefault="00C67561" w:rsidP="0079482A">
      <w:r>
        <w:t>T</w:t>
      </w:r>
      <w:r w:rsidR="00864374" w:rsidRPr="00864374">
        <w:t>his</w:t>
      </w:r>
      <w:r w:rsidR="00864374">
        <w:t xml:space="preserve"> section use</w:t>
      </w:r>
      <w:r>
        <w:t>s</w:t>
      </w:r>
      <w:r w:rsidR="00864374">
        <w:t xml:space="preserve"> </w:t>
      </w:r>
      <w:r w:rsidR="00864374" w:rsidRPr="00864374">
        <w:t>Electronic Gaming Machine (EGM) statistics</w:t>
      </w:r>
      <w:r w:rsidR="00BE1AD7">
        <w:t>,</w:t>
      </w:r>
      <w:r w:rsidR="00864374">
        <w:t xml:space="preserve"> published by </w:t>
      </w:r>
      <w:r w:rsidR="0087751E">
        <w:t xml:space="preserve">the </w:t>
      </w:r>
      <w:r w:rsidR="00864374">
        <w:t>Queensland Government</w:t>
      </w:r>
      <w:r w:rsidR="00BE1AD7">
        <w:t>,</w:t>
      </w:r>
      <w:r w:rsidR="00864374">
        <w:t xml:space="preserve"> to </w:t>
      </w:r>
      <w:r w:rsidR="00864374" w:rsidRPr="00864374">
        <w:t>compar</w:t>
      </w:r>
      <w:r w:rsidR="00864374">
        <w:t>e the prevalence of gambling between</w:t>
      </w:r>
      <w:r w:rsidR="006B6F2C">
        <w:t xml:space="preserve"> the population in</w:t>
      </w:r>
      <w:r w:rsidR="00864374">
        <w:t xml:space="preserve"> the </w:t>
      </w:r>
      <w:r w:rsidR="00FE7B5B">
        <w:t>Bundaberg and Hervey Bay</w:t>
      </w:r>
      <w:r w:rsidR="00864374">
        <w:t xml:space="preserve"> region</w:t>
      </w:r>
      <w:r w:rsidR="00864374" w:rsidRPr="00864374">
        <w:t xml:space="preserve"> and </w:t>
      </w:r>
      <w:r w:rsidR="0087751E">
        <w:t xml:space="preserve">the state of </w:t>
      </w:r>
      <w:r w:rsidR="00864374" w:rsidRPr="00864374">
        <w:t>Queensland</w:t>
      </w:r>
      <w:r w:rsidR="0087751E">
        <w:t xml:space="preserve"> as a whole</w:t>
      </w:r>
      <w:r w:rsidR="00864374">
        <w:t>.</w:t>
      </w:r>
      <w:r w:rsidR="000018B7">
        <w:t xml:space="preserve"> This data source publishes the monthly time series of EGM</w:t>
      </w:r>
      <w:r w:rsidR="000018B7" w:rsidRPr="000018B7">
        <w:t xml:space="preserve"> statistics for licensed Queensland clubs and hotels</w:t>
      </w:r>
      <w:r w:rsidR="000018B7">
        <w:t xml:space="preserve"> by site type and geographical area. T</w:t>
      </w:r>
      <w:r w:rsidR="005D761E">
        <w:t xml:space="preserve">he data used for our analysis </w:t>
      </w:r>
      <w:r w:rsidR="00DE0CD6">
        <w:t>is the</w:t>
      </w:r>
      <w:r w:rsidR="000018B7">
        <w:t xml:space="preserve"> EGM statistics by LGA</w:t>
      </w:r>
      <w:r w:rsidR="00DE0CD6">
        <w:t xml:space="preserve"> database</w:t>
      </w:r>
      <w:r w:rsidR="000018B7">
        <w:t xml:space="preserve">, which contains the </w:t>
      </w:r>
      <w:r w:rsidR="000018B7" w:rsidRPr="000018B7">
        <w:t xml:space="preserve">monthly EGM information for the selected </w:t>
      </w:r>
      <w:r w:rsidR="000018B7">
        <w:t xml:space="preserve">Queensland LGAs </w:t>
      </w:r>
      <w:r w:rsidR="00BE1AD7">
        <w:t xml:space="preserve">in relation </w:t>
      </w:r>
      <w:r w:rsidR="000A1A9E">
        <w:t>to</w:t>
      </w:r>
      <w:r w:rsidR="000018B7">
        <w:t xml:space="preserve"> the total number of operational sites,</w:t>
      </w:r>
      <w:r w:rsidR="000018B7" w:rsidRPr="000018B7">
        <w:t xml:space="preserve"> operational and approved EGMs</w:t>
      </w:r>
      <w:r w:rsidR="000018B7">
        <w:t>, and</w:t>
      </w:r>
      <w:r w:rsidR="000018B7" w:rsidRPr="000018B7">
        <w:t xml:space="preserve"> metered win</w:t>
      </w:r>
      <w:r w:rsidR="00DE0CD6">
        <w:t xml:space="preserve"> (i.e. the amount obtained by EGMs after payouts are subtracted)</w:t>
      </w:r>
      <w:r w:rsidR="000018B7">
        <w:t>.</w:t>
      </w:r>
    </w:p>
    <w:p w14:paraId="1AD52641" w14:textId="19C144AE" w:rsidR="00005EE6" w:rsidRPr="00005EE6" w:rsidRDefault="000851DE" w:rsidP="00357486">
      <w:pPr>
        <w:pStyle w:val="Caption"/>
      </w:pPr>
      <w:bookmarkStart w:id="47" w:name="_Toc34935531"/>
      <w:bookmarkStart w:id="48" w:name="_Toc37263569"/>
      <w:r>
        <w:t>Table</w:t>
      </w:r>
      <w:r w:rsidR="00357486">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6</w:t>
      </w:r>
      <w:r w:rsidR="006C0554">
        <w:rPr>
          <w:noProof/>
        </w:rPr>
        <w:fldChar w:fldCharType="end"/>
      </w:r>
      <w:r w:rsidR="00357486">
        <w:t xml:space="preserve">: </w:t>
      </w:r>
      <w:r w:rsidR="00005EE6" w:rsidRPr="00005EE6">
        <w:t>Average monthly Electronic Gaming Machine (EGM) statistics in</w:t>
      </w:r>
      <w:r w:rsidR="00005EE6">
        <w:t xml:space="preserve"> 2018</w:t>
      </w:r>
      <w:bookmarkEnd w:id="47"/>
      <w:bookmarkEnd w:id="48"/>
    </w:p>
    <w:tbl>
      <w:tblPr>
        <w:tblStyle w:val="ListTable3-Accent1"/>
        <w:tblW w:w="8693" w:type="dxa"/>
        <w:tblLook w:val="04A0" w:firstRow="1" w:lastRow="0" w:firstColumn="1" w:lastColumn="0" w:noHBand="0" w:noVBand="1"/>
      </w:tblPr>
      <w:tblGrid>
        <w:gridCol w:w="1418"/>
        <w:gridCol w:w="1440"/>
        <w:gridCol w:w="1343"/>
        <w:gridCol w:w="1403"/>
        <w:gridCol w:w="1445"/>
        <w:gridCol w:w="1644"/>
      </w:tblGrid>
      <w:tr w:rsidR="001D03E4" w:rsidRPr="003542F0" w14:paraId="1725C913"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7E295AA9" w14:textId="77777777" w:rsidR="001D03E4" w:rsidRPr="003542F0" w:rsidRDefault="001D03E4" w:rsidP="0079482A">
            <w:pPr>
              <w:rPr>
                <w:lang w:eastAsia="en-AU"/>
              </w:rPr>
            </w:pPr>
          </w:p>
        </w:tc>
        <w:tc>
          <w:tcPr>
            <w:tcW w:w="0" w:type="dxa"/>
            <w:shd w:val="clear" w:color="auto" w:fill="2F5496" w:themeFill="accent5" w:themeFillShade="BF"/>
            <w:noWrap/>
          </w:tcPr>
          <w:p w14:paraId="1387F770" w14:textId="77777777" w:rsidR="001D03E4" w:rsidRPr="003542F0" w:rsidRDefault="001D03E4"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Operational sites</w:t>
            </w:r>
          </w:p>
        </w:tc>
        <w:tc>
          <w:tcPr>
            <w:tcW w:w="0" w:type="dxa"/>
            <w:shd w:val="clear" w:color="auto" w:fill="2F5496" w:themeFill="accent5" w:themeFillShade="BF"/>
            <w:noWrap/>
          </w:tcPr>
          <w:p w14:paraId="622C48D8" w14:textId="77777777" w:rsidR="001D03E4" w:rsidRPr="003542F0" w:rsidRDefault="001D03E4"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Operational EGMs</w:t>
            </w:r>
          </w:p>
        </w:tc>
        <w:tc>
          <w:tcPr>
            <w:tcW w:w="0" w:type="dxa"/>
            <w:shd w:val="clear" w:color="auto" w:fill="2F5496" w:themeFill="accent5" w:themeFillShade="BF"/>
            <w:noWrap/>
          </w:tcPr>
          <w:p w14:paraId="57F37968" w14:textId="77777777" w:rsidR="001D03E4" w:rsidRPr="003542F0" w:rsidRDefault="001D03E4"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Approved EGMs</w:t>
            </w:r>
          </w:p>
        </w:tc>
        <w:tc>
          <w:tcPr>
            <w:tcW w:w="0" w:type="dxa"/>
            <w:shd w:val="clear" w:color="auto" w:fill="2F5496" w:themeFill="accent5" w:themeFillShade="BF"/>
          </w:tcPr>
          <w:p w14:paraId="32857D0C" w14:textId="77777777" w:rsidR="001D03E4" w:rsidRPr="003542F0" w:rsidRDefault="001D03E4"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Metered Win</w:t>
            </w:r>
            <w:r w:rsidR="00D63FAC" w:rsidRPr="003542F0">
              <w:rPr>
                <w:lang w:eastAsia="en-AU"/>
              </w:rPr>
              <w:t xml:space="preserve"> </w:t>
            </w:r>
            <w:r w:rsidR="00D63FAC" w:rsidRPr="003542F0">
              <w:rPr>
                <w:sz w:val="20"/>
                <w:szCs w:val="20"/>
                <w:lang w:eastAsia="en-AU"/>
              </w:rPr>
              <w:t>(revenue minus payout)</w:t>
            </w:r>
          </w:p>
        </w:tc>
        <w:tc>
          <w:tcPr>
            <w:tcW w:w="0" w:type="dxa"/>
            <w:shd w:val="clear" w:color="auto" w:fill="2F5496" w:themeFill="accent5" w:themeFillShade="BF"/>
          </w:tcPr>
          <w:p w14:paraId="461B0F46" w14:textId="77777777" w:rsidR="001D03E4" w:rsidRPr="003542F0" w:rsidRDefault="001D03E4"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Metered Win /Operational EGM</w:t>
            </w:r>
          </w:p>
        </w:tc>
      </w:tr>
      <w:tr w:rsidR="001D03E4" w:rsidRPr="00005EE6" w14:paraId="67FA414B" w14:textId="77777777" w:rsidTr="00061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9F8CCF" w14:textId="77777777" w:rsidR="001D03E4" w:rsidRPr="00005EE6" w:rsidRDefault="001D03E4" w:rsidP="00357486">
            <w:pPr>
              <w:jc w:val="left"/>
              <w:rPr>
                <w:rFonts w:ascii="Calibri" w:eastAsia="Times New Roman" w:hAnsi="Calibri" w:cs="Calibri"/>
                <w:color w:val="000000"/>
                <w:lang w:eastAsia="en-AU"/>
              </w:rPr>
            </w:pPr>
            <w:r w:rsidRPr="00005EE6">
              <w:t>Bundaberg</w:t>
            </w:r>
          </w:p>
        </w:tc>
        <w:tc>
          <w:tcPr>
            <w:tcW w:w="0" w:type="dxa"/>
            <w:noWrap/>
            <w:vAlign w:val="center"/>
          </w:tcPr>
          <w:p w14:paraId="46E9AFCD" w14:textId="77777777" w:rsidR="001D03E4" w:rsidRPr="00005EE6" w:rsidRDefault="001D03E4" w:rsidP="00357486">
            <w:pPr>
              <w:jc w:val="right"/>
              <w:cnfStyle w:val="000000100000" w:firstRow="0" w:lastRow="0" w:firstColumn="0" w:lastColumn="0" w:oddVBand="0" w:evenVBand="0" w:oddHBand="1" w:evenHBand="0" w:firstRowFirstColumn="0" w:firstRowLastColumn="0" w:lastRowFirstColumn="0" w:lastRowLastColumn="0"/>
              <w:rPr>
                <w:lang w:eastAsia="en-AU"/>
              </w:rPr>
            </w:pPr>
            <w:r w:rsidRPr="00005EE6">
              <w:rPr>
                <w:lang w:eastAsia="en-AU"/>
              </w:rPr>
              <w:t>34</w:t>
            </w:r>
          </w:p>
        </w:tc>
        <w:tc>
          <w:tcPr>
            <w:tcW w:w="0" w:type="dxa"/>
            <w:noWrap/>
            <w:vAlign w:val="center"/>
          </w:tcPr>
          <w:p w14:paraId="0E0A13B5" w14:textId="77777777" w:rsidR="001D03E4" w:rsidRPr="00005EE6" w:rsidRDefault="001D03E4" w:rsidP="00357486">
            <w:pPr>
              <w:jc w:val="right"/>
              <w:cnfStyle w:val="000000100000" w:firstRow="0" w:lastRow="0" w:firstColumn="0" w:lastColumn="0" w:oddVBand="0" w:evenVBand="0" w:oddHBand="1" w:evenHBand="0" w:firstRowFirstColumn="0" w:firstRowLastColumn="0" w:lastRowFirstColumn="0" w:lastRowLastColumn="0"/>
              <w:rPr>
                <w:lang w:eastAsia="en-AU"/>
              </w:rPr>
            </w:pPr>
            <w:r w:rsidRPr="00005EE6">
              <w:rPr>
                <w:lang w:eastAsia="en-AU"/>
              </w:rPr>
              <w:t>1</w:t>
            </w:r>
            <w:r>
              <w:rPr>
                <w:lang w:eastAsia="en-AU"/>
              </w:rPr>
              <w:t>,</w:t>
            </w:r>
            <w:r w:rsidRPr="00005EE6">
              <w:rPr>
                <w:lang w:eastAsia="en-AU"/>
              </w:rPr>
              <w:t>155</w:t>
            </w:r>
          </w:p>
        </w:tc>
        <w:tc>
          <w:tcPr>
            <w:tcW w:w="0" w:type="dxa"/>
            <w:noWrap/>
            <w:vAlign w:val="center"/>
          </w:tcPr>
          <w:p w14:paraId="33A2BE21" w14:textId="77777777" w:rsidR="001D03E4" w:rsidRPr="00005EE6" w:rsidRDefault="001D03E4" w:rsidP="00357486">
            <w:pPr>
              <w:jc w:val="right"/>
              <w:cnfStyle w:val="000000100000" w:firstRow="0" w:lastRow="0" w:firstColumn="0" w:lastColumn="0" w:oddVBand="0" w:evenVBand="0" w:oddHBand="1" w:evenHBand="0" w:firstRowFirstColumn="0" w:firstRowLastColumn="0" w:lastRowFirstColumn="0" w:lastRowLastColumn="0"/>
              <w:rPr>
                <w:lang w:eastAsia="en-AU"/>
              </w:rPr>
            </w:pPr>
            <w:r w:rsidRPr="00005EE6">
              <w:rPr>
                <w:lang w:eastAsia="en-AU"/>
              </w:rPr>
              <w:t>1</w:t>
            </w:r>
            <w:r>
              <w:rPr>
                <w:lang w:eastAsia="en-AU"/>
              </w:rPr>
              <w:t>,</w:t>
            </w:r>
            <w:r w:rsidRPr="00005EE6">
              <w:rPr>
                <w:lang w:eastAsia="en-AU"/>
              </w:rPr>
              <w:t>362</w:t>
            </w:r>
          </w:p>
        </w:tc>
        <w:tc>
          <w:tcPr>
            <w:tcW w:w="0" w:type="dxa"/>
            <w:vAlign w:val="center"/>
          </w:tcPr>
          <w:p w14:paraId="0564B462" w14:textId="77777777" w:rsidR="001D03E4" w:rsidRPr="00005EE6" w:rsidRDefault="001D03E4" w:rsidP="00357486">
            <w:pPr>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w:t>
            </w:r>
            <w:r w:rsidRPr="00005EE6">
              <w:rPr>
                <w:lang w:eastAsia="en-AU"/>
              </w:rPr>
              <w:t>4</w:t>
            </w:r>
            <w:r>
              <w:rPr>
                <w:lang w:eastAsia="en-AU"/>
              </w:rPr>
              <w:t>,</w:t>
            </w:r>
            <w:r w:rsidRPr="00005EE6">
              <w:rPr>
                <w:lang w:eastAsia="en-AU"/>
              </w:rPr>
              <w:t>357</w:t>
            </w:r>
            <w:r>
              <w:rPr>
                <w:lang w:eastAsia="en-AU"/>
              </w:rPr>
              <w:t>,</w:t>
            </w:r>
            <w:r w:rsidRPr="00005EE6">
              <w:rPr>
                <w:lang w:eastAsia="en-AU"/>
              </w:rPr>
              <w:t>957</w:t>
            </w:r>
          </w:p>
        </w:tc>
        <w:tc>
          <w:tcPr>
            <w:tcW w:w="0" w:type="dxa"/>
            <w:tcBorders>
              <w:top w:val="none" w:sz="0" w:space="0" w:color="auto"/>
              <w:bottom w:val="none" w:sz="0" w:space="0" w:color="auto"/>
            </w:tcBorders>
            <w:vAlign w:val="center"/>
          </w:tcPr>
          <w:p w14:paraId="0368D684" w14:textId="77777777" w:rsidR="001D03E4" w:rsidRDefault="001D03E4" w:rsidP="00357486">
            <w:pPr>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w:t>
            </w:r>
            <w:r w:rsidRPr="009418C7">
              <w:rPr>
                <w:lang w:eastAsia="en-AU"/>
              </w:rPr>
              <w:t>3</w:t>
            </w:r>
            <w:r>
              <w:rPr>
                <w:lang w:eastAsia="en-AU"/>
              </w:rPr>
              <w:t>,</w:t>
            </w:r>
            <w:r w:rsidRPr="009418C7">
              <w:rPr>
                <w:lang w:eastAsia="en-AU"/>
              </w:rPr>
              <w:t>774</w:t>
            </w:r>
          </w:p>
        </w:tc>
      </w:tr>
      <w:tr w:rsidR="001D03E4" w:rsidRPr="00005EE6" w14:paraId="3AEA128F" w14:textId="77777777" w:rsidTr="000613C9">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6A7D50F" w14:textId="77777777" w:rsidR="001D03E4" w:rsidRPr="00005EE6" w:rsidRDefault="001D03E4" w:rsidP="00357486">
            <w:pPr>
              <w:jc w:val="left"/>
              <w:rPr>
                <w:lang w:eastAsia="en-AU"/>
              </w:rPr>
            </w:pPr>
            <w:r w:rsidRPr="00005EE6">
              <w:rPr>
                <w:lang w:eastAsia="en-AU"/>
              </w:rPr>
              <w:t>Fraser Coast</w:t>
            </w:r>
          </w:p>
        </w:tc>
        <w:tc>
          <w:tcPr>
            <w:tcW w:w="0" w:type="dxa"/>
            <w:noWrap/>
            <w:vAlign w:val="center"/>
          </w:tcPr>
          <w:p w14:paraId="6FA548C2" w14:textId="77777777" w:rsidR="001D03E4" w:rsidRPr="00005EE6" w:rsidRDefault="001D03E4" w:rsidP="00357486">
            <w:pPr>
              <w:jc w:val="right"/>
              <w:cnfStyle w:val="000000000000" w:firstRow="0" w:lastRow="0" w:firstColumn="0" w:lastColumn="0" w:oddVBand="0" w:evenVBand="0" w:oddHBand="0" w:evenHBand="0" w:firstRowFirstColumn="0" w:firstRowLastColumn="0" w:lastRowFirstColumn="0" w:lastRowLastColumn="0"/>
              <w:rPr>
                <w:lang w:eastAsia="en-AU"/>
              </w:rPr>
            </w:pPr>
            <w:r w:rsidRPr="00005EE6">
              <w:rPr>
                <w:lang w:eastAsia="en-AU"/>
              </w:rPr>
              <w:t>33</w:t>
            </w:r>
          </w:p>
        </w:tc>
        <w:tc>
          <w:tcPr>
            <w:tcW w:w="0" w:type="dxa"/>
            <w:noWrap/>
            <w:vAlign w:val="center"/>
          </w:tcPr>
          <w:p w14:paraId="32E5300A" w14:textId="77777777" w:rsidR="001D03E4" w:rsidRPr="00005EE6" w:rsidRDefault="001D03E4" w:rsidP="00357486">
            <w:pPr>
              <w:jc w:val="right"/>
              <w:cnfStyle w:val="000000000000" w:firstRow="0" w:lastRow="0" w:firstColumn="0" w:lastColumn="0" w:oddVBand="0" w:evenVBand="0" w:oddHBand="0" w:evenHBand="0" w:firstRowFirstColumn="0" w:firstRowLastColumn="0" w:lastRowFirstColumn="0" w:lastRowLastColumn="0"/>
              <w:rPr>
                <w:lang w:eastAsia="en-AU"/>
              </w:rPr>
            </w:pPr>
            <w:r w:rsidRPr="00005EE6">
              <w:rPr>
                <w:lang w:eastAsia="en-AU"/>
              </w:rPr>
              <w:t>1</w:t>
            </w:r>
            <w:r>
              <w:rPr>
                <w:lang w:eastAsia="en-AU"/>
              </w:rPr>
              <w:t>,</w:t>
            </w:r>
            <w:r w:rsidRPr="00005EE6">
              <w:rPr>
                <w:lang w:eastAsia="en-AU"/>
              </w:rPr>
              <w:t>304</w:t>
            </w:r>
          </w:p>
        </w:tc>
        <w:tc>
          <w:tcPr>
            <w:tcW w:w="0" w:type="dxa"/>
            <w:noWrap/>
            <w:vAlign w:val="center"/>
          </w:tcPr>
          <w:p w14:paraId="1D70C953" w14:textId="77777777" w:rsidR="001D03E4" w:rsidRPr="00005EE6" w:rsidRDefault="001D03E4" w:rsidP="00357486">
            <w:pPr>
              <w:jc w:val="right"/>
              <w:cnfStyle w:val="000000000000" w:firstRow="0" w:lastRow="0" w:firstColumn="0" w:lastColumn="0" w:oddVBand="0" w:evenVBand="0" w:oddHBand="0" w:evenHBand="0" w:firstRowFirstColumn="0" w:firstRowLastColumn="0" w:lastRowFirstColumn="0" w:lastRowLastColumn="0"/>
              <w:rPr>
                <w:lang w:eastAsia="en-AU"/>
              </w:rPr>
            </w:pPr>
            <w:r w:rsidRPr="00005EE6">
              <w:rPr>
                <w:lang w:eastAsia="en-AU"/>
              </w:rPr>
              <w:t>1</w:t>
            </w:r>
            <w:r>
              <w:rPr>
                <w:lang w:eastAsia="en-AU"/>
              </w:rPr>
              <w:t>,</w:t>
            </w:r>
            <w:r w:rsidRPr="00005EE6">
              <w:rPr>
                <w:lang w:eastAsia="en-AU"/>
              </w:rPr>
              <w:t>343</w:t>
            </w:r>
          </w:p>
        </w:tc>
        <w:tc>
          <w:tcPr>
            <w:tcW w:w="0" w:type="dxa"/>
            <w:vAlign w:val="center"/>
          </w:tcPr>
          <w:p w14:paraId="0AE838E4" w14:textId="77777777" w:rsidR="001D03E4" w:rsidRPr="00005EE6" w:rsidRDefault="001D03E4" w:rsidP="00357486">
            <w:pPr>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Pr="00005EE6">
              <w:rPr>
                <w:lang w:eastAsia="en-AU"/>
              </w:rPr>
              <w:t>5</w:t>
            </w:r>
            <w:r>
              <w:rPr>
                <w:lang w:eastAsia="en-AU"/>
              </w:rPr>
              <w:t>,</w:t>
            </w:r>
            <w:r w:rsidRPr="00005EE6">
              <w:rPr>
                <w:lang w:eastAsia="en-AU"/>
              </w:rPr>
              <w:t>035</w:t>
            </w:r>
            <w:r>
              <w:rPr>
                <w:lang w:eastAsia="en-AU"/>
              </w:rPr>
              <w:t>,</w:t>
            </w:r>
            <w:r w:rsidRPr="00005EE6">
              <w:rPr>
                <w:lang w:eastAsia="en-AU"/>
              </w:rPr>
              <w:t>763</w:t>
            </w:r>
          </w:p>
        </w:tc>
        <w:tc>
          <w:tcPr>
            <w:tcW w:w="0" w:type="dxa"/>
            <w:vAlign w:val="center"/>
          </w:tcPr>
          <w:p w14:paraId="09DB3E1A" w14:textId="77777777" w:rsidR="001D03E4" w:rsidRDefault="001D03E4" w:rsidP="00357486">
            <w:pPr>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Pr="009418C7">
              <w:rPr>
                <w:lang w:eastAsia="en-AU"/>
              </w:rPr>
              <w:t>3</w:t>
            </w:r>
            <w:r>
              <w:rPr>
                <w:lang w:eastAsia="en-AU"/>
              </w:rPr>
              <w:t>,</w:t>
            </w:r>
            <w:r w:rsidRPr="009418C7">
              <w:rPr>
                <w:lang w:eastAsia="en-AU"/>
              </w:rPr>
              <w:t>863</w:t>
            </w:r>
          </w:p>
        </w:tc>
      </w:tr>
      <w:tr w:rsidR="001D03E4" w:rsidRPr="00005EE6" w14:paraId="4F951674" w14:textId="77777777" w:rsidTr="001D03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14:paraId="40D6CABF" w14:textId="77777777" w:rsidR="001D03E4" w:rsidRPr="00005EE6" w:rsidRDefault="001D03E4" w:rsidP="00357486">
            <w:pPr>
              <w:jc w:val="left"/>
              <w:rPr>
                <w:lang w:eastAsia="en-AU"/>
              </w:rPr>
            </w:pPr>
            <w:r w:rsidRPr="00005EE6">
              <w:rPr>
                <w:lang w:eastAsia="en-AU"/>
              </w:rPr>
              <w:t>BHB region</w:t>
            </w:r>
          </w:p>
        </w:tc>
        <w:tc>
          <w:tcPr>
            <w:tcW w:w="1440" w:type="dxa"/>
            <w:noWrap/>
            <w:vAlign w:val="center"/>
          </w:tcPr>
          <w:p w14:paraId="0B2CD037" w14:textId="77777777" w:rsidR="001D03E4" w:rsidRPr="000613C9" w:rsidRDefault="001D03E4" w:rsidP="00357486">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67</w:t>
            </w:r>
          </w:p>
        </w:tc>
        <w:tc>
          <w:tcPr>
            <w:tcW w:w="1343" w:type="dxa"/>
            <w:noWrap/>
            <w:vAlign w:val="center"/>
          </w:tcPr>
          <w:p w14:paraId="513C84C1" w14:textId="77777777" w:rsidR="001D03E4" w:rsidRPr="000613C9" w:rsidRDefault="00BE1AD7" w:rsidP="00D63FAC">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 xml:space="preserve">2,458 </w:t>
            </w:r>
          </w:p>
        </w:tc>
        <w:tc>
          <w:tcPr>
            <w:tcW w:w="1403" w:type="dxa"/>
            <w:noWrap/>
            <w:vAlign w:val="center"/>
          </w:tcPr>
          <w:p w14:paraId="19BDB17D" w14:textId="77777777" w:rsidR="001D03E4" w:rsidRPr="000613C9" w:rsidRDefault="001D03E4" w:rsidP="00357486">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2,705</w:t>
            </w:r>
          </w:p>
        </w:tc>
        <w:tc>
          <w:tcPr>
            <w:tcW w:w="1441" w:type="dxa"/>
            <w:vAlign w:val="center"/>
          </w:tcPr>
          <w:p w14:paraId="1D4EC5EE" w14:textId="77777777" w:rsidR="001D03E4" w:rsidRPr="000613C9" w:rsidRDefault="001D03E4" w:rsidP="00357486">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$9,393,720</w:t>
            </w:r>
          </w:p>
        </w:tc>
        <w:tc>
          <w:tcPr>
            <w:tcW w:w="1648" w:type="dxa"/>
            <w:vAlign w:val="center"/>
          </w:tcPr>
          <w:p w14:paraId="720BF3CE" w14:textId="77777777" w:rsidR="001D03E4" w:rsidRPr="000613C9" w:rsidRDefault="001D03E4" w:rsidP="00357486">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$3,822</w:t>
            </w:r>
          </w:p>
        </w:tc>
      </w:tr>
      <w:tr w:rsidR="001D03E4" w:rsidRPr="00005EE6" w14:paraId="05448240" w14:textId="77777777" w:rsidTr="000613C9">
        <w:trPr>
          <w:trHeight w:val="300"/>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58B3A48" w14:textId="77777777" w:rsidR="001D03E4" w:rsidRPr="00005EE6" w:rsidRDefault="001D03E4" w:rsidP="00357486">
            <w:pPr>
              <w:jc w:val="left"/>
              <w:rPr>
                <w:lang w:eastAsia="en-AU"/>
              </w:rPr>
            </w:pPr>
            <w:r w:rsidRPr="00005EE6">
              <w:rPr>
                <w:lang w:eastAsia="en-AU"/>
              </w:rPr>
              <w:t>Queensland</w:t>
            </w:r>
          </w:p>
        </w:tc>
        <w:tc>
          <w:tcPr>
            <w:tcW w:w="0" w:type="dxa"/>
            <w:noWrap/>
            <w:vAlign w:val="center"/>
          </w:tcPr>
          <w:p w14:paraId="6947A356" w14:textId="77777777" w:rsidR="001D03E4" w:rsidRPr="000613C9" w:rsidRDefault="001D03E4" w:rsidP="00357486">
            <w:pPr>
              <w:jc w:val="right"/>
              <w:cnfStyle w:val="000000000000" w:firstRow="0" w:lastRow="0" w:firstColumn="0" w:lastColumn="0" w:oddVBand="0" w:evenVBand="0" w:oddHBand="0" w:evenHBand="0" w:firstRowFirstColumn="0" w:firstRowLastColumn="0" w:lastRowFirstColumn="0" w:lastRowLastColumn="0"/>
              <w:rPr>
                <w:b/>
                <w:lang w:eastAsia="en-AU"/>
              </w:rPr>
            </w:pPr>
            <w:r w:rsidRPr="000613C9">
              <w:rPr>
                <w:b/>
                <w:lang w:eastAsia="en-AU"/>
              </w:rPr>
              <w:t>1,131</w:t>
            </w:r>
          </w:p>
        </w:tc>
        <w:tc>
          <w:tcPr>
            <w:tcW w:w="0" w:type="dxa"/>
            <w:noWrap/>
            <w:vAlign w:val="center"/>
          </w:tcPr>
          <w:p w14:paraId="7C520982" w14:textId="77777777" w:rsidR="001D03E4" w:rsidRPr="000613C9" w:rsidRDefault="001D03E4" w:rsidP="00357486">
            <w:pPr>
              <w:jc w:val="right"/>
              <w:cnfStyle w:val="000000000000" w:firstRow="0" w:lastRow="0" w:firstColumn="0" w:lastColumn="0" w:oddVBand="0" w:evenVBand="0" w:oddHBand="0" w:evenHBand="0" w:firstRowFirstColumn="0" w:firstRowLastColumn="0" w:lastRowFirstColumn="0" w:lastRowLastColumn="0"/>
              <w:rPr>
                <w:b/>
                <w:lang w:eastAsia="en-AU"/>
              </w:rPr>
            </w:pPr>
            <w:r w:rsidRPr="000613C9">
              <w:rPr>
                <w:b/>
                <w:lang w:eastAsia="en-AU"/>
              </w:rPr>
              <w:t>42,159</w:t>
            </w:r>
          </w:p>
        </w:tc>
        <w:tc>
          <w:tcPr>
            <w:tcW w:w="0" w:type="dxa"/>
            <w:noWrap/>
            <w:vAlign w:val="center"/>
          </w:tcPr>
          <w:p w14:paraId="7243B650" w14:textId="77777777" w:rsidR="001D03E4" w:rsidRPr="000613C9" w:rsidRDefault="001D03E4" w:rsidP="00357486">
            <w:pPr>
              <w:jc w:val="right"/>
              <w:cnfStyle w:val="000000000000" w:firstRow="0" w:lastRow="0" w:firstColumn="0" w:lastColumn="0" w:oddVBand="0" w:evenVBand="0" w:oddHBand="0" w:evenHBand="0" w:firstRowFirstColumn="0" w:firstRowLastColumn="0" w:lastRowFirstColumn="0" w:lastRowLastColumn="0"/>
              <w:rPr>
                <w:b/>
                <w:lang w:eastAsia="en-AU"/>
              </w:rPr>
            </w:pPr>
            <w:r w:rsidRPr="000613C9">
              <w:rPr>
                <w:b/>
                <w:lang w:eastAsia="en-AU"/>
              </w:rPr>
              <w:t>45,463</w:t>
            </w:r>
          </w:p>
        </w:tc>
        <w:tc>
          <w:tcPr>
            <w:tcW w:w="0" w:type="dxa"/>
            <w:vAlign w:val="center"/>
          </w:tcPr>
          <w:p w14:paraId="2AB5FF18" w14:textId="77777777" w:rsidR="001D03E4" w:rsidRPr="000613C9" w:rsidRDefault="001D03E4" w:rsidP="00357486">
            <w:pPr>
              <w:jc w:val="right"/>
              <w:cnfStyle w:val="000000000000" w:firstRow="0" w:lastRow="0" w:firstColumn="0" w:lastColumn="0" w:oddVBand="0" w:evenVBand="0" w:oddHBand="0" w:evenHBand="0" w:firstRowFirstColumn="0" w:firstRowLastColumn="0" w:lastRowFirstColumn="0" w:lastRowLastColumn="0"/>
              <w:rPr>
                <w:b/>
                <w:lang w:eastAsia="en-AU"/>
              </w:rPr>
            </w:pPr>
            <w:r w:rsidRPr="000613C9">
              <w:rPr>
                <w:b/>
                <w:lang w:eastAsia="en-AU"/>
              </w:rPr>
              <w:t>$200,249,154</w:t>
            </w:r>
          </w:p>
        </w:tc>
        <w:tc>
          <w:tcPr>
            <w:tcW w:w="0" w:type="dxa"/>
            <w:vAlign w:val="center"/>
          </w:tcPr>
          <w:p w14:paraId="23080214" w14:textId="77777777" w:rsidR="001D03E4" w:rsidRPr="000613C9" w:rsidRDefault="001D03E4" w:rsidP="00357486">
            <w:pPr>
              <w:jc w:val="right"/>
              <w:cnfStyle w:val="000000000000" w:firstRow="0" w:lastRow="0" w:firstColumn="0" w:lastColumn="0" w:oddVBand="0" w:evenVBand="0" w:oddHBand="0" w:evenHBand="0" w:firstRowFirstColumn="0" w:firstRowLastColumn="0" w:lastRowFirstColumn="0" w:lastRowLastColumn="0"/>
              <w:rPr>
                <w:b/>
                <w:lang w:eastAsia="en-AU"/>
              </w:rPr>
            </w:pPr>
            <w:r w:rsidRPr="000613C9">
              <w:rPr>
                <w:b/>
                <w:lang w:eastAsia="en-AU"/>
              </w:rPr>
              <w:t>$4,750</w:t>
            </w:r>
          </w:p>
        </w:tc>
      </w:tr>
    </w:tbl>
    <w:p w14:paraId="30458194" w14:textId="77777777" w:rsidR="00706176" w:rsidRPr="00357486" w:rsidRDefault="00706176" w:rsidP="00357486">
      <w:pPr>
        <w:spacing w:after="0"/>
        <w:rPr>
          <w:i/>
          <w:sz w:val="18"/>
          <w:szCs w:val="18"/>
        </w:rPr>
      </w:pPr>
      <w:r w:rsidRPr="00357486">
        <w:rPr>
          <w:i/>
          <w:sz w:val="18"/>
          <w:szCs w:val="18"/>
        </w:rPr>
        <w:t>Source: Queensland Government Gaming Statistics.</w:t>
      </w:r>
    </w:p>
    <w:p w14:paraId="7588EAAC" w14:textId="77777777" w:rsidR="00005EE6" w:rsidRPr="00301525" w:rsidRDefault="00005EE6" w:rsidP="0079482A">
      <w:pPr>
        <w:rPr>
          <w:i/>
          <w:sz w:val="18"/>
          <w:szCs w:val="18"/>
        </w:rPr>
      </w:pPr>
      <w:r w:rsidRPr="00357486">
        <w:rPr>
          <w:i/>
          <w:sz w:val="18"/>
          <w:szCs w:val="18"/>
        </w:rPr>
        <w:t>Note</w:t>
      </w:r>
      <w:r w:rsidR="005C5322">
        <w:rPr>
          <w:i/>
          <w:sz w:val="18"/>
          <w:szCs w:val="18"/>
        </w:rPr>
        <w:t>s</w:t>
      </w:r>
      <w:r w:rsidRPr="00357486">
        <w:rPr>
          <w:i/>
          <w:sz w:val="18"/>
          <w:szCs w:val="18"/>
        </w:rPr>
        <w:t xml:space="preserve">: </w:t>
      </w:r>
      <w:r w:rsidR="00BE1AD7">
        <w:rPr>
          <w:i/>
          <w:sz w:val="18"/>
          <w:szCs w:val="18"/>
        </w:rPr>
        <w:t>‘</w:t>
      </w:r>
      <w:r w:rsidRPr="00357486">
        <w:rPr>
          <w:i/>
          <w:sz w:val="18"/>
          <w:szCs w:val="18"/>
        </w:rPr>
        <w:t>BHB region</w:t>
      </w:r>
      <w:r w:rsidR="00BE1AD7">
        <w:rPr>
          <w:i/>
          <w:sz w:val="18"/>
          <w:szCs w:val="18"/>
        </w:rPr>
        <w:t>’</w:t>
      </w:r>
      <w:r w:rsidR="00AB309B">
        <w:rPr>
          <w:i/>
          <w:sz w:val="18"/>
          <w:szCs w:val="18"/>
        </w:rPr>
        <w:t xml:space="preserve"> refers to Bundaberg and Fraser Coast added together, which</w:t>
      </w:r>
      <w:r w:rsidRPr="00357486">
        <w:rPr>
          <w:i/>
          <w:sz w:val="18"/>
          <w:szCs w:val="18"/>
        </w:rPr>
        <w:t xml:space="preserve"> is identified using information</w:t>
      </w:r>
      <w:r w:rsidR="0020713D" w:rsidRPr="00357486">
        <w:rPr>
          <w:i/>
          <w:sz w:val="18"/>
          <w:szCs w:val="18"/>
        </w:rPr>
        <w:t xml:space="preserve"> on LGAs</w:t>
      </w:r>
      <w:r w:rsidRPr="00357486">
        <w:rPr>
          <w:i/>
          <w:sz w:val="18"/>
          <w:szCs w:val="18"/>
        </w:rPr>
        <w:t>.</w:t>
      </w:r>
      <w:r w:rsidR="00D63FAC">
        <w:rPr>
          <w:i/>
          <w:sz w:val="18"/>
          <w:szCs w:val="18"/>
        </w:rPr>
        <w:t xml:space="preserve"> </w:t>
      </w:r>
      <w:r w:rsidR="005C5322" w:rsidRPr="005C5322">
        <w:rPr>
          <w:i/>
          <w:sz w:val="18"/>
          <w:szCs w:val="18"/>
        </w:rPr>
        <w:t xml:space="preserve">Due to rounding, the total </w:t>
      </w:r>
      <w:r w:rsidR="005C5322">
        <w:rPr>
          <w:i/>
          <w:sz w:val="18"/>
          <w:szCs w:val="18"/>
        </w:rPr>
        <w:t>number</w:t>
      </w:r>
      <w:r w:rsidR="005C5322" w:rsidRPr="005C5322">
        <w:rPr>
          <w:i/>
          <w:sz w:val="18"/>
          <w:szCs w:val="18"/>
        </w:rPr>
        <w:t xml:space="preserve"> may not be exactly the same as the sum of row</w:t>
      </w:r>
      <w:r w:rsidR="00BE1AD7">
        <w:rPr>
          <w:i/>
          <w:sz w:val="18"/>
          <w:szCs w:val="18"/>
        </w:rPr>
        <w:t>s</w:t>
      </w:r>
      <w:r w:rsidR="005C5322" w:rsidRPr="005C5322">
        <w:rPr>
          <w:i/>
          <w:sz w:val="18"/>
          <w:szCs w:val="18"/>
        </w:rPr>
        <w:t>.</w:t>
      </w:r>
      <w:r w:rsidR="00D63FAC">
        <w:rPr>
          <w:i/>
          <w:sz w:val="18"/>
          <w:szCs w:val="18"/>
        </w:rPr>
        <w:t xml:space="preserve"> </w:t>
      </w:r>
      <w:r w:rsidR="00BE1AD7">
        <w:rPr>
          <w:i/>
          <w:sz w:val="18"/>
          <w:szCs w:val="18"/>
        </w:rPr>
        <w:t>‘</w:t>
      </w:r>
      <w:r w:rsidR="00D63FAC">
        <w:rPr>
          <w:i/>
          <w:sz w:val="18"/>
          <w:szCs w:val="18"/>
        </w:rPr>
        <w:t>Operational EGMs</w:t>
      </w:r>
      <w:r w:rsidR="00BE1AD7">
        <w:rPr>
          <w:i/>
          <w:sz w:val="18"/>
          <w:szCs w:val="18"/>
        </w:rPr>
        <w:t>’</w:t>
      </w:r>
      <w:r w:rsidR="00D63FAC">
        <w:rPr>
          <w:i/>
          <w:sz w:val="18"/>
          <w:szCs w:val="18"/>
        </w:rPr>
        <w:t xml:space="preserve"> is the number of currently operating EGMs and </w:t>
      </w:r>
      <w:r w:rsidR="00BE1AD7">
        <w:rPr>
          <w:i/>
          <w:sz w:val="18"/>
          <w:szCs w:val="18"/>
        </w:rPr>
        <w:t>‘</w:t>
      </w:r>
      <w:r w:rsidR="00D63FAC">
        <w:rPr>
          <w:i/>
          <w:sz w:val="18"/>
          <w:szCs w:val="18"/>
        </w:rPr>
        <w:t>approved</w:t>
      </w:r>
      <w:r w:rsidR="00BE1AD7">
        <w:rPr>
          <w:i/>
          <w:sz w:val="18"/>
          <w:szCs w:val="18"/>
        </w:rPr>
        <w:t>’</w:t>
      </w:r>
      <w:r w:rsidR="00F923D7">
        <w:rPr>
          <w:i/>
          <w:sz w:val="18"/>
          <w:szCs w:val="18"/>
        </w:rPr>
        <w:t xml:space="preserve"> </w:t>
      </w:r>
      <w:r w:rsidR="00D63FAC">
        <w:rPr>
          <w:i/>
          <w:sz w:val="18"/>
          <w:szCs w:val="18"/>
        </w:rPr>
        <w:t>are the ones that could potentially operate. The difference between approved minus operational is an indicator of excess capacity, or lower than average demand in the sector.</w:t>
      </w:r>
      <w:r w:rsidR="00D63FAC">
        <w:rPr>
          <w:i/>
          <w:sz w:val="18"/>
          <w:szCs w:val="18"/>
          <w:lang w:val="en"/>
        </w:rPr>
        <w:t xml:space="preserve"> </w:t>
      </w:r>
      <w:r w:rsidR="00165E53" w:rsidRPr="00357486">
        <w:rPr>
          <w:i/>
          <w:sz w:val="18"/>
          <w:szCs w:val="18"/>
        </w:rPr>
        <w:t xml:space="preserve">Metered win denotes the amount obtained by EGMs </w:t>
      </w:r>
      <w:r w:rsidR="00BE1AD7">
        <w:rPr>
          <w:i/>
          <w:sz w:val="18"/>
          <w:szCs w:val="18"/>
        </w:rPr>
        <w:t xml:space="preserve">after payouts are </w:t>
      </w:r>
      <w:r w:rsidR="00165E53" w:rsidRPr="00357486">
        <w:rPr>
          <w:i/>
          <w:sz w:val="18"/>
          <w:szCs w:val="18"/>
        </w:rPr>
        <w:t>subtract</w:t>
      </w:r>
      <w:r w:rsidR="00BE1AD7">
        <w:rPr>
          <w:i/>
          <w:sz w:val="18"/>
          <w:szCs w:val="18"/>
        </w:rPr>
        <w:t>ed</w:t>
      </w:r>
      <w:r w:rsidR="00301525">
        <w:rPr>
          <w:i/>
          <w:sz w:val="18"/>
          <w:szCs w:val="18"/>
        </w:rPr>
        <w:t xml:space="preserve"> and it should not be confused with the amount won by gamblers</w:t>
      </w:r>
      <w:r w:rsidR="00165E53" w:rsidRPr="00357486">
        <w:rPr>
          <w:i/>
          <w:sz w:val="18"/>
          <w:szCs w:val="18"/>
        </w:rPr>
        <w:t>.</w:t>
      </w:r>
      <w:r w:rsidR="00301525">
        <w:rPr>
          <w:i/>
          <w:sz w:val="18"/>
          <w:szCs w:val="18"/>
        </w:rPr>
        <w:t xml:space="preserve"> </w:t>
      </w:r>
      <w:r w:rsidR="00301525" w:rsidRPr="00301525">
        <w:rPr>
          <w:i/>
          <w:sz w:val="18"/>
          <w:szCs w:val="18"/>
        </w:rPr>
        <w:t>2</w:t>
      </w:r>
      <w:r w:rsidR="00230B24">
        <w:rPr>
          <w:i/>
          <w:sz w:val="18"/>
          <w:szCs w:val="18"/>
        </w:rPr>
        <w:t>,</w:t>
      </w:r>
      <w:r w:rsidR="00301525" w:rsidRPr="00301525">
        <w:rPr>
          <w:i/>
          <w:sz w:val="18"/>
          <w:szCs w:val="18"/>
        </w:rPr>
        <w:t>458 is due to rounding of monthly averages.</w:t>
      </w:r>
    </w:p>
    <w:p w14:paraId="209FB582" w14:textId="77777777" w:rsidR="00D63FAC" w:rsidRDefault="00494397" w:rsidP="0079482A">
      <w:pPr>
        <w:pStyle w:val="ListParagraph"/>
        <w:numPr>
          <w:ilvl w:val="0"/>
          <w:numId w:val="5"/>
        </w:numPr>
      </w:pPr>
      <w:r>
        <w:t xml:space="preserve">In 2018, about 2,500 EGMs </w:t>
      </w:r>
      <w:r w:rsidR="00D63FAC">
        <w:t>we</w:t>
      </w:r>
      <w:r>
        <w:t xml:space="preserve">re in operation in the </w:t>
      </w:r>
      <w:r w:rsidR="00FE7B5B">
        <w:t>Bundaberg and Hervey Bay</w:t>
      </w:r>
      <w:r>
        <w:t xml:space="preserve"> region, among the 42,000 </w:t>
      </w:r>
      <w:r w:rsidR="00BE1AD7">
        <w:t>EGMs</w:t>
      </w:r>
      <w:r>
        <w:t xml:space="preserve"> recorded in Queensland. </w:t>
      </w:r>
    </w:p>
    <w:p w14:paraId="2A02FACB" w14:textId="77777777" w:rsidR="005F0824" w:rsidRDefault="005F0824" w:rsidP="0079482A">
      <w:pPr>
        <w:pStyle w:val="ListParagraph"/>
        <w:numPr>
          <w:ilvl w:val="0"/>
          <w:numId w:val="5"/>
        </w:numPr>
      </w:pPr>
      <w:r>
        <w:rPr>
          <w:rFonts w:cstheme="minorHAnsi"/>
          <w:lang w:val="en-US"/>
        </w:rPr>
        <w:t xml:space="preserve">The difference between approved and operational EGMs is an indicator of excess capacity in the sector (i.e. when resources that are physically in place are not presently </w:t>
      </w:r>
      <w:proofErr w:type="spellStart"/>
      <w:r>
        <w:rPr>
          <w:rFonts w:cstheme="minorHAnsi"/>
          <w:lang w:val="en-US"/>
        </w:rPr>
        <w:t>utilised</w:t>
      </w:r>
      <w:proofErr w:type="spellEnd"/>
      <w:r>
        <w:rPr>
          <w:rFonts w:cstheme="minorHAnsi"/>
          <w:lang w:val="en-US"/>
        </w:rPr>
        <w:t>). There appears to be more excess capacity in the Bundaberg and Hervey Bay region (where 91 per cent of approved machines are operational) than in the state of Queensland as a whole (where 93 per cent of approved machines are operational).</w:t>
      </w:r>
    </w:p>
    <w:p w14:paraId="4F5C0AEC" w14:textId="77777777" w:rsidR="00F1362F" w:rsidRDefault="00165E53" w:rsidP="0079482A">
      <w:pPr>
        <w:pStyle w:val="ListParagraph"/>
        <w:numPr>
          <w:ilvl w:val="0"/>
          <w:numId w:val="5"/>
        </w:numPr>
      </w:pPr>
      <w:r>
        <w:t>The metered win per EGM</w:t>
      </w:r>
      <w:r w:rsidR="00494397">
        <w:t xml:space="preserve"> is about $3,800</w:t>
      </w:r>
      <w:r>
        <w:t xml:space="preserve"> </w:t>
      </w:r>
      <w:r w:rsidR="00C274CC">
        <w:t xml:space="preserve">in the </w:t>
      </w:r>
      <w:r w:rsidR="00FE7B5B">
        <w:t>Bundaberg and Hervey Bay</w:t>
      </w:r>
      <w:r w:rsidR="00C274CC">
        <w:t xml:space="preserve"> region</w:t>
      </w:r>
      <w:r w:rsidR="00494397">
        <w:t>,</w:t>
      </w:r>
      <w:r w:rsidR="00706176">
        <w:t xml:space="preserve"> </w:t>
      </w:r>
      <w:r w:rsidR="00BE1AD7">
        <w:t xml:space="preserve">which is </w:t>
      </w:r>
      <w:r w:rsidR="00706176">
        <w:t>substantially lower than</w:t>
      </w:r>
      <w:r w:rsidR="00C274CC">
        <w:t xml:space="preserve"> </w:t>
      </w:r>
      <w:r w:rsidR="00494397">
        <w:t xml:space="preserve">the figure of $4,750 in </w:t>
      </w:r>
      <w:r w:rsidR="00D63FAC">
        <w:t xml:space="preserve">the state of </w:t>
      </w:r>
      <w:r w:rsidR="00C274CC">
        <w:t>Queensland</w:t>
      </w:r>
      <w:r w:rsidR="00D63FAC">
        <w:t xml:space="preserve"> as a whole</w:t>
      </w:r>
      <w:r w:rsidR="00C274CC">
        <w:t xml:space="preserve">. </w:t>
      </w:r>
    </w:p>
    <w:p w14:paraId="5CFAE820" w14:textId="6E6554FB" w:rsidR="00005EE6" w:rsidRPr="00005EE6" w:rsidRDefault="000851DE">
      <w:pPr>
        <w:pStyle w:val="Caption"/>
      </w:pPr>
      <w:bookmarkStart w:id="49" w:name="_Toc34935532"/>
      <w:bookmarkStart w:id="50" w:name="_Toc37263570"/>
      <w:r>
        <w:t>Table</w:t>
      </w:r>
      <w:r w:rsidR="00357486">
        <w:t xml:space="preserve"> </w:t>
      </w:r>
      <w:r w:rsidR="006C0554">
        <w:fldChar w:fldCharType="begin"/>
      </w:r>
      <w:r w:rsidR="006C0554">
        <w:instrText xml:space="preserve"> STYLEREF 1 \s </w:instrText>
      </w:r>
      <w:r w:rsidR="006C0554">
        <w:fldChar w:fldCharType="separate"/>
      </w:r>
      <w:r w:rsidR="008E2086">
        <w:t>2</w:t>
      </w:r>
      <w:r w:rsidR="006C0554">
        <w:fldChar w:fldCharType="end"/>
      </w:r>
      <w:r w:rsidR="002B03B4">
        <w:noBreakHyphen/>
      </w:r>
      <w:r w:rsidR="006C0554">
        <w:fldChar w:fldCharType="begin"/>
      </w:r>
      <w:r w:rsidR="006C0554">
        <w:instrText xml:space="preserve"> SEQ Table \* ARABIC \s 1 </w:instrText>
      </w:r>
      <w:r w:rsidR="006C0554">
        <w:fldChar w:fldCharType="separate"/>
      </w:r>
      <w:r w:rsidR="008E2086">
        <w:t>7</w:t>
      </w:r>
      <w:r w:rsidR="006C0554">
        <w:fldChar w:fldCharType="end"/>
      </w:r>
      <w:r w:rsidR="00357486">
        <w:t xml:space="preserve">: </w:t>
      </w:r>
      <w:r w:rsidR="00005EE6" w:rsidRPr="00005EE6">
        <w:t xml:space="preserve">Monthly EGM statistics </w:t>
      </w:r>
      <w:r w:rsidR="00005EE6">
        <w:t>per 1</w:t>
      </w:r>
      <w:r w:rsidR="00357486">
        <w:t>,</w:t>
      </w:r>
      <w:r w:rsidR="00005EE6">
        <w:t>000 population</w:t>
      </w:r>
      <w:r w:rsidR="00005EE6" w:rsidRPr="00005EE6">
        <w:t xml:space="preserve"> in</w:t>
      </w:r>
      <w:r w:rsidR="00005EE6">
        <w:t xml:space="preserve"> 2018</w:t>
      </w:r>
      <w:bookmarkEnd w:id="49"/>
      <w:bookmarkEnd w:id="50"/>
    </w:p>
    <w:tbl>
      <w:tblPr>
        <w:tblStyle w:val="ListTable3-Accent1"/>
        <w:tblW w:w="5000" w:type="pct"/>
        <w:tblLook w:val="04A0" w:firstRow="1" w:lastRow="0" w:firstColumn="1" w:lastColumn="0" w:noHBand="0" w:noVBand="1"/>
      </w:tblPr>
      <w:tblGrid>
        <w:gridCol w:w="1998"/>
        <w:gridCol w:w="1776"/>
        <w:gridCol w:w="1887"/>
        <w:gridCol w:w="1693"/>
        <w:gridCol w:w="1662"/>
      </w:tblGrid>
      <w:tr w:rsidR="001D03E4" w:rsidRPr="003542F0" w14:paraId="52AE75ED"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162" w:type="pct"/>
            <w:shd w:val="clear" w:color="auto" w:fill="2F5496" w:themeFill="accent5" w:themeFillShade="BF"/>
            <w:noWrap/>
            <w:hideMark/>
          </w:tcPr>
          <w:p w14:paraId="20A7EF44" w14:textId="77777777" w:rsidR="001D03E4" w:rsidRPr="003542F0" w:rsidRDefault="001D03E4" w:rsidP="0079482A">
            <w:pPr>
              <w:rPr>
                <w:lang w:eastAsia="en-AU"/>
              </w:rPr>
            </w:pPr>
          </w:p>
        </w:tc>
        <w:tc>
          <w:tcPr>
            <w:tcW w:w="926" w:type="pct"/>
            <w:shd w:val="clear" w:color="auto" w:fill="2F5496" w:themeFill="accent5" w:themeFillShade="BF"/>
            <w:noWrap/>
            <w:vAlign w:val="center"/>
          </w:tcPr>
          <w:p w14:paraId="6592BCCC" w14:textId="77777777" w:rsidR="001D03E4" w:rsidRPr="003542F0" w:rsidRDefault="001D03E4"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Operational sites</w:t>
            </w:r>
          </w:p>
        </w:tc>
        <w:tc>
          <w:tcPr>
            <w:tcW w:w="943" w:type="pct"/>
            <w:shd w:val="clear" w:color="auto" w:fill="2F5496" w:themeFill="accent5" w:themeFillShade="BF"/>
            <w:noWrap/>
            <w:vAlign w:val="center"/>
          </w:tcPr>
          <w:p w14:paraId="4961C7AF" w14:textId="77777777" w:rsidR="001D03E4" w:rsidRPr="003542F0" w:rsidRDefault="001D03E4"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Operational EGMs</w:t>
            </w:r>
          </w:p>
        </w:tc>
        <w:tc>
          <w:tcPr>
            <w:tcW w:w="984" w:type="pct"/>
            <w:shd w:val="clear" w:color="auto" w:fill="2F5496" w:themeFill="accent5" w:themeFillShade="BF"/>
            <w:noWrap/>
            <w:vAlign w:val="center"/>
          </w:tcPr>
          <w:p w14:paraId="47365BCA" w14:textId="77777777" w:rsidR="001D03E4" w:rsidRPr="003542F0" w:rsidRDefault="001D03E4"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Approved EGMs</w:t>
            </w:r>
          </w:p>
        </w:tc>
        <w:tc>
          <w:tcPr>
            <w:tcW w:w="984" w:type="pct"/>
            <w:shd w:val="clear" w:color="auto" w:fill="2F5496" w:themeFill="accent5" w:themeFillShade="BF"/>
            <w:vAlign w:val="center"/>
          </w:tcPr>
          <w:p w14:paraId="0B6C3EB6" w14:textId="77777777" w:rsidR="001D03E4" w:rsidRPr="003542F0" w:rsidRDefault="001D03E4"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Metered Win</w:t>
            </w:r>
          </w:p>
        </w:tc>
      </w:tr>
      <w:tr w:rsidR="001D03E4" w:rsidRPr="00005EE6" w14:paraId="6B0C2A3D"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2" w:type="pct"/>
            <w:noWrap/>
            <w:vAlign w:val="center"/>
            <w:hideMark/>
          </w:tcPr>
          <w:p w14:paraId="09EEEC94" w14:textId="77777777" w:rsidR="001D03E4" w:rsidRPr="00005EE6" w:rsidRDefault="001D03E4" w:rsidP="00357486">
            <w:pPr>
              <w:jc w:val="left"/>
              <w:rPr>
                <w:rFonts w:ascii="Calibri" w:eastAsia="Times New Roman" w:hAnsi="Calibri" w:cs="Calibri"/>
                <w:color w:val="000000"/>
                <w:lang w:eastAsia="en-AU"/>
              </w:rPr>
            </w:pPr>
            <w:r w:rsidRPr="00005EE6">
              <w:t>Bundaberg</w:t>
            </w:r>
          </w:p>
        </w:tc>
        <w:tc>
          <w:tcPr>
            <w:tcW w:w="926" w:type="pct"/>
            <w:noWrap/>
            <w:vAlign w:val="center"/>
          </w:tcPr>
          <w:p w14:paraId="2DF69753" w14:textId="77777777" w:rsidR="001D03E4" w:rsidRPr="00221A44" w:rsidRDefault="001D03E4" w:rsidP="00357486">
            <w:pPr>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0.366</w:t>
            </w:r>
          </w:p>
        </w:tc>
        <w:tc>
          <w:tcPr>
            <w:tcW w:w="943" w:type="pct"/>
            <w:noWrap/>
            <w:vAlign w:val="center"/>
          </w:tcPr>
          <w:p w14:paraId="68180F69" w14:textId="77777777" w:rsidR="001D03E4" w:rsidRPr="00221A44" w:rsidRDefault="001D03E4" w:rsidP="00357486">
            <w:pPr>
              <w:jc w:val="right"/>
              <w:cnfStyle w:val="000000100000" w:firstRow="0" w:lastRow="0" w:firstColumn="0" w:lastColumn="0" w:oddVBand="0" w:evenVBand="0" w:oddHBand="1" w:evenHBand="0" w:firstRowFirstColumn="0" w:firstRowLastColumn="0" w:lastRowFirstColumn="0" w:lastRowLastColumn="0"/>
              <w:rPr>
                <w:lang w:eastAsia="en-AU"/>
              </w:rPr>
            </w:pPr>
            <w:r w:rsidRPr="00221A44">
              <w:rPr>
                <w:lang w:eastAsia="en-AU"/>
              </w:rPr>
              <w:t>12.43</w:t>
            </w:r>
          </w:p>
        </w:tc>
        <w:tc>
          <w:tcPr>
            <w:tcW w:w="984" w:type="pct"/>
            <w:noWrap/>
            <w:vAlign w:val="center"/>
          </w:tcPr>
          <w:p w14:paraId="7E141B30" w14:textId="77777777" w:rsidR="001D03E4" w:rsidRPr="00221A44" w:rsidRDefault="001D03E4" w:rsidP="00357486">
            <w:pPr>
              <w:jc w:val="right"/>
              <w:cnfStyle w:val="000000100000" w:firstRow="0" w:lastRow="0" w:firstColumn="0" w:lastColumn="0" w:oddVBand="0" w:evenVBand="0" w:oddHBand="1" w:evenHBand="0" w:firstRowFirstColumn="0" w:firstRowLastColumn="0" w:lastRowFirstColumn="0" w:lastRowLastColumn="0"/>
              <w:rPr>
                <w:lang w:eastAsia="en-AU"/>
              </w:rPr>
            </w:pPr>
            <w:r w:rsidRPr="00221A44">
              <w:rPr>
                <w:lang w:eastAsia="en-AU"/>
              </w:rPr>
              <w:t>14.66</w:t>
            </w:r>
          </w:p>
        </w:tc>
        <w:tc>
          <w:tcPr>
            <w:tcW w:w="984" w:type="pct"/>
            <w:vAlign w:val="center"/>
          </w:tcPr>
          <w:p w14:paraId="6463FDCA" w14:textId="77777777" w:rsidR="001D03E4" w:rsidRPr="00221A44" w:rsidRDefault="001D03E4" w:rsidP="00357486">
            <w:pPr>
              <w:jc w:val="right"/>
              <w:cnfStyle w:val="000000100000" w:firstRow="0" w:lastRow="0" w:firstColumn="0" w:lastColumn="0" w:oddVBand="0" w:evenVBand="0" w:oddHBand="1" w:evenHBand="0" w:firstRowFirstColumn="0" w:firstRowLastColumn="0" w:lastRowFirstColumn="0" w:lastRowLastColumn="0"/>
              <w:rPr>
                <w:lang w:eastAsia="en-AU"/>
              </w:rPr>
            </w:pPr>
            <w:r w:rsidRPr="00221A44">
              <w:rPr>
                <w:lang w:eastAsia="en-AU"/>
              </w:rPr>
              <w:t>$46,913</w:t>
            </w:r>
          </w:p>
        </w:tc>
      </w:tr>
      <w:tr w:rsidR="001D03E4" w:rsidRPr="00005EE6" w14:paraId="5F17EBEF"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162" w:type="pct"/>
            <w:noWrap/>
            <w:vAlign w:val="center"/>
            <w:hideMark/>
          </w:tcPr>
          <w:p w14:paraId="4CBD49AA" w14:textId="77777777" w:rsidR="001D03E4" w:rsidRPr="00005EE6" w:rsidRDefault="001D03E4" w:rsidP="00357486">
            <w:pPr>
              <w:jc w:val="left"/>
              <w:rPr>
                <w:lang w:eastAsia="en-AU"/>
              </w:rPr>
            </w:pPr>
            <w:r w:rsidRPr="00005EE6">
              <w:rPr>
                <w:lang w:eastAsia="en-AU"/>
              </w:rPr>
              <w:t>Fraser Coast</w:t>
            </w:r>
          </w:p>
        </w:tc>
        <w:tc>
          <w:tcPr>
            <w:tcW w:w="926" w:type="pct"/>
            <w:noWrap/>
            <w:vAlign w:val="center"/>
          </w:tcPr>
          <w:p w14:paraId="14BFE0FE" w14:textId="77777777" w:rsidR="001D03E4" w:rsidRPr="00221A44" w:rsidRDefault="001D03E4" w:rsidP="00357486">
            <w:pPr>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0.327</w:t>
            </w:r>
          </w:p>
        </w:tc>
        <w:tc>
          <w:tcPr>
            <w:tcW w:w="943" w:type="pct"/>
            <w:noWrap/>
            <w:vAlign w:val="center"/>
          </w:tcPr>
          <w:p w14:paraId="202728C6" w14:textId="77777777" w:rsidR="001D03E4" w:rsidRPr="00221A44" w:rsidRDefault="001D03E4" w:rsidP="00357486">
            <w:pPr>
              <w:jc w:val="right"/>
              <w:cnfStyle w:val="000000000000" w:firstRow="0" w:lastRow="0" w:firstColumn="0" w:lastColumn="0" w:oddVBand="0" w:evenVBand="0" w:oddHBand="0" w:evenHBand="0" w:firstRowFirstColumn="0" w:firstRowLastColumn="0" w:lastRowFirstColumn="0" w:lastRowLastColumn="0"/>
              <w:rPr>
                <w:lang w:eastAsia="en-AU"/>
              </w:rPr>
            </w:pPr>
            <w:r w:rsidRPr="00221A44">
              <w:rPr>
                <w:lang w:eastAsia="en-AU"/>
              </w:rPr>
              <w:t>12.84</w:t>
            </w:r>
          </w:p>
        </w:tc>
        <w:tc>
          <w:tcPr>
            <w:tcW w:w="984" w:type="pct"/>
            <w:noWrap/>
            <w:vAlign w:val="center"/>
          </w:tcPr>
          <w:p w14:paraId="1953E5C2" w14:textId="77777777" w:rsidR="001D03E4" w:rsidRPr="00221A44" w:rsidRDefault="001D03E4" w:rsidP="00357486">
            <w:pPr>
              <w:jc w:val="right"/>
              <w:cnfStyle w:val="000000000000" w:firstRow="0" w:lastRow="0" w:firstColumn="0" w:lastColumn="0" w:oddVBand="0" w:evenVBand="0" w:oddHBand="0" w:evenHBand="0" w:firstRowFirstColumn="0" w:firstRowLastColumn="0" w:lastRowFirstColumn="0" w:lastRowLastColumn="0"/>
              <w:rPr>
                <w:lang w:eastAsia="en-AU"/>
              </w:rPr>
            </w:pPr>
            <w:r w:rsidRPr="00221A44">
              <w:rPr>
                <w:lang w:eastAsia="en-AU"/>
              </w:rPr>
              <w:t>13.23</w:t>
            </w:r>
          </w:p>
        </w:tc>
        <w:tc>
          <w:tcPr>
            <w:tcW w:w="984" w:type="pct"/>
            <w:vAlign w:val="center"/>
          </w:tcPr>
          <w:p w14:paraId="42A2154C" w14:textId="77777777" w:rsidR="001D03E4" w:rsidRPr="00221A44" w:rsidRDefault="001D03E4" w:rsidP="00357486">
            <w:pPr>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Pr="00221A44">
              <w:rPr>
                <w:lang w:eastAsia="en-AU"/>
              </w:rPr>
              <w:t>49</w:t>
            </w:r>
            <w:r>
              <w:rPr>
                <w:lang w:eastAsia="en-AU"/>
              </w:rPr>
              <w:t>,</w:t>
            </w:r>
            <w:r w:rsidRPr="00221A44">
              <w:rPr>
                <w:lang w:eastAsia="en-AU"/>
              </w:rPr>
              <w:t>612</w:t>
            </w:r>
          </w:p>
        </w:tc>
      </w:tr>
      <w:tr w:rsidR="001D03E4" w:rsidRPr="00005EE6" w14:paraId="1A3B4D48"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2" w:type="pct"/>
            <w:noWrap/>
            <w:vAlign w:val="center"/>
            <w:hideMark/>
          </w:tcPr>
          <w:p w14:paraId="33C31C2C" w14:textId="77777777" w:rsidR="001D03E4" w:rsidRPr="00005EE6" w:rsidRDefault="001D03E4" w:rsidP="00357486">
            <w:pPr>
              <w:jc w:val="left"/>
              <w:rPr>
                <w:lang w:eastAsia="en-AU"/>
              </w:rPr>
            </w:pPr>
            <w:r w:rsidRPr="00005EE6">
              <w:rPr>
                <w:lang w:eastAsia="en-AU"/>
              </w:rPr>
              <w:t>BHB region</w:t>
            </w:r>
          </w:p>
        </w:tc>
        <w:tc>
          <w:tcPr>
            <w:tcW w:w="926" w:type="pct"/>
            <w:noWrap/>
            <w:vAlign w:val="center"/>
          </w:tcPr>
          <w:p w14:paraId="5F1C907C" w14:textId="77777777" w:rsidR="001D03E4" w:rsidRPr="000613C9" w:rsidRDefault="001D03E4" w:rsidP="00357486">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0.346</w:t>
            </w:r>
          </w:p>
        </w:tc>
        <w:tc>
          <w:tcPr>
            <w:tcW w:w="943" w:type="pct"/>
            <w:noWrap/>
            <w:vAlign w:val="center"/>
          </w:tcPr>
          <w:p w14:paraId="65DFD058" w14:textId="77777777" w:rsidR="001D03E4" w:rsidRPr="000613C9" w:rsidRDefault="001D03E4" w:rsidP="00357486">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12.64</w:t>
            </w:r>
          </w:p>
        </w:tc>
        <w:tc>
          <w:tcPr>
            <w:tcW w:w="984" w:type="pct"/>
            <w:noWrap/>
            <w:vAlign w:val="center"/>
          </w:tcPr>
          <w:p w14:paraId="56489E01" w14:textId="77777777" w:rsidR="001D03E4" w:rsidRPr="000613C9" w:rsidRDefault="001D03E4" w:rsidP="00357486">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13.92</w:t>
            </w:r>
          </w:p>
        </w:tc>
        <w:tc>
          <w:tcPr>
            <w:tcW w:w="984" w:type="pct"/>
            <w:vAlign w:val="center"/>
          </w:tcPr>
          <w:p w14:paraId="3AE264A1" w14:textId="77777777" w:rsidR="001D03E4" w:rsidRPr="000613C9" w:rsidRDefault="001D03E4" w:rsidP="00357486">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$48,322</w:t>
            </w:r>
          </w:p>
        </w:tc>
      </w:tr>
      <w:tr w:rsidR="001D03E4" w:rsidRPr="00005EE6" w14:paraId="55157C3B"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162" w:type="pct"/>
            <w:noWrap/>
            <w:vAlign w:val="center"/>
            <w:hideMark/>
          </w:tcPr>
          <w:p w14:paraId="70107FFF" w14:textId="77777777" w:rsidR="001D03E4" w:rsidRPr="00005EE6" w:rsidRDefault="001D03E4" w:rsidP="00357486">
            <w:pPr>
              <w:jc w:val="left"/>
              <w:rPr>
                <w:lang w:eastAsia="en-AU"/>
              </w:rPr>
            </w:pPr>
            <w:r w:rsidRPr="00005EE6">
              <w:rPr>
                <w:lang w:eastAsia="en-AU"/>
              </w:rPr>
              <w:t>Queensland</w:t>
            </w:r>
          </w:p>
        </w:tc>
        <w:tc>
          <w:tcPr>
            <w:tcW w:w="926" w:type="pct"/>
            <w:noWrap/>
            <w:vAlign w:val="center"/>
          </w:tcPr>
          <w:p w14:paraId="440B465C" w14:textId="77777777" w:rsidR="001D03E4" w:rsidRPr="000613C9" w:rsidRDefault="001D03E4" w:rsidP="00357486">
            <w:pPr>
              <w:jc w:val="right"/>
              <w:cnfStyle w:val="000000000000" w:firstRow="0" w:lastRow="0" w:firstColumn="0" w:lastColumn="0" w:oddVBand="0" w:evenVBand="0" w:oddHBand="0" w:evenHBand="0" w:firstRowFirstColumn="0" w:firstRowLastColumn="0" w:lastRowFirstColumn="0" w:lastRowLastColumn="0"/>
              <w:rPr>
                <w:b/>
                <w:lang w:eastAsia="en-AU"/>
              </w:rPr>
            </w:pPr>
            <w:r w:rsidRPr="000613C9">
              <w:rPr>
                <w:b/>
                <w:lang w:eastAsia="en-AU"/>
              </w:rPr>
              <w:t>0.240</w:t>
            </w:r>
          </w:p>
        </w:tc>
        <w:tc>
          <w:tcPr>
            <w:tcW w:w="943" w:type="pct"/>
            <w:noWrap/>
            <w:vAlign w:val="center"/>
          </w:tcPr>
          <w:p w14:paraId="7F970079" w14:textId="77777777" w:rsidR="001D03E4" w:rsidRPr="000613C9" w:rsidRDefault="001D03E4" w:rsidP="00357486">
            <w:pPr>
              <w:jc w:val="right"/>
              <w:cnfStyle w:val="000000000000" w:firstRow="0" w:lastRow="0" w:firstColumn="0" w:lastColumn="0" w:oddVBand="0" w:evenVBand="0" w:oddHBand="0" w:evenHBand="0" w:firstRowFirstColumn="0" w:firstRowLastColumn="0" w:lastRowFirstColumn="0" w:lastRowLastColumn="0"/>
              <w:rPr>
                <w:b/>
                <w:lang w:eastAsia="en-AU"/>
              </w:rPr>
            </w:pPr>
            <w:r w:rsidRPr="000613C9">
              <w:rPr>
                <w:b/>
                <w:lang w:eastAsia="en-AU"/>
              </w:rPr>
              <w:t>8.96</w:t>
            </w:r>
          </w:p>
        </w:tc>
        <w:tc>
          <w:tcPr>
            <w:tcW w:w="984" w:type="pct"/>
            <w:noWrap/>
            <w:vAlign w:val="center"/>
          </w:tcPr>
          <w:p w14:paraId="5EFA25FB" w14:textId="77777777" w:rsidR="001D03E4" w:rsidRPr="000613C9" w:rsidRDefault="001D03E4" w:rsidP="00357486">
            <w:pPr>
              <w:jc w:val="right"/>
              <w:cnfStyle w:val="000000000000" w:firstRow="0" w:lastRow="0" w:firstColumn="0" w:lastColumn="0" w:oddVBand="0" w:evenVBand="0" w:oddHBand="0" w:evenHBand="0" w:firstRowFirstColumn="0" w:firstRowLastColumn="0" w:lastRowFirstColumn="0" w:lastRowLastColumn="0"/>
              <w:rPr>
                <w:b/>
                <w:lang w:eastAsia="en-AU"/>
              </w:rPr>
            </w:pPr>
            <w:r w:rsidRPr="000613C9">
              <w:rPr>
                <w:b/>
                <w:lang w:eastAsia="en-AU"/>
              </w:rPr>
              <w:t>9.67</w:t>
            </w:r>
          </w:p>
        </w:tc>
        <w:tc>
          <w:tcPr>
            <w:tcW w:w="984" w:type="pct"/>
            <w:vAlign w:val="center"/>
          </w:tcPr>
          <w:p w14:paraId="3D8FEA1F" w14:textId="77777777" w:rsidR="001D03E4" w:rsidRPr="000613C9" w:rsidRDefault="001D03E4" w:rsidP="00357486">
            <w:pPr>
              <w:jc w:val="right"/>
              <w:cnfStyle w:val="000000000000" w:firstRow="0" w:lastRow="0" w:firstColumn="0" w:lastColumn="0" w:oddVBand="0" w:evenVBand="0" w:oddHBand="0" w:evenHBand="0" w:firstRowFirstColumn="0" w:firstRowLastColumn="0" w:lastRowFirstColumn="0" w:lastRowLastColumn="0"/>
              <w:rPr>
                <w:b/>
                <w:lang w:eastAsia="en-AU"/>
              </w:rPr>
            </w:pPr>
            <w:r w:rsidRPr="000613C9">
              <w:rPr>
                <w:b/>
                <w:lang w:eastAsia="en-AU"/>
              </w:rPr>
              <w:t>$42,577</w:t>
            </w:r>
          </w:p>
        </w:tc>
      </w:tr>
    </w:tbl>
    <w:p w14:paraId="344BBC86" w14:textId="77777777" w:rsidR="00706176" w:rsidRPr="00357486" w:rsidRDefault="00706176" w:rsidP="00357486">
      <w:pPr>
        <w:spacing w:after="0"/>
        <w:rPr>
          <w:i/>
          <w:sz w:val="18"/>
          <w:szCs w:val="18"/>
        </w:rPr>
      </w:pPr>
      <w:r w:rsidRPr="00357486">
        <w:rPr>
          <w:i/>
          <w:sz w:val="18"/>
          <w:szCs w:val="18"/>
        </w:rPr>
        <w:t>Source: Queensland Government Gaming Statistics.</w:t>
      </w:r>
    </w:p>
    <w:p w14:paraId="588C3965" w14:textId="507B2956" w:rsidR="009D1443" w:rsidRDefault="00005EE6" w:rsidP="0079482A">
      <w:pPr>
        <w:rPr>
          <w:i/>
          <w:sz w:val="18"/>
          <w:szCs w:val="18"/>
        </w:rPr>
      </w:pPr>
      <w:r w:rsidRPr="00357486">
        <w:rPr>
          <w:i/>
          <w:sz w:val="18"/>
          <w:szCs w:val="18"/>
        </w:rPr>
        <w:t>Note</w:t>
      </w:r>
      <w:r w:rsidR="00AB309B">
        <w:rPr>
          <w:i/>
          <w:sz w:val="18"/>
          <w:szCs w:val="18"/>
        </w:rPr>
        <w:t>s</w:t>
      </w:r>
      <w:r w:rsidRPr="00357486">
        <w:rPr>
          <w:i/>
          <w:sz w:val="18"/>
          <w:szCs w:val="18"/>
        </w:rPr>
        <w:t>: The Monthly EGM statistics per 1</w:t>
      </w:r>
      <w:r w:rsidR="00AB309B">
        <w:rPr>
          <w:i/>
          <w:sz w:val="18"/>
          <w:szCs w:val="18"/>
        </w:rPr>
        <w:t>,</w:t>
      </w:r>
      <w:r w:rsidRPr="00357486">
        <w:rPr>
          <w:i/>
          <w:sz w:val="18"/>
          <w:szCs w:val="18"/>
        </w:rPr>
        <w:t>000 population is cal</w:t>
      </w:r>
      <w:r w:rsidR="00706176" w:rsidRPr="00357486">
        <w:rPr>
          <w:i/>
          <w:sz w:val="18"/>
          <w:szCs w:val="18"/>
        </w:rPr>
        <w:t>culated as the statistics in</w:t>
      </w:r>
      <w:r w:rsidR="00E8435D">
        <w:rPr>
          <w:i/>
          <w:sz w:val="18"/>
          <w:szCs w:val="18"/>
        </w:rPr>
        <w:t xml:space="preserve"> Table 2-</w:t>
      </w:r>
      <w:r w:rsidR="00301525">
        <w:rPr>
          <w:i/>
          <w:sz w:val="18"/>
          <w:szCs w:val="18"/>
        </w:rPr>
        <w:t>6</w:t>
      </w:r>
      <w:r w:rsidR="000E3CA2" w:rsidRPr="00357486">
        <w:rPr>
          <w:i/>
          <w:sz w:val="18"/>
          <w:szCs w:val="18"/>
        </w:rPr>
        <w:t xml:space="preserve"> </w:t>
      </w:r>
      <w:r w:rsidRPr="00357486">
        <w:rPr>
          <w:i/>
          <w:sz w:val="18"/>
          <w:szCs w:val="18"/>
        </w:rPr>
        <w:t>divided by the 2016 Census population in this region</w:t>
      </w:r>
      <w:r w:rsidR="00EB4715">
        <w:rPr>
          <w:i/>
          <w:sz w:val="18"/>
          <w:szCs w:val="18"/>
        </w:rPr>
        <w:t xml:space="preserve"> (expressed as per 1,000 population)</w:t>
      </w:r>
      <w:r w:rsidRPr="00357486">
        <w:rPr>
          <w:i/>
          <w:sz w:val="18"/>
          <w:szCs w:val="18"/>
        </w:rPr>
        <w:t>.</w:t>
      </w:r>
      <w:r w:rsidR="00AB309B">
        <w:rPr>
          <w:i/>
          <w:sz w:val="18"/>
          <w:szCs w:val="18"/>
        </w:rPr>
        <w:t xml:space="preserve"> The BHB region </w:t>
      </w:r>
      <w:r w:rsidR="00AB309B" w:rsidRPr="00AB309B">
        <w:rPr>
          <w:i/>
          <w:sz w:val="18"/>
          <w:szCs w:val="18"/>
        </w:rPr>
        <w:t>refers to Bundaberg and Fraser Coast added together, which</w:t>
      </w:r>
      <w:r w:rsidR="00AB309B">
        <w:rPr>
          <w:i/>
          <w:sz w:val="18"/>
          <w:szCs w:val="18"/>
        </w:rPr>
        <w:t xml:space="preserve"> is identified </w:t>
      </w:r>
      <w:r w:rsidR="00AB309B" w:rsidRPr="00AB309B">
        <w:rPr>
          <w:i/>
          <w:sz w:val="18"/>
          <w:szCs w:val="18"/>
        </w:rPr>
        <w:t>using information on LGAs</w:t>
      </w:r>
      <w:r w:rsidR="00AB309B">
        <w:rPr>
          <w:i/>
          <w:sz w:val="18"/>
          <w:szCs w:val="18"/>
        </w:rPr>
        <w:t>.</w:t>
      </w:r>
    </w:p>
    <w:p w14:paraId="1FEDBB8F" w14:textId="77777777" w:rsidR="009D1443" w:rsidRDefault="009D1443">
      <w:pPr>
        <w:jc w:val="left"/>
        <w:rPr>
          <w:i/>
          <w:sz w:val="18"/>
          <w:szCs w:val="18"/>
        </w:rPr>
      </w:pPr>
      <w:r>
        <w:rPr>
          <w:i/>
          <w:sz w:val="18"/>
          <w:szCs w:val="18"/>
        </w:rPr>
        <w:br w:type="page"/>
      </w:r>
    </w:p>
    <w:p w14:paraId="1682B3EE" w14:textId="77777777" w:rsidR="00494397" w:rsidRDefault="00357486" w:rsidP="0079482A">
      <w:pPr>
        <w:pStyle w:val="ListParagraph"/>
        <w:numPr>
          <w:ilvl w:val="0"/>
          <w:numId w:val="9"/>
        </w:numPr>
      </w:pPr>
      <w:r>
        <w:lastRenderedPageBreak/>
        <w:t>The</w:t>
      </w:r>
      <w:r w:rsidR="00C274CC">
        <w:t xml:space="preserve"> EGM indicators per 1</w:t>
      </w:r>
      <w:r w:rsidR="00FD4CB6">
        <w:t>,</w:t>
      </w:r>
      <w:r w:rsidR="00C274CC">
        <w:t xml:space="preserve">000 population show </w:t>
      </w:r>
      <w:r w:rsidR="00751C75">
        <w:t xml:space="preserve">there are more EGMs </w:t>
      </w:r>
      <w:r w:rsidR="00EB4715">
        <w:t xml:space="preserve">per 1,000 </w:t>
      </w:r>
      <w:r w:rsidR="00751C75">
        <w:t xml:space="preserve">population </w:t>
      </w:r>
      <w:r w:rsidR="00C274CC" w:rsidRPr="00C274CC">
        <w:t xml:space="preserve">in the </w:t>
      </w:r>
      <w:r w:rsidR="00FE7B5B">
        <w:t>Bundaberg and Hervey Bay</w:t>
      </w:r>
      <w:r w:rsidR="00C274CC" w:rsidRPr="00C274CC">
        <w:t xml:space="preserve"> region than </w:t>
      </w:r>
      <w:r w:rsidR="00751C75">
        <w:t>in the state of Queensland as a whole</w:t>
      </w:r>
      <w:r w:rsidR="00C274CC" w:rsidRPr="00C274CC">
        <w:t>.</w:t>
      </w:r>
    </w:p>
    <w:p w14:paraId="2F3D7BF1" w14:textId="77777777" w:rsidR="00C274CC" w:rsidRDefault="00C274CC" w:rsidP="00494397">
      <w:pPr>
        <w:pStyle w:val="ListParagraph"/>
        <w:numPr>
          <w:ilvl w:val="0"/>
          <w:numId w:val="9"/>
        </w:numPr>
      </w:pPr>
      <w:r>
        <w:t xml:space="preserve"> </w:t>
      </w:r>
      <w:r w:rsidR="00494397">
        <w:t xml:space="preserve">Compared with the </w:t>
      </w:r>
      <w:r w:rsidR="00751C75">
        <w:t>state of Queensland as a whole</w:t>
      </w:r>
      <w:r w:rsidR="00494397" w:rsidRPr="00494397">
        <w:t xml:space="preserve">, substantially more EGM operational sites </w:t>
      </w:r>
      <w:r w:rsidR="00494397">
        <w:t xml:space="preserve">(0.346 </w:t>
      </w:r>
      <w:r w:rsidR="00EB4715">
        <w:t xml:space="preserve">compared with </w:t>
      </w:r>
      <w:r w:rsidR="00494397">
        <w:t xml:space="preserve">0.240), operational EGMs (13 </w:t>
      </w:r>
      <w:r w:rsidR="00EB4715">
        <w:t>compared with</w:t>
      </w:r>
      <w:r w:rsidR="00494397" w:rsidRPr="00494397">
        <w:t xml:space="preserve"> 9) and</w:t>
      </w:r>
      <w:r w:rsidR="00494397">
        <w:t xml:space="preserve"> approved EGMs (14 </w:t>
      </w:r>
      <w:r w:rsidR="00EB4715">
        <w:t>compared with</w:t>
      </w:r>
      <w:r w:rsidR="00494397" w:rsidRPr="00494397">
        <w:t xml:space="preserve"> 10) per 1</w:t>
      </w:r>
      <w:r w:rsidR="00494397">
        <w:t>,</w:t>
      </w:r>
      <w:r w:rsidR="00494397" w:rsidRPr="00494397">
        <w:t xml:space="preserve">000 population are recorded in the </w:t>
      </w:r>
      <w:r w:rsidR="00FE7B5B">
        <w:t>Bundaberg and Hervey Bay</w:t>
      </w:r>
      <w:r w:rsidR="00494397" w:rsidRPr="00494397">
        <w:t xml:space="preserve"> region. Also, </w:t>
      </w:r>
      <w:r w:rsidR="000A1A9E">
        <w:t>t</w:t>
      </w:r>
      <w:r w:rsidR="00494397" w:rsidRPr="00494397">
        <w:t xml:space="preserve">hese EGMs </w:t>
      </w:r>
      <w:r w:rsidR="00494397">
        <w:t xml:space="preserve">make much higher </w:t>
      </w:r>
      <w:r w:rsidR="00494397" w:rsidRPr="00494397">
        <w:t>earn</w:t>
      </w:r>
      <w:r w:rsidR="00494397">
        <w:t>ing</w:t>
      </w:r>
      <w:r w:rsidR="00EB4715">
        <w:t>s</w:t>
      </w:r>
      <w:r w:rsidR="00494397">
        <w:t xml:space="preserve"> </w:t>
      </w:r>
      <w:r w:rsidR="00494397" w:rsidRPr="00494397">
        <w:t>per 1</w:t>
      </w:r>
      <w:r w:rsidR="00494397">
        <w:t>,</w:t>
      </w:r>
      <w:r w:rsidR="00494397" w:rsidRPr="00494397">
        <w:t>000 p</w:t>
      </w:r>
      <w:r w:rsidR="00494397">
        <w:t xml:space="preserve">opulation in the </w:t>
      </w:r>
      <w:r w:rsidR="00FE7B5B">
        <w:t>Bundaberg and Hervey Bay</w:t>
      </w:r>
      <w:r w:rsidR="00494397">
        <w:t xml:space="preserve"> region ($</w:t>
      </w:r>
      <w:r w:rsidR="00301525">
        <w:t>48,322</w:t>
      </w:r>
      <w:r w:rsidR="00494397">
        <w:t xml:space="preserve"> </w:t>
      </w:r>
      <w:r w:rsidR="00EB4715">
        <w:t>compared with</w:t>
      </w:r>
      <w:r w:rsidR="00494397">
        <w:t xml:space="preserve"> </w:t>
      </w:r>
      <w:r w:rsidR="00EB4715">
        <w:t xml:space="preserve">the state of </w:t>
      </w:r>
      <w:r w:rsidR="00494397">
        <w:t xml:space="preserve">Queensland </w:t>
      </w:r>
      <w:r w:rsidR="00EB4715">
        <w:t xml:space="preserve">as a whole </w:t>
      </w:r>
      <w:r w:rsidR="00494397">
        <w:t>($42,577</w:t>
      </w:r>
      <w:r w:rsidR="00494397" w:rsidRPr="00494397">
        <w:t>).</w:t>
      </w:r>
    </w:p>
    <w:p w14:paraId="64C89528" w14:textId="77777777" w:rsidR="000E62A1" w:rsidRDefault="00C274CC" w:rsidP="0079482A">
      <w:pPr>
        <w:pStyle w:val="ListParagraph"/>
        <w:numPr>
          <w:ilvl w:val="0"/>
          <w:numId w:val="9"/>
        </w:numPr>
      </w:pPr>
      <w:r>
        <w:t>Th</w:t>
      </w:r>
      <w:r w:rsidR="00751C75">
        <w:t xml:space="preserve">e </w:t>
      </w:r>
      <w:r w:rsidR="00EB4715">
        <w:t xml:space="preserve">observations </w:t>
      </w:r>
      <w:r w:rsidR="00751C75">
        <w:t>of more EGMs per person, more operational sites, operational EGMs and approved EGMs with a higher EGM earning per person in the Bundaberg and Hervey Bay region</w:t>
      </w:r>
      <w:r w:rsidR="00EB4715">
        <w:t>,</w:t>
      </w:r>
      <w:r w:rsidR="00751C75">
        <w:t xml:space="preserve"> compared with the state of Queensland as a whole</w:t>
      </w:r>
      <w:r w:rsidR="00EB4715">
        <w:t>,</w:t>
      </w:r>
      <w:r w:rsidR="00751C75">
        <w:t xml:space="preserve"> is indicative of </w:t>
      </w:r>
      <w:r w:rsidR="000631F2" w:rsidRPr="009164BB">
        <w:t xml:space="preserve">a </w:t>
      </w:r>
      <w:r w:rsidR="00751C75">
        <w:t xml:space="preserve">difference that </w:t>
      </w:r>
      <w:r w:rsidR="00751C75" w:rsidRPr="009164BB">
        <w:t>need</w:t>
      </w:r>
      <w:r w:rsidR="000631F2" w:rsidRPr="009164BB">
        <w:t>s</w:t>
      </w:r>
      <w:r w:rsidR="00751C75">
        <w:t xml:space="preserve"> further investigation</w:t>
      </w:r>
      <w:r w:rsidR="00EB4715">
        <w:t>. E</w:t>
      </w:r>
      <w:r w:rsidR="000E62A1">
        <w:t xml:space="preserve">specially </w:t>
      </w:r>
      <w:r w:rsidR="00EB4715">
        <w:t xml:space="preserve">given </w:t>
      </w:r>
      <w:r w:rsidR="000E62A1">
        <w:t>the importance of tourism for the Bundaberg and Hervey Bay region.</w:t>
      </w:r>
    </w:p>
    <w:p w14:paraId="7E0EF9BE" w14:textId="6756483B" w:rsidR="009F2CD0" w:rsidRDefault="00FD4CB6" w:rsidP="009F2CD0">
      <w:r>
        <w:t xml:space="preserve">The following figure </w:t>
      </w:r>
      <w:r w:rsidR="00C67561">
        <w:t>(</w:t>
      </w:r>
      <w:r w:rsidR="00D163E2">
        <w:fldChar w:fldCharType="begin"/>
      </w:r>
      <w:r w:rsidR="00D163E2">
        <w:instrText xml:space="preserve"> REF _Ref37264220 \h </w:instrText>
      </w:r>
      <w:r w:rsidR="00D163E2">
        <w:fldChar w:fldCharType="separate"/>
      </w:r>
      <w:r w:rsidR="008E2086">
        <w:t xml:space="preserve">Figure </w:t>
      </w:r>
      <w:r w:rsidR="008E2086">
        <w:rPr>
          <w:noProof/>
        </w:rPr>
        <w:t>2</w:t>
      </w:r>
      <w:r w:rsidR="008E2086">
        <w:noBreakHyphen/>
      </w:r>
      <w:r w:rsidR="008E2086">
        <w:rPr>
          <w:noProof/>
        </w:rPr>
        <w:t>3</w:t>
      </w:r>
      <w:r w:rsidR="00D163E2">
        <w:fldChar w:fldCharType="end"/>
      </w:r>
      <w:r w:rsidR="00C67561">
        <w:t xml:space="preserve">) </w:t>
      </w:r>
      <w:r>
        <w:t>illustrate</w:t>
      </w:r>
      <w:r w:rsidR="00EB4715">
        <w:t>s</w:t>
      </w:r>
      <w:r>
        <w:t xml:space="preserve"> the information contained in the table above in a visual way.</w:t>
      </w:r>
      <w:r w:rsidR="00ED45BA">
        <w:t xml:space="preserve"> It highlights the much larger density of operational and approved EGMs in the </w:t>
      </w:r>
      <w:r w:rsidR="00FE7B5B">
        <w:t>Bundaberg and Hervey Bay</w:t>
      </w:r>
      <w:r w:rsidR="00ED45BA">
        <w:t xml:space="preserve"> area. </w:t>
      </w:r>
    </w:p>
    <w:p w14:paraId="0D17C358" w14:textId="22A09D3A" w:rsidR="00ED45BA" w:rsidRDefault="00555F7D">
      <w:pPr>
        <w:pStyle w:val="Caption"/>
      </w:pPr>
      <w:bookmarkStart w:id="51" w:name="_Ref36653019"/>
      <w:bookmarkStart w:id="52" w:name="_Ref37264220"/>
      <w:bookmarkStart w:id="53" w:name="_Toc34935499"/>
      <w:bookmarkStart w:id="54" w:name="_Toc37263827"/>
      <w:r>
        <w:t xml:space="preserve">Figure </w:t>
      </w:r>
      <w:r w:rsidR="006C0554">
        <w:fldChar w:fldCharType="begin"/>
      </w:r>
      <w:r w:rsidR="006C0554">
        <w:instrText xml:space="preserve"> STYLEREF 1 \s </w:instrText>
      </w:r>
      <w:r w:rsidR="006C0554">
        <w:fldChar w:fldCharType="separate"/>
      </w:r>
      <w:r w:rsidR="008E2086">
        <w:t>2</w:t>
      </w:r>
      <w:r w:rsidR="006C0554">
        <w:fldChar w:fldCharType="end"/>
      </w:r>
      <w:r w:rsidR="006B022F">
        <w:noBreakHyphen/>
      </w:r>
      <w:r w:rsidR="006C0554">
        <w:fldChar w:fldCharType="begin"/>
      </w:r>
      <w:r w:rsidR="006C0554">
        <w:instrText xml:space="preserve"> SEQ Figure \* ARABIC \s 1 </w:instrText>
      </w:r>
      <w:r w:rsidR="006C0554">
        <w:fldChar w:fldCharType="separate"/>
      </w:r>
      <w:r w:rsidR="008E2086">
        <w:t>3</w:t>
      </w:r>
      <w:r w:rsidR="006C0554">
        <w:fldChar w:fldCharType="end"/>
      </w:r>
      <w:bookmarkEnd w:id="51"/>
      <w:bookmarkEnd w:id="52"/>
      <w:r>
        <w:t xml:space="preserve">: </w:t>
      </w:r>
      <w:r w:rsidR="00ED45BA" w:rsidRPr="00005EE6">
        <w:t xml:space="preserve">Monthly EGM statistics </w:t>
      </w:r>
      <w:r w:rsidR="00ED45BA">
        <w:t>per 1,000 population</w:t>
      </w:r>
      <w:r w:rsidR="00ED45BA" w:rsidRPr="00005EE6">
        <w:t xml:space="preserve"> in</w:t>
      </w:r>
      <w:r w:rsidR="00ED45BA">
        <w:t xml:space="preserve"> 2018</w:t>
      </w:r>
      <w:bookmarkEnd w:id="53"/>
      <w:bookmarkEnd w:id="54"/>
    </w:p>
    <w:tbl>
      <w:tblPr>
        <w:tblStyle w:val="TableGrid"/>
        <w:tblW w:w="9498" w:type="dxa"/>
        <w:tblInd w:w="-147" w:type="dxa"/>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616"/>
        <w:gridCol w:w="4882"/>
      </w:tblGrid>
      <w:tr w:rsidR="00E264B1" w14:paraId="32D6FE72" w14:textId="77777777" w:rsidTr="006C0554">
        <w:trPr>
          <w:tblHeader/>
        </w:trPr>
        <w:tc>
          <w:tcPr>
            <w:tcW w:w="4616" w:type="dxa"/>
            <w:vAlign w:val="center"/>
          </w:tcPr>
          <w:p w14:paraId="63ADBD24" w14:textId="77777777" w:rsidR="00FD4CB6" w:rsidRDefault="00E264B1" w:rsidP="00ED45BA">
            <w:pPr>
              <w:jc w:val="center"/>
            </w:pPr>
            <w:r w:rsidRPr="00E264B1">
              <w:rPr>
                <w:noProof/>
                <w:lang w:eastAsia="en-AU"/>
              </w:rPr>
              <w:drawing>
                <wp:inline distT="0" distB="0" distL="0" distR="0" wp14:anchorId="325BD233" wp14:editId="7BCB8820">
                  <wp:extent cx="2893890" cy="1733433"/>
                  <wp:effectExtent l="0" t="0" r="1905" b="635"/>
                  <wp:docPr id="7" name="Picture 7" descr="Four horizontal line bar graph charts depicting monthly EGM statistics in 2018 in Bundaberg, Fraser Coast, BHB region and Queensland. This is the first chart.&#10;Chart 1, operational sites per 1,000 population: Bundaberg 0.37, Fraser Coast 0.33, BHB region 0.35, Queensland 0.24&#10;" title="Figure 2 3: Monthly EGM statistics per 1,000 population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7613" cy="1753633"/>
                          </a:xfrm>
                          <a:prstGeom prst="rect">
                            <a:avLst/>
                          </a:prstGeom>
                          <a:noFill/>
                          <a:ln>
                            <a:noFill/>
                          </a:ln>
                        </pic:spPr>
                      </pic:pic>
                    </a:graphicData>
                  </a:graphic>
                </wp:inline>
              </w:drawing>
            </w:r>
          </w:p>
        </w:tc>
        <w:tc>
          <w:tcPr>
            <w:tcW w:w="4882" w:type="dxa"/>
            <w:vAlign w:val="center"/>
          </w:tcPr>
          <w:p w14:paraId="1B3DF46F" w14:textId="77777777" w:rsidR="00FD4CB6" w:rsidRDefault="00E264B1" w:rsidP="00ED45BA">
            <w:pPr>
              <w:jc w:val="center"/>
            </w:pPr>
            <w:r w:rsidRPr="00E264B1">
              <w:rPr>
                <w:noProof/>
                <w:lang w:eastAsia="en-AU"/>
              </w:rPr>
              <w:drawing>
                <wp:inline distT="0" distB="0" distL="0" distR="0" wp14:anchorId="7B911047" wp14:editId="0864094D">
                  <wp:extent cx="2863118" cy="1738544"/>
                  <wp:effectExtent l="0" t="0" r="0" b="0"/>
                  <wp:docPr id="8" name="Picture 8" descr="Four horizontal line bar graph charts depicting monthly EGM statistics in 2018 in Bundaberg, Fraser Coast, BHB region and Queensland. This is the second chart.&#10;Chart 2, number of operational EGMs per 1,000 population: Bundaberg 12.4, Fraser Coast 12.8, BHB region 12.6, Queensland 9.0&#10;" title="Figure 2 3: Monthly EGM statistics per 1,000 population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8423" cy="1759982"/>
                          </a:xfrm>
                          <a:prstGeom prst="rect">
                            <a:avLst/>
                          </a:prstGeom>
                          <a:noFill/>
                          <a:ln>
                            <a:noFill/>
                          </a:ln>
                        </pic:spPr>
                      </pic:pic>
                    </a:graphicData>
                  </a:graphic>
                </wp:inline>
              </w:drawing>
            </w:r>
          </w:p>
        </w:tc>
      </w:tr>
      <w:tr w:rsidR="00E264B1" w14:paraId="13FAB141" w14:textId="77777777" w:rsidTr="00A02CC1">
        <w:tc>
          <w:tcPr>
            <w:tcW w:w="4616" w:type="dxa"/>
            <w:vAlign w:val="center"/>
          </w:tcPr>
          <w:p w14:paraId="7CEC371F" w14:textId="77777777" w:rsidR="00ED45BA" w:rsidRPr="00FD4CB6" w:rsidRDefault="00E264B1" w:rsidP="00ED45BA">
            <w:pPr>
              <w:jc w:val="center"/>
            </w:pPr>
            <w:r w:rsidRPr="00E264B1">
              <w:rPr>
                <w:noProof/>
                <w:lang w:eastAsia="en-AU"/>
              </w:rPr>
              <w:drawing>
                <wp:inline distT="0" distB="0" distL="0" distR="0" wp14:anchorId="0268F2B2" wp14:editId="04BDEBD2">
                  <wp:extent cx="2861006" cy="1705229"/>
                  <wp:effectExtent l="0" t="0" r="0" b="9525"/>
                  <wp:docPr id="10" name="Picture 10" descr="Four horizontal line bar graph charts depicting monthly EGM statistics in 2018 in Bundaberg, Fraser Coast, BHB region and Queensland. This is the third chart.&#10;Chart 3, number of approved EGMs per 1,000 population: Bundaberg 14.7, Fraser Coast 13.2, BHB region 13.9, Queensland 9.7" title="Figure 2 3: Monthly EGM statistics per 1,000 population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5959" cy="1732022"/>
                          </a:xfrm>
                          <a:prstGeom prst="rect">
                            <a:avLst/>
                          </a:prstGeom>
                          <a:noFill/>
                          <a:ln>
                            <a:noFill/>
                          </a:ln>
                        </pic:spPr>
                      </pic:pic>
                    </a:graphicData>
                  </a:graphic>
                </wp:inline>
              </w:drawing>
            </w:r>
          </w:p>
        </w:tc>
        <w:tc>
          <w:tcPr>
            <w:tcW w:w="4882" w:type="dxa"/>
            <w:vAlign w:val="center"/>
          </w:tcPr>
          <w:p w14:paraId="0D0BAD0E" w14:textId="77777777" w:rsidR="00ED45BA" w:rsidRPr="00FD4CB6" w:rsidRDefault="00E264B1" w:rsidP="00ED45BA">
            <w:pPr>
              <w:jc w:val="center"/>
            </w:pPr>
            <w:r w:rsidRPr="00E264B1">
              <w:rPr>
                <w:noProof/>
                <w:lang w:eastAsia="en-AU"/>
              </w:rPr>
              <w:drawing>
                <wp:inline distT="0" distB="0" distL="0" distR="0" wp14:anchorId="3DE6B64C" wp14:editId="7B3288FC">
                  <wp:extent cx="2866135" cy="1659890"/>
                  <wp:effectExtent l="0" t="0" r="0" b="0"/>
                  <wp:docPr id="11" name="Picture 11" descr="Four horizontal line bar graph charts depicting monthly EGM statistics in 2018 in Bundaberg, Fraser Coast, BHB region and Queensland. This is the fourth chart.&#10;&#10;Chart 4, metered wins per 1,000 population: Bundaberg $46,913, Fraser Coast $49,612, BHB region $48,322, Queensland $42,577&#10;&#10;" title="Figure 2 3: Monthly EGM statistics per 1,000 population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1307" cy="1680259"/>
                          </a:xfrm>
                          <a:prstGeom prst="rect">
                            <a:avLst/>
                          </a:prstGeom>
                          <a:noFill/>
                          <a:ln>
                            <a:noFill/>
                          </a:ln>
                        </pic:spPr>
                      </pic:pic>
                    </a:graphicData>
                  </a:graphic>
                </wp:inline>
              </w:drawing>
            </w:r>
          </w:p>
        </w:tc>
      </w:tr>
    </w:tbl>
    <w:p w14:paraId="136EC2D0" w14:textId="77777777" w:rsidR="00A02CC1" w:rsidRPr="005C1026" w:rsidRDefault="00A02CC1" w:rsidP="00E10A0A">
      <w:pPr>
        <w:spacing w:after="0" w:line="240" w:lineRule="auto"/>
        <w:rPr>
          <w:i/>
          <w:sz w:val="18"/>
          <w:szCs w:val="20"/>
        </w:rPr>
      </w:pPr>
      <w:bookmarkStart w:id="55" w:name="_Toc34818222"/>
      <w:r w:rsidRPr="005C1026">
        <w:rPr>
          <w:i/>
          <w:sz w:val="18"/>
          <w:szCs w:val="20"/>
        </w:rPr>
        <w:t xml:space="preserve">Note: </w:t>
      </w:r>
      <w:r w:rsidR="005024A5">
        <w:rPr>
          <w:i/>
          <w:sz w:val="18"/>
          <w:szCs w:val="20"/>
        </w:rPr>
        <w:t>‘</w:t>
      </w:r>
      <w:r w:rsidRPr="005C1026">
        <w:rPr>
          <w:i/>
          <w:sz w:val="18"/>
          <w:szCs w:val="20"/>
        </w:rPr>
        <w:t>BHB region</w:t>
      </w:r>
      <w:r w:rsidR="005024A5">
        <w:rPr>
          <w:i/>
          <w:sz w:val="18"/>
          <w:szCs w:val="20"/>
        </w:rPr>
        <w:t>’</w:t>
      </w:r>
      <w:r w:rsidRPr="005C1026">
        <w:rPr>
          <w:i/>
          <w:sz w:val="18"/>
          <w:szCs w:val="20"/>
        </w:rPr>
        <w:t xml:space="preserve"> refers to Bundaberg and Fraser Coast added together, which is identified using information on LGAs.</w:t>
      </w:r>
      <w:bookmarkEnd w:id="55"/>
    </w:p>
    <w:p w14:paraId="439BD70B" w14:textId="77777777" w:rsidR="001907A3" w:rsidRDefault="001907A3">
      <w:pPr>
        <w:jc w:val="left"/>
        <w:rPr>
          <w:i/>
          <w:sz w:val="18"/>
          <w:szCs w:val="18"/>
        </w:rPr>
      </w:pPr>
      <w:r>
        <w:rPr>
          <w:i/>
          <w:sz w:val="18"/>
          <w:szCs w:val="18"/>
        </w:rPr>
        <w:br w:type="page"/>
      </w:r>
    </w:p>
    <w:p w14:paraId="4C95A6D3" w14:textId="77777777" w:rsidR="00731726" w:rsidRPr="00731726" w:rsidRDefault="00731726">
      <w:pPr>
        <w:pStyle w:val="Heading2"/>
      </w:pPr>
      <w:bookmarkStart w:id="56" w:name="_Toc34818223"/>
      <w:bookmarkStart w:id="57" w:name="_Toc37258349"/>
      <w:r w:rsidRPr="00731726">
        <w:lastRenderedPageBreak/>
        <w:t>Labour force participation and employment</w:t>
      </w:r>
      <w:bookmarkEnd w:id="56"/>
      <w:bookmarkEnd w:id="57"/>
    </w:p>
    <w:p w14:paraId="0A474B68" w14:textId="77777777" w:rsidR="000264E8" w:rsidRDefault="00795B04">
      <w:pPr>
        <w:tabs>
          <w:tab w:val="left" w:pos="3828"/>
        </w:tabs>
      </w:pPr>
      <w:r>
        <w:t>T</w:t>
      </w:r>
      <w:r w:rsidR="002A2496">
        <w:t>his section compare</w:t>
      </w:r>
      <w:r>
        <w:t>s</w:t>
      </w:r>
      <w:r w:rsidR="002A2496">
        <w:t xml:space="preserve"> </w:t>
      </w:r>
      <w:r w:rsidR="002A2496" w:rsidRPr="002A2496">
        <w:t>several key labour market indicators</w:t>
      </w:r>
      <w:r w:rsidR="002A2496">
        <w:t xml:space="preserve"> in the</w:t>
      </w:r>
      <w:r w:rsidR="00FE45A6">
        <w:t xml:space="preserve"> Bundaberg and Hervey Bay</w:t>
      </w:r>
      <w:r w:rsidR="002A2496">
        <w:t xml:space="preserve"> CDC </w:t>
      </w:r>
      <w:r w:rsidR="0093140B">
        <w:t xml:space="preserve">trial </w:t>
      </w:r>
      <w:r w:rsidR="002A2496">
        <w:t>site</w:t>
      </w:r>
      <w:r>
        <w:t xml:space="preserve"> with</w:t>
      </w:r>
      <w:r w:rsidR="002A2496">
        <w:t xml:space="preserve"> state and national </w:t>
      </w:r>
      <w:r w:rsidR="00FE45A6">
        <w:t>figures</w:t>
      </w:r>
      <w:r w:rsidR="002A2496">
        <w:t>.</w:t>
      </w:r>
      <w:r w:rsidR="00897D7F">
        <w:t xml:space="preserve"> We use the </w:t>
      </w:r>
      <w:r>
        <w:t xml:space="preserve">latest </w:t>
      </w:r>
      <w:r w:rsidR="00F94A22">
        <w:t>Australian Bureau of Statistics (</w:t>
      </w:r>
      <w:r>
        <w:t>ABS</w:t>
      </w:r>
      <w:r w:rsidR="00F94A22">
        <w:t>)</w:t>
      </w:r>
      <w:r w:rsidR="00897D7F">
        <w:t xml:space="preserve"> Census data </w:t>
      </w:r>
      <w:r>
        <w:t xml:space="preserve">(2016) </w:t>
      </w:r>
      <w:r w:rsidR="00897D7F">
        <w:t xml:space="preserve">in order to provide </w:t>
      </w:r>
      <w:r w:rsidR="00FE45A6">
        <w:t xml:space="preserve">a </w:t>
      </w:r>
      <w:r w:rsidR="00897D7F">
        <w:t>snapshot of each of the areas of interest</w:t>
      </w:r>
      <w:r>
        <w:t xml:space="preserve">, noting that it does not cover any time </w:t>
      </w:r>
      <w:r w:rsidR="00FE45A6">
        <w:t xml:space="preserve">after the implementation of </w:t>
      </w:r>
      <w:r>
        <w:t xml:space="preserve">the CDC </w:t>
      </w:r>
      <w:r w:rsidR="00FE45A6">
        <w:t>in the Bundaberg and Hervey Bay region</w:t>
      </w:r>
      <w:r w:rsidR="00AB7FE4">
        <w:t xml:space="preserve">. </w:t>
      </w:r>
      <w:r w:rsidR="00BC6C14" w:rsidRPr="00BC6C14">
        <w:t>The Ce</w:t>
      </w:r>
      <w:r w:rsidR="00BC6C14">
        <w:t xml:space="preserve">nsus </w:t>
      </w:r>
      <w:r w:rsidR="00BC6C14" w:rsidRPr="00BC6C14">
        <w:t xml:space="preserve">is Australia’s largest statistical collection </w:t>
      </w:r>
      <w:r w:rsidR="0093140B">
        <w:t xml:space="preserve">and is </w:t>
      </w:r>
      <w:r w:rsidR="00BC6C14" w:rsidRPr="00BC6C14">
        <w:t>u</w:t>
      </w:r>
      <w:r w:rsidR="00BC6C14">
        <w:t>ndertaken by the ABS</w:t>
      </w:r>
      <w:r w:rsidR="00BC6C14" w:rsidRPr="00BC6C14">
        <w:t>. For more than 100 years, the Census has provided a snapshot of A</w:t>
      </w:r>
      <w:r w:rsidR="00BC6C14">
        <w:t>ustralia, showing how the nation has changed over time. The Census aims</w:t>
      </w:r>
      <w:r w:rsidR="00BC6C14" w:rsidRPr="00BC6C14">
        <w:t xml:space="preserve"> to accurately collect data on the key characteristics of people in Australia</w:t>
      </w:r>
      <w:r w:rsidR="00BC6C14">
        <w:t xml:space="preserve"> </w:t>
      </w:r>
      <w:r w:rsidR="00BC6C14" w:rsidRPr="00BC6C14">
        <w:t xml:space="preserve">on </w:t>
      </w:r>
      <w:r w:rsidR="00BC6C14">
        <w:t xml:space="preserve">the </w:t>
      </w:r>
      <w:r w:rsidR="00BC6C14" w:rsidRPr="00BC6C14">
        <w:t>Census night and th</w:t>
      </w:r>
      <w:r w:rsidR="00BC6C14">
        <w:t xml:space="preserve">e dwellings in which they live, with respect to their geographic location, demographics, family, </w:t>
      </w:r>
      <w:r w:rsidR="00BC6C14" w:rsidRPr="00BC6C14">
        <w:t>housing</w:t>
      </w:r>
      <w:r w:rsidR="00BC6C14">
        <w:t xml:space="preserve"> and household</w:t>
      </w:r>
      <w:r w:rsidR="00BC6C14" w:rsidRPr="00BC6C14">
        <w:t xml:space="preserve">, </w:t>
      </w:r>
      <w:r w:rsidR="00BC6C14">
        <w:t>education, work, and income. The information from</w:t>
      </w:r>
      <w:r w:rsidR="00BC6C14" w:rsidRPr="00BC6C14">
        <w:t xml:space="preserve"> Census helps estimate Australia’s population, which is </w:t>
      </w:r>
      <w:r w:rsidR="00BC6C14">
        <w:t xml:space="preserve">further </w:t>
      </w:r>
      <w:r w:rsidR="00BC6C14" w:rsidRPr="00BC6C14">
        <w:t>used to distribute government funds and pl</w:t>
      </w:r>
      <w:r w:rsidR="00BC6C14">
        <w:t xml:space="preserve">an services for </w:t>
      </w:r>
      <w:r w:rsidR="0093140B">
        <w:t xml:space="preserve">the </w:t>
      </w:r>
      <w:r w:rsidR="00BC6C14">
        <w:t xml:space="preserve">community. The </w:t>
      </w:r>
      <w:r w:rsidR="00BC6C14" w:rsidRPr="00BC6C14">
        <w:t>Census data is also used by individuals and organisations in the public and private sectors to make informed decisions on policy and planning issues that impact the lives of all Australians</w:t>
      </w:r>
      <w:r w:rsidR="00BC6C14">
        <w:t xml:space="preserve">. </w:t>
      </w:r>
      <w:r w:rsidR="00BC6C14" w:rsidRPr="00BC6C14">
        <w:t>While some of this information is available from other sources, only a Census can provide the information for the entire country, including small geographic areas and small population groups.</w:t>
      </w:r>
      <w:r w:rsidR="00301525">
        <w:rPr>
          <w:rStyle w:val="FootnoteReference"/>
        </w:rPr>
        <w:footnoteReference w:id="14"/>
      </w:r>
      <w:r w:rsidR="00BC6C14">
        <w:t xml:space="preserve"> </w:t>
      </w:r>
    </w:p>
    <w:p w14:paraId="6C249238" w14:textId="0A3146C5" w:rsidR="002A2496" w:rsidRDefault="00AB7FE4">
      <w:pPr>
        <w:tabs>
          <w:tab w:val="left" w:pos="3828"/>
        </w:tabs>
      </w:pPr>
      <w:r>
        <w:t>The following table (</w:t>
      </w:r>
      <w:r>
        <w:fldChar w:fldCharType="begin"/>
      </w:r>
      <w:r>
        <w:instrText xml:space="preserve"> REF _Ref34863270 \h </w:instrText>
      </w:r>
      <w:r w:rsidR="000264E8">
        <w:instrText xml:space="preserve"> \* MERGEFORMAT </w:instrText>
      </w:r>
      <w:r>
        <w:fldChar w:fldCharType="separate"/>
      </w:r>
      <w:r w:rsidR="008E2086">
        <w:t xml:space="preserve">Table </w:t>
      </w:r>
      <w:r w:rsidR="008E2086">
        <w:rPr>
          <w:noProof/>
        </w:rPr>
        <w:t>2</w:t>
      </w:r>
      <w:r w:rsidR="008E2086">
        <w:rPr>
          <w:noProof/>
        </w:rPr>
        <w:noBreakHyphen/>
        <w:t>8</w:t>
      </w:r>
      <w:r>
        <w:fldChar w:fldCharType="end"/>
      </w:r>
      <w:r>
        <w:t>) illustrated by the following figure (</w:t>
      </w:r>
      <w:r w:rsidR="00FA4F6C">
        <w:fldChar w:fldCharType="begin"/>
      </w:r>
      <w:r w:rsidR="00FA4F6C">
        <w:instrText xml:space="preserve"> REF _Ref34912201 \h </w:instrText>
      </w:r>
      <w:r w:rsidR="000264E8">
        <w:instrText xml:space="preserve"> \* MERGEFORMAT </w:instrText>
      </w:r>
      <w:r w:rsidR="00FA4F6C">
        <w:fldChar w:fldCharType="separate"/>
      </w:r>
      <w:r w:rsidR="008E2086">
        <w:t xml:space="preserve">Figure </w:t>
      </w:r>
      <w:r w:rsidR="008E2086">
        <w:rPr>
          <w:noProof/>
        </w:rPr>
        <w:t>2</w:t>
      </w:r>
      <w:r w:rsidR="008E2086">
        <w:rPr>
          <w:noProof/>
        </w:rPr>
        <w:noBreakHyphen/>
        <w:t>4</w:t>
      </w:r>
      <w:r w:rsidR="00FA4F6C">
        <w:fldChar w:fldCharType="end"/>
      </w:r>
      <w:r>
        <w:t>)</w:t>
      </w:r>
      <w:r w:rsidR="00FE45A6">
        <w:t>,</w:t>
      </w:r>
      <w:r>
        <w:t xml:space="preserve"> give</w:t>
      </w:r>
      <w:r w:rsidR="00795B04">
        <w:t>s</w:t>
      </w:r>
      <w:r>
        <w:t xml:space="preserve"> an overview of the labour force status of the population living in the </w:t>
      </w:r>
      <w:r w:rsidR="001E49E7">
        <w:t>F</w:t>
      </w:r>
      <w:r w:rsidR="001E49E7" w:rsidRPr="007A58F7">
        <w:t>ederal electorate</w:t>
      </w:r>
      <w:r w:rsidR="001E49E7" w:rsidRPr="0079482A">
        <w:t xml:space="preserve"> </w:t>
      </w:r>
      <w:r w:rsidR="001E49E7">
        <w:t xml:space="preserve">of </w:t>
      </w:r>
      <w:r w:rsidR="001E49E7" w:rsidRPr="0079482A">
        <w:t>Hinkler</w:t>
      </w:r>
      <w:r>
        <w:t xml:space="preserve"> and provide</w:t>
      </w:r>
      <w:r w:rsidR="00795B04">
        <w:t>s</w:t>
      </w:r>
      <w:r>
        <w:t xml:space="preserve"> a </w:t>
      </w:r>
      <w:r w:rsidR="00FE45A6">
        <w:t xml:space="preserve">comparison </w:t>
      </w:r>
      <w:r>
        <w:t xml:space="preserve">with the population of </w:t>
      </w:r>
      <w:r w:rsidR="00FE45A6">
        <w:t xml:space="preserve">the state of </w:t>
      </w:r>
      <w:r>
        <w:t>Queensland and Australia as a whole.</w:t>
      </w:r>
    </w:p>
    <w:p w14:paraId="520A6C73" w14:textId="434753A4" w:rsidR="004215DA" w:rsidRPr="005F3FE7" w:rsidRDefault="000851DE" w:rsidP="00B51060">
      <w:pPr>
        <w:pStyle w:val="Caption"/>
      </w:pPr>
      <w:bookmarkStart w:id="58" w:name="_Ref34863270"/>
      <w:bookmarkStart w:id="59" w:name="_Toc34935536"/>
      <w:bookmarkStart w:id="60" w:name="_Toc37263571"/>
      <w:r>
        <w:t>Table</w:t>
      </w:r>
      <w:r w:rsidR="00B510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8</w:t>
      </w:r>
      <w:r w:rsidR="006C0554">
        <w:rPr>
          <w:noProof/>
        </w:rPr>
        <w:fldChar w:fldCharType="end"/>
      </w:r>
      <w:bookmarkEnd w:id="58"/>
      <w:r w:rsidR="00B51060">
        <w:t xml:space="preserve">: </w:t>
      </w:r>
      <w:r w:rsidR="004215DA" w:rsidRPr="005F3FE7">
        <w:t>Labour force status of the working age population and youth</w:t>
      </w:r>
      <w:r w:rsidR="00E868F7">
        <w:t xml:space="preserve"> in 2016</w:t>
      </w:r>
      <w:bookmarkEnd w:id="59"/>
      <w:bookmarkEnd w:id="60"/>
    </w:p>
    <w:tbl>
      <w:tblPr>
        <w:tblStyle w:val="ListTable3-Accent1"/>
        <w:tblW w:w="0" w:type="auto"/>
        <w:tblLayout w:type="fixed"/>
        <w:tblLook w:val="04A0" w:firstRow="1" w:lastRow="0" w:firstColumn="1" w:lastColumn="0" w:noHBand="0" w:noVBand="1"/>
      </w:tblPr>
      <w:tblGrid>
        <w:gridCol w:w="3072"/>
        <w:gridCol w:w="1276"/>
        <w:gridCol w:w="1332"/>
        <w:gridCol w:w="1305"/>
      </w:tblGrid>
      <w:tr w:rsidR="004215DA" w:rsidRPr="003542F0" w14:paraId="21597663" w14:textId="77777777" w:rsidTr="006C055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74EF4639" w14:textId="77777777" w:rsidR="004215DA" w:rsidRPr="003542F0" w:rsidRDefault="004215DA" w:rsidP="0079482A"/>
        </w:tc>
        <w:tc>
          <w:tcPr>
            <w:tcW w:w="0" w:type="dxa"/>
            <w:shd w:val="clear" w:color="auto" w:fill="2F5496" w:themeFill="accent5" w:themeFillShade="BF"/>
            <w:noWrap/>
            <w:vAlign w:val="center"/>
            <w:hideMark/>
          </w:tcPr>
          <w:p w14:paraId="1A65FFBB"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Hinkler</w:t>
            </w:r>
          </w:p>
        </w:tc>
        <w:tc>
          <w:tcPr>
            <w:tcW w:w="0" w:type="dxa"/>
            <w:shd w:val="clear" w:color="auto" w:fill="2F5496" w:themeFill="accent5" w:themeFillShade="BF"/>
            <w:noWrap/>
            <w:vAlign w:val="center"/>
            <w:hideMark/>
          </w:tcPr>
          <w:p w14:paraId="561068B2"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vAlign w:val="center"/>
            <w:hideMark/>
          </w:tcPr>
          <w:p w14:paraId="4E8D649B"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137ED795"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2" w:type="dxa"/>
            <w:noWrap/>
          </w:tcPr>
          <w:p w14:paraId="001F72E9" w14:textId="77777777" w:rsidR="004215DA" w:rsidRPr="005F3FE7" w:rsidRDefault="004215DA" w:rsidP="0079482A">
            <w:r w:rsidRPr="005F3FE7">
              <w:t>Working age (15-64)</w:t>
            </w:r>
          </w:p>
        </w:tc>
        <w:tc>
          <w:tcPr>
            <w:tcW w:w="1276" w:type="dxa"/>
            <w:noWrap/>
            <w:vAlign w:val="center"/>
          </w:tcPr>
          <w:p w14:paraId="5187F7EF" w14:textId="77777777" w:rsidR="004215DA" w:rsidRPr="005F3FE7" w:rsidRDefault="00615292" w:rsidP="00AB7FE4">
            <w:pPr>
              <w:jc w:val="right"/>
              <w:cnfStyle w:val="000000100000" w:firstRow="0" w:lastRow="0" w:firstColumn="0" w:lastColumn="0" w:oddVBand="0" w:evenVBand="0" w:oddHBand="1" w:evenHBand="0" w:firstRowFirstColumn="0" w:firstRowLastColumn="0" w:lastRowFirstColumn="0" w:lastRowLastColumn="0"/>
            </w:pPr>
            <w:r>
              <w:t>%</w:t>
            </w:r>
          </w:p>
        </w:tc>
        <w:tc>
          <w:tcPr>
            <w:tcW w:w="1332" w:type="dxa"/>
            <w:noWrap/>
            <w:vAlign w:val="center"/>
          </w:tcPr>
          <w:p w14:paraId="683F7ADE" w14:textId="77777777" w:rsidR="004215DA" w:rsidRPr="005F3FE7" w:rsidRDefault="00615292" w:rsidP="00AB7FE4">
            <w:pPr>
              <w:jc w:val="right"/>
              <w:cnfStyle w:val="000000100000" w:firstRow="0" w:lastRow="0" w:firstColumn="0" w:lastColumn="0" w:oddVBand="0" w:evenVBand="0" w:oddHBand="1" w:evenHBand="0" w:firstRowFirstColumn="0" w:firstRowLastColumn="0" w:lastRowFirstColumn="0" w:lastRowLastColumn="0"/>
            </w:pPr>
            <w:r>
              <w:t>%</w:t>
            </w:r>
          </w:p>
        </w:tc>
        <w:tc>
          <w:tcPr>
            <w:tcW w:w="1305" w:type="dxa"/>
            <w:noWrap/>
            <w:vAlign w:val="center"/>
          </w:tcPr>
          <w:p w14:paraId="66598637" w14:textId="77777777" w:rsidR="004215DA" w:rsidRPr="005F3FE7" w:rsidRDefault="00615292" w:rsidP="00AB7FE4">
            <w:pPr>
              <w:jc w:val="right"/>
              <w:cnfStyle w:val="000000100000" w:firstRow="0" w:lastRow="0" w:firstColumn="0" w:lastColumn="0" w:oddVBand="0" w:evenVBand="0" w:oddHBand="1" w:evenHBand="0" w:firstRowFirstColumn="0" w:firstRowLastColumn="0" w:lastRowFirstColumn="0" w:lastRowLastColumn="0"/>
            </w:pPr>
            <w:r>
              <w:t>%</w:t>
            </w:r>
          </w:p>
        </w:tc>
      </w:tr>
      <w:tr w:rsidR="004215DA" w:rsidRPr="005F3FE7" w14:paraId="5067413F"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5B9BD5" w:themeColor="accent1"/>
              <w:bottom w:val="nil"/>
            </w:tcBorders>
            <w:noWrap/>
          </w:tcPr>
          <w:p w14:paraId="04211C51" w14:textId="77777777" w:rsidR="004215DA" w:rsidRPr="005F3FE7" w:rsidRDefault="004215DA" w:rsidP="0079482A">
            <w:r w:rsidRPr="005F3FE7">
              <w:t>Employed</w:t>
            </w:r>
          </w:p>
        </w:tc>
        <w:tc>
          <w:tcPr>
            <w:tcW w:w="1276" w:type="dxa"/>
            <w:tcBorders>
              <w:top w:val="single" w:sz="4" w:space="0" w:color="5B9BD5" w:themeColor="accent1"/>
              <w:left w:val="nil"/>
              <w:bottom w:val="nil"/>
              <w:right w:val="nil"/>
            </w:tcBorders>
            <w:noWrap/>
            <w:vAlign w:val="center"/>
          </w:tcPr>
          <w:p w14:paraId="0547F0D9"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r w:rsidRPr="005F3FE7">
              <w:t>61.8</w:t>
            </w:r>
          </w:p>
        </w:tc>
        <w:tc>
          <w:tcPr>
            <w:tcW w:w="1332" w:type="dxa"/>
            <w:tcBorders>
              <w:top w:val="single" w:sz="4" w:space="0" w:color="5B9BD5" w:themeColor="accent1"/>
              <w:left w:val="nil"/>
              <w:bottom w:val="nil"/>
              <w:right w:val="nil"/>
            </w:tcBorders>
            <w:noWrap/>
            <w:vAlign w:val="center"/>
          </w:tcPr>
          <w:p w14:paraId="33EF68C2"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r w:rsidRPr="005F3FE7">
              <w:t>71.6</w:t>
            </w:r>
          </w:p>
        </w:tc>
        <w:tc>
          <w:tcPr>
            <w:tcW w:w="1305" w:type="dxa"/>
            <w:tcBorders>
              <w:top w:val="single" w:sz="4" w:space="0" w:color="5B9BD5" w:themeColor="accent1"/>
              <w:left w:val="nil"/>
              <w:bottom w:val="nil"/>
            </w:tcBorders>
            <w:noWrap/>
            <w:vAlign w:val="center"/>
          </w:tcPr>
          <w:p w14:paraId="0292AF99"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r w:rsidRPr="005F3FE7">
              <w:t>71.0</w:t>
            </w:r>
          </w:p>
        </w:tc>
      </w:tr>
      <w:tr w:rsidR="004215DA" w:rsidRPr="005F3FE7" w14:paraId="032658D4"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nil"/>
              <w:bottom w:val="nil"/>
            </w:tcBorders>
            <w:noWrap/>
          </w:tcPr>
          <w:p w14:paraId="243EDE5D" w14:textId="77777777" w:rsidR="004215DA" w:rsidRPr="005F3FE7" w:rsidRDefault="004215DA" w:rsidP="0079482A">
            <w:r w:rsidRPr="005F3FE7">
              <w:t>Unemployed</w:t>
            </w:r>
          </w:p>
        </w:tc>
        <w:tc>
          <w:tcPr>
            <w:tcW w:w="1276" w:type="dxa"/>
            <w:tcBorders>
              <w:top w:val="nil"/>
              <w:left w:val="nil"/>
              <w:bottom w:val="nil"/>
              <w:right w:val="nil"/>
            </w:tcBorders>
            <w:noWrap/>
            <w:vAlign w:val="center"/>
          </w:tcPr>
          <w:p w14:paraId="1AE5636A" w14:textId="77777777" w:rsidR="004215DA" w:rsidRPr="005F3FE7" w:rsidRDefault="004215DA" w:rsidP="00AB7FE4">
            <w:pPr>
              <w:jc w:val="right"/>
              <w:cnfStyle w:val="000000100000" w:firstRow="0" w:lastRow="0" w:firstColumn="0" w:lastColumn="0" w:oddVBand="0" w:evenVBand="0" w:oddHBand="1" w:evenHBand="0" w:firstRowFirstColumn="0" w:firstRowLastColumn="0" w:lastRowFirstColumn="0" w:lastRowLastColumn="0"/>
            </w:pPr>
            <w:r w:rsidRPr="005F3FE7">
              <w:t>8.0</w:t>
            </w:r>
          </w:p>
        </w:tc>
        <w:tc>
          <w:tcPr>
            <w:tcW w:w="1332" w:type="dxa"/>
            <w:tcBorders>
              <w:top w:val="nil"/>
              <w:left w:val="nil"/>
              <w:bottom w:val="nil"/>
              <w:right w:val="nil"/>
            </w:tcBorders>
            <w:noWrap/>
            <w:vAlign w:val="center"/>
          </w:tcPr>
          <w:p w14:paraId="6D2393E0" w14:textId="77777777" w:rsidR="004215DA" w:rsidRPr="005F3FE7" w:rsidRDefault="004215DA" w:rsidP="00AB7FE4">
            <w:pPr>
              <w:jc w:val="right"/>
              <w:cnfStyle w:val="000000100000" w:firstRow="0" w:lastRow="0" w:firstColumn="0" w:lastColumn="0" w:oddVBand="0" w:evenVBand="0" w:oddHBand="1" w:evenHBand="0" w:firstRowFirstColumn="0" w:firstRowLastColumn="0" w:lastRowFirstColumn="0" w:lastRowLastColumn="0"/>
            </w:pPr>
            <w:r w:rsidRPr="005F3FE7">
              <w:t>6.0</w:t>
            </w:r>
          </w:p>
        </w:tc>
        <w:tc>
          <w:tcPr>
            <w:tcW w:w="1305" w:type="dxa"/>
            <w:tcBorders>
              <w:top w:val="nil"/>
              <w:left w:val="nil"/>
              <w:bottom w:val="nil"/>
            </w:tcBorders>
            <w:noWrap/>
            <w:vAlign w:val="center"/>
          </w:tcPr>
          <w:p w14:paraId="08ECE553" w14:textId="77777777" w:rsidR="004215DA" w:rsidRPr="005F3FE7" w:rsidRDefault="004215DA" w:rsidP="00AB7FE4">
            <w:pPr>
              <w:jc w:val="right"/>
              <w:cnfStyle w:val="000000100000" w:firstRow="0" w:lastRow="0" w:firstColumn="0" w:lastColumn="0" w:oddVBand="0" w:evenVBand="0" w:oddHBand="1" w:evenHBand="0" w:firstRowFirstColumn="0" w:firstRowLastColumn="0" w:lastRowFirstColumn="0" w:lastRowLastColumn="0"/>
            </w:pPr>
            <w:r w:rsidRPr="005F3FE7">
              <w:t>5.4</w:t>
            </w:r>
          </w:p>
        </w:tc>
      </w:tr>
      <w:tr w:rsidR="004215DA" w:rsidRPr="005F3FE7" w14:paraId="693C293F"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nil"/>
              <w:bottom w:val="nil"/>
            </w:tcBorders>
            <w:noWrap/>
          </w:tcPr>
          <w:p w14:paraId="712A6EEA" w14:textId="77777777" w:rsidR="004215DA" w:rsidRPr="005F3FE7" w:rsidRDefault="004215DA" w:rsidP="0079482A">
            <w:r w:rsidRPr="005F3FE7">
              <w:t>Not in the labour force</w:t>
            </w:r>
          </w:p>
        </w:tc>
        <w:tc>
          <w:tcPr>
            <w:tcW w:w="1276" w:type="dxa"/>
            <w:tcBorders>
              <w:top w:val="nil"/>
              <w:left w:val="nil"/>
              <w:bottom w:val="nil"/>
              <w:right w:val="nil"/>
            </w:tcBorders>
            <w:noWrap/>
            <w:vAlign w:val="center"/>
          </w:tcPr>
          <w:p w14:paraId="03EE062B"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r w:rsidRPr="005F3FE7">
              <w:t>30.2</w:t>
            </w:r>
          </w:p>
        </w:tc>
        <w:tc>
          <w:tcPr>
            <w:tcW w:w="1332" w:type="dxa"/>
            <w:tcBorders>
              <w:top w:val="nil"/>
              <w:left w:val="nil"/>
              <w:bottom w:val="nil"/>
              <w:right w:val="nil"/>
            </w:tcBorders>
            <w:noWrap/>
            <w:vAlign w:val="center"/>
          </w:tcPr>
          <w:p w14:paraId="5D6F4D1A"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r w:rsidRPr="005F3FE7">
              <w:t>22.4</w:t>
            </w:r>
          </w:p>
        </w:tc>
        <w:tc>
          <w:tcPr>
            <w:tcW w:w="1305" w:type="dxa"/>
            <w:tcBorders>
              <w:top w:val="nil"/>
              <w:left w:val="nil"/>
              <w:bottom w:val="nil"/>
            </w:tcBorders>
            <w:noWrap/>
            <w:vAlign w:val="center"/>
          </w:tcPr>
          <w:p w14:paraId="11EDC21A"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r w:rsidRPr="005F3FE7">
              <w:t>23.6</w:t>
            </w:r>
          </w:p>
        </w:tc>
      </w:tr>
      <w:tr w:rsidR="004215DA" w:rsidRPr="005F3FE7" w14:paraId="7750AB9B"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nil"/>
              <w:bottom w:val="nil"/>
            </w:tcBorders>
            <w:noWrap/>
          </w:tcPr>
          <w:p w14:paraId="440752DE" w14:textId="77777777" w:rsidR="004215DA" w:rsidRPr="009A08BF" w:rsidRDefault="004215DA" w:rsidP="0079482A">
            <w:r w:rsidRPr="009A08BF">
              <w:t>Total</w:t>
            </w:r>
          </w:p>
        </w:tc>
        <w:tc>
          <w:tcPr>
            <w:tcW w:w="1276" w:type="dxa"/>
            <w:tcBorders>
              <w:top w:val="nil"/>
              <w:left w:val="nil"/>
              <w:bottom w:val="nil"/>
              <w:right w:val="nil"/>
            </w:tcBorders>
            <w:noWrap/>
            <w:vAlign w:val="center"/>
          </w:tcPr>
          <w:p w14:paraId="6802E796" w14:textId="77777777" w:rsidR="004215DA" w:rsidRPr="000613C9" w:rsidRDefault="004215DA" w:rsidP="00AB7FE4">
            <w:pPr>
              <w:jc w:val="right"/>
              <w:cnfStyle w:val="000000100000" w:firstRow="0" w:lastRow="0" w:firstColumn="0" w:lastColumn="0" w:oddVBand="0" w:evenVBand="0" w:oddHBand="1" w:evenHBand="0" w:firstRowFirstColumn="0" w:firstRowLastColumn="0" w:lastRowFirstColumn="0" w:lastRowLastColumn="0"/>
              <w:rPr>
                <w:b/>
              </w:rPr>
            </w:pPr>
            <w:r w:rsidRPr="000613C9">
              <w:rPr>
                <w:b/>
              </w:rPr>
              <w:t>100.0</w:t>
            </w:r>
          </w:p>
        </w:tc>
        <w:tc>
          <w:tcPr>
            <w:tcW w:w="1332" w:type="dxa"/>
            <w:tcBorders>
              <w:top w:val="nil"/>
              <w:left w:val="nil"/>
              <w:bottom w:val="nil"/>
              <w:right w:val="nil"/>
            </w:tcBorders>
            <w:noWrap/>
            <w:vAlign w:val="center"/>
          </w:tcPr>
          <w:p w14:paraId="527B56A2" w14:textId="77777777" w:rsidR="004215DA" w:rsidRPr="000613C9" w:rsidRDefault="004215DA" w:rsidP="00AB7FE4">
            <w:pPr>
              <w:jc w:val="right"/>
              <w:cnfStyle w:val="000000100000" w:firstRow="0" w:lastRow="0" w:firstColumn="0" w:lastColumn="0" w:oddVBand="0" w:evenVBand="0" w:oddHBand="1" w:evenHBand="0" w:firstRowFirstColumn="0" w:firstRowLastColumn="0" w:lastRowFirstColumn="0" w:lastRowLastColumn="0"/>
              <w:rPr>
                <w:b/>
              </w:rPr>
            </w:pPr>
            <w:r w:rsidRPr="000613C9">
              <w:rPr>
                <w:b/>
              </w:rPr>
              <w:t>100.0</w:t>
            </w:r>
          </w:p>
        </w:tc>
        <w:tc>
          <w:tcPr>
            <w:tcW w:w="1305" w:type="dxa"/>
            <w:tcBorders>
              <w:top w:val="nil"/>
              <w:left w:val="nil"/>
              <w:bottom w:val="nil"/>
            </w:tcBorders>
            <w:noWrap/>
            <w:vAlign w:val="center"/>
          </w:tcPr>
          <w:p w14:paraId="60B76954" w14:textId="77777777" w:rsidR="004215DA" w:rsidRPr="000613C9" w:rsidRDefault="004215DA" w:rsidP="00AB7FE4">
            <w:pPr>
              <w:jc w:val="right"/>
              <w:cnfStyle w:val="000000100000" w:firstRow="0" w:lastRow="0" w:firstColumn="0" w:lastColumn="0" w:oddVBand="0" w:evenVBand="0" w:oddHBand="1" w:evenHBand="0" w:firstRowFirstColumn="0" w:firstRowLastColumn="0" w:lastRowFirstColumn="0" w:lastRowLastColumn="0"/>
              <w:rPr>
                <w:b/>
              </w:rPr>
            </w:pPr>
            <w:r w:rsidRPr="000613C9">
              <w:rPr>
                <w:b/>
              </w:rPr>
              <w:t>100.0</w:t>
            </w:r>
          </w:p>
        </w:tc>
      </w:tr>
      <w:tr w:rsidR="00301525" w:rsidRPr="005F3FE7" w14:paraId="0FB5678F"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nil"/>
              <w:bottom w:val="nil"/>
            </w:tcBorders>
            <w:noWrap/>
          </w:tcPr>
          <w:p w14:paraId="6CD44F51" w14:textId="77777777" w:rsidR="00301525" w:rsidRPr="005F3FE7" w:rsidRDefault="00301525" w:rsidP="0079482A">
            <w:r>
              <w:t>Labour force participation rate</w:t>
            </w:r>
          </w:p>
        </w:tc>
        <w:tc>
          <w:tcPr>
            <w:tcW w:w="1276" w:type="dxa"/>
            <w:tcBorders>
              <w:top w:val="nil"/>
              <w:left w:val="nil"/>
              <w:bottom w:val="nil"/>
              <w:right w:val="nil"/>
            </w:tcBorders>
            <w:noWrap/>
            <w:vAlign w:val="center"/>
          </w:tcPr>
          <w:p w14:paraId="27F3D9ED" w14:textId="77777777" w:rsidR="00301525" w:rsidRPr="000613C9" w:rsidRDefault="00301525" w:rsidP="00AB7FE4">
            <w:pPr>
              <w:jc w:val="right"/>
              <w:cnfStyle w:val="000000000000" w:firstRow="0" w:lastRow="0" w:firstColumn="0" w:lastColumn="0" w:oddVBand="0" w:evenVBand="0" w:oddHBand="0" w:evenHBand="0" w:firstRowFirstColumn="0" w:firstRowLastColumn="0" w:lastRowFirstColumn="0" w:lastRowLastColumn="0"/>
              <w:rPr>
                <w:b/>
              </w:rPr>
            </w:pPr>
            <w:r w:rsidRPr="000613C9">
              <w:rPr>
                <w:b/>
              </w:rPr>
              <w:t>69.8</w:t>
            </w:r>
          </w:p>
        </w:tc>
        <w:tc>
          <w:tcPr>
            <w:tcW w:w="1332" w:type="dxa"/>
            <w:tcBorders>
              <w:top w:val="nil"/>
              <w:left w:val="nil"/>
              <w:bottom w:val="nil"/>
              <w:right w:val="nil"/>
            </w:tcBorders>
            <w:noWrap/>
            <w:vAlign w:val="center"/>
          </w:tcPr>
          <w:p w14:paraId="50FC2A8B" w14:textId="77777777" w:rsidR="00301525" w:rsidRPr="000613C9" w:rsidRDefault="00301525" w:rsidP="00AB7FE4">
            <w:pPr>
              <w:jc w:val="right"/>
              <w:cnfStyle w:val="000000000000" w:firstRow="0" w:lastRow="0" w:firstColumn="0" w:lastColumn="0" w:oddVBand="0" w:evenVBand="0" w:oddHBand="0" w:evenHBand="0" w:firstRowFirstColumn="0" w:firstRowLastColumn="0" w:lastRowFirstColumn="0" w:lastRowLastColumn="0"/>
              <w:rPr>
                <w:b/>
              </w:rPr>
            </w:pPr>
            <w:r w:rsidRPr="000613C9">
              <w:rPr>
                <w:b/>
              </w:rPr>
              <w:t>77.6</w:t>
            </w:r>
          </w:p>
        </w:tc>
        <w:tc>
          <w:tcPr>
            <w:tcW w:w="1305" w:type="dxa"/>
            <w:tcBorders>
              <w:top w:val="nil"/>
              <w:left w:val="nil"/>
              <w:bottom w:val="nil"/>
            </w:tcBorders>
            <w:noWrap/>
            <w:vAlign w:val="center"/>
          </w:tcPr>
          <w:p w14:paraId="74F90157" w14:textId="77777777" w:rsidR="00301525" w:rsidRPr="000613C9" w:rsidRDefault="00301525" w:rsidP="00AB7FE4">
            <w:pPr>
              <w:jc w:val="right"/>
              <w:cnfStyle w:val="000000000000" w:firstRow="0" w:lastRow="0" w:firstColumn="0" w:lastColumn="0" w:oddVBand="0" w:evenVBand="0" w:oddHBand="0" w:evenHBand="0" w:firstRowFirstColumn="0" w:firstRowLastColumn="0" w:lastRowFirstColumn="0" w:lastRowLastColumn="0"/>
              <w:rPr>
                <w:b/>
              </w:rPr>
            </w:pPr>
            <w:r w:rsidRPr="000613C9">
              <w:rPr>
                <w:b/>
              </w:rPr>
              <w:t>76.4</w:t>
            </w:r>
          </w:p>
        </w:tc>
      </w:tr>
      <w:tr w:rsidR="004215DA" w:rsidRPr="005F3FE7" w14:paraId="6A1D9B13"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nil"/>
            </w:tcBorders>
            <w:noWrap/>
          </w:tcPr>
          <w:p w14:paraId="3D52A3A7" w14:textId="77777777" w:rsidR="004215DA" w:rsidRPr="005F3FE7" w:rsidRDefault="004215DA" w:rsidP="0079482A">
            <w:r w:rsidRPr="005F3FE7">
              <w:t>Unemployment rate</w:t>
            </w:r>
          </w:p>
        </w:tc>
        <w:tc>
          <w:tcPr>
            <w:tcW w:w="1276" w:type="dxa"/>
            <w:tcBorders>
              <w:top w:val="nil"/>
              <w:left w:val="nil"/>
              <w:right w:val="nil"/>
            </w:tcBorders>
            <w:noWrap/>
            <w:vAlign w:val="center"/>
          </w:tcPr>
          <w:p w14:paraId="265D1B2E" w14:textId="77777777" w:rsidR="004215DA" w:rsidRPr="00615292" w:rsidRDefault="004215DA" w:rsidP="00AB7FE4">
            <w:pPr>
              <w:jc w:val="right"/>
              <w:cnfStyle w:val="000000100000" w:firstRow="0" w:lastRow="0" w:firstColumn="0" w:lastColumn="0" w:oddVBand="0" w:evenVBand="0" w:oddHBand="1" w:evenHBand="0" w:firstRowFirstColumn="0" w:firstRowLastColumn="0" w:lastRowFirstColumn="0" w:lastRowLastColumn="0"/>
              <w:rPr>
                <w:b/>
              </w:rPr>
            </w:pPr>
            <w:r w:rsidRPr="00615292">
              <w:rPr>
                <w:b/>
              </w:rPr>
              <w:t>11.4</w:t>
            </w:r>
          </w:p>
        </w:tc>
        <w:tc>
          <w:tcPr>
            <w:tcW w:w="1332" w:type="dxa"/>
            <w:tcBorders>
              <w:top w:val="nil"/>
              <w:left w:val="nil"/>
              <w:right w:val="nil"/>
            </w:tcBorders>
            <w:noWrap/>
            <w:vAlign w:val="center"/>
          </w:tcPr>
          <w:p w14:paraId="5CE8818F" w14:textId="77777777" w:rsidR="004215DA" w:rsidRPr="00615292" w:rsidRDefault="004215DA" w:rsidP="00AB7FE4">
            <w:pPr>
              <w:jc w:val="right"/>
              <w:cnfStyle w:val="000000100000" w:firstRow="0" w:lastRow="0" w:firstColumn="0" w:lastColumn="0" w:oddVBand="0" w:evenVBand="0" w:oddHBand="1" w:evenHBand="0" w:firstRowFirstColumn="0" w:firstRowLastColumn="0" w:lastRowFirstColumn="0" w:lastRowLastColumn="0"/>
              <w:rPr>
                <w:b/>
              </w:rPr>
            </w:pPr>
            <w:r w:rsidRPr="00615292">
              <w:rPr>
                <w:b/>
              </w:rPr>
              <w:t>7.8</w:t>
            </w:r>
          </w:p>
        </w:tc>
        <w:tc>
          <w:tcPr>
            <w:tcW w:w="1305" w:type="dxa"/>
            <w:tcBorders>
              <w:top w:val="nil"/>
              <w:left w:val="nil"/>
            </w:tcBorders>
            <w:noWrap/>
            <w:vAlign w:val="center"/>
          </w:tcPr>
          <w:p w14:paraId="5EBF4096" w14:textId="77777777" w:rsidR="004215DA" w:rsidRPr="00615292" w:rsidRDefault="004215DA" w:rsidP="00AB7FE4">
            <w:pPr>
              <w:jc w:val="right"/>
              <w:cnfStyle w:val="000000100000" w:firstRow="0" w:lastRow="0" w:firstColumn="0" w:lastColumn="0" w:oddVBand="0" w:evenVBand="0" w:oddHBand="1" w:evenHBand="0" w:firstRowFirstColumn="0" w:firstRowLastColumn="0" w:lastRowFirstColumn="0" w:lastRowLastColumn="0"/>
              <w:rPr>
                <w:b/>
              </w:rPr>
            </w:pPr>
            <w:r w:rsidRPr="00615292">
              <w:rPr>
                <w:b/>
              </w:rPr>
              <w:t>7.0</w:t>
            </w:r>
          </w:p>
        </w:tc>
      </w:tr>
      <w:tr w:rsidR="004215DA" w:rsidRPr="005F3FE7" w14:paraId="2E66395A"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3072" w:type="dxa"/>
            <w:noWrap/>
          </w:tcPr>
          <w:p w14:paraId="0CD306EA" w14:textId="77777777" w:rsidR="004215DA" w:rsidRPr="005F3FE7" w:rsidRDefault="004215DA" w:rsidP="0079482A">
            <w:r w:rsidRPr="005F3FE7">
              <w:t>Youth (15-24)</w:t>
            </w:r>
          </w:p>
        </w:tc>
        <w:tc>
          <w:tcPr>
            <w:tcW w:w="1276" w:type="dxa"/>
            <w:noWrap/>
            <w:vAlign w:val="center"/>
          </w:tcPr>
          <w:p w14:paraId="16BCFEC6"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p>
        </w:tc>
        <w:tc>
          <w:tcPr>
            <w:tcW w:w="1332" w:type="dxa"/>
            <w:noWrap/>
            <w:vAlign w:val="center"/>
          </w:tcPr>
          <w:p w14:paraId="6B86BB82"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p>
        </w:tc>
        <w:tc>
          <w:tcPr>
            <w:tcW w:w="1305" w:type="dxa"/>
            <w:noWrap/>
            <w:vAlign w:val="center"/>
          </w:tcPr>
          <w:p w14:paraId="2AD4524E"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p>
        </w:tc>
      </w:tr>
      <w:tr w:rsidR="004215DA" w:rsidRPr="005F3FE7" w14:paraId="5C7D5E28"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2" w:type="dxa"/>
            <w:tcBorders>
              <w:bottom w:val="nil"/>
            </w:tcBorders>
            <w:noWrap/>
          </w:tcPr>
          <w:p w14:paraId="22B30252" w14:textId="77777777" w:rsidR="004215DA" w:rsidRPr="005F3FE7" w:rsidRDefault="004215DA" w:rsidP="0079482A">
            <w:r w:rsidRPr="005F3FE7">
              <w:t>Employed</w:t>
            </w:r>
          </w:p>
        </w:tc>
        <w:tc>
          <w:tcPr>
            <w:tcW w:w="1276" w:type="dxa"/>
            <w:tcBorders>
              <w:left w:val="nil"/>
              <w:bottom w:val="nil"/>
              <w:right w:val="nil"/>
            </w:tcBorders>
            <w:noWrap/>
            <w:vAlign w:val="center"/>
          </w:tcPr>
          <w:p w14:paraId="486CC859" w14:textId="77777777" w:rsidR="004215DA" w:rsidRPr="005F3FE7" w:rsidRDefault="004215DA" w:rsidP="00AB7FE4">
            <w:pPr>
              <w:jc w:val="right"/>
              <w:cnfStyle w:val="000000100000" w:firstRow="0" w:lastRow="0" w:firstColumn="0" w:lastColumn="0" w:oddVBand="0" w:evenVBand="0" w:oddHBand="1" w:evenHBand="0" w:firstRowFirstColumn="0" w:firstRowLastColumn="0" w:lastRowFirstColumn="0" w:lastRowLastColumn="0"/>
            </w:pPr>
            <w:r w:rsidRPr="005F3FE7">
              <w:t>53.5</w:t>
            </w:r>
          </w:p>
        </w:tc>
        <w:tc>
          <w:tcPr>
            <w:tcW w:w="1332" w:type="dxa"/>
            <w:tcBorders>
              <w:left w:val="nil"/>
              <w:bottom w:val="nil"/>
              <w:right w:val="nil"/>
            </w:tcBorders>
            <w:noWrap/>
            <w:vAlign w:val="center"/>
          </w:tcPr>
          <w:p w14:paraId="104EDFE4" w14:textId="77777777" w:rsidR="004215DA" w:rsidRPr="005F3FE7" w:rsidRDefault="004215DA" w:rsidP="00AB7FE4">
            <w:pPr>
              <w:jc w:val="right"/>
              <w:cnfStyle w:val="000000100000" w:firstRow="0" w:lastRow="0" w:firstColumn="0" w:lastColumn="0" w:oddVBand="0" w:evenVBand="0" w:oddHBand="1" w:evenHBand="0" w:firstRowFirstColumn="0" w:firstRowLastColumn="0" w:lastRowFirstColumn="0" w:lastRowLastColumn="0"/>
            </w:pPr>
            <w:r w:rsidRPr="005F3FE7">
              <w:t>57.9</w:t>
            </w:r>
          </w:p>
        </w:tc>
        <w:tc>
          <w:tcPr>
            <w:tcW w:w="1305" w:type="dxa"/>
            <w:tcBorders>
              <w:left w:val="nil"/>
              <w:bottom w:val="nil"/>
            </w:tcBorders>
            <w:noWrap/>
            <w:vAlign w:val="center"/>
          </w:tcPr>
          <w:p w14:paraId="3CEFF456" w14:textId="77777777" w:rsidR="004215DA" w:rsidRPr="005F3FE7" w:rsidRDefault="004215DA" w:rsidP="00AB7FE4">
            <w:pPr>
              <w:jc w:val="right"/>
              <w:cnfStyle w:val="000000100000" w:firstRow="0" w:lastRow="0" w:firstColumn="0" w:lastColumn="0" w:oddVBand="0" w:evenVBand="0" w:oddHBand="1" w:evenHBand="0" w:firstRowFirstColumn="0" w:firstRowLastColumn="0" w:lastRowFirstColumn="0" w:lastRowLastColumn="0"/>
            </w:pPr>
            <w:r w:rsidRPr="005F3FE7">
              <w:t>54.4</w:t>
            </w:r>
          </w:p>
        </w:tc>
      </w:tr>
      <w:tr w:rsidR="004215DA" w:rsidRPr="005F3FE7" w14:paraId="5A6C1018"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nil"/>
              <w:bottom w:val="nil"/>
            </w:tcBorders>
            <w:noWrap/>
          </w:tcPr>
          <w:p w14:paraId="50921958" w14:textId="77777777" w:rsidR="004215DA" w:rsidRPr="005F3FE7" w:rsidRDefault="004215DA" w:rsidP="0079482A">
            <w:r w:rsidRPr="005F3FE7">
              <w:t>Unemployed</w:t>
            </w:r>
          </w:p>
        </w:tc>
        <w:tc>
          <w:tcPr>
            <w:tcW w:w="1276" w:type="dxa"/>
            <w:tcBorders>
              <w:top w:val="nil"/>
              <w:left w:val="nil"/>
              <w:bottom w:val="nil"/>
              <w:right w:val="nil"/>
            </w:tcBorders>
            <w:noWrap/>
            <w:vAlign w:val="center"/>
          </w:tcPr>
          <w:p w14:paraId="0FE325A1"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r w:rsidRPr="005F3FE7">
              <w:t>14.4</w:t>
            </w:r>
          </w:p>
        </w:tc>
        <w:tc>
          <w:tcPr>
            <w:tcW w:w="1332" w:type="dxa"/>
            <w:tcBorders>
              <w:top w:val="nil"/>
              <w:left w:val="nil"/>
              <w:bottom w:val="nil"/>
              <w:right w:val="nil"/>
            </w:tcBorders>
            <w:noWrap/>
            <w:vAlign w:val="center"/>
          </w:tcPr>
          <w:p w14:paraId="1827511B"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r w:rsidRPr="005F3FE7">
              <w:t>10.9</w:t>
            </w:r>
          </w:p>
        </w:tc>
        <w:tc>
          <w:tcPr>
            <w:tcW w:w="1305" w:type="dxa"/>
            <w:tcBorders>
              <w:top w:val="nil"/>
              <w:left w:val="nil"/>
              <w:bottom w:val="nil"/>
            </w:tcBorders>
            <w:noWrap/>
            <w:vAlign w:val="center"/>
          </w:tcPr>
          <w:p w14:paraId="375F3474" w14:textId="77777777" w:rsidR="004215DA" w:rsidRPr="005F3FE7" w:rsidRDefault="004215DA" w:rsidP="00AB7FE4">
            <w:pPr>
              <w:jc w:val="right"/>
              <w:cnfStyle w:val="000000000000" w:firstRow="0" w:lastRow="0" w:firstColumn="0" w:lastColumn="0" w:oddVBand="0" w:evenVBand="0" w:oddHBand="0" w:evenHBand="0" w:firstRowFirstColumn="0" w:firstRowLastColumn="0" w:lastRowFirstColumn="0" w:lastRowLastColumn="0"/>
            </w:pPr>
            <w:r w:rsidRPr="005F3FE7">
              <w:t>9.5</w:t>
            </w:r>
          </w:p>
        </w:tc>
      </w:tr>
      <w:tr w:rsidR="004215DA" w:rsidRPr="005F3FE7" w14:paraId="6C22E619"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nil"/>
              <w:bottom w:val="nil"/>
            </w:tcBorders>
            <w:noWrap/>
          </w:tcPr>
          <w:p w14:paraId="7EB24D45" w14:textId="77777777" w:rsidR="004215DA" w:rsidRPr="005F3FE7" w:rsidRDefault="004215DA" w:rsidP="0079482A">
            <w:r w:rsidRPr="005F3FE7">
              <w:t>Not in the labour force</w:t>
            </w:r>
          </w:p>
        </w:tc>
        <w:tc>
          <w:tcPr>
            <w:tcW w:w="1276" w:type="dxa"/>
            <w:tcBorders>
              <w:top w:val="nil"/>
              <w:left w:val="nil"/>
              <w:bottom w:val="nil"/>
              <w:right w:val="nil"/>
            </w:tcBorders>
            <w:noWrap/>
            <w:vAlign w:val="center"/>
          </w:tcPr>
          <w:p w14:paraId="194B4721" w14:textId="77777777" w:rsidR="004215DA" w:rsidRPr="005F3FE7" w:rsidRDefault="004215DA" w:rsidP="00AB7FE4">
            <w:pPr>
              <w:jc w:val="right"/>
              <w:cnfStyle w:val="000000100000" w:firstRow="0" w:lastRow="0" w:firstColumn="0" w:lastColumn="0" w:oddVBand="0" w:evenVBand="0" w:oddHBand="1" w:evenHBand="0" w:firstRowFirstColumn="0" w:firstRowLastColumn="0" w:lastRowFirstColumn="0" w:lastRowLastColumn="0"/>
            </w:pPr>
            <w:r w:rsidRPr="005F3FE7">
              <w:t>32.1</w:t>
            </w:r>
          </w:p>
        </w:tc>
        <w:tc>
          <w:tcPr>
            <w:tcW w:w="1332" w:type="dxa"/>
            <w:tcBorders>
              <w:top w:val="nil"/>
              <w:left w:val="nil"/>
              <w:bottom w:val="nil"/>
              <w:right w:val="nil"/>
            </w:tcBorders>
            <w:noWrap/>
            <w:vAlign w:val="center"/>
          </w:tcPr>
          <w:p w14:paraId="77F48896" w14:textId="77777777" w:rsidR="004215DA" w:rsidRPr="005F3FE7" w:rsidRDefault="004215DA" w:rsidP="00AB7FE4">
            <w:pPr>
              <w:jc w:val="right"/>
              <w:cnfStyle w:val="000000100000" w:firstRow="0" w:lastRow="0" w:firstColumn="0" w:lastColumn="0" w:oddVBand="0" w:evenVBand="0" w:oddHBand="1" w:evenHBand="0" w:firstRowFirstColumn="0" w:firstRowLastColumn="0" w:lastRowFirstColumn="0" w:lastRowLastColumn="0"/>
            </w:pPr>
            <w:r w:rsidRPr="005F3FE7">
              <w:t>31.2</w:t>
            </w:r>
          </w:p>
        </w:tc>
        <w:tc>
          <w:tcPr>
            <w:tcW w:w="1305" w:type="dxa"/>
            <w:tcBorders>
              <w:top w:val="nil"/>
              <w:left w:val="nil"/>
              <w:bottom w:val="nil"/>
            </w:tcBorders>
            <w:noWrap/>
            <w:vAlign w:val="center"/>
          </w:tcPr>
          <w:p w14:paraId="7B28ED42" w14:textId="77777777" w:rsidR="004215DA" w:rsidRPr="005F3FE7" w:rsidRDefault="004215DA" w:rsidP="00AB7FE4">
            <w:pPr>
              <w:jc w:val="right"/>
              <w:cnfStyle w:val="000000100000" w:firstRow="0" w:lastRow="0" w:firstColumn="0" w:lastColumn="0" w:oddVBand="0" w:evenVBand="0" w:oddHBand="1" w:evenHBand="0" w:firstRowFirstColumn="0" w:firstRowLastColumn="0" w:lastRowFirstColumn="0" w:lastRowLastColumn="0"/>
            </w:pPr>
            <w:r w:rsidRPr="005F3FE7">
              <w:t>36.1</w:t>
            </w:r>
          </w:p>
        </w:tc>
      </w:tr>
      <w:tr w:rsidR="004215DA" w:rsidRPr="005F3FE7" w14:paraId="5DD6C8FA"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nil"/>
              <w:bottom w:val="nil"/>
            </w:tcBorders>
            <w:noWrap/>
          </w:tcPr>
          <w:p w14:paraId="11E2474B" w14:textId="77777777" w:rsidR="004215DA" w:rsidRPr="005F3FE7" w:rsidRDefault="004215DA" w:rsidP="0079482A">
            <w:r w:rsidRPr="005F3FE7">
              <w:t>Total</w:t>
            </w:r>
          </w:p>
        </w:tc>
        <w:tc>
          <w:tcPr>
            <w:tcW w:w="1276" w:type="dxa"/>
            <w:tcBorders>
              <w:top w:val="nil"/>
              <w:left w:val="nil"/>
              <w:bottom w:val="nil"/>
              <w:right w:val="nil"/>
            </w:tcBorders>
            <w:noWrap/>
            <w:vAlign w:val="center"/>
          </w:tcPr>
          <w:p w14:paraId="30D5C59D" w14:textId="77777777" w:rsidR="004215DA" w:rsidRPr="000613C9" w:rsidRDefault="004215DA" w:rsidP="00AB7FE4">
            <w:pPr>
              <w:jc w:val="right"/>
              <w:cnfStyle w:val="000000000000" w:firstRow="0" w:lastRow="0" w:firstColumn="0" w:lastColumn="0" w:oddVBand="0" w:evenVBand="0" w:oddHBand="0" w:evenHBand="0" w:firstRowFirstColumn="0" w:firstRowLastColumn="0" w:lastRowFirstColumn="0" w:lastRowLastColumn="0"/>
              <w:rPr>
                <w:b/>
              </w:rPr>
            </w:pPr>
            <w:r w:rsidRPr="000613C9">
              <w:rPr>
                <w:b/>
              </w:rPr>
              <w:t>100.0</w:t>
            </w:r>
          </w:p>
        </w:tc>
        <w:tc>
          <w:tcPr>
            <w:tcW w:w="1332" w:type="dxa"/>
            <w:tcBorders>
              <w:top w:val="nil"/>
              <w:left w:val="nil"/>
              <w:bottom w:val="nil"/>
              <w:right w:val="nil"/>
            </w:tcBorders>
            <w:noWrap/>
            <w:vAlign w:val="center"/>
          </w:tcPr>
          <w:p w14:paraId="140AE8D0" w14:textId="77777777" w:rsidR="004215DA" w:rsidRPr="000613C9" w:rsidRDefault="004215DA" w:rsidP="00AB7FE4">
            <w:pPr>
              <w:jc w:val="right"/>
              <w:cnfStyle w:val="000000000000" w:firstRow="0" w:lastRow="0" w:firstColumn="0" w:lastColumn="0" w:oddVBand="0" w:evenVBand="0" w:oddHBand="0" w:evenHBand="0" w:firstRowFirstColumn="0" w:firstRowLastColumn="0" w:lastRowFirstColumn="0" w:lastRowLastColumn="0"/>
              <w:rPr>
                <w:b/>
              </w:rPr>
            </w:pPr>
            <w:r w:rsidRPr="000613C9">
              <w:rPr>
                <w:b/>
              </w:rPr>
              <w:t>100.0</w:t>
            </w:r>
          </w:p>
        </w:tc>
        <w:tc>
          <w:tcPr>
            <w:tcW w:w="1305" w:type="dxa"/>
            <w:tcBorders>
              <w:top w:val="nil"/>
              <w:left w:val="nil"/>
              <w:bottom w:val="nil"/>
            </w:tcBorders>
            <w:noWrap/>
            <w:vAlign w:val="center"/>
          </w:tcPr>
          <w:p w14:paraId="01921FB3" w14:textId="77777777" w:rsidR="004215DA" w:rsidRPr="000613C9" w:rsidRDefault="004215DA" w:rsidP="00AB7FE4">
            <w:pPr>
              <w:jc w:val="right"/>
              <w:cnfStyle w:val="000000000000" w:firstRow="0" w:lastRow="0" w:firstColumn="0" w:lastColumn="0" w:oddVBand="0" w:evenVBand="0" w:oddHBand="0" w:evenHBand="0" w:firstRowFirstColumn="0" w:firstRowLastColumn="0" w:lastRowFirstColumn="0" w:lastRowLastColumn="0"/>
              <w:rPr>
                <w:b/>
              </w:rPr>
            </w:pPr>
            <w:r w:rsidRPr="000613C9">
              <w:rPr>
                <w:b/>
              </w:rPr>
              <w:t>100.0</w:t>
            </w:r>
          </w:p>
        </w:tc>
      </w:tr>
      <w:tr w:rsidR="00301525" w:rsidRPr="005F3FE7" w14:paraId="2DB317DA"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nil"/>
              <w:bottom w:val="nil"/>
            </w:tcBorders>
            <w:noWrap/>
          </w:tcPr>
          <w:p w14:paraId="13E90C72" w14:textId="77777777" w:rsidR="00301525" w:rsidRPr="005F3FE7" w:rsidRDefault="00301525" w:rsidP="0079482A">
            <w:r>
              <w:t>Labour force participation rate</w:t>
            </w:r>
          </w:p>
        </w:tc>
        <w:tc>
          <w:tcPr>
            <w:tcW w:w="1276" w:type="dxa"/>
            <w:tcBorders>
              <w:top w:val="nil"/>
              <w:left w:val="nil"/>
              <w:bottom w:val="nil"/>
              <w:right w:val="nil"/>
            </w:tcBorders>
            <w:noWrap/>
            <w:vAlign w:val="center"/>
          </w:tcPr>
          <w:p w14:paraId="6E8F2663" w14:textId="77777777" w:rsidR="00301525" w:rsidRPr="000613C9" w:rsidRDefault="00301525" w:rsidP="00AB7FE4">
            <w:pPr>
              <w:jc w:val="right"/>
              <w:cnfStyle w:val="000000100000" w:firstRow="0" w:lastRow="0" w:firstColumn="0" w:lastColumn="0" w:oddVBand="0" w:evenVBand="0" w:oddHBand="1" w:evenHBand="0" w:firstRowFirstColumn="0" w:firstRowLastColumn="0" w:lastRowFirstColumn="0" w:lastRowLastColumn="0"/>
              <w:rPr>
                <w:b/>
              </w:rPr>
            </w:pPr>
            <w:r w:rsidRPr="000613C9">
              <w:rPr>
                <w:b/>
              </w:rPr>
              <w:t>67.9</w:t>
            </w:r>
          </w:p>
        </w:tc>
        <w:tc>
          <w:tcPr>
            <w:tcW w:w="1332" w:type="dxa"/>
            <w:tcBorders>
              <w:top w:val="nil"/>
              <w:left w:val="nil"/>
              <w:bottom w:val="nil"/>
              <w:right w:val="nil"/>
            </w:tcBorders>
            <w:noWrap/>
            <w:vAlign w:val="center"/>
          </w:tcPr>
          <w:p w14:paraId="04C08DEB" w14:textId="77777777" w:rsidR="00301525" w:rsidRPr="000613C9" w:rsidRDefault="00301525" w:rsidP="00AB7FE4">
            <w:pPr>
              <w:jc w:val="right"/>
              <w:cnfStyle w:val="000000100000" w:firstRow="0" w:lastRow="0" w:firstColumn="0" w:lastColumn="0" w:oddVBand="0" w:evenVBand="0" w:oddHBand="1" w:evenHBand="0" w:firstRowFirstColumn="0" w:firstRowLastColumn="0" w:lastRowFirstColumn="0" w:lastRowLastColumn="0"/>
              <w:rPr>
                <w:b/>
              </w:rPr>
            </w:pPr>
            <w:r w:rsidRPr="000613C9">
              <w:rPr>
                <w:b/>
              </w:rPr>
              <w:t>68.8</w:t>
            </w:r>
          </w:p>
        </w:tc>
        <w:tc>
          <w:tcPr>
            <w:tcW w:w="1305" w:type="dxa"/>
            <w:tcBorders>
              <w:top w:val="nil"/>
              <w:left w:val="nil"/>
              <w:bottom w:val="nil"/>
            </w:tcBorders>
            <w:noWrap/>
            <w:vAlign w:val="center"/>
          </w:tcPr>
          <w:p w14:paraId="6A111DDA" w14:textId="77777777" w:rsidR="00301525" w:rsidRPr="000613C9" w:rsidRDefault="00301525" w:rsidP="00AB7FE4">
            <w:pPr>
              <w:jc w:val="right"/>
              <w:cnfStyle w:val="000000100000" w:firstRow="0" w:lastRow="0" w:firstColumn="0" w:lastColumn="0" w:oddVBand="0" w:evenVBand="0" w:oddHBand="1" w:evenHBand="0" w:firstRowFirstColumn="0" w:firstRowLastColumn="0" w:lastRowFirstColumn="0" w:lastRowLastColumn="0"/>
              <w:rPr>
                <w:b/>
              </w:rPr>
            </w:pPr>
            <w:r w:rsidRPr="000613C9">
              <w:rPr>
                <w:b/>
              </w:rPr>
              <w:t>63.9</w:t>
            </w:r>
          </w:p>
        </w:tc>
      </w:tr>
      <w:tr w:rsidR="004215DA" w:rsidRPr="005F3FE7" w14:paraId="09E3ABF4"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3072" w:type="dxa"/>
            <w:tcBorders>
              <w:top w:val="nil"/>
              <w:bottom w:val="single" w:sz="4" w:space="0" w:color="5B9BD5" w:themeColor="accent1"/>
            </w:tcBorders>
            <w:noWrap/>
          </w:tcPr>
          <w:p w14:paraId="4AA6D000" w14:textId="77777777" w:rsidR="004215DA" w:rsidRPr="005F3FE7" w:rsidRDefault="004215DA" w:rsidP="0079482A">
            <w:r w:rsidRPr="005F3FE7">
              <w:t>Unemployment rate</w:t>
            </w:r>
            <w:r w:rsidR="00450631">
              <w:rPr>
                <w:rStyle w:val="FootnoteReference"/>
              </w:rPr>
              <w:footnoteReference w:id="15"/>
            </w:r>
          </w:p>
        </w:tc>
        <w:tc>
          <w:tcPr>
            <w:tcW w:w="1276" w:type="dxa"/>
            <w:tcBorders>
              <w:top w:val="nil"/>
              <w:left w:val="nil"/>
              <w:bottom w:val="single" w:sz="4" w:space="0" w:color="5B9BD5" w:themeColor="accent1"/>
              <w:right w:val="nil"/>
            </w:tcBorders>
            <w:noWrap/>
            <w:vAlign w:val="center"/>
          </w:tcPr>
          <w:p w14:paraId="7C86669D" w14:textId="77777777" w:rsidR="004215DA" w:rsidRPr="00615292" w:rsidRDefault="004215DA" w:rsidP="00AB7FE4">
            <w:pPr>
              <w:jc w:val="right"/>
              <w:cnfStyle w:val="000000000000" w:firstRow="0" w:lastRow="0" w:firstColumn="0" w:lastColumn="0" w:oddVBand="0" w:evenVBand="0" w:oddHBand="0" w:evenHBand="0" w:firstRowFirstColumn="0" w:firstRowLastColumn="0" w:lastRowFirstColumn="0" w:lastRowLastColumn="0"/>
              <w:rPr>
                <w:b/>
              </w:rPr>
            </w:pPr>
            <w:r w:rsidRPr="00615292">
              <w:rPr>
                <w:b/>
              </w:rPr>
              <w:t>21.2</w:t>
            </w:r>
          </w:p>
        </w:tc>
        <w:tc>
          <w:tcPr>
            <w:tcW w:w="1332" w:type="dxa"/>
            <w:tcBorders>
              <w:top w:val="nil"/>
              <w:left w:val="nil"/>
              <w:bottom w:val="single" w:sz="4" w:space="0" w:color="5B9BD5" w:themeColor="accent1"/>
              <w:right w:val="nil"/>
            </w:tcBorders>
            <w:noWrap/>
            <w:vAlign w:val="center"/>
          </w:tcPr>
          <w:p w14:paraId="4B1B9457" w14:textId="77777777" w:rsidR="004215DA" w:rsidRPr="00615292" w:rsidRDefault="004215DA" w:rsidP="00AB7FE4">
            <w:pPr>
              <w:jc w:val="right"/>
              <w:cnfStyle w:val="000000000000" w:firstRow="0" w:lastRow="0" w:firstColumn="0" w:lastColumn="0" w:oddVBand="0" w:evenVBand="0" w:oddHBand="0" w:evenHBand="0" w:firstRowFirstColumn="0" w:firstRowLastColumn="0" w:lastRowFirstColumn="0" w:lastRowLastColumn="0"/>
              <w:rPr>
                <w:b/>
              </w:rPr>
            </w:pPr>
            <w:r w:rsidRPr="00615292">
              <w:rPr>
                <w:b/>
              </w:rPr>
              <w:t>15.8</w:t>
            </w:r>
          </w:p>
        </w:tc>
        <w:tc>
          <w:tcPr>
            <w:tcW w:w="1305" w:type="dxa"/>
            <w:tcBorders>
              <w:top w:val="nil"/>
              <w:left w:val="nil"/>
              <w:bottom w:val="single" w:sz="4" w:space="0" w:color="5B9BD5" w:themeColor="accent1"/>
            </w:tcBorders>
            <w:noWrap/>
            <w:vAlign w:val="center"/>
          </w:tcPr>
          <w:p w14:paraId="7C169875" w14:textId="77777777" w:rsidR="004215DA" w:rsidRPr="00615292" w:rsidRDefault="004215DA" w:rsidP="00AB7FE4">
            <w:pPr>
              <w:jc w:val="right"/>
              <w:cnfStyle w:val="000000000000" w:firstRow="0" w:lastRow="0" w:firstColumn="0" w:lastColumn="0" w:oddVBand="0" w:evenVBand="0" w:oddHBand="0" w:evenHBand="0" w:firstRowFirstColumn="0" w:firstRowLastColumn="0" w:lastRowFirstColumn="0" w:lastRowLastColumn="0"/>
              <w:rPr>
                <w:b/>
              </w:rPr>
            </w:pPr>
            <w:r w:rsidRPr="00615292">
              <w:rPr>
                <w:b/>
              </w:rPr>
              <w:t>14.9</w:t>
            </w:r>
          </w:p>
        </w:tc>
      </w:tr>
    </w:tbl>
    <w:p w14:paraId="7E487565" w14:textId="77777777" w:rsidR="004215DA" w:rsidRPr="00B51060" w:rsidRDefault="004215DA" w:rsidP="00437BD0">
      <w:pPr>
        <w:spacing w:after="0" w:line="240" w:lineRule="auto"/>
        <w:rPr>
          <w:i/>
          <w:sz w:val="20"/>
          <w:szCs w:val="20"/>
        </w:rPr>
      </w:pPr>
      <w:r w:rsidRPr="00B51060">
        <w:rPr>
          <w:i/>
          <w:sz w:val="20"/>
          <w:szCs w:val="20"/>
        </w:rPr>
        <w:t xml:space="preserve">Source: Census of Population and Housing, 2016, </w:t>
      </w:r>
      <w:proofErr w:type="spellStart"/>
      <w:r w:rsidRPr="00B51060">
        <w:rPr>
          <w:i/>
          <w:sz w:val="20"/>
          <w:szCs w:val="20"/>
        </w:rPr>
        <w:t>TableBuilder</w:t>
      </w:r>
      <w:proofErr w:type="spellEnd"/>
      <w:r w:rsidRPr="00B51060">
        <w:rPr>
          <w:i/>
          <w:sz w:val="20"/>
          <w:szCs w:val="20"/>
        </w:rPr>
        <w:t>.</w:t>
      </w:r>
    </w:p>
    <w:p w14:paraId="3CCCA804" w14:textId="77777777" w:rsidR="004215DA" w:rsidRPr="00B51060" w:rsidRDefault="004215DA" w:rsidP="00437BD0">
      <w:pPr>
        <w:spacing w:after="0" w:line="240" w:lineRule="auto"/>
        <w:rPr>
          <w:i/>
          <w:sz w:val="20"/>
          <w:szCs w:val="20"/>
        </w:rPr>
      </w:pPr>
      <w:r w:rsidRPr="00B51060">
        <w:rPr>
          <w:i/>
          <w:sz w:val="20"/>
          <w:szCs w:val="20"/>
        </w:rPr>
        <w:t>Note</w:t>
      </w:r>
      <w:r w:rsidR="00BE06D1">
        <w:rPr>
          <w:i/>
          <w:sz w:val="20"/>
          <w:szCs w:val="20"/>
        </w:rPr>
        <w:t>s</w:t>
      </w:r>
      <w:r w:rsidRPr="00B51060">
        <w:rPr>
          <w:i/>
          <w:sz w:val="20"/>
          <w:szCs w:val="20"/>
        </w:rPr>
        <w:t>: Data are based on place of usual residence.</w:t>
      </w:r>
      <w:r w:rsidR="00BE06D1">
        <w:rPr>
          <w:i/>
          <w:sz w:val="20"/>
          <w:szCs w:val="20"/>
        </w:rPr>
        <w:t xml:space="preserve"> Hinkler refers to the </w:t>
      </w:r>
      <w:r w:rsidR="001E49E7" w:rsidRPr="001E49E7">
        <w:rPr>
          <w:i/>
          <w:sz w:val="20"/>
          <w:szCs w:val="20"/>
        </w:rPr>
        <w:t>Federal electorate of Hinkler</w:t>
      </w:r>
      <w:r w:rsidR="00BE06D1">
        <w:t>.</w:t>
      </w:r>
      <w:r w:rsidR="002D6299">
        <w:t xml:space="preserve"> </w:t>
      </w:r>
      <w:r w:rsidR="002D6299" w:rsidRPr="002D6299">
        <w:rPr>
          <w:i/>
          <w:sz w:val="20"/>
          <w:szCs w:val="20"/>
        </w:rPr>
        <w:t>Neither of these population groups align with the BHB CDC cohort (which is aged 35 and under)</w:t>
      </w:r>
      <w:r w:rsidR="003E1DD7">
        <w:rPr>
          <w:i/>
          <w:sz w:val="20"/>
          <w:szCs w:val="20"/>
        </w:rPr>
        <w:t xml:space="preserve"> making precise age-specific comparisons not possible to conduct</w:t>
      </w:r>
      <w:r w:rsidR="00562B1A">
        <w:rPr>
          <w:i/>
          <w:sz w:val="20"/>
          <w:szCs w:val="20"/>
        </w:rPr>
        <w:t xml:space="preserve"> at this stage</w:t>
      </w:r>
      <w:r w:rsidR="002D6299">
        <w:rPr>
          <w:i/>
          <w:sz w:val="20"/>
          <w:szCs w:val="20"/>
        </w:rPr>
        <w:t>.</w:t>
      </w:r>
    </w:p>
    <w:p w14:paraId="125672E7" w14:textId="77777777" w:rsidR="00F1362F" w:rsidRDefault="00F1362F">
      <w:pPr>
        <w:jc w:val="left"/>
      </w:pPr>
      <w:r>
        <w:br w:type="page"/>
      </w:r>
    </w:p>
    <w:p w14:paraId="1982CC68" w14:textId="2D402C3C" w:rsidR="00AB7FE4" w:rsidRDefault="00FA4F6C" w:rsidP="00FA4F6C">
      <w:pPr>
        <w:pStyle w:val="Caption"/>
      </w:pPr>
      <w:bookmarkStart w:id="61" w:name="_Ref34912201"/>
      <w:bookmarkStart w:id="62" w:name="_Toc34935501"/>
      <w:bookmarkStart w:id="63" w:name="_Toc37263828"/>
      <w:r>
        <w:lastRenderedPageBreak/>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6B022F">
        <w:noBreakHyphen/>
      </w:r>
      <w:r w:rsidR="006C0554">
        <w:fldChar w:fldCharType="begin"/>
      </w:r>
      <w:r w:rsidR="006C0554">
        <w:instrText xml:space="preserve"> SEQ Figure \* ARABIC \s 1 </w:instrText>
      </w:r>
      <w:r w:rsidR="006C0554">
        <w:fldChar w:fldCharType="separate"/>
      </w:r>
      <w:r w:rsidR="008E2086">
        <w:rPr>
          <w:noProof/>
        </w:rPr>
        <w:t>4</w:t>
      </w:r>
      <w:r w:rsidR="006C0554">
        <w:rPr>
          <w:noProof/>
        </w:rPr>
        <w:fldChar w:fldCharType="end"/>
      </w:r>
      <w:bookmarkEnd w:id="61"/>
      <w:r>
        <w:t xml:space="preserve">: </w:t>
      </w:r>
      <w:r w:rsidR="00AB7FE4" w:rsidRPr="005F3FE7">
        <w:t>Labour force status of the working age population and youth</w:t>
      </w:r>
      <w:r w:rsidR="00AB7FE4">
        <w:t xml:space="preserve"> in 2016</w:t>
      </w:r>
      <w:bookmarkEnd w:id="62"/>
      <w:bookmarkEnd w:id="63"/>
    </w:p>
    <w:p w14:paraId="49E86602" w14:textId="0E41D880" w:rsidR="004215DA" w:rsidRDefault="0065342E" w:rsidP="00BF2954">
      <w:pPr>
        <w:jc w:val="center"/>
      </w:pPr>
      <w:r>
        <w:rPr>
          <w:noProof/>
          <w:lang w:eastAsia="en-AU"/>
        </w:rPr>
        <w:drawing>
          <wp:inline distT="0" distB="0" distL="0" distR="0" wp14:anchorId="21727659" wp14:editId="277D14A3">
            <wp:extent cx="4410075" cy="2505075"/>
            <wp:effectExtent l="0" t="0" r="9525" b="9525"/>
            <wp:docPr id="2" name="Picture 2" descr="Labour force status of the population living in the Federal electorate of Hinkler compared with the population of the state of Queensland and Australia as a whole&#10;Working Age (15-64), Hinkler: Employed 61.8%, Unemployed 8.0%, Not in the labour force 30.2%&#10;Working Age (15-64), Queensland: Employed 71.6%, Unemployed 6.0%, Not in the labour force 22.4%&#10;Working Age (15-64), Australia: Employed 71.0%, Unemployed 5.4%, Not in the labour force 23.6%&#10;Youth (15-24), Hinkler: Employed 53.5%, Unemployed 14.4%, Not in the labour force 32.1%&#10;Youth (15-24), Queensland: Employed 57.9%, Unemployed 10.9%, Not in the labour force 31.2%&#10;Youth (15-24), Australia: Employed 54.4%, Unemployed 9.5%, Not in the labour force 36.1%" title="Figure 2 4: Labour force status of the working age population and youth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4.jpg"/>
                    <pic:cNvPicPr/>
                  </pic:nvPicPr>
                  <pic:blipFill>
                    <a:blip r:embed="rId21">
                      <a:extLst>
                        <a:ext uri="{28A0092B-C50C-407E-A947-70E740481C1C}">
                          <a14:useLocalDpi xmlns:a14="http://schemas.microsoft.com/office/drawing/2010/main" val="0"/>
                        </a:ext>
                      </a:extLst>
                    </a:blip>
                    <a:stretch>
                      <a:fillRect/>
                    </a:stretch>
                  </pic:blipFill>
                  <pic:spPr>
                    <a:xfrm>
                      <a:off x="0" y="0"/>
                      <a:ext cx="4410075" cy="2505075"/>
                    </a:xfrm>
                    <a:prstGeom prst="rect">
                      <a:avLst/>
                    </a:prstGeom>
                  </pic:spPr>
                </pic:pic>
              </a:graphicData>
            </a:graphic>
          </wp:inline>
        </w:drawing>
      </w:r>
    </w:p>
    <w:p w14:paraId="739E255A" w14:textId="77777777" w:rsidR="004215DA" w:rsidRDefault="004215DA" w:rsidP="00FA4F6C">
      <w:pPr>
        <w:spacing w:after="120"/>
      </w:pPr>
      <w:r w:rsidRPr="00546A1E">
        <w:t>The labour force participation rate of the working age population</w:t>
      </w:r>
      <w:r w:rsidR="00795B04">
        <w:t xml:space="preserve"> </w:t>
      </w:r>
      <w:r w:rsidR="00795B04" w:rsidRPr="00546A1E">
        <w:t>is 69.8 per</w:t>
      </w:r>
      <w:r w:rsidR="00880F57">
        <w:t xml:space="preserve"> </w:t>
      </w:r>
      <w:r w:rsidR="00795B04" w:rsidRPr="00546A1E">
        <w:t xml:space="preserve">cent </w:t>
      </w:r>
      <w:r w:rsidRPr="00546A1E">
        <w:t xml:space="preserve">in the </w:t>
      </w:r>
      <w:r w:rsidR="001E49E7">
        <w:t>F</w:t>
      </w:r>
      <w:r w:rsidR="001E49E7" w:rsidRPr="007A58F7">
        <w:t>ederal electorate</w:t>
      </w:r>
      <w:r w:rsidR="001E49E7" w:rsidRPr="0079482A">
        <w:t xml:space="preserve"> </w:t>
      </w:r>
      <w:r w:rsidR="001E49E7">
        <w:t xml:space="preserve">of </w:t>
      </w:r>
      <w:r w:rsidR="001E49E7" w:rsidRPr="0079482A">
        <w:t>Hinkler</w:t>
      </w:r>
      <w:r w:rsidRPr="00546A1E">
        <w:t xml:space="preserve">, which is lower than the state and </w:t>
      </w:r>
      <w:r w:rsidR="00795B04">
        <w:t xml:space="preserve">the </w:t>
      </w:r>
      <w:r w:rsidRPr="00546A1E">
        <w:t xml:space="preserve">national </w:t>
      </w:r>
      <w:r w:rsidR="00795B04">
        <w:t xml:space="preserve">rates (at </w:t>
      </w:r>
      <w:r w:rsidRPr="00546A1E">
        <w:t xml:space="preserve">77.6 </w:t>
      </w:r>
      <w:r w:rsidR="00795B04">
        <w:t xml:space="preserve">and </w:t>
      </w:r>
      <w:r w:rsidRPr="00546A1E">
        <w:t>76.4 per</w:t>
      </w:r>
      <w:r w:rsidR="00A52E7B">
        <w:t xml:space="preserve"> </w:t>
      </w:r>
      <w:r w:rsidRPr="00546A1E">
        <w:t>cent</w:t>
      </w:r>
      <w:r w:rsidR="0091088F">
        <w:t xml:space="preserve"> respectively</w:t>
      </w:r>
      <w:r w:rsidRPr="00546A1E">
        <w:t xml:space="preserve">). </w:t>
      </w:r>
      <w:r w:rsidR="00795B04">
        <w:t>Further</w:t>
      </w:r>
      <w:r w:rsidRPr="00546A1E">
        <w:t xml:space="preserve">, the unemployment </w:t>
      </w:r>
      <w:r w:rsidR="007749F9">
        <w:t xml:space="preserve">rate </w:t>
      </w:r>
      <w:r w:rsidRPr="00546A1E">
        <w:t>is</w:t>
      </w:r>
      <w:r w:rsidR="007009A6">
        <w:t xml:space="preserve"> </w:t>
      </w:r>
      <w:r w:rsidRPr="00546A1E">
        <w:t xml:space="preserve">higher in the </w:t>
      </w:r>
      <w:r w:rsidR="001E49E7">
        <w:t>F</w:t>
      </w:r>
      <w:r w:rsidR="001E49E7" w:rsidRPr="007A58F7">
        <w:t>ederal electorate</w:t>
      </w:r>
      <w:r w:rsidR="001E49E7" w:rsidRPr="0079482A">
        <w:t xml:space="preserve"> </w:t>
      </w:r>
      <w:r w:rsidR="001E49E7">
        <w:t xml:space="preserve">of </w:t>
      </w:r>
      <w:r w:rsidR="001E49E7" w:rsidRPr="0079482A">
        <w:t>Hinkler</w:t>
      </w:r>
      <w:r w:rsidR="00BE06D1" w:rsidDel="00BE06D1">
        <w:t xml:space="preserve"> </w:t>
      </w:r>
      <w:r w:rsidR="00B31FB3">
        <w:t xml:space="preserve">at </w:t>
      </w:r>
      <w:r w:rsidR="00560769">
        <w:t>11.4</w:t>
      </w:r>
      <w:r w:rsidR="00B31FB3">
        <w:t xml:space="preserve"> per</w:t>
      </w:r>
      <w:r w:rsidR="00A52E7B">
        <w:t xml:space="preserve"> </w:t>
      </w:r>
      <w:r w:rsidR="00B31FB3">
        <w:t xml:space="preserve">cent against the state and national rates of </w:t>
      </w:r>
      <w:r w:rsidR="00560769">
        <w:t>7.8</w:t>
      </w:r>
      <w:r w:rsidR="00B31FB3">
        <w:t xml:space="preserve"> and </w:t>
      </w:r>
      <w:r w:rsidR="00560769">
        <w:t>7.0</w:t>
      </w:r>
      <w:r w:rsidR="00B31FB3">
        <w:t xml:space="preserve"> per</w:t>
      </w:r>
      <w:r w:rsidR="00880F57">
        <w:t xml:space="preserve"> </w:t>
      </w:r>
      <w:r w:rsidR="00B31FB3">
        <w:t>cent</w:t>
      </w:r>
      <w:r w:rsidRPr="00546A1E">
        <w:t>.</w:t>
      </w:r>
      <w:r w:rsidR="00560769">
        <w:t xml:space="preserve"> Please note that the unemployment rate is higher than the corresponding proportion of being unemployed because the </w:t>
      </w:r>
      <w:r w:rsidR="008F331F">
        <w:t>unemployment rate</w:t>
      </w:r>
      <w:r w:rsidR="00560769">
        <w:t xml:space="preserve"> is derived from the labour force (i.e. </w:t>
      </w:r>
      <w:r w:rsidR="008F331F">
        <w:t xml:space="preserve">the denominator is </w:t>
      </w:r>
      <w:r w:rsidR="00560769">
        <w:t xml:space="preserve">those who are currently active in the labour market) while the </w:t>
      </w:r>
      <w:r w:rsidR="008F331F">
        <w:t>proportion of being unemployed</w:t>
      </w:r>
      <w:r w:rsidR="00560769">
        <w:t xml:space="preserve"> is derived from the whole population</w:t>
      </w:r>
      <w:r w:rsidR="008F331F">
        <w:t xml:space="preserve"> (i.e. the denominator is the whole population)</w:t>
      </w:r>
      <w:r w:rsidR="00560769">
        <w:t>.</w:t>
      </w:r>
    </w:p>
    <w:p w14:paraId="150BEA9B" w14:textId="77777777" w:rsidR="007749F9" w:rsidRPr="00546A1E" w:rsidRDefault="00B31FB3" w:rsidP="00FA4F6C">
      <w:pPr>
        <w:spacing w:after="120"/>
      </w:pPr>
      <w:r>
        <w:t xml:space="preserve">There is a </w:t>
      </w:r>
      <w:r w:rsidR="007749F9">
        <w:t xml:space="preserve">comparatively higher proportion of people who </w:t>
      </w:r>
      <w:r>
        <w:t xml:space="preserve">are not in the labour force in </w:t>
      </w:r>
      <w:r w:rsidR="007749F9">
        <w:t>th</w:t>
      </w:r>
      <w:r>
        <w:t>e</w:t>
      </w:r>
      <w:r w:rsidR="007749F9">
        <w:t xml:space="preserve"> </w:t>
      </w:r>
      <w:r w:rsidR="001E49E7">
        <w:t>F</w:t>
      </w:r>
      <w:r w:rsidR="001E49E7" w:rsidRPr="007A58F7">
        <w:t>ederal electorate</w:t>
      </w:r>
      <w:r w:rsidR="001E49E7" w:rsidRPr="0079482A">
        <w:t xml:space="preserve"> </w:t>
      </w:r>
      <w:r w:rsidR="001E49E7">
        <w:t xml:space="preserve">of </w:t>
      </w:r>
      <w:r w:rsidR="001E49E7" w:rsidRPr="0079482A">
        <w:t>Hinkler</w:t>
      </w:r>
      <w:r w:rsidR="007749F9">
        <w:t xml:space="preserve"> </w:t>
      </w:r>
      <w:r>
        <w:t>(30.2</w:t>
      </w:r>
      <w:r w:rsidR="00A05380">
        <w:t xml:space="preserve"> per cent</w:t>
      </w:r>
      <w:r>
        <w:t xml:space="preserve">) </w:t>
      </w:r>
      <w:r w:rsidR="007749F9">
        <w:t xml:space="preserve">compared to the </w:t>
      </w:r>
      <w:r>
        <w:t>state (22.4</w:t>
      </w:r>
      <w:r w:rsidR="00A05380">
        <w:t xml:space="preserve"> per cent</w:t>
      </w:r>
      <w:r>
        <w:t>) and national (23.6</w:t>
      </w:r>
      <w:r w:rsidR="00A05380">
        <w:t xml:space="preserve"> per cent</w:t>
      </w:r>
      <w:r>
        <w:t>) rates.</w:t>
      </w:r>
      <w:r w:rsidR="002D6299">
        <w:rPr>
          <w:rStyle w:val="FootnoteReference"/>
        </w:rPr>
        <w:footnoteReference w:id="16"/>
      </w:r>
      <w:r w:rsidR="007749F9">
        <w:t xml:space="preserve"> </w:t>
      </w:r>
    </w:p>
    <w:p w14:paraId="0533E7FF" w14:textId="23A399BE" w:rsidR="004215DA" w:rsidRPr="00546A1E" w:rsidRDefault="00C51FB2" w:rsidP="00FA4F6C">
      <w:pPr>
        <w:spacing w:after="120"/>
      </w:pPr>
      <w:r>
        <w:t>T</w:t>
      </w:r>
      <w:r w:rsidR="004215DA" w:rsidRPr="00546A1E">
        <w:t>he youth</w:t>
      </w:r>
      <w:r>
        <w:t xml:space="preserve"> employment status (aged 15-24) </w:t>
      </w:r>
      <w:r w:rsidR="0091088F">
        <w:t xml:space="preserve">in the </w:t>
      </w:r>
      <w:r w:rsidR="001E49E7">
        <w:t>F</w:t>
      </w:r>
      <w:r w:rsidR="001E49E7" w:rsidRPr="007A58F7">
        <w:t>ederal electorate</w:t>
      </w:r>
      <w:r w:rsidR="001E49E7" w:rsidRPr="0079482A">
        <w:t xml:space="preserve"> </w:t>
      </w:r>
      <w:r w:rsidR="001E49E7">
        <w:t xml:space="preserve">of </w:t>
      </w:r>
      <w:r w:rsidR="001E49E7" w:rsidRPr="0079482A">
        <w:t>Hinkler</w:t>
      </w:r>
      <w:r w:rsidR="0091088F">
        <w:t xml:space="preserve"> </w:t>
      </w:r>
      <w:r>
        <w:t xml:space="preserve">is shown in the right hand side of </w:t>
      </w:r>
      <w:r w:rsidR="00236370">
        <w:fldChar w:fldCharType="begin"/>
      </w:r>
      <w:r w:rsidR="00236370">
        <w:instrText xml:space="preserve"> REF _Ref34912201 \h </w:instrText>
      </w:r>
      <w:r w:rsidR="00236370">
        <w:fldChar w:fldCharType="separate"/>
      </w:r>
      <w:r w:rsidR="008E2086">
        <w:t xml:space="preserve">Figure </w:t>
      </w:r>
      <w:r w:rsidR="008E2086">
        <w:rPr>
          <w:noProof/>
        </w:rPr>
        <w:t>2</w:t>
      </w:r>
      <w:r w:rsidR="008E2086">
        <w:noBreakHyphen/>
      </w:r>
      <w:r w:rsidR="008E2086">
        <w:rPr>
          <w:noProof/>
        </w:rPr>
        <w:t>4</w:t>
      </w:r>
      <w:r w:rsidR="00236370">
        <w:fldChar w:fldCharType="end"/>
      </w:r>
      <w:r>
        <w:t xml:space="preserve"> to be more similar to the </w:t>
      </w:r>
      <w:r w:rsidR="00612F69">
        <w:t xml:space="preserve">state of Queensland </w:t>
      </w:r>
      <w:r w:rsidR="00FE45A6">
        <w:t xml:space="preserve">as a whole </w:t>
      </w:r>
      <w:r>
        <w:t xml:space="preserve">and the Australian </w:t>
      </w:r>
      <w:r w:rsidR="00FE45A6">
        <w:t>figures</w:t>
      </w:r>
      <w:r>
        <w:t>, than was the case for the total 15-64 workforces.</w:t>
      </w:r>
      <w:r w:rsidR="004215DA" w:rsidRPr="00546A1E">
        <w:t xml:space="preserve"> </w:t>
      </w:r>
    </w:p>
    <w:p w14:paraId="3357D124" w14:textId="388B7AC0" w:rsidR="00E10A0A" w:rsidRDefault="007749F9" w:rsidP="0079482A">
      <w:r>
        <w:t>The following table (</w:t>
      </w:r>
      <w:r>
        <w:fldChar w:fldCharType="begin"/>
      </w:r>
      <w:r>
        <w:instrText xml:space="preserve"> REF _Ref34864025 \h </w:instrText>
      </w:r>
      <w:r>
        <w:fldChar w:fldCharType="separate"/>
      </w:r>
      <w:r w:rsidR="008E2086">
        <w:t xml:space="preserve">Table </w:t>
      </w:r>
      <w:r w:rsidR="008E2086">
        <w:rPr>
          <w:noProof/>
        </w:rPr>
        <w:t>2</w:t>
      </w:r>
      <w:r w:rsidR="008E2086">
        <w:noBreakHyphen/>
      </w:r>
      <w:r w:rsidR="008E2086">
        <w:rPr>
          <w:noProof/>
        </w:rPr>
        <w:t>9</w:t>
      </w:r>
      <w:r>
        <w:fldChar w:fldCharType="end"/>
      </w:r>
      <w:r>
        <w:t xml:space="preserve">) provides information about the type of occupation of employed people in the </w:t>
      </w:r>
      <w:r w:rsidR="001E49E7">
        <w:t>F</w:t>
      </w:r>
      <w:r w:rsidR="001E49E7" w:rsidRPr="007A58F7">
        <w:t>ederal electorate</w:t>
      </w:r>
      <w:r w:rsidR="001E49E7" w:rsidRPr="0079482A">
        <w:t xml:space="preserve"> </w:t>
      </w:r>
      <w:r w:rsidR="001E49E7">
        <w:t xml:space="preserve">of </w:t>
      </w:r>
      <w:r w:rsidR="001E49E7" w:rsidRPr="0079482A">
        <w:t>Hinkler</w:t>
      </w:r>
      <w:r>
        <w:t xml:space="preserve"> and </w:t>
      </w:r>
      <w:r w:rsidR="00FE45A6">
        <w:t xml:space="preserve">provides a comparison </w:t>
      </w:r>
      <w:r>
        <w:t xml:space="preserve">with the </w:t>
      </w:r>
      <w:r w:rsidR="00FE45A6">
        <w:t xml:space="preserve">state of Queensland as a whole and Australia. </w:t>
      </w:r>
      <w:r w:rsidR="00C51FB2">
        <w:t>T</w:t>
      </w:r>
      <w:r>
        <w:t xml:space="preserve">he distribution of occupations in the </w:t>
      </w:r>
      <w:r w:rsidR="001E49E7">
        <w:t>F</w:t>
      </w:r>
      <w:r w:rsidR="001E49E7" w:rsidRPr="007A58F7">
        <w:t>ederal electorate</w:t>
      </w:r>
      <w:r w:rsidR="001E49E7" w:rsidRPr="0079482A">
        <w:t xml:space="preserve"> </w:t>
      </w:r>
      <w:r w:rsidR="001E49E7">
        <w:t xml:space="preserve">of </w:t>
      </w:r>
      <w:r w:rsidR="001E49E7" w:rsidRPr="0079482A">
        <w:t>Hinkler</w:t>
      </w:r>
      <w:r>
        <w:t xml:space="preserve"> </w:t>
      </w:r>
      <w:r w:rsidR="00F16DC8">
        <w:t xml:space="preserve">shows a higher proportion of </w:t>
      </w:r>
      <w:r w:rsidR="00984529">
        <w:t>low skilled</w:t>
      </w:r>
      <w:r>
        <w:t xml:space="preserve"> occupations. The proportion of labourers, sales workers and community and personal services </w:t>
      </w:r>
      <w:r w:rsidR="00816106">
        <w:t xml:space="preserve">is larger in the </w:t>
      </w:r>
      <w:r w:rsidR="001E49E7">
        <w:t>F</w:t>
      </w:r>
      <w:r w:rsidR="001E49E7" w:rsidRPr="007A58F7">
        <w:t>ederal electorate</w:t>
      </w:r>
      <w:r w:rsidR="001E49E7" w:rsidRPr="0079482A">
        <w:t xml:space="preserve"> </w:t>
      </w:r>
      <w:r w:rsidR="001E49E7">
        <w:t xml:space="preserve">of </w:t>
      </w:r>
      <w:r w:rsidR="001E49E7" w:rsidRPr="0079482A">
        <w:t>Hinkler</w:t>
      </w:r>
      <w:r w:rsidR="00816106">
        <w:t xml:space="preserve"> compared to </w:t>
      </w:r>
      <w:r w:rsidR="00FE45A6">
        <w:t xml:space="preserve">the state of </w:t>
      </w:r>
      <w:r w:rsidR="00816106">
        <w:t xml:space="preserve">Queensland </w:t>
      </w:r>
      <w:r w:rsidR="00FE45A6">
        <w:t xml:space="preserve">as a whole </w:t>
      </w:r>
      <w:r w:rsidR="00816106">
        <w:t xml:space="preserve">and Australia. </w:t>
      </w:r>
      <w:r w:rsidR="00FE45A6">
        <w:t>In contrast</w:t>
      </w:r>
      <w:r w:rsidR="00816106">
        <w:t>, the proportion of managers and professional</w:t>
      </w:r>
      <w:r w:rsidR="00FE45A6">
        <w:t>s</w:t>
      </w:r>
      <w:r w:rsidR="00816106">
        <w:t xml:space="preserve"> is lower in the </w:t>
      </w:r>
      <w:r w:rsidR="001E49E7">
        <w:t>F</w:t>
      </w:r>
      <w:r w:rsidR="001E49E7" w:rsidRPr="007A58F7">
        <w:t>ederal electorate</w:t>
      </w:r>
      <w:r w:rsidR="001E49E7" w:rsidRPr="0079482A">
        <w:t xml:space="preserve"> </w:t>
      </w:r>
      <w:r w:rsidR="001E49E7">
        <w:t xml:space="preserve">of </w:t>
      </w:r>
      <w:r w:rsidR="001E49E7" w:rsidRPr="0079482A">
        <w:t>Hinkler</w:t>
      </w:r>
      <w:r w:rsidR="00816106">
        <w:t xml:space="preserve">. Altogether, the workforce in the </w:t>
      </w:r>
      <w:r w:rsidR="001E49E7">
        <w:t>F</w:t>
      </w:r>
      <w:r w:rsidR="001E49E7" w:rsidRPr="007A58F7">
        <w:t>ederal electorate</w:t>
      </w:r>
      <w:r w:rsidR="001E49E7" w:rsidRPr="0079482A">
        <w:t xml:space="preserve"> </w:t>
      </w:r>
      <w:r w:rsidR="001E49E7">
        <w:t xml:space="preserve">of </w:t>
      </w:r>
      <w:r w:rsidR="001E49E7" w:rsidRPr="0079482A">
        <w:t>Hinkler</w:t>
      </w:r>
      <w:r w:rsidR="00816106">
        <w:t xml:space="preserve"> seems to be </w:t>
      </w:r>
      <w:r w:rsidR="00C51FB2">
        <w:t>less skilled than</w:t>
      </w:r>
      <w:r w:rsidR="00FE45A6">
        <w:t xml:space="preserve"> in</w:t>
      </w:r>
      <w:r w:rsidR="00C51FB2">
        <w:t xml:space="preserve"> the </w:t>
      </w:r>
      <w:r w:rsidR="00FE45A6">
        <w:t xml:space="preserve">state of </w:t>
      </w:r>
      <w:r w:rsidR="00612F69">
        <w:t xml:space="preserve">Queensland </w:t>
      </w:r>
      <w:r w:rsidR="00FE45A6">
        <w:t xml:space="preserve">as a whole </w:t>
      </w:r>
      <w:r w:rsidR="00C51FB2">
        <w:t>and the Australian workforces</w:t>
      </w:r>
      <w:r w:rsidR="00084C6A">
        <w:t xml:space="preserve"> when viewed in combination with </w:t>
      </w:r>
      <w:r w:rsidR="00236370">
        <w:fldChar w:fldCharType="begin"/>
      </w:r>
      <w:r w:rsidR="00236370">
        <w:instrText xml:space="preserve"> REF _Ref34904025 \h </w:instrText>
      </w:r>
      <w:r w:rsidR="00236370">
        <w:fldChar w:fldCharType="separate"/>
      </w:r>
      <w:r w:rsidR="008E2086">
        <w:t xml:space="preserve">Table </w:t>
      </w:r>
      <w:r w:rsidR="008E2086">
        <w:rPr>
          <w:noProof/>
        </w:rPr>
        <w:t>2</w:t>
      </w:r>
      <w:r w:rsidR="008E2086">
        <w:noBreakHyphen/>
      </w:r>
      <w:r w:rsidR="008E2086">
        <w:rPr>
          <w:noProof/>
        </w:rPr>
        <w:t>16</w:t>
      </w:r>
      <w:r w:rsidR="00236370">
        <w:fldChar w:fldCharType="end"/>
      </w:r>
      <w:r w:rsidR="00236370">
        <w:t xml:space="preserve"> </w:t>
      </w:r>
      <w:r w:rsidR="00084C6A">
        <w:t xml:space="preserve">on page </w:t>
      </w:r>
      <w:r w:rsidR="00236370">
        <w:rPr>
          <w:highlight w:val="yellow"/>
        </w:rPr>
        <w:fldChar w:fldCharType="begin"/>
      </w:r>
      <w:r w:rsidR="00236370">
        <w:instrText xml:space="preserve"> PAGEREF _Ref36653380 \h </w:instrText>
      </w:r>
      <w:r w:rsidR="00236370">
        <w:rPr>
          <w:highlight w:val="yellow"/>
        </w:rPr>
      </w:r>
      <w:r w:rsidR="00236370">
        <w:rPr>
          <w:highlight w:val="yellow"/>
        </w:rPr>
        <w:fldChar w:fldCharType="separate"/>
      </w:r>
      <w:r w:rsidR="00C37FA9">
        <w:rPr>
          <w:noProof/>
        </w:rPr>
        <w:t>33</w:t>
      </w:r>
      <w:r w:rsidR="00236370">
        <w:rPr>
          <w:highlight w:val="yellow"/>
        </w:rPr>
        <w:fldChar w:fldCharType="end"/>
      </w:r>
      <w:r w:rsidR="00C51FB2">
        <w:t>.</w:t>
      </w:r>
    </w:p>
    <w:p w14:paraId="4AFF3210" w14:textId="77777777" w:rsidR="00E10A0A" w:rsidRDefault="00E10A0A">
      <w:pPr>
        <w:jc w:val="left"/>
      </w:pPr>
      <w:r>
        <w:br w:type="page"/>
      </w:r>
    </w:p>
    <w:p w14:paraId="3B305D70" w14:textId="3A488070" w:rsidR="004215DA" w:rsidRPr="005F3FE7" w:rsidRDefault="000851DE" w:rsidP="00B51060">
      <w:pPr>
        <w:pStyle w:val="Caption"/>
      </w:pPr>
      <w:bookmarkStart w:id="64" w:name="_Ref34864025"/>
      <w:bookmarkStart w:id="65" w:name="_Toc34935537"/>
      <w:bookmarkStart w:id="66" w:name="_Toc37263572"/>
      <w:r>
        <w:lastRenderedPageBreak/>
        <w:t>Table</w:t>
      </w:r>
      <w:r w:rsidR="00B510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9</w:t>
      </w:r>
      <w:r w:rsidR="006C0554">
        <w:rPr>
          <w:noProof/>
        </w:rPr>
        <w:fldChar w:fldCharType="end"/>
      </w:r>
      <w:bookmarkEnd w:id="64"/>
      <w:r w:rsidR="00B51060">
        <w:t xml:space="preserve">: </w:t>
      </w:r>
      <w:r w:rsidR="00B8174D">
        <w:t>P</w:t>
      </w:r>
      <w:r w:rsidR="00084C6A">
        <w:t xml:space="preserve">ercentage of </w:t>
      </w:r>
      <w:bookmarkEnd w:id="65"/>
      <w:r w:rsidR="00084C6A">
        <w:t xml:space="preserve">occupation types </w:t>
      </w:r>
      <w:r w:rsidR="007271F6">
        <w:t>(</w:t>
      </w:r>
      <w:r w:rsidR="00A04953">
        <w:t>as a proportion of employed people</w:t>
      </w:r>
      <w:r w:rsidR="007271F6">
        <w:t xml:space="preserve">) </w:t>
      </w:r>
      <w:r w:rsidR="00084C6A">
        <w:t>in</w:t>
      </w:r>
      <w:r w:rsidR="001E49E7">
        <w:t xml:space="preserve"> the</w:t>
      </w:r>
      <w:r w:rsidR="00084C6A">
        <w:t xml:space="preserve"> </w:t>
      </w:r>
      <w:r w:rsidR="001E49E7">
        <w:t>F</w:t>
      </w:r>
      <w:r w:rsidR="001E49E7" w:rsidRPr="001E49E7">
        <w:t xml:space="preserve">ederal electorate of </w:t>
      </w:r>
      <w:r w:rsidR="001E49E7">
        <w:t>H</w:t>
      </w:r>
      <w:r w:rsidR="001E49E7" w:rsidRPr="001E49E7">
        <w:t>inkler</w:t>
      </w:r>
      <w:r w:rsidR="00084C6A">
        <w:t xml:space="preserve">, Queensland and </w:t>
      </w:r>
      <w:r w:rsidR="00B8174D">
        <w:t>A</w:t>
      </w:r>
      <w:r w:rsidR="00084C6A">
        <w:t>ustralia</w:t>
      </w:r>
      <w:r w:rsidR="007271F6">
        <w:t xml:space="preserve"> </w:t>
      </w:r>
      <w:r w:rsidR="0006405C">
        <w:t>in</w:t>
      </w:r>
      <w:r w:rsidR="007271F6">
        <w:t xml:space="preserve"> 2016</w:t>
      </w:r>
      <w:bookmarkEnd w:id="66"/>
    </w:p>
    <w:tbl>
      <w:tblPr>
        <w:tblStyle w:val="ListTable3-Accent1"/>
        <w:tblW w:w="0" w:type="auto"/>
        <w:tblLayout w:type="fixed"/>
        <w:tblLook w:val="04A0" w:firstRow="1" w:lastRow="0" w:firstColumn="1" w:lastColumn="0" w:noHBand="0" w:noVBand="1"/>
      </w:tblPr>
      <w:tblGrid>
        <w:gridCol w:w="4049"/>
        <w:gridCol w:w="1375"/>
        <w:gridCol w:w="1375"/>
        <w:gridCol w:w="1376"/>
      </w:tblGrid>
      <w:tr w:rsidR="00F1362F" w:rsidRPr="003542F0" w14:paraId="542CAEBB" w14:textId="77777777" w:rsidTr="00A4064D">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497D726B" w14:textId="77777777" w:rsidR="004215DA" w:rsidRPr="003542F0" w:rsidRDefault="004215DA" w:rsidP="0079482A"/>
        </w:tc>
        <w:tc>
          <w:tcPr>
            <w:tcW w:w="0" w:type="dxa"/>
            <w:shd w:val="clear" w:color="auto" w:fill="2F5496" w:themeFill="accent5" w:themeFillShade="BF"/>
            <w:noWrap/>
            <w:vAlign w:val="center"/>
            <w:hideMark/>
          </w:tcPr>
          <w:p w14:paraId="6C9B5FD0"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Hinkler</w:t>
            </w:r>
          </w:p>
        </w:tc>
        <w:tc>
          <w:tcPr>
            <w:tcW w:w="0" w:type="dxa"/>
            <w:shd w:val="clear" w:color="auto" w:fill="2F5496" w:themeFill="accent5" w:themeFillShade="BF"/>
            <w:noWrap/>
            <w:vAlign w:val="center"/>
            <w:hideMark/>
          </w:tcPr>
          <w:p w14:paraId="1FB7B2D0"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vAlign w:val="center"/>
            <w:hideMark/>
          </w:tcPr>
          <w:p w14:paraId="65539FF7"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3956196F"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49" w:type="dxa"/>
            <w:hideMark/>
          </w:tcPr>
          <w:p w14:paraId="51381A45" w14:textId="77777777" w:rsidR="004215DA" w:rsidRPr="005F3FE7" w:rsidRDefault="004215DA" w:rsidP="0079482A">
            <w:r w:rsidRPr="005F3FE7">
              <w:t>Managers</w:t>
            </w:r>
          </w:p>
        </w:tc>
        <w:tc>
          <w:tcPr>
            <w:tcW w:w="1375" w:type="dxa"/>
            <w:noWrap/>
            <w:vAlign w:val="center"/>
            <w:hideMark/>
          </w:tcPr>
          <w:p w14:paraId="705496D7"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10.5</w:t>
            </w:r>
          </w:p>
        </w:tc>
        <w:tc>
          <w:tcPr>
            <w:tcW w:w="1375" w:type="dxa"/>
            <w:noWrap/>
            <w:vAlign w:val="center"/>
            <w:hideMark/>
          </w:tcPr>
          <w:p w14:paraId="782BA4C5"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12.3</w:t>
            </w:r>
          </w:p>
        </w:tc>
        <w:tc>
          <w:tcPr>
            <w:tcW w:w="1376" w:type="dxa"/>
            <w:noWrap/>
            <w:vAlign w:val="center"/>
            <w:hideMark/>
          </w:tcPr>
          <w:p w14:paraId="3D5D24B5"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13.2</w:t>
            </w:r>
          </w:p>
        </w:tc>
      </w:tr>
      <w:tr w:rsidR="004215DA" w:rsidRPr="005F3FE7" w14:paraId="286F75F1"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049" w:type="dxa"/>
            <w:hideMark/>
          </w:tcPr>
          <w:p w14:paraId="371A7D75" w14:textId="77777777" w:rsidR="004215DA" w:rsidRPr="005F3FE7" w:rsidRDefault="004215DA" w:rsidP="0079482A">
            <w:r w:rsidRPr="005F3FE7">
              <w:t>Professionals</w:t>
            </w:r>
          </w:p>
        </w:tc>
        <w:tc>
          <w:tcPr>
            <w:tcW w:w="1375" w:type="dxa"/>
            <w:noWrap/>
            <w:vAlign w:val="center"/>
            <w:hideMark/>
          </w:tcPr>
          <w:p w14:paraId="0E4BCBF2"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16.8</w:t>
            </w:r>
          </w:p>
        </w:tc>
        <w:tc>
          <w:tcPr>
            <w:tcW w:w="1375" w:type="dxa"/>
            <w:noWrap/>
            <w:vAlign w:val="center"/>
            <w:hideMark/>
          </w:tcPr>
          <w:p w14:paraId="0CDBBF9C"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20.2</w:t>
            </w:r>
          </w:p>
        </w:tc>
        <w:tc>
          <w:tcPr>
            <w:tcW w:w="1376" w:type="dxa"/>
            <w:noWrap/>
            <w:vAlign w:val="center"/>
            <w:hideMark/>
          </w:tcPr>
          <w:p w14:paraId="65527C17"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22.6</w:t>
            </w:r>
          </w:p>
        </w:tc>
      </w:tr>
      <w:tr w:rsidR="004215DA" w:rsidRPr="005F3FE7" w14:paraId="7BC71526"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49" w:type="dxa"/>
            <w:hideMark/>
          </w:tcPr>
          <w:p w14:paraId="570C747E" w14:textId="77777777" w:rsidR="004215DA" w:rsidRPr="005F3FE7" w:rsidRDefault="004215DA" w:rsidP="0079482A">
            <w:r w:rsidRPr="005F3FE7">
              <w:t>Technicians and trades workers</w:t>
            </w:r>
          </w:p>
        </w:tc>
        <w:tc>
          <w:tcPr>
            <w:tcW w:w="1375" w:type="dxa"/>
            <w:noWrap/>
            <w:vAlign w:val="center"/>
            <w:hideMark/>
          </w:tcPr>
          <w:p w14:paraId="13DDECBA"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14.6</w:t>
            </w:r>
          </w:p>
        </w:tc>
        <w:tc>
          <w:tcPr>
            <w:tcW w:w="1375" w:type="dxa"/>
            <w:noWrap/>
            <w:vAlign w:val="center"/>
            <w:hideMark/>
          </w:tcPr>
          <w:p w14:paraId="43CF6513"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14.5</w:t>
            </w:r>
          </w:p>
        </w:tc>
        <w:tc>
          <w:tcPr>
            <w:tcW w:w="1376" w:type="dxa"/>
            <w:noWrap/>
            <w:vAlign w:val="center"/>
            <w:hideMark/>
          </w:tcPr>
          <w:p w14:paraId="06656B03"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13.8</w:t>
            </w:r>
          </w:p>
        </w:tc>
      </w:tr>
      <w:tr w:rsidR="004215DA" w:rsidRPr="005F3FE7" w14:paraId="0FEF9531"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049" w:type="dxa"/>
            <w:hideMark/>
          </w:tcPr>
          <w:p w14:paraId="1F834273" w14:textId="77777777" w:rsidR="004215DA" w:rsidRPr="005F3FE7" w:rsidRDefault="004215DA" w:rsidP="0079482A">
            <w:r w:rsidRPr="005F3FE7">
              <w:t>Community and personal service workers</w:t>
            </w:r>
          </w:p>
        </w:tc>
        <w:tc>
          <w:tcPr>
            <w:tcW w:w="1375" w:type="dxa"/>
            <w:noWrap/>
            <w:vAlign w:val="center"/>
            <w:hideMark/>
          </w:tcPr>
          <w:p w14:paraId="09990222"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13.6</w:t>
            </w:r>
          </w:p>
        </w:tc>
        <w:tc>
          <w:tcPr>
            <w:tcW w:w="1375" w:type="dxa"/>
            <w:noWrap/>
            <w:vAlign w:val="center"/>
            <w:hideMark/>
          </w:tcPr>
          <w:p w14:paraId="4DF38959"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11.5</w:t>
            </w:r>
          </w:p>
        </w:tc>
        <w:tc>
          <w:tcPr>
            <w:tcW w:w="1376" w:type="dxa"/>
            <w:noWrap/>
            <w:vAlign w:val="center"/>
            <w:hideMark/>
          </w:tcPr>
          <w:p w14:paraId="12E9019D"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11.0</w:t>
            </w:r>
          </w:p>
        </w:tc>
      </w:tr>
      <w:tr w:rsidR="004215DA" w:rsidRPr="005F3FE7" w14:paraId="67A706E8"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49" w:type="dxa"/>
            <w:hideMark/>
          </w:tcPr>
          <w:p w14:paraId="753B3245" w14:textId="77777777" w:rsidR="004215DA" w:rsidRPr="005F3FE7" w:rsidRDefault="004215DA" w:rsidP="0079482A">
            <w:r w:rsidRPr="005F3FE7">
              <w:t>Clerical and administrative workers</w:t>
            </w:r>
          </w:p>
        </w:tc>
        <w:tc>
          <w:tcPr>
            <w:tcW w:w="1375" w:type="dxa"/>
            <w:noWrap/>
            <w:vAlign w:val="center"/>
            <w:hideMark/>
          </w:tcPr>
          <w:p w14:paraId="7B04671E"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11.9</w:t>
            </w:r>
          </w:p>
        </w:tc>
        <w:tc>
          <w:tcPr>
            <w:tcW w:w="1375" w:type="dxa"/>
            <w:noWrap/>
            <w:vAlign w:val="center"/>
            <w:hideMark/>
          </w:tcPr>
          <w:p w14:paraId="72F4D305"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13.9</w:t>
            </w:r>
          </w:p>
        </w:tc>
        <w:tc>
          <w:tcPr>
            <w:tcW w:w="1376" w:type="dxa"/>
            <w:noWrap/>
            <w:vAlign w:val="center"/>
            <w:hideMark/>
          </w:tcPr>
          <w:p w14:paraId="35506107"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13.8</w:t>
            </w:r>
          </w:p>
        </w:tc>
      </w:tr>
      <w:tr w:rsidR="004215DA" w:rsidRPr="005F3FE7" w14:paraId="07E45E4A"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049" w:type="dxa"/>
            <w:hideMark/>
          </w:tcPr>
          <w:p w14:paraId="0DC0E96C" w14:textId="77777777" w:rsidR="004215DA" w:rsidRPr="005F3FE7" w:rsidRDefault="004215DA" w:rsidP="0079482A">
            <w:r w:rsidRPr="005F3FE7">
              <w:t>Sales workers</w:t>
            </w:r>
          </w:p>
        </w:tc>
        <w:tc>
          <w:tcPr>
            <w:tcW w:w="1375" w:type="dxa"/>
            <w:noWrap/>
            <w:vAlign w:val="center"/>
            <w:hideMark/>
          </w:tcPr>
          <w:p w14:paraId="3CC7805E"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11.5</w:t>
            </w:r>
          </w:p>
        </w:tc>
        <w:tc>
          <w:tcPr>
            <w:tcW w:w="1375" w:type="dxa"/>
            <w:noWrap/>
            <w:vAlign w:val="center"/>
            <w:hideMark/>
          </w:tcPr>
          <w:p w14:paraId="4C946F76"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9.9</w:t>
            </w:r>
          </w:p>
        </w:tc>
        <w:tc>
          <w:tcPr>
            <w:tcW w:w="1376" w:type="dxa"/>
            <w:noWrap/>
            <w:vAlign w:val="center"/>
            <w:hideMark/>
          </w:tcPr>
          <w:p w14:paraId="7584EF7C"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9.5</w:t>
            </w:r>
          </w:p>
        </w:tc>
      </w:tr>
      <w:tr w:rsidR="004215DA" w:rsidRPr="005F3FE7" w14:paraId="7400646F"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49" w:type="dxa"/>
            <w:hideMark/>
          </w:tcPr>
          <w:p w14:paraId="5F01E245" w14:textId="77777777" w:rsidR="004215DA" w:rsidRPr="005F3FE7" w:rsidRDefault="004215DA" w:rsidP="0079482A">
            <w:r w:rsidRPr="005F3FE7">
              <w:t>Machinery operators and drivers</w:t>
            </w:r>
          </w:p>
        </w:tc>
        <w:tc>
          <w:tcPr>
            <w:tcW w:w="1375" w:type="dxa"/>
            <w:noWrap/>
            <w:vAlign w:val="center"/>
            <w:hideMark/>
          </w:tcPr>
          <w:p w14:paraId="66526368"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7.3</w:t>
            </w:r>
          </w:p>
        </w:tc>
        <w:tc>
          <w:tcPr>
            <w:tcW w:w="1375" w:type="dxa"/>
            <w:noWrap/>
            <w:vAlign w:val="center"/>
            <w:hideMark/>
          </w:tcPr>
          <w:p w14:paraId="01BC6DAB"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7.0</w:t>
            </w:r>
          </w:p>
        </w:tc>
        <w:tc>
          <w:tcPr>
            <w:tcW w:w="1376" w:type="dxa"/>
            <w:noWrap/>
            <w:vAlign w:val="center"/>
            <w:hideMark/>
          </w:tcPr>
          <w:p w14:paraId="34C7E747"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6.4</w:t>
            </w:r>
          </w:p>
        </w:tc>
      </w:tr>
      <w:tr w:rsidR="004215DA" w:rsidRPr="005F3FE7" w14:paraId="6E7FBEB4"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049" w:type="dxa"/>
            <w:hideMark/>
          </w:tcPr>
          <w:p w14:paraId="4E19FEC5" w14:textId="77777777" w:rsidR="004215DA" w:rsidRPr="005F3FE7" w:rsidRDefault="004215DA" w:rsidP="0079482A">
            <w:r w:rsidRPr="005F3FE7">
              <w:t>Labourers</w:t>
            </w:r>
          </w:p>
        </w:tc>
        <w:tc>
          <w:tcPr>
            <w:tcW w:w="1375" w:type="dxa"/>
            <w:noWrap/>
            <w:vAlign w:val="center"/>
            <w:hideMark/>
          </w:tcPr>
          <w:p w14:paraId="564F9C90"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13.9</w:t>
            </w:r>
          </w:p>
        </w:tc>
        <w:tc>
          <w:tcPr>
            <w:tcW w:w="1375" w:type="dxa"/>
            <w:noWrap/>
            <w:vAlign w:val="center"/>
            <w:hideMark/>
          </w:tcPr>
          <w:p w14:paraId="473627B7"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10.7</w:t>
            </w:r>
          </w:p>
        </w:tc>
        <w:tc>
          <w:tcPr>
            <w:tcW w:w="1376" w:type="dxa"/>
            <w:noWrap/>
            <w:vAlign w:val="center"/>
            <w:hideMark/>
          </w:tcPr>
          <w:p w14:paraId="039E6470"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9.6</w:t>
            </w:r>
          </w:p>
        </w:tc>
      </w:tr>
      <w:tr w:rsidR="004215DA" w:rsidRPr="005F3FE7" w14:paraId="4B53EEE4"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049" w:type="dxa"/>
            <w:hideMark/>
          </w:tcPr>
          <w:p w14:paraId="35C3EB10" w14:textId="77777777" w:rsidR="004215DA" w:rsidRPr="005F3FE7" w:rsidRDefault="004215DA" w:rsidP="0079482A">
            <w:r w:rsidRPr="005F3FE7">
              <w:t>Total</w:t>
            </w:r>
          </w:p>
        </w:tc>
        <w:tc>
          <w:tcPr>
            <w:tcW w:w="1375" w:type="dxa"/>
            <w:noWrap/>
            <w:vAlign w:val="center"/>
            <w:hideMark/>
          </w:tcPr>
          <w:p w14:paraId="381D9F67" w14:textId="77777777" w:rsidR="004215DA" w:rsidRPr="001179F7" w:rsidRDefault="004215DA" w:rsidP="00816106">
            <w:pPr>
              <w:jc w:val="right"/>
              <w:cnfStyle w:val="000000100000" w:firstRow="0" w:lastRow="0" w:firstColumn="0" w:lastColumn="0" w:oddVBand="0" w:evenVBand="0" w:oddHBand="1" w:evenHBand="0" w:firstRowFirstColumn="0" w:firstRowLastColumn="0" w:lastRowFirstColumn="0" w:lastRowLastColumn="0"/>
              <w:rPr>
                <w:b/>
              </w:rPr>
            </w:pPr>
            <w:r w:rsidRPr="001179F7">
              <w:rPr>
                <w:b/>
              </w:rPr>
              <w:t>100.0</w:t>
            </w:r>
          </w:p>
        </w:tc>
        <w:tc>
          <w:tcPr>
            <w:tcW w:w="1375" w:type="dxa"/>
            <w:noWrap/>
            <w:vAlign w:val="center"/>
            <w:hideMark/>
          </w:tcPr>
          <w:p w14:paraId="6378FD0B" w14:textId="77777777" w:rsidR="004215DA" w:rsidRPr="001179F7" w:rsidRDefault="004215DA" w:rsidP="00816106">
            <w:pPr>
              <w:jc w:val="right"/>
              <w:cnfStyle w:val="000000100000" w:firstRow="0" w:lastRow="0" w:firstColumn="0" w:lastColumn="0" w:oddVBand="0" w:evenVBand="0" w:oddHBand="1" w:evenHBand="0" w:firstRowFirstColumn="0" w:firstRowLastColumn="0" w:lastRowFirstColumn="0" w:lastRowLastColumn="0"/>
              <w:rPr>
                <w:b/>
              </w:rPr>
            </w:pPr>
            <w:r w:rsidRPr="001179F7">
              <w:rPr>
                <w:b/>
              </w:rPr>
              <w:t>100.0</w:t>
            </w:r>
          </w:p>
        </w:tc>
        <w:tc>
          <w:tcPr>
            <w:tcW w:w="1376" w:type="dxa"/>
            <w:noWrap/>
            <w:vAlign w:val="center"/>
            <w:hideMark/>
          </w:tcPr>
          <w:p w14:paraId="33908BE7" w14:textId="77777777" w:rsidR="004215DA" w:rsidRPr="001179F7" w:rsidRDefault="004215DA" w:rsidP="00816106">
            <w:pPr>
              <w:jc w:val="right"/>
              <w:cnfStyle w:val="000000100000" w:firstRow="0" w:lastRow="0" w:firstColumn="0" w:lastColumn="0" w:oddVBand="0" w:evenVBand="0" w:oddHBand="1" w:evenHBand="0" w:firstRowFirstColumn="0" w:firstRowLastColumn="0" w:lastRowFirstColumn="0" w:lastRowLastColumn="0"/>
              <w:rPr>
                <w:b/>
              </w:rPr>
            </w:pPr>
            <w:r w:rsidRPr="001179F7">
              <w:rPr>
                <w:b/>
              </w:rPr>
              <w:t>100.0</w:t>
            </w:r>
          </w:p>
        </w:tc>
      </w:tr>
    </w:tbl>
    <w:p w14:paraId="6E006FBA" w14:textId="77777777" w:rsidR="004215DA" w:rsidRPr="00B51060" w:rsidRDefault="004215DA" w:rsidP="00B51060">
      <w:pPr>
        <w:spacing w:after="0"/>
        <w:rPr>
          <w:i/>
          <w:sz w:val="18"/>
          <w:szCs w:val="18"/>
        </w:rPr>
      </w:pPr>
      <w:r w:rsidRPr="00B51060">
        <w:rPr>
          <w:i/>
          <w:sz w:val="18"/>
          <w:szCs w:val="18"/>
        </w:rPr>
        <w:t xml:space="preserve">Source: Census of Population and Housing, 2016, </w:t>
      </w:r>
      <w:proofErr w:type="spellStart"/>
      <w:r w:rsidRPr="00B51060">
        <w:rPr>
          <w:i/>
          <w:sz w:val="18"/>
          <w:szCs w:val="18"/>
        </w:rPr>
        <w:t>TableBuilder</w:t>
      </w:r>
      <w:proofErr w:type="spellEnd"/>
      <w:r w:rsidRPr="00B51060">
        <w:rPr>
          <w:i/>
          <w:sz w:val="18"/>
          <w:szCs w:val="18"/>
        </w:rPr>
        <w:t>.</w:t>
      </w:r>
    </w:p>
    <w:p w14:paraId="21CB16AD" w14:textId="77777777" w:rsidR="004215DA" w:rsidRPr="00B51060" w:rsidRDefault="004215DA" w:rsidP="00A4064D">
      <w:pPr>
        <w:spacing w:after="360"/>
        <w:rPr>
          <w:i/>
          <w:sz w:val="18"/>
          <w:szCs w:val="18"/>
        </w:rPr>
      </w:pPr>
      <w:r w:rsidRPr="00B51060">
        <w:rPr>
          <w:i/>
          <w:sz w:val="18"/>
          <w:szCs w:val="18"/>
        </w:rPr>
        <w:t>Note</w:t>
      </w:r>
      <w:r w:rsidR="00173597">
        <w:rPr>
          <w:i/>
          <w:sz w:val="18"/>
          <w:szCs w:val="18"/>
        </w:rPr>
        <w:t>s</w:t>
      </w:r>
      <w:r w:rsidRPr="00B51060">
        <w:rPr>
          <w:i/>
          <w:sz w:val="18"/>
          <w:szCs w:val="18"/>
        </w:rPr>
        <w:t>: Data are based on place of usual residence.</w:t>
      </w:r>
      <w:r w:rsidR="00BE06D1">
        <w:rPr>
          <w:i/>
          <w:sz w:val="18"/>
          <w:szCs w:val="18"/>
        </w:rPr>
        <w:t xml:space="preserve"> </w:t>
      </w:r>
      <w:r w:rsidR="005C5322">
        <w:rPr>
          <w:i/>
          <w:sz w:val="18"/>
          <w:szCs w:val="18"/>
        </w:rPr>
        <w:t>Due to rounding, the total percentages may not sum up</w:t>
      </w:r>
      <w:r w:rsidR="00173597">
        <w:rPr>
          <w:i/>
          <w:sz w:val="18"/>
          <w:szCs w:val="18"/>
        </w:rPr>
        <w:t xml:space="preserve"> exactly</w:t>
      </w:r>
      <w:r w:rsidR="005C5322">
        <w:rPr>
          <w:i/>
          <w:sz w:val="18"/>
          <w:szCs w:val="18"/>
        </w:rPr>
        <w:t xml:space="preserve"> to 100.</w:t>
      </w:r>
    </w:p>
    <w:p w14:paraId="19707B57" w14:textId="4099C44F" w:rsidR="00816106" w:rsidRDefault="00816106" w:rsidP="0079482A">
      <w:r>
        <w:t>The following table (</w:t>
      </w:r>
      <w:r>
        <w:fldChar w:fldCharType="begin"/>
      </w:r>
      <w:r>
        <w:instrText xml:space="preserve"> REF _Ref34864718 \h </w:instrText>
      </w:r>
      <w:r>
        <w:fldChar w:fldCharType="separate"/>
      </w:r>
      <w:r w:rsidR="008E2086">
        <w:t xml:space="preserve">Table </w:t>
      </w:r>
      <w:r w:rsidR="008E2086">
        <w:rPr>
          <w:noProof/>
        </w:rPr>
        <w:t>2</w:t>
      </w:r>
      <w:r w:rsidR="008E2086">
        <w:noBreakHyphen/>
      </w:r>
      <w:r w:rsidR="008E2086">
        <w:rPr>
          <w:noProof/>
        </w:rPr>
        <w:t>10</w:t>
      </w:r>
      <w:r>
        <w:fldChar w:fldCharType="end"/>
      </w:r>
      <w:r>
        <w:t xml:space="preserve">) provides information about the distribution of employed people by industry in the </w:t>
      </w:r>
      <w:r w:rsidR="001E49E7">
        <w:t>F</w:t>
      </w:r>
      <w:r w:rsidR="001E49E7" w:rsidRPr="007A58F7">
        <w:t>ederal electorate</w:t>
      </w:r>
      <w:r w:rsidR="001E49E7" w:rsidRPr="0079482A">
        <w:t xml:space="preserve"> </w:t>
      </w:r>
      <w:r w:rsidR="001E49E7">
        <w:t xml:space="preserve">of </w:t>
      </w:r>
      <w:r w:rsidR="001E49E7" w:rsidRPr="0079482A">
        <w:t>Hinkler</w:t>
      </w:r>
      <w:r>
        <w:t xml:space="preserve"> and compares </w:t>
      </w:r>
      <w:r w:rsidR="00C51FB2">
        <w:t xml:space="preserve">it </w:t>
      </w:r>
      <w:r>
        <w:t xml:space="preserve">with the </w:t>
      </w:r>
      <w:r w:rsidR="00FE45A6">
        <w:t>state of Queensland as a whole and Australia.</w:t>
      </w:r>
    </w:p>
    <w:p w14:paraId="0B386D6F" w14:textId="77777777" w:rsidR="00A5339A" w:rsidRDefault="00C51FB2" w:rsidP="00816106">
      <w:r>
        <w:t>T</w:t>
      </w:r>
      <w:r w:rsidR="00816106">
        <w:t>he two</w:t>
      </w:r>
      <w:r w:rsidR="00816106" w:rsidRPr="00546A1E">
        <w:t xml:space="preserve"> most prevalent</w:t>
      </w:r>
      <w:r w:rsidR="00FE45A6">
        <w:t xml:space="preserve"> employment</w:t>
      </w:r>
      <w:r w:rsidR="00816106" w:rsidRPr="00546A1E">
        <w:t xml:space="preserve"> industries</w:t>
      </w:r>
      <w:r w:rsidR="00FE45A6">
        <w:t>,</w:t>
      </w:r>
      <w:r w:rsidR="00C6655C">
        <w:t xml:space="preserve"> ‘health care and social assistance’ and ‘retail trade’,</w:t>
      </w:r>
      <w:r w:rsidR="00816106" w:rsidRPr="00546A1E">
        <w:t xml:space="preserve"> are the same for the </w:t>
      </w:r>
      <w:r w:rsidR="001E49E7">
        <w:t>F</w:t>
      </w:r>
      <w:r w:rsidR="001E49E7" w:rsidRPr="007A58F7">
        <w:t>ederal electorate</w:t>
      </w:r>
      <w:r w:rsidR="001E49E7" w:rsidRPr="0079482A">
        <w:t xml:space="preserve"> </w:t>
      </w:r>
      <w:r w:rsidR="001E49E7">
        <w:t xml:space="preserve">of </w:t>
      </w:r>
      <w:r w:rsidR="001E49E7" w:rsidRPr="0079482A">
        <w:t>Hinkler</w:t>
      </w:r>
      <w:r w:rsidR="00816106">
        <w:t xml:space="preserve">, </w:t>
      </w:r>
      <w:r w:rsidR="00C6655C">
        <w:t xml:space="preserve">the state of </w:t>
      </w:r>
      <w:r w:rsidR="00816106">
        <w:t xml:space="preserve">Queensland </w:t>
      </w:r>
      <w:r w:rsidR="00C6655C">
        <w:t xml:space="preserve">as a whole </w:t>
      </w:r>
      <w:r w:rsidR="00816106">
        <w:t>and Australia. However</w:t>
      </w:r>
      <w:r w:rsidR="00816106" w:rsidRPr="005C7CCC">
        <w:t>, the prop</w:t>
      </w:r>
      <w:r w:rsidR="00816106">
        <w:t>ortion of workers in these two</w:t>
      </w:r>
      <w:r w:rsidR="00816106" w:rsidRPr="005C7CCC">
        <w:t xml:space="preserve"> industries </w:t>
      </w:r>
      <w:r w:rsidR="007271F6">
        <w:t xml:space="preserve">is </w:t>
      </w:r>
      <w:r w:rsidR="00816106" w:rsidRPr="005C7CCC">
        <w:t xml:space="preserve">moderately higher in </w:t>
      </w:r>
      <w:r w:rsidR="00816106">
        <w:t xml:space="preserve">the </w:t>
      </w:r>
      <w:r w:rsidR="001E49E7">
        <w:t>F</w:t>
      </w:r>
      <w:r w:rsidR="001E49E7" w:rsidRPr="007A58F7">
        <w:t>ederal electorate</w:t>
      </w:r>
      <w:r w:rsidR="001E49E7" w:rsidRPr="0079482A">
        <w:t xml:space="preserve"> </w:t>
      </w:r>
      <w:r w:rsidR="001E49E7">
        <w:t xml:space="preserve">of </w:t>
      </w:r>
      <w:r w:rsidR="001E49E7" w:rsidRPr="0079482A">
        <w:t>Hinkler</w:t>
      </w:r>
      <w:r w:rsidR="00816106" w:rsidRPr="005C7CCC">
        <w:t xml:space="preserve">. </w:t>
      </w:r>
    </w:p>
    <w:p w14:paraId="0ECAF0FA" w14:textId="77777777" w:rsidR="00E10A0A" w:rsidRDefault="00816106" w:rsidP="00816106">
      <w:r w:rsidRPr="005C7CCC">
        <w:t xml:space="preserve">The </w:t>
      </w:r>
      <w:r w:rsidR="001E49E7">
        <w:t>F</w:t>
      </w:r>
      <w:r w:rsidR="001E49E7" w:rsidRPr="007A58F7">
        <w:t>ederal electorate</w:t>
      </w:r>
      <w:r w:rsidR="001E49E7" w:rsidRPr="0079482A">
        <w:t xml:space="preserve"> </w:t>
      </w:r>
      <w:r w:rsidR="001E49E7">
        <w:t xml:space="preserve">of </w:t>
      </w:r>
      <w:r w:rsidR="001E49E7" w:rsidRPr="0079482A">
        <w:t>Hinkler</w:t>
      </w:r>
      <w:r w:rsidRPr="005C7CCC">
        <w:t xml:space="preserve"> also has a larger proportion of workers in </w:t>
      </w:r>
      <w:r>
        <w:t xml:space="preserve">the </w:t>
      </w:r>
      <w:r w:rsidRPr="005C7CCC">
        <w:t>‘</w:t>
      </w:r>
      <w:r>
        <w:t>a</w:t>
      </w:r>
      <w:r w:rsidRPr="005C7CCC">
        <w:t>griculture, forestry and fishing’</w:t>
      </w:r>
      <w:r>
        <w:t xml:space="preserve"> industry</w:t>
      </w:r>
      <w:r w:rsidRPr="005C7CCC">
        <w:t xml:space="preserve"> than </w:t>
      </w:r>
      <w:r w:rsidR="002E32B8" w:rsidRPr="002E32B8">
        <w:t>in the state of Queensland as a whole and Australia</w:t>
      </w:r>
      <w:r w:rsidRPr="005C7CCC">
        <w:t>.</w:t>
      </w:r>
    </w:p>
    <w:p w14:paraId="1A8B5C66" w14:textId="77777777" w:rsidR="00E10A0A" w:rsidRDefault="00E10A0A">
      <w:pPr>
        <w:jc w:val="left"/>
      </w:pPr>
      <w:r>
        <w:br w:type="page"/>
      </w:r>
    </w:p>
    <w:p w14:paraId="6F6463A8" w14:textId="53BAE4C4" w:rsidR="004215DA" w:rsidRPr="005F3FE7" w:rsidRDefault="000851DE" w:rsidP="00B51060">
      <w:pPr>
        <w:pStyle w:val="Caption"/>
      </w:pPr>
      <w:bookmarkStart w:id="67" w:name="_Ref34864718"/>
      <w:bookmarkStart w:id="68" w:name="_Toc34935538"/>
      <w:bookmarkStart w:id="69" w:name="_Toc37263573"/>
      <w:r>
        <w:lastRenderedPageBreak/>
        <w:t>Table</w:t>
      </w:r>
      <w:r w:rsidR="00B510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10</w:t>
      </w:r>
      <w:r w:rsidR="006C0554">
        <w:rPr>
          <w:noProof/>
        </w:rPr>
        <w:fldChar w:fldCharType="end"/>
      </w:r>
      <w:bookmarkEnd w:id="67"/>
      <w:bookmarkEnd w:id="68"/>
      <w:r w:rsidR="00B51060">
        <w:t xml:space="preserve">: </w:t>
      </w:r>
      <w:r w:rsidR="00B8174D">
        <w:t>P</w:t>
      </w:r>
      <w:r w:rsidR="00084C6A">
        <w:t xml:space="preserve">ercentage of industry types </w:t>
      </w:r>
      <w:r w:rsidR="007271F6">
        <w:t>(</w:t>
      </w:r>
      <w:r w:rsidR="00A04953">
        <w:t>as a proportion of employed people</w:t>
      </w:r>
      <w:r w:rsidR="007271F6">
        <w:t xml:space="preserve">) </w:t>
      </w:r>
      <w:r w:rsidR="00084C6A">
        <w:t xml:space="preserve">in </w:t>
      </w:r>
      <w:r w:rsidR="001E49E7">
        <w:t xml:space="preserve">the Federal electorate of </w:t>
      </w:r>
      <w:r w:rsidR="00084C6A">
        <w:t xml:space="preserve">Hinkler, Queensland and </w:t>
      </w:r>
      <w:r w:rsidR="00B8174D">
        <w:t>A</w:t>
      </w:r>
      <w:r w:rsidR="00084C6A">
        <w:t>ustralia</w:t>
      </w:r>
      <w:r w:rsidR="007271F6">
        <w:t xml:space="preserve"> </w:t>
      </w:r>
      <w:r w:rsidR="00923328">
        <w:t>in</w:t>
      </w:r>
      <w:r w:rsidR="007271F6">
        <w:t xml:space="preserve"> 2016</w:t>
      </w:r>
      <w:bookmarkEnd w:id="69"/>
    </w:p>
    <w:tbl>
      <w:tblPr>
        <w:tblStyle w:val="ListTable3-Accent1"/>
        <w:tblW w:w="0" w:type="auto"/>
        <w:tblLayout w:type="fixed"/>
        <w:tblLook w:val="04A0" w:firstRow="1" w:lastRow="0" w:firstColumn="1" w:lastColumn="0" w:noHBand="0" w:noVBand="1"/>
      </w:tblPr>
      <w:tblGrid>
        <w:gridCol w:w="4253"/>
        <w:gridCol w:w="1353"/>
        <w:gridCol w:w="1353"/>
        <w:gridCol w:w="1353"/>
      </w:tblGrid>
      <w:tr w:rsidR="004215DA" w:rsidRPr="00290F96" w14:paraId="5E205816" w14:textId="77777777" w:rsidTr="00A4064D">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tcPr>
          <w:p w14:paraId="7950237B" w14:textId="77777777" w:rsidR="004215DA" w:rsidRPr="00B246E0" w:rsidRDefault="004215DA" w:rsidP="0079482A">
            <w:pPr>
              <w:rPr>
                <w:color w:val="auto"/>
              </w:rPr>
            </w:pPr>
          </w:p>
        </w:tc>
        <w:tc>
          <w:tcPr>
            <w:tcW w:w="0" w:type="dxa"/>
            <w:shd w:val="clear" w:color="auto" w:fill="2F5496" w:themeFill="accent5" w:themeFillShade="BF"/>
            <w:noWrap/>
            <w:vAlign w:val="center"/>
          </w:tcPr>
          <w:p w14:paraId="126E24D7" w14:textId="77777777" w:rsidR="004215DA" w:rsidRPr="00B246E0" w:rsidRDefault="004215DA" w:rsidP="000613C9">
            <w:pPr>
              <w:jc w:val="center"/>
              <w:cnfStyle w:val="100000000000" w:firstRow="1" w:lastRow="0" w:firstColumn="0" w:lastColumn="0" w:oddVBand="0" w:evenVBand="0" w:oddHBand="0" w:evenHBand="0" w:firstRowFirstColumn="0" w:firstRowLastColumn="0" w:lastRowFirstColumn="0" w:lastRowLastColumn="0"/>
              <w:rPr>
                <w:color w:val="auto"/>
              </w:rPr>
            </w:pPr>
            <w:r w:rsidRPr="00290F96">
              <w:t>Hinkler</w:t>
            </w:r>
          </w:p>
        </w:tc>
        <w:tc>
          <w:tcPr>
            <w:tcW w:w="0" w:type="dxa"/>
            <w:shd w:val="clear" w:color="auto" w:fill="2F5496" w:themeFill="accent5" w:themeFillShade="BF"/>
            <w:noWrap/>
            <w:vAlign w:val="center"/>
          </w:tcPr>
          <w:p w14:paraId="26880906" w14:textId="77777777" w:rsidR="004215DA" w:rsidRPr="00B246E0" w:rsidRDefault="004215DA" w:rsidP="000613C9">
            <w:pPr>
              <w:jc w:val="center"/>
              <w:cnfStyle w:val="100000000000" w:firstRow="1" w:lastRow="0" w:firstColumn="0" w:lastColumn="0" w:oddVBand="0" w:evenVBand="0" w:oddHBand="0" w:evenHBand="0" w:firstRowFirstColumn="0" w:firstRowLastColumn="0" w:lastRowFirstColumn="0" w:lastRowLastColumn="0"/>
              <w:rPr>
                <w:color w:val="auto"/>
              </w:rPr>
            </w:pPr>
            <w:r w:rsidRPr="00290F96">
              <w:t>Queensland</w:t>
            </w:r>
          </w:p>
        </w:tc>
        <w:tc>
          <w:tcPr>
            <w:tcW w:w="0" w:type="dxa"/>
            <w:shd w:val="clear" w:color="auto" w:fill="2F5496" w:themeFill="accent5" w:themeFillShade="BF"/>
            <w:noWrap/>
            <w:vAlign w:val="center"/>
          </w:tcPr>
          <w:p w14:paraId="4BCEF881" w14:textId="77777777" w:rsidR="004215DA" w:rsidRPr="00B246E0" w:rsidRDefault="004215DA" w:rsidP="000613C9">
            <w:pPr>
              <w:jc w:val="center"/>
              <w:cnfStyle w:val="100000000000" w:firstRow="1" w:lastRow="0" w:firstColumn="0" w:lastColumn="0" w:oddVBand="0" w:evenVBand="0" w:oddHBand="0" w:evenHBand="0" w:firstRowFirstColumn="0" w:firstRowLastColumn="0" w:lastRowFirstColumn="0" w:lastRowLastColumn="0"/>
              <w:rPr>
                <w:color w:val="auto"/>
              </w:rPr>
            </w:pPr>
            <w:r w:rsidRPr="00290F96">
              <w:t>Australia</w:t>
            </w:r>
          </w:p>
        </w:tc>
      </w:tr>
      <w:tr w:rsidR="004215DA" w:rsidRPr="005F3FE7" w14:paraId="142E3BF1"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3" w:type="dxa"/>
          </w:tcPr>
          <w:p w14:paraId="19E01B10" w14:textId="77777777" w:rsidR="004215DA" w:rsidRPr="005F3FE7" w:rsidRDefault="004215DA" w:rsidP="0079482A">
            <w:r w:rsidRPr="005F3FE7">
              <w:t>Agriculture, forestry and fishing</w:t>
            </w:r>
          </w:p>
        </w:tc>
        <w:tc>
          <w:tcPr>
            <w:tcW w:w="1353" w:type="dxa"/>
            <w:noWrap/>
            <w:vAlign w:val="center"/>
          </w:tcPr>
          <w:p w14:paraId="457AEAD6"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5.5</w:t>
            </w:r>
          </w:p>
        </w:tc>
        <w:tc>
          <w:tcPr>
            <w:tcW w:w="1353" w:type="dxa"/>
            <w:noWrap/>
            <w:vAlign w:val="center"/>
          </w:tcPr>
          <w:p w14:paraId="178FEC29"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3.0</w:t>
            </w:r>
          </w:p>
        </w:tc>
        <w:tc>
          <w:tcPr>
            <w:tcW w:w="1353" w:type="dxa"/>
            <w:noWrap/>
            <w:vAlign w:val="center"/>
          </w:tcPr>
          <w:p w14:paraId="0763A143"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2.6</w:t>
            </w:r>
          </w:p>
        </w:tc>
      </w:tr>
      <w:tr w:rsidR="004215DA" w:rsidRPr="005F3FE7" w14:paraId="4865D017"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4CBE53A8" w14:textId="77777777" w:rsidR="004215DA" w:rsidRPr="005F3FE7" w:rsidRDefault="004215DA" w:rsidP="0079482A">
            <w:r w:rsidRPr="005F3FE7">
              <w:t>Mining</w:t>
            </w:r>
          </w:p>
        </w:tc>
        <w:tc>
          <w:tcPr>
            <w:tcW w:w="1353" w:type="dxa"/>
            <w:noWrap/>
            <w:vAlign w:val="center"/>
            <w:hideMark/>
          </w:tcPr>
          <w:p w14:paraId="3C9C3C55"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1.8</w:t>
            </w:r>
          </w:p>
        </w:tc>
        <w:tc>
          <w:tcPr>
            <w:tcW w:w="1353" w:type="dxa"/>
            <w:noWrap/>
            <w:vAlign w:val="center"/>
            <w:hideMark/>
          </w:tcPr>
          <w:p w14:paraId="50C35CB9"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2.4</w:t>
            </w:r>
          </w:p>
        </w:tc>
        <w:tc>
          <w:tcPr>
            <w:tcW w:w="1353" w:type="dxa"/>
            <w:noWrap/>
            <w:vAlign w:val="center"/>
            <w:hideMark/>
          </w:tcPr>
          <w:p w14:paraId="71C908DC"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1.7</w:t>
            </w:r>
          </w:p>
        </w:tc>
      </w:tr>
      <w:tr w:rsidR="004215DA" w:rsidRPr="005F3FE7" w14:paraId="2B28DC06"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04ECD90D" w14:textId="77777777" w:rsidR="004215DA" w:rsidRPr="005F3FE7" w:rsidRDefault="004215DA" w:rsidP="0079482A">
            <w:r w:rsidRPr="005F3FE7">
              <w:t>Manufacturing</w:t>
            </w:r>
          </w:p>
        </w:tc>
        <w:tc>
          <w:tcPr>
            <w:tcW w:w="1353" w:type="dxa"/>
            <w:noWrap/>
            <w:vAlign w:val="center"/>
            <w:hideMark/>
          </w:tcPr>
          <w:p w14:paraId="0D4F8145"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5.5</w:t>
            </w:r>
          </w:p>
        </w:tc>
        <w:tc>
          <w:tcPr>
            <w:tcW w:w="1353" w:type="dxa"/>
            <w:noWrap/>
            <w:vAlign w:val="center"/>
            <w:hideMark/>
          </w:tcPr>
          <w:p w14:paraId="3E1EFAB9"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6.3</w:t>
            </w:r>
          </w:p>
        </w:tc>
        <w:tc>
          <w:tcPr>
            <w:tcW w:w="1353" w:type="dxa"/>
            <w:noWrap/>
            <w:vAlign w:val="center"/>
            <w:hideMark/>
          </w:tcPr>
          <w:p w14:paraId="4585700F"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6.7</w:t>
            </w:r>
          </w:p>
        </w:tc>
      </w:tr>
      <w:tr w:rsidR="004215DA" w:rsidRPr="005F3FE7" w14:paraId="1419FD20"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598D8D39" w14:textId="77777777" w:rsidR="004215DA" w:rsidRPr="005F3FE7" w:rsidRDefault="004215DA" w:rsidP="0079482A">
            <w:r w:rsidRPr="005F3FE7">
              <w:t>Electricity, gas, water and waste services</w:t>
            </w:r>
          </w:p>
        </w:tc>
        <w:tc>
          <w:tcPr>
            <w:tcW w:w="1353" w:type="dxa"/>
            <w:noWrap/>
            <w:vAlign w:val="center"/>
            <w:hideMark/>
          </w:tcPr>
          <w:p w14:paraId="266FA2A5"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1.2</w:t>
            </w:r>
          </w:p>
        </w:tc>
        <w:tc>
          <w:tcPr>
            <w:tcW w:w="1353" w:type="dxa"/>
            <w:noWrap/>
            <w:vAlign w:val="center"/>
            <w:hideMark/>
          </w:tcPr>
          <w:p w14:paraId="23BF4CBD"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1.2</w:t>
            </w:r>
          </w:p>
        </w:tc>
        <w:tc>
          <w:tcPr>
            <w:tcW w:w="1353" w:type="dxa"/>
            <w:noWrap/>
            <w:vAlign w:val="center"/>
            <w:hideMark/>
          </w:tcPr>
          <w:p w14:paraId="7CEFBC5B"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1.1</w:t>
            </w:r>
          </w:p>
        </w:tc>
      </w:tr>
      <w:tr w:rsidR="004215DA" w:rsidRPr="005F3FE7" w14:paraId="798403B8"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44107716" w14:textId="77777777" w:rsidR="004215DA" w:rsidRPr="005F3FE7" w:rsidRDefault="004215DA" w:rsidP="0079482A">
            <w:r w:rsidRPr="005F3FE7">
              <w:t>Construction</w:t>
            </w:r>
          </w:p>
        </w:tc>
        <w:tc>
          <w:tcPr>
            <w:tcW w:w="1353" w:type="dxa"/>
            <w:noWrap/>
            <w:vAlign w:val="center"/>
            <w:hideMark/>
          </w:tcPr>
          <w:p w14:paraId="46B56540"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8.6</w:t>
            </w:r>
          </w:p>
        </w:tc>
        <w:tc>
          <w:tcPr>
            <w:tcW w:w="1353" w:type="dxa"/>
            <w:noWrap/>
            <w:vAlign w:val="center"/>
            <w:hideMark/>
          </w:tcPr>
          <w:p w14:paraId="37FA356C"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9.4</w:t>
            </w:r>
          </w:p>
        </w:tc>
        <w:tc>
          <w:tcPr>
            <w:tcW w:w="1353" w:type="dxa"/>
            <w:noWrap/>
            <w:vAlign w:val="center"/>
            <w:hideMark/>
          </w:tcPr>
          <w:p w14:paraId="14E03CAA"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8.9</w:t>
            </w:r>
          </w:p>
        </w:tc>
      </w:tr>
      <w:tr w:rsidR="004215DA" w:rsidRPr="005F3FE7" w14:paraId="08DEF8DD"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588FB25D" w14:textId="77777777" w:rsidR="004215DA" w:rsidRPr="005F3FE7" w:rsidRDefault="004215DA" w:rsidP="0079482A">
            <w:r w:rsidRPr="005F3FE7">
              <w:t>Wholesale trade</w:t>
            </w:r>
          </w:p>
        </w:tc>
        <w:tc>
          <w:tcPr>
            <w:tcW w:w="1353" w:type="dxa"/>
            <w:noWrap/>
            <w:vAlign w:val="center"/>
            <w:hideMark/>
          </w:tcPr>
          <w:p w14:paraId="1BBA71D4" w14:textId="77777777" w:rsidR="004215DA" w:rsidRPr="00084C6A"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84C6A">
              <w:t>1.9</w:t>
            </w:r>
          </w:p>
        </w:tc>
        <w:tc>
          <w:tcPr>
            <w:tcW w:w="1353" w:type="dxa"/>
            <w:noWrap/>
            <w:vAlign w:val="center"/>
            <w:hideMark/>
          </w:tcPr>
          <w:p w14:paraId="5AAD95E6" w14:textId="77777777" w:rsidR="004215DA" w:rsidRPr="00CF5DF4"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CF5DF4">
              <w:t>2.8</w:t>
            </w:r>
          </w:p>
        </w:tc>
        <w:tc>
          <w:tcPr>
            <w:tcW w:w="1353" w:type="dxa"/>
            <w:noWrap/>
            <w:vAlign w:val="center"/>
            <w:hideMark/>
          </w:tcPr>
          <w:p w14:paraId="505C881F" w14:textId="77777777" w:rsidR="004215DA" w:rsidRPr="000B00BB"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B00BB">
              <w:t>3.0</w:t>
            </w:r>
          </w:p>
        </w:tc>
      </w:tr>
      <w:tr w:rsidR="004215DA" w:rsidRPr="005F3FE7" w14:paraId="5653C4AF"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6CFDE377" w14:textId="77777777" w:rsidR="004215DA" w:rsidRPr="005F3FE7" w:rsidRDefault="004215DA" w:rsidP="0079482A">
            <w:r w:rsidRPr="005F3FE7">
              <w:t>Retail trade</w:t>
            </w:r>
          </w:p>
        </w:tc>
        <w:tc>
          <w:tcPr>
            <w:tcW w:w="1353" w:type="dxa"/>
            <w:noWrap/>
            <w:vAlign w:val="center"/>
            <w:hideMark/>
          </w:tcPr>
          <w:p w14:paraId="630C3A60"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12.9</w:t>
            </w:r>
          </w:p>
        </w:tc>
        <w:tc>
          <w:tcPr>
            <w:tcW w:w="1353" w:type="dxa"/>
            <w:noWrap/>
            <w:vAlign w:val="center"/>
            <w:hideMark/>
          </w:tcPr>
          <w:p w14:paraId="67284F50"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10.4</w:t>
            </w:r>
          </w:p>
        </w:tc>
        <w:tc>
          <w:tcPr>
            <w:tcW w:w="1353" w:type="dxa"/>
            <w:noWrap/>
            <w:vAlign w:val="center"/>
            <w:hideMark/>
          </w:tcPr>
          <w:p w14:paraId="1077931F"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10.3</w:t>
            </w:r>
          </w:p>
        </w:tc>
      </w:tr>
      <w:tr w:rsidR="004215DA" w:rsidRPr="005F3FE7" w14:paraId="438682CD"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66AD3ECB" w14:textId="77777777" w:rsidR="004215DA" w:rsidRPr="005F3FE7" w:rsidRDefault="004215DA" w:rsidP="0079482A">
            <w:r w:rsidRPr="005F3FE7">
              <w:t>Accommodation and food services</w:t>
            </w:r>
          </w:p>
        </w:tc>
        <w:tc>
          <w:tcPr>
            <w:tcW w:w="1353" w:type="dxa"/>
            <w:noWrap/>
            <w:vAlign w:val="center"/>
            <w:hideMark/>
          </w:tcPr>
          <w:p w14:paraId="1F4EEE0E" w14:textId="77777777" w:rsidR="004215DA" w:rsidRPr="00084C6A"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84C6A">
              <w:t>8.7</w:t>
            </w:r>
          </w:p>
        </w:tc>
        <w:tc>
          <w:tcPr>
            <w:tcW w:w="1353" w:type="dxa"/>
            <w:noWrap/>
            <w:vAlign w:val="center"/>
            <w:hideMark/>
          </w:tcPr>
          <w:p w14:paraId="320F4FAD" w14:textId="77777777" w:rsidR="004215DA" w:rsidRPr="00084C6A"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84C6A">
              <w:t>7.7</w:t>
            </w:r>
          </w:p>
        </w:tc>
        <w:tc>
          <w:tcPr>
            <w:tcW w:w="1353" w:type="dxa"/>
            <w:noWrap/>
            <w:vAlign w:val="center"/>
            <w:hideMark/>
          </w:tcPr>
          <w:p w14:paraId="1070695B" w14:textId="77777777" w:rsidR="004215DA" w:rsidRPr="00084C6A"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84C6A">
              <w:t>7.2</w:t>
            </w:r>
          </w:p>
        </w:tc>
      </w:tr>
      <w:tr w:rsidR="004215DA" w:rsidRPr="005F3FE7" w14:paraId="527248C3"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1A54DBE6" w14:textId="77777777" w:rsidR="004215DA" w:rsidRPr="005F3FE7" w:rsidRDefault="004215DA" w:rsidP="0079482A">
            <w:r w:rsidRPr="005F3FE7">
              <w:t>Transport, postal and warehousing</w:t>
            </w:r>
          </w:p>
        </w:tc>
        <w:tc>
          <w:tcPr>
            <w:tcW w:w="1353" w:type="dxa"/>
            <w:noWrap/>
            <w:vAlign w:val="center"/>
            <w:hideMark/>
          </w:tcPr>
          <w:p w14:paraId="4484CFD6"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3.6</w:t>
            </w:r>
          </w:p>
        </w:tc>
        <w:tc>
          <w:tcPr>
            <w:tcW w:w="1353" w:type="dxa"/>
            <w:noWrap/>
            <w:vAlign w:val="center"/>
            <w:hideMark/>
          </w:tcPr>
          <w:p w14:paraId="362610F2" w14:textId="77777777" w:rsidR="004215DA" w:rsidRPr="00CF5DF4"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CF5DF4">
              <w:t>5.3</w:t>
            </w:r>
          </w:p>
        </w:tc>
        <w:tc>
          <w:tcPr>
            <w:tcW w:w="1353" w:type="dxa"/>
            <w:noWrap/>
            <w:vAlign w:val="center"/>
            <w:hideMark/>
          </w:tcPr>
          <w:p w14:paraId="6D64E356" w14:textId="77777777" w:rsidR="004215DA" w:rsidRPr="000B00BB"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B00BB">
              <w:t>4.9</w:t>
            </w:r>
          </w:p>
        </w:tc>
      </w:tr>
      <w:tr w:rsidR="004215DA" w:rsidRPr="005F3FE7" w14:paraId="5F7C91FE"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055E37B0" w14:textId="77777777" w:rsidR="004215DA" w:rsidRPr="005F3FE7" w:rsidRDefault="004215DA" w:rsidP="0079482A">
            <w:r w:rsidRPr="005F3FE7">
              <w:t>Information media and telecommunications</w:t>
            </w:r>
          </w:p>
        </w:tc>
        <w:tc>
          <w:tcPr>
            <w:tcW w:w="1353" w:type="dxa"/>
            <w:noWrap/>
            <w:vAlign w:val="center"/>
            <w:hideMark/>
          </w:tcPr>
          <w:p w14:paraId="0A8AFC0F" w14:textId="77777777" w:rsidR="004215DA" w:rsidRPr="00084C6A"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84C6A">
              <w:t>0.9</w:t>
            </w:r>
          </w:p>
        </w:tc>
        <w:tc>
          <w:tcPr>
            <w:tcW w:w="1353" w:type="dxa"/>
            <w:noWrap/>
            <w:vAlign w:val="center"/>
            <w:hideMark/>
          </w:tcPr>
          <w:p w14:paraId="10F489DE" w14:textId="77777777" w:rsidR="004215DA" w:rsidRPr="00CF5DF4"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CF5DF4">
              <w:t>1.2</w:t>
            </w:r>
          </w:p>
        </w:tc>
        <w:tc>
          <w:tcPr>
            <w:tcW w:w="1353" w:type="dxa"/>
            <w:noWrap/>
            <w:vAlign w:val="center"/>
            <w:hideMark/>
          </w:tcPr>
          <w:p w14:paraId="1059C8E4" w14:textId="77777777" w:rsidR="004215DA" w:rsidRPr="000B00BB"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B00BB">
              <w:t>1.8</w:t>
            </w:r>
          </w:p>
        </w:tc>
      </w:tr>
      <w:tr w:rsidR="004215DA" w:rsidRPr="005F3FE7" w14:paraId="6B9A589E"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48F99BD5" w14:textId="77777777" w:rsidR="004215DA" w:rsidRPr="005F3FE7" w:rsidRDefault="004215DA" w:rsidP="0079482A">
            <w:r w:rsidRPr="005F3FE7">
              <w:t>Financial and insurance services</w:t>
            </w:r>
          </w:p>
        </w:tc>
        <w:tc>
          <w:tcPr>
            <w:tcW w:w="1353" w:type="dxa"/>
            <w:noWrap/>
            <w:vAlign w:val="center"/>
            <w:hideMark/>
          </w:tcPr>
          <w:p w14:paraId="2ADC1D10"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1.5</w:t>
            </w:r>
          </w:p>
        </w:tc>
        <w:tc>
          <w:tcPr>
            <w:tcW w:w="1353" w:type="dxa"/>
            <w:noWrap/>
            <w:vAlign w:val="center"/>
            <w:hideMark/>
          </w:tcPr>
          <w:p w14:paraId="5953AAC1" w14:textId="77777777" w:rsidR="004215DA" w:rsidRPr="00CF5DF4"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CF5DF4">
              <w:t>2.7</w:t>
            </w:r>
          </w:p>
        </w:tc>
        <w:tc>
          <w:tcPr>
            <w:tcW w:w="1353" w:type="dxa"/>
            <w:noWrap/>
            <w:vAlign w:val="center"/>
            <w:hideMark/>
          </w:tcPr>
          <w:p w14:paraId="79CA93F0" w14:textId="77777777" w:rsidR="004215DA" w:rsidRPr="000B00BB"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B00BB">
              <w:t>3.8</w:t>
            </w:r>
          </w:p>
        </w:tc>
      </w:tr>
      <w:tr w:rsidR="004215DA" w:rsidRPr="005F3FE7" w14:paraId="2E606678"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1B469E1C" w14:textId="77777777" w:rsidR="004215DA" w:rsidRPr="005F3FE7" w:rsidRDefault="004215DA" w:rsidP="0079482A">
            <w:r w:rsidRPr="005F3FE7">
              <w:t>Rental, hiring and real estate services</w:t>
            </w:r>
          </w:p>
        </w:tc>
        <w:tc>
          <w:tcPr>
            <w:tcW w:w="1353" w:type="dxa"/>
            <w:noWrap/>
            <w:vAlign w:val="center"/>
            <w:hideMark/>
          </w:tcPr>
          <w:p w14:paraId="7F2C639F" w14:textId="77777777" w:rsidR="004215DA" w:rsidRPr="00084C6A"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84C6A">
              <w:t>1.9</w:t>
            </w:r>
          </w:p>
        </w:tc>
        <w:tc>
          <w:tcPr>
            <w:tcW w:w="1353" w:type="dxa"/>
            <w:noWrap/>
            <w:vAlign w:val="center"/>
            <w:hideMark/>
          </w:tcPr>
          <w:p w14:paraId="64F6C797" w14:textId="77777777" w:rsidR="004215DA" w:rsidRPr="00CF5DF4"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CF5DF4">
              <w:t>2.1</w:t>
            </w:r>
          </w:p>
        </w:tc>
        <w:tc>
          <w:tcPr>
            <w:tcW w:w="1353" w:type="dxa"/>
            <w:noWrap/>
            <w:vAlign w:val="center"/>
            <w:hideMark/>
          </w:tcPr>
          <w:p w14:paraId="6A53DD5F" w14:textId="77777777" w:rsidR="004215DA" w:rsidRPr="000B00BB"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B00BB">
              <w:t>1.8</w:t>
            </w:r>
          </w:p>
        </w:tc>
      </w:tr>
      <w:tr w:rsidR="004215DA" w:rsidRPr="005F3FE7" w14:paraId="19B92771"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4347E515" w14:textId="77777777" w:rsidR="004215DA" w:rsidRPr="005F3FE7" w:rsidRDefault="004215DA" w:rsidP="0079482A">
            <w:r w:rsidRPr="005F3FE7">
              <w:t>Professional, scientific and technical services</w:t>
            </w:r>
          </w:p>
        </w:tc>
        <w:tc>
          <w:tcPr>
            <w:tcW w:w="1353" w:type="dxa"/>
            <w:noWrap/>
            <w:vAlign w:val="center"/>
            <w:hideMark/>
          </w:tcPr>
          <w:p w14:paraId="382C2827"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3.6</w:t>
            </w:r>
          </w:p>
        </w:tc>
        <w:tc>
          <w:tcPr>
            <w:tcW w:w="1353" w:type="dxa"/>
            <w:noWrap/>
            <w:vAlign w:val="center"/>
            <w:hideMark/>
          </w:tcPr>
          <w:p w14:paraId="110D2BA0" w14:textId="77777777" w:rsidR="004215DA" w:rsidRPr="00CF5DF4"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CF5DF4">
              <w:t>6.5</w:t>
            </w:r>
          </w:p>
        </w:tc>
        <w:tc>
          <w:tcPr>
            <w:tcW w:w="1353" w:type="dxa"/>
            <w:noWrap/>
            <w:vAlign w:val="center"/>
            <w:hideMark/>
          </w:tcPr>
          <w:p w14:paraId="414F493B" w14:textId="77777777" w:rsidR="004215DA" w:rsidRPr="000B00BB"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B00BB">
              <w:t>7.6</w:t>
            </w:r>
          </w:p>
        </w:tc>
      </w:tr>
      <w:tr w:rsidR="004215DA" w:rsidRPr="005F3FE7" w14:paraId="4A714660"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6F2AC6B5" w14:textId="77777777" w:rsidR="004215DA" w:rsidRPr="005F3FE7" w:rsidRDefault="004215DA" w:rsidP="0079482A">
            <w:r w:rsidRPr="005F3FE7">
              <w:t>Administrative and support services</w:t>
            </w:r>
          </w:p>
        </w:tc>
        <w:tc>
          <w:tcPr>
            <w:tcW w:w="1353" w:type="dxa"/>
            <w:noWrap/>
            <w:vAlign w:val="center"/>
            <w:hideMark/>
          </w:tcPr>
          <w:p w14:paraId="5715F17B" w14:textId="77777777" w:rsidR="004215DA" w:rsidRPr="00084C6A"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84C6A">
              <w:t>3.5</w:t>
            </w:r>
          </w:p>
        </w:tc>
        <w:tc>
          <w:tcPr>
            <w:tcW w:w="1353" w:type="dxa"/>
            <w:noWrap/>
            <w:vAlign w:val="center"/>
            <w:hideMark/>
          </w:tcPr>
          <w:p w14:paraId="7FDDF2E4" w14:textId="77777777" w:rsidR="004215DA" w:rsidRPr="00CF5DF4"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CF5DF4">
              <w:t>3.7</w:t>
            </w:r>
          </w:p>
        </w:tc>
        <w:tc>
          <w:tcPr>
            <w:tcW w:w="1353" w:type="dxa"/>
            <w:noWrap/>
            <w:vAlign w:val="center"/>
            <w:hideMark/>
          </w:tcPr>
          <w:p w14:paraId="00BC14A9" w14:textId="77777777" w:rsidR="004215DA" w:rsidRPr="000B00BB"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B00BB">
              <w:t>3.6</w:t>
            </w:r>
          </w:p>
        </w:tc>
      </w:tr>
      <w:tr w:rsidR="004215DA" w:rsidRPr="005F3FE7" w14:paraId="5AFD1DDF"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76A5A671" w14:textId="77777777" w:rsidR="004215DA" w:rsidRPr="005F3FE7" w:rsidRDefault="004215DA" w:rsidP="0079482A">
            <w:r w:rsidRPr="005F3FE7">
              <w:t>Public administration and safety</w:t>
            </w:r>
          </w:p>
        </w:tc>
        <w:tc>
          <w:tcPr>
            <w:tcW w:w="1353" w:type="dxa"/>
            <w:noWrap/>
            <w:vAlign w:val="center"/>
            <w:hideMark/>
          </w:tcPr>
          <w:p w14:paraId="4BEF32FD"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5.5</w:t>
            </w:r>
          </w:p>
        </w:tc>
        <w:tc>
          <w:tcPr>
            <w:tcW w:w="1353" w:type="dxa"/>
            <w:noWrap/>
            <w:vAlign w:val="center"/>
            <w:hideMark/>
          </w:tcPr>
          <w:p w14:paraId="3283EA27" w14:textId="77777777" w:rsidR="004215DA" w:rsidRPr="00CF5DF4"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CF5DF4">
              <w:t>6.9</w:t>
            </w:r>
          </w:p>
        </w:tc>
        <w:tc>
          <w:tcPr>
            <w:tcW w:w="1353" w:type="dxa"/>
            <w:noWrap/>
            <w:vAlign w:val="center"/>
            <w:hideMark/>
          </w:tcPr>
          <w:p w14:paraId="09BAB6A2" w14:textId="77777777" w:rsidR="004215DA" w:rsidRPr="000B00BB"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B00BB">
              <w:t>7.0</w:t>
            </w:r>
          </w:p>
        </w:tc>
      </w:tr>
      <w:tr w:rsidR="004215DA" w:rsidRPr="005F3FE7" w14:paraId="423081D9"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3B6FD69E" w14:textId="77777777" w:rsidR="004215DA" w:rsidRPr="005F3FE7" w:rsidRDefault="004215DA" w:rsidP="0079482A">
            <w:r w:rsidRPr="005F3FE7">
              <w:t>Education and training</w:t>
            </w:r>
          </w:p>
        </w:tc>
        <w:tc>
          <w:tcPr>
            <w:tcW w:w="1353" w:type="dxa"/>
            <w:noWrap/>
            <w:vAlign w:val="center"/>
            <w:hideMark/>
          </w:tcPr>
          <w:p w14:paraId="4C8946BC" w14:textId="77777777" w:rsidR="004215DA" w:rsidRPr="00084C6A"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84C6A">
              <w:t>9.7</w:t>
            </w:r>
          </w:p>
        </w:tc>
        <w:tc>
          <w:tcPr>
            <w:tcW w:w="1353" w:type="dxa"/>
            <w:noWrap/>
            <w:vAlign w:val="center"/>
            <w:hideMark/>
          </w:tcPr>
          <w:p w14:paraId="496B843F" w14:textId="77777777" w:rsidR="004215DA" w:rsidRPr="00CF5DF4"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CF5DF4">
              <w:t>9.4</w:t>
            </w:r>
          </w:p>
        </w:tc>
        <w:tc>
          <w:tcPr>
            <w:tcW w:w="1353" w:type="dxa"/>
            <w:noWrap/>
            <w:vAlign w:val="center"/>
            <w:hideMark/>
          </w:tcPr>
          <w:p w14:paraId="3CBD3895" w14:textId="77777777" w:rsidR="004215DA" w:rsidRPr="000B00BB"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0B00BB">
              <w:t>9.1</w:t>
            </w:r>
          </w:p>
        </w:tc>
      </w:tr>
      <w:tr w:rsidR="004215DA" w:rsidRPr="005F3FE7" w14:paraId="3F41BBBF"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59F233E1" w14:textId="77777777" w:rsidR="004215DA" w:rsidRPr="005F3FE7" w:rsidRDefault="004215DA" w:rsidP="0079482A">
            <w:r w:rsidRPr="005F3FE7">
              <w:t>Health care and social assistance</w:t>
            </w:r>
          </w:p>
        </w:tc>
        <w:tc>
          <w:tcPr>
            <w:tcW w:w="1353" w:type="dxa"/>
            <w:noWrap/>
            <w:vAlign w:val="center"/>
            <w:hideMark/>
          </w:tcPr>
          <w:p w14:paraId="3BBD149B"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18.6</w:t>
            </w:r>
          </w:p>
        </w:tc>
        <w:tc>
          <w:tcPr>
            <w:tcW w:w="1353" w:type="dxa"/>
            <w:noWrap/>
            <w:vAlign w:val="center"/>
            <w:hideMark/>
          </w:tcPr>
          <w:p w14:paraId="5FCC5E4A"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13.5</w:t>
            </w:r>
          </w:p>
        </w:tc>
        <w:tc>
          <w:tcPr>
            <w:tcW w:w="1353" w:type="dxa"/>
            <w:noWrap/>
            <w:vAlign w:val="center"/>
            <w:hideMark/>
          </w:tcPr>
          <w:p w14:paraId="3E4A30DF" w14:textId="77777777" w:rsidR="004215DA" w:rsidRPr="00084C6A"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084C6A">
              <w:t>13.2</w:t>
            </w:r>
          </w:p>
        </w:tc>
      </w:tr>
      <w:tr w:rsidR="004215DA" w:rsidRPr="005F3FE7" w14:paraId="78EC8637"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57CC54F8" w14:textId="77777777" w:rsidR="004215DA" w:rsidRPr="005F3FE7" w:rsidRDefault="004215DA" w:rsidP="0079482A">
            <w:r w:rsidRPr="005F3FE7">
              <w:t>Arts and recreation services</w:t>
            </w:r>
          </w:p>
        </w:tc>
        <w:tc>
          <w:tcPr>
            <w:tcW w:w="1353" w:type="dxa"/>
            <w:noWrap/>
            <w:vAlign w:val="center"/>
            <w:hideMark/>
          </w:tcPr>
          <w:p w14:paraId="54E48BFA"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1.0</w:t>
            </w:r>
          </w:p>
        </w:tc>
        <w:tc>
          <w:tcPr>
            <w:tcW w:w="1353" w:type="dxa"/>
            <w:noWrap/>
            <w:vAlign w:val="center"/>
            <w:hideMark/>
          </w:tcPr>
          <w:p w14:paraId="5EDAE683"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1.6</w:t>
            </w:r>
          </w:p>
        </w:tc>
        <w:tc>
          <w:tcPr>
            <w:tcW w:w="1353" w:type="dxa"/>
            <w:noWrap/>
            <w:vAlign w:val="center"/>
            <w:hideMark/>
          </w:tcPr>
          <w:p w14:paraId="0ECA10A0" w14:textId="77777777" w:rsidR="004215DA" w:rsidRPr="005F3FE7" w:rsidRDefault="004215DA" w:rsidP="00816106">
            <w:pPr>
              <w:jc w:val="right"/>
              <w:cnfStyle w:val="000000000000" w:firstRow="0" w:lastRow="0" w:firstColumn="0" w:lastColumn="0" w:oddVBand="0" w:evenVBand="0" w:oddHBand="0" w:evenHBand="0" w:firstRowFirstColumn="0" w:firstRowLastColumn="0" w:lastRowFirstColumn="0" w:lastRowLastColumn="0"/>
            </w:pPr>
            <w:r w:rsidRPr="005F3FE7">
              <w:t>1.7</w:t>
            </w:r>
          </w:p>
        </w:tc>
      </w:tr>
      <w:tr w:rsidR="004215DA" w:rsidRPr="005F3FE7" w14:paraId="7E71B304" w14:textId="77777777" w:rsidTr="00437B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24E5DFBF" w14:textId="77777777" w:rsidR="004215DA" w:rsidRPr="005F3FE7" w:rsidRDefault="004215DA" w:rsidP="0079482A">
            <w:r w:rsidRPr="005F3FE7">
              <w:t>Other services</w:t>
            </w:r>
          </w:p>
        </w:tc>
        <w:tc>
          <w:tcPr>
            <w:tcW w:w="1353" w:type="dxa"/>
            <w:noWrap/>
            <w:vAlign w:val="center"/>
            <w:hideMark/>
          </w:tcPr>
          <w:p w14:paraId="21C56E4B"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4.1</w:t>
            </w:r>
          </w:p>
        </w:tc>
        <w:tc>
          <w:tcPr>
            <w:tcW w:w="1353" w:type="dxa"/>
            <w:noWrap/>
            <w:vAlign w:val="center"/>
            <w:hideMark/>
          </w:tcPr>
          <w:p w14:paraId="2E24E6CC"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4.1</w:t>
            </w:r>
          </w:p>
        </w:tc>
        <w:tc>
          <w:tcPr>
            <w:tcW w:w="1353" w:type="dxa"/>
            <w:noWrap/>
            <w:vAlign w:val="center"/>
            <w:hideMark/>
          </w:tcPr>
          <w:p w14:paraId="58B6F8C0" w14:textId="77777777" w:rsidR="004215DA" w:rsidRPr="005F3FE7" w:rsidRDefault="004215DA" w:rsidP="00816106">
            <w:pPr>
              <w:jc w:val="right"/>
              <w:cnfStyle w:val="000000100000" w:firstRow="0" w:lastRow="0" w:firstColumn="0" w:lastColumn="0" w:oddVBand="0" w:evenVBand="0" w:oddHBand="1" w:evenHBand="0" w:firstRowFirstColumn="0" w:firstRowLastColumn="0" w:lastRowFirstColumn="0" w:lastRowLastColumn="0"/>
            </w:pPr>
            <w:r w:rsidRPr="005F3FE7">
              <w:t>3.9</w:t>
            </w:r>
          </w:p>
        </w:tc>
      </w:tr>
      <w:tr w:rsidR="004215DA" w:rsidRPr="005F3FE7" w14:paraId="404C9899" w14:textId="77777777" w:rsidTr="00437BD0">
        <w:trPr>
          <w:trHeight w:val="255"/>
        </w:trPr>
        <w:tc>
          <w:tcPr>
            <w:cnfStyle w:val="001000000000" w:firstRow="0" w:lastRow="0" w:firstColumn="1" w:lastColumn="0" w:oddVBand="0" w:evenVBand="0" w:oddHBand="0" w:evenHBand="0" w:firstRowFirstColumn="0" w:firstRowLastColumn="0" w:lastRowFirstColumn="0" w:lastRowLastColumn="0"/>
            <w:tcW w:w="4253" w:type="dxa"/>
            <w:hideMark/>
          </w:tcPr>
          <w:p w14:paraId="6AED956A" w14:textId="77777777" w:rsidR="004215DA" w:rsidRPr="005F3FE7" w:rsidRDefault="004215DA" w:rsidP="0079482A">
            <w:r w:rsidRPr="005F3FE7">
              <w:t>Total</w:t>
            </w:r>
          </w:p>
        </w:tc>
        <w:tc>
          <w:tcPr>
            <w:tcW w:w="1353" w:type="dxa"/>
            <w:noWrap/>
            <w:vAlign w:val="center"/>
            <w:hideMark/>
          </w:tcPr>
          <w:p w14:paraId="3789F22E" w14:textId="77777777" w:rsidR="004215DA" w:rsidRPr="001179F7" w:rsidRDefault="004215DA" w:rsidP="00816106">
            <w:pPr>
              <w:jc w:val="right"/>
              <w:cnfStyle w:val="000000000000" w:firstRow="0" w:lastRow="0" w:firstColumn="0" w:lastColumn="0" w:oddVBand="0" w:evenVBand="0" w:oddHBand="0" w:evenHBand="0" w:firstRowFirstColumn="0" w:firstRowLastColumn="0" w:lastRowFirstColumn="0" w:lastRowLastColumn="0"/>
              <w:rPr>
                <w:b/>
              </w:rPr>
            </w:pPr>
            <w:r w:rsidRPr="001179F7">
              <w:rPr>
                <w:b/>
              </w:rPr>
              <w:t>100.0</w:t>
            </w:r>
          </w:p>
        </w:tc>
        <w:tc>
          <w:tcPr>
            <w:tcW w:w="1353" w:type="dxa"/>
            <w:noWrap/>
            <w:vAlign w:val="center"/>
            <w:hideMark/>
          </w:tcPr>
          <w:p w14:paraId="421C8D20" w14:textId="77777777" w:rsidR="004215DA" w:rsidRPr="001179F7" w:rsidRDefault="004215DA" w:rsidP="00816106">
            <w:pPr>
              <w:jc w:val="right"/>
              <w:cnfStyle w:val="000000000000" w:firstRow="0" w:lastRow="0" w:firstColumn="0" w:lastColumn="0" w:oddVBand="0" w:evenVBand="0" w:oddHBand="0" w:evenHBand="0" w:firstRowFirstColumn="0" w:firstRowLastColumn="0" w:lastRowFirstColumn="0" w:lastRowLastColumn="0"/>
              <w:rPr>
                <w:b/>
              </w:rPr>
            </w:pPr>
            <w:r w:rsidRPr="001179F7">
              <w:rPr>
                <w:b/>
              </w:rPr>
              <w:t>100.0</w:t>
            </w:r>
          </w:p>
        </w:tc>
        <w:tc>
          <w:tcPr>
            <w:tcW w:w="1353" w:type="dxa"/>
            <w:noWrap/>
            <w:vAlign w:val="center"/>
            <w:hideMark/>
          </w:tcPr>
          <w:p w14:paraId="5C5EEA3A" w14:textId="77777777" w:rsidR="004215DA" w:rsidRPr="001179F7" w:rsidRDefault="004215DA" w:rsidP="00816106">
            <w:pPr>
              <w:jc w:val="right"/>
              <w:cnfStyle w:val="000000000000" w:firstRow="0" w:lastRow="0" w:firstColumn="0" w:lastColumn="0" w:oddVBand="0" w:evenVBand="0" w:oddHBand="0" w:evenHBand="0" w:firstRowFirstColumn="0" w:firstRowLastColumn="0" w:lastRowFirstColumn="0" w:lastRowLastColumn="0"/>
              <w:rPr>
                <w:b/>
              </w:rPr>
            </w:pPr>
            <w:r w:rsidRPr="001179F7">
              <w:rPr>
                <w:b/>
              </w:rPr>
              <w:t>100.0</w:t>
            </w:r>
          </w:p>
        </w:tc>
      </w:tr>
    </w:tbl>
    <w:p w14:paraId="55870424" w14:textId="77777777" w:rsidR="004215DA" w:rsidRPr="000613C9" w:rsidRDefault="004215DA" w:rsidP="009A08BF">
      <w:pPr>
        <w:spacing w:after="0"/>
        <w:rPr>
          <w:i/>
          <w:sz w:val="18"/>
          <w:szCs w:val="18"/>
        </w:rPr>
      </w:pPr>
      <w:r w:rsidRPr="000613C9">
        <w:rPr>
          <w:i/>
          <w:sz w:val="18"/>
          <w:szCs w:val="18"/>
        </w:rPr>
        <w:t xml:space="preserve">Source: Census of Population and Housing, 2016, </w:t>
      </w:r>
      <w:proofErr w:type="spellStart"/>
      <w:r w:rsidRPr="000613C9">
        <w:rPr>
          <w:i/>
          <w:sz w:val="18"/>
          <w:szCs w:val="18"/>
        </w:rPr>
        <w:t>TableBuilder</w:t>
      </w:r>
      <w:proofErr w:type="spellEnd"/>
      <w:r w:rsidRPr="000613C9">
        <w:rPr>
          <w:i/>
          <w:sz w:val="18"/>
          <w:szCs w:val="18"/>
        </w:rPr>
        <w:t>.</w:t>
      </w:r>
    </w:p>
    <w:p w14:paraId="37B6BBC2" w14:textId="77777777" w:rsidR="006E2F26" w:rsidRPr="006E2F26" w:rsidRDefault="004215DA" w:rsidP="006E2F26">
      <w:pPr>
        <w:rPr>
          <w:i/>
          <w:sz w:val="18"/>
          <w:szCs w:val="18"/>
        </w:rPr>
      </w:pPr>
      <w:r w:rsidRPr="00B51060">
        <w:rPr>
          <w:i/>
          <w:sz w:val="18"/>
          <w:szCs w:val="18"/>
        </w:rPr>
        <w:t>Note</w:t>
      </w:r>
      <w:r w:rsidR="00A02CC1">
        <w:rPr>
          <w:i/>
          <w:sz w:val="18"/>
          <w:szCs w:val="18"/>
        </w:rPr>
        <w:t>s</w:t>
      </w:r>
      <w:r w:rsidRPr="00B51060">
        <w:rPr>
          <w:i/>
          <w:sz w:val="18"/>
          <w:szCs w:val="18"/>
        </w:rPr>
        <w:t>: Data are based on place of usual residence</w:t>
      </w:r>
      <w:r w:rsidR="00A02CC1">
        <w:rPr>
          <w:i/>
          <w:sz w:val="18"/>
          <w:szCs w:val="18"/>
        </w:rPr>
        <w:t>.</w:t>
      </w:r>
      <w:r w:rsidR="007203D9">
        <w:rPr>
          <w:i/>
          <w:sz w:val="18"/>
          <w:szCs w:val="18"/>
        </w:rPr>
        <w:t xml:space="preserve"> </w:t>
      </w:r>
      <w:bookmarkStart w:id="70" w:name="_Hlk36221594"/>
      <w:r w:rsidR="006E2F26" w:rsidRPr="006E2F26">
        <w:rPr>
          <w:i/>
          <w:sz w:val="18"/>
          <w:szCs w:val="18"/>
        </w:rPr>
        <w:t>Due to rounding, the total percentages may not sum up</w:t>
      </w:r>
      <w:r w:rsidR="00173597">
        <w:rPr>
          <w:i/>
          <w:sz w:val="18"/>
          <w:szCs w:val="18"/>
        </w:rPr>
        <w:t xml:space="preserve"> exactly</w:t>
      </w:r>
      <w:r w:rsidR="006E2F26" w:rsidRPr="006E2F26">
        <w:rPr>
          <w:i/>
          <w:sz w:val="18"/>
          <w:szCs w:val="18"/>
        </w:rPr>
        <w:t xml:space="preserve"> to 100.</w:t>
      </w:r>
    </w:p>
    <w:bookmarkEnd w:id="70"/>
    <w:p w14:paraId="5F28557B" w14:textId="77777777" w:rsidR="00FA4F6C" w:rsidRDefault="00FA4F6C">
      <w:pPr>
        <w:jc w:val="left"/>
      </w:pPr>
      <w:r>
        <w:br w:type="page"/>
      </w:r>
    </w:p>
    <w:p w14:paraId="29644A31" w14:textId="77777777" w:rsidR="005C7CCC" w:rsidRDefault="005C7CCC">
      <w:pPr>
        <w:pStyle w:val="Heading2"/>
      </w:pPr>
      <w:bookmarkStart w:id="71" w:name="_Toc34818224"/>
      <w:bookmarkStart w:id="72" w:name="_Toc34935580"/>
      <w:bookmarkStart w:id="73" w:name="_Toc37258350"/>
      <w:r w:rsidRPr="005C7CCC">
        <w:lastRenderedPageBreak/>
        <w:t>Household characteristics</w:t>
      </w:r>
      <w:bookmarkEnd w:id="71"/>
      <w:bookmarkEnd w:id="72"/>
      <w:bookmarkEnd w:id="73"/>
    </w:p>
    <w:p w14:paraId="31076D6A" w14:textId="77777777" w:rsidR="00E00075" w:rsidRPr="005C7CCC" w:rsidRDefault="00C51FB2" w:rsidP="0079482A">
      <w:pPr>
        <w:rPr>
          <w:b/>
        </w:rPr>
      </w:pPr>
      <w:r>
        <w:t>In this section, we</w:t>
      </w:r>
      <w:r w:rsidR="00E00075">
        <w:t xml:space="preserve"> </w:t>
      </w:r>
      <w:r w:rsidR="00FC4BF9">
        <w:t xml:space="preserve">focus on </w:t>
      </w:r>
      <w:r w:rsidR="00E00075">
        <w:t>several key household characteristics</w:t>
      </w:r>
      <w:r w:rsidR="000E5F35">
        <w:t>.</w:t>
      </w:r>
    </w:p>
    <w:p w14:paraId="04FD53A1" w14:textId="40754929" w:rsidR="004215DA" w:rsidRPr="005F3FE7" w:rsidRDefault="000851DE" w:rsidP="00B51060">
      <w:pPr>
        <w:pStyle w:val="Caption"/>
      </w:pPr>
      <w:bookmarkStart w:id="74" w:name="_Ref36210943"/>
      <w:bookmarkStart w:id="75" w:name="_Toc34935539"/>
      <w:bookmarkStart w:id="76" w:name="_Toc37263574"/>
      <w:r>
        <w:t>Table</w:t>
      </w:r>
      <w:r w:rsidR="00B510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11</w:t>
      </w:r>
      <w:r w:rsidR="006C0554">
        <w:rPr>
          <w:noProof/>
        </w:rPr>
        <w:fldChar w:fldCharType="end"/>
      </w:r>
      <w:bookmarkEnd w:id="74"/>
      <w:r w:rsidR="00B51060">
        <w:t xml:space="preserve">: </w:t>
      </w:r>
      <w:r w:rsidR="004215DA" w:rsidRPr="005F3FE7">
        <w:t>Household structure</w:t>
      </w:r>
      <w:bookmarkEnd w:id="75"/>
      <w:r w:rsidR="00FC4BF9">
        <w:t xml:space="preserve"> </w:t>
      </w:r>
      <w:r w:rsidR="00A04953">
        <w:t>as a percentage of household types</w:t>
      </w:r>
      <w:bookmarkEnd w:id="76"/>
    </w:p>
    <w:tbl>
      <w:tblPr>
        <w:tblStyle w:val="ListTable3-Accent1"/>
        <w:tblW w:w="0" w:type="auto"/>
        <w:tblLayout w:type="fixed"/>
        <w:tblLook w:val="04A0" w:firstRow="1" w:lastRow="0" w:firstColumn="1" w:lastColumn="0" w:noHBand="0" w:noVBand="1"/>
      </w:tblPr>
      <w:tblGrid>
        <w:gridCol w:w="3402"/>
        <w:gridCol w:w="1400"/>
        <w:gridCol w:w="1400"/>
        <w:gridCol w:w="1401"/>
      </w:tblGrid>
      <w:tr w:rsidR="004215DA" w:rsidRPr="003542F0" w14:paraId="20DF518E" w14:textId="77777777" w:rsidTr="006C055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057DEBFB" w14:textId="77777777" w:rsidR="004215DA" w:rsidRPr="003542F0" w:rsidRDefault="004215DA" w:rsidP="0079482A"/>
        </w:tc>
        <w:tc>
          <w:tcPr>
            <w:tcW w:w="0" w:type="dxa"/>
            <w:shd w:val="clear" w:color="auto" w:fill="2F5496" w:themeFill="accent5" w:themeFillShade="BF"/>
            <w:noWrap/>
            <w:hideMark/>
          </w:tcPr>
          <w:p w14:paraId="4AD2C144"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Hinkler</w:t>
            </w:r>
          </w:p>
        </w:tc>
        <w:tc>
          <w:tcPr>
            <w:tcW w:w="0" w:type="dxa"/>
            <w:shd w:val="clear" w:color="auto" w:fill="2F5496" w:themeFill="accent5" w:themeFillShade="BF"/>
            <w:noWrap/>
            <w:hideMark/>
          </w:tcPr>
          <w:p w14:paraId="124D39AE"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hideMark/>
          </w:tcPr>
          <w:p w14:paraId="37AA71DF"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26C9C833"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32486A63" w14:textId="77777777" w:rsidR="004215DA" w:rsidRPr="005F3FE7" w:rsidRDefault="004215DA" w:rsidP="0079482A">
            <w:r w:rsidRPr="005F3FE7">
              <w:t>Couple family with no children</w:t>
            </w:r>
          </w:p>
        </w:tc>
        <w:tc>
          <w:tcPr>
            <w:tcW w:w="1400" w:type="dxa"/>
            <w:noWrap/>
            <w:hideMark/>
          </w:tcPr>
          <w:p w14:paraId="1F261B7A"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31.0</w:t>
            </w:r>
          </w:p>
        </w:tc>
        <w:tc>
          <w:tcPr>
            <w:tcW w:w="1400" w:type="dxa"/>
            <w:noWrap/>
            <w:hideMark/>
          </w:tcPr>
          <w:p w14:paraId="13F8E40D"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25.9</w:t>
            </w:r>
          </w:p>
        </w:tc>
        <w:tc>
          <w:tcPr>
            <w:tcW w:w="1401" w:type="dxa"/>
            <w:noWrap/>
            <w:hideMark/>
          </w:tcPr>
          <w:p w14:paraId="4E517A33"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24.8</w:t>
            </w:r>
          </w:p>
        </w:tc>
      </w:tr>
      <w:tr w:rsidR="004215DA" w:rsidRPr="005F3FE7" w14:paraId="2590673B"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61225EB" w14:textId="77777777" w:rsidR="004215DA" w:rsidRPr="005F3FE7" w:rsidRDefault="004215DA" w:rsidP="0079482A">
            <w:r w:rsidRPr="005F3FE7">
              <w:t>Couple family with children</w:t>
            </w:r>
          </w:p>
        </w:tc>
        <w:tc>
          <w:tcPr>
            <w:tcW w:w="1400" w:type="dxa"/>
            <w:noWrap/>
            <w:hideMark/>
          </w:tcPr>
          <w:p w14:paraId="21457699"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20.4</w:t>
            </w:r>
          </w:p>
        </w:tc>
        <w:tc>
          <w:tcPr>
            <w:tcW w:w="1400" w:type="dxa"/>
            <w:noWrap/>
            <w:hideMark/>
          </w:tcPr>
          <w:p w14:paraId="00E39757"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28.7</w:t>
            </w:r>
          </w:p>
        </w:tc>
        <w:tc>
          <w:tcPr>
            <w:tcW w:w="1401" w:type="dxa"/>
            <w:noWrap/>
            <w:hideMark/>
          </w:tcPr>
          <w:p w14:paraId="36318A38"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30.3</w:t>
            </w:r>
          </w:p>
        </w:tc>
      </w:tr>
      <w:tr w:rsidR="004215DA" w:rsidRPr="005F3FE7" w14:paraId="0546CD55"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2FD4FC0E" w14:textId="77777777" w:rsidR="004215DA" w:rsidRPr="005F3FE7" w:rsidRDefault="004215DA" w:rsidP="0079482A">
            <w:r w:rsidRPr="005F3FE7">
              <w:t>One parent family</w:t>
            </w:r>
          </w:p>
        </w:tc>
        <w:tc>
          <w:tcPr>
            <w:tcW w:w="1400" w:type="dxa"/>
            <w:noWrap/>
            <w:hideMark/>
          </w:tcPr>
          <w:p w14:paraId="18D672B7"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11.0</w:t>
            </w:r>
          </w:p>
        </w:tc>
        <w:tc>
          <w:tcPr>
            <w:tcW w:w="1400" w:type="dxa"/>
            <w:noWrap/>
            <w:hideMark/>
          </w:tcPr>
          <w:p w14:paraId="75FB90D9"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10.7</w:t>
            </w:r>
          </w:p>
        </w:tc>
        <w:tc>
          <w:tcPr>
            <w:tcW w:w="1401" w:type="dxa"/>
            <w:noWrap/>
            <w:hideMark/>
          </w:tcPr>
          <w:p w14:paraId="4EF0C1C7"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10.4</w:t>
            </w:r>
          </w:p>
        </w:tc>
      </w:tr>
      <w:tr w:rsidR="004215DA" w:rsidRPr="005F3FE7" w14:paraId="6913C43D"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3402" w:type="dxa"/>
            <w:noWrap/>
            <w:hideMark/>
          </w:tcPr>
          <w:p w14:paraId="083FE7C9" w14:textId="77777777" w:rsidR="004215DA" w:rsidRPr="005F3FE7" w:rsidRDefault="004215DA" w:rsidP="0079482A">
            <w:r w:rsidRPr="005F3FE7">
              <w:t>Other family</w:t>
            </w:r>
          </w:p>
        </w:tc>
        <w:tc>
          <w:tcPr>
            <w:tcW w:w="1400" w:type="dxa"/>
            <w:noWrap/>
            <w:hideMark/>
          </w:tcPr>
          <w:p w14:paraId="16ABBC73"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0.8</w:t>
            </w:r>
          </w:p>
        </w:tc>
        <w:tc>
          <w:tcPr>
            <w:tcW w:w="1400" w:type="dxa"/>
            <w:noWrap/>
            <w:hideMark/>
          </w:tcPr>
          <w:p w14:paraId="5569449E"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1.1</w:t>
            </w:r>
          </w:p>
        </w:tc>
        <w:tc>
          <w:tcPr>
            <w:tcW w:w="1401" w:type="dxa"/>
            <w:noWrap/>
            <w:hideMark/>
          </w:tcPr>
          <w:p w14:paraId="427A4E1F"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1.2</w:t>
            </w:r>
          </w:p>
        </w:tc>
      </w:tr>
      <w:tr w:rsidR="004215DA" w:rsidRPr="005F3FE7" w14:paraId="05028821"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hideMark/>
          </w:tcPr>
          <w:p w14:paraId="365C5537" w14:textId="77777777" w:rsidR="004215DA" w:rsidRPr="005F3FE7" w:rsidRDefault="004215DA" w:rsidP="0079482A">
            <w:r w:rsidRPr="005F3FE7">
              <w:t>Lone person household</w:t>
            </w:r>
          </w:p>
        </w:tc>
        <w:tc>
          <w:tcPr>
            <w:tcW w:w="1400" w:type="dxa"/>
            <w:noWrap/>
            <w:hideMark/>
          </w:tcPr>
          <w:p w14:paraId="0F3DFEE4"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24.3</w:t>
            </w:r>
          </w:p>
        </w:tc>
        <w:tc>
          <w:tcPr>
            <w:tcW w:w="1400" w:type="dxa"/>
            <w:noWrap/>
            <w:hideMark/>
          </w:tcPr>
          <w:p w14:paraId="5868377C"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21.7</w:t>
            </w:r>
          </w:p>
        </w:tc>
        <w:tc>
          <w:tcPr>
            <w:tcW w:w="1401" w:type="dxa"/>
            <w:noWrap/>
            <w:hideMark/>
          </w:tcPr>
          <w:p w14:paraId="312574E7"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22.8</w:t>
            </w:r>
          </w:p>
        </w:tc>
      </w:tr>
      <w:tr w:rsidR="004215DA" w:rsidRPr="005F3FE7" w14:paraId="725C261E"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3402" w:type="dxa"/>
            <w:hideMark/>
          </w:tcPr>
          <w:p w14:paraId="4D2D1508" w14:textId="77777777" w:rsidR="004215DA" w:rsidRPr="005F3FE7" w:rsidRDefault="004215DA" w:rsidP="0079482A">
            <w:r w:rsidRPr="005F3FE7">
              <w:t>Group household</w:t>
            </w:r>
          </w:p>
        </w:tc>
        <w:tc>
          <w:tcPr>
            <w:tcW w:w="1400" w:type="dxa"/>
            <w:noWrap/>
            <w:hideMark/>
          </w:tcPr>
          <w:p w14:paraId="558CB2D7"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3.2</w:t>
            </w:r>
          </w:p>
        </w:tc>
        <w:tc>
          <w:tcPr>
            <w:tcW w:w="1400" w:type="dxa"/>
            <w:noWrap/>
            <w:hideMark/>
          </w:tcPr>
          <w:p w14:paraId="11B5C144"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4.3</w:t>
            </w:r>
          </w:p>
        </w:tc>
        <w:tc>
          <w:tcPr>
            <w:tcW w:w="1401" w:type="dxa"/>
            <w:noWrap/>
            <w:hideMark/>
          </w:tcPr>
          <w:p w14:paraId="04C41B68"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4.0</w:t>
            </w:r>
          </w:p>
        </w:tc>
      </w:tr>
      <w:tr w:rsidR="004215DA" w:rsidRPr="005F3FE7" w14:paraId="727D8C13"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hideMark/>
          </w:tcPr>
          <w:p w14:paraId="542F35B9" w14:textId="77777777" w:rsidR="004215DA" w:rsidRPr="005F3FE7" w:rsidRDefault="004215DA" w:rsidP="0079482A">
            <w:r w:rsidRPr="005F3FE7">
              <w:t>Visitors only household</w:t>
            </w:r>
          </w:p>
        </w:tc>
        <w:tc>
          <w:tcPr>
            <w:tcW w:w="1400" w:type="dxa"/>
            <w:noWrap/>
            <w:hideMark/>
          </w:tcPr>
          <w:p w14:paraId="322CD88B"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4.5</w:t>
            </w:r>
          </w:p>
        </w:tc>
        <w:tc>
          <w:tcPr>
            <w:tcW w:w="1400" w:type="dxa"/>
            <w:noWrap/>
            <w:hideMark/>
          </w:tcPr>
          <w:p w14:paraId="7D7C1A45"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2.4</w:t>
            </w:r>
          </w:p>
        </w:tc>
        <w:tc>
          <w:tcPr>
            <w:tcW w:w="1401" w:type="dxa"/>
            <w:noWrap/>
            <w:hideMark/>
          </w:tcPr>
          <w:p w14:paraId="1D08B7BD" w14:textId="77777777" w:rsidR="004215DA" w:rsidRPr="001A3401" w:rsidRDefault="004215DA" w:rsidP="001A3401">
            <w:pPr>
              <w:jc w:val="right"/>
              <w:cnfStyle w:val="000000100000" w:firstRow="0" w:lastRow="0" w:firstColumn="0" w:lastColumn="0" w:oddVBand="0" w:evenVBand="0" w:oddHBand="1" w:evenHBand="0" w:firstRowFirstColumn="0" w:firstRowLastColumn="0" w:lastRowFirstColumn="0" w:lastRowLastColumn="0"/>
            </w:pPr>
            <w:r w:rsidRPr="001A3401">
              <w:t>1.7</w:t>
            </w:r>
          </w:p>
        </w:tc>
      </w:tr>
      <w:tr w:rsidR="004215DA" w:rsidRPr="005F3FE7" w14:paraId="797E5EBF"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3402" w:type="dxa"/>
            <w:hideMark/>
          </w:tcPr>
          <w:p w14:paraId="55739A81" w14:textId="77777777" w:rsidR="004215DA" w:rsidRPr="005F3FE7" w:rsidRDefault="004215DA" w:rsidP="0079482A">
            <w:r w:rsidRPr="005F3FE7">
              <w:t>Other non-classifiable household</w:t>
            </w:r>
          </w:p>
        </w:tc>
        <w:tc>
          <w:tcPr>
            <w:tcW w:w="1400" w:type="dxa"/>
            <w:noWrap/>
            <w:hideMark/>
          </w:tcPr>
          <w:p w14:paraId="4EFB2C64"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4.8</w:t>
            </w:r>
          </w:p>
        </w:tc>
        <w:tc>
          <w:tcPr>
            <w:tcW w:w="1400" w:type="dxa"/>
            <w:noWrap/>
            <w:hideMark/>
          </w:tcPr>
          <w:p w14:paraId="14E2D6E4"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5.1</w:t>
            </w:r>
          </w:p>
        </w:tc>
        <w:tc>
          <w:tcPr>
            <w:tcW w:w="1401" w:type="dxa"/>
            <w:noWrap/>
            <w:hideMark/>
          </w:tcPr>
          <w:p w14:paraId="5D5AA525" w14:textId="77777777" w:rsidR="004215DA" w:rsidRPr="001A3401" w:rsidRDefault="004215DA" w:rsidP="001A3401">
            <w:pPr>
              <w:jc w:val="right"/>
              <w:cnfStyle w:val="000000000000" w:firstRow="0" w:lastRow="0" w:firstColumn="0" w:lastColumn="0" w:oddVBand="0" w:evenVBand="0" w:oddHBand="0" w:evenHBand="0" w:firstRowFirstColumn="0" w:firstRowLastColumn="0" w:lastRowFirstColumn="0" w:lastRowLastColumn="0"/>
            </w:pPr>
            <w:r w:rsidRPr="001A3401">
              <w:t>4.8</w:t>
            </w:r>
          </w:p>
        </w:tc>
      </w:tr>
      <w:tr w:rsidR="004215DA" w:rsidRPr="005F3FE7" w14:paraId="0625363E"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hideMark/>
          </w:tcPr>
          <w:p w14:paraId="0005AB38" w14:textId="77777777" w:rsidR="004215DA" w:rsidRPr="005F3FE7" w:rsidRDefault="004215DA" w:rsidP="0079482A">
            <w:r w:rsidRPr="005F3FE7">
              <w:t>Total</w:t>
            </w:r>
          </w:p>
        </w:tc>
        <w:tc>
          <w:tcPr>
            <w:tcW w:w="1400" w:type="dxa"/>
            <w:noWrap/>
            <w:hideMark/>
          </w:tcPr>
          <w:p w14:paraId="7486311F" w14:textId="77777777" w:rsidR="004215DA" w:rsidRPr="001179F7" w:rsidRDefault="004215DA" w:rsidP="001A3401">
            <w:pPr>
              <w:jc w:val="right"/>
              <w:cnfStyle w:val="000000100000" w:firstRow="0" w:lastRow="0" w:firstColumn="0" w:lastColumn="0" w:oddVBand="0" w:evenVBand="0" w:oddHBand="1" w:evenHBand="0" w:firstRowFirstColumn="0" w:firstRowLastColumn="0" w:lastRowFirstColumn="0" w:lastRowLastColumn="0"/>
              <w:rPr>
                <w:b/>
              </w:rPr>
            </w:pPr>
            <w:r w:rsidRPr="001179F7">
              <w:rPr>
                <w:b/>
              </w:rPr>
              <w:t>100.0</w:t>
            </w:r>
          </w:p>
        </w:tc>
        <w:tc>
          <w:tcPr>
            <w:tcW w:w="1400" w:type="dxa"/>
            <w:noWrap/>
            <w:hideMark/>
          </w:tcPr>
          <w:p w14:paraId="5B1771CA" w14:textId="77777777" w:rsidR="004215DA" w:rsidRPr="001179F7" w:rsidRDefault="004215DA" w:rsidP="001A3401">
            <w:pPr>
              <w:jc w:val="right"/>
              <w:cnfStyle w:val="000000100000" w:firstRow="0" w:lastRow="0" w:firstColumn="0" w:lastColumn="0" w:oddVBand="0" w:evenVBand="0" w:oddHBand="1" w:evenHBand="0" w:firstRowFirstColumn="0" w:firstRowLastColumn="0" w:lastRowFirstColumn="0" w:lastRowLastColumn="0"/>
              <w:rPr>
                <w:b/>
              </w:rPr>
            </w:pPr>
            <w:r w:rsidRPr="001179F7">
              <w:rPr>
                <w:b/>
              </w:rPr>
              <w:t>100.0</w:t>
            </w:r>
          </w:p>
        </w:tc>
        <w:tc>
          <w:tcPr>
            <w:tcW w:w="1401" w:type="dxa"/>
            <w:noWrap/>
            <w:hideMark/>
          </w:tcPr>
          <w:p w14:paraId="2D754001" w14:textId="77777777" w:rsidR="004215DA" w:rsidRPr="001179F7" w:rsidRDefault="004215DA" w:rsidP="001A3401">
            <w:pPr>
              <w:jc w:val="right"/>
              <w:cnfStyle w:val="000000100000" w:firstRow="0" w:lastRow="0" w:firstColumn="0" w:lastColumn="0" w:oddVBand="0" w:evenVBand="0" w:oddHBand="1" w:evenHBand="0" w:firstRowFirstColumn="0" w:firstRowLastColumn="0" w:lastRowFirstColumn="0" w:lastRowLastColumn="0"/>
              <w:rPr>
                <w:b/>
              </w:rPr>
            </w:pPr>
            <w:r w:rsidRPr="001179F7">
              <w:rPr>
                <w:b/>
              </w:rPr>
              <w:t>100.0</w:t>
            </w:r>
          </w:p>
        </w:tc>
      </w:tr>
    </w:tbl>
    <w:p w14:paraId="5C9E8DC3" w14:textId="77777777" w:rsidR="004215DA" w:rsidRPr="00B51060" w:rsidRDefault="004215DA" w:rsidP="00B51060">
      <w:pPr>
        <w:spacing w:after="0"/>
        <w:rPr>
          <w:i/>
          <w:sz w:val="18"/>
          <w:szCs w:val="18"/>
        </w:rPr>
      </w:pPr>
      <w:r w:rsidRPr="00B51060">
        <w:rPr>
          <w:i/>
          <w:sz w:val="18"/>
          <w:szCs w:val="18"/>
        </w:rPr>
        <w:t xml:space="preserve">Source: Census of Population and Housing, 2016, </w:t>
      </w:r>
      <w:proofErr w:type="spellStart"/>
      <w:r w:rsidRPr="00B51060">
        <w:rPr>
          <w:i/>
          <w:sz w:val="18"/>
          <w:szCs w:val="18"/>
        </w:rPr>
        <w:t>TableBuilder</w:t>
      </w:r>
      <w:proofErr w:type="spellEnd"/>
      <w:r w:rsidRPr="00B51060">
        <w:rPr>
          <w:i/>
          <w:sz w:val="18"/>
          <w:szCs w:val="18"/>
        </w:rPr>
        <w:t>.</w:t>
      </w:r>
    </w:p>
    <w:p w14:paraId="49B1563E" w14:textId="77777777" w:rsidR="006E2F26" w:rsidRPr="006E2F26" w:rsidRDefault="004215DA" w:rsidP="00A4064D">
      <w:pPr>
        <w:spacing w:after="360"/>
        <w:rPr>
          <w:i/>
          <w:sz w:val="18"/>
          <w:szCs w:val="18"/>
        </w:rPr>
      </w:pPr>
      <w:r w:rsidRPr="00B51060">
        <w:rPr>
          <w:i/>
          <w:sz w:val="18"/>
          <w:szCs w:val="18"/>
        </w:rPr>
        <w:t>Note</w:t>
      </w:r>
      <w:r w:rsidR="00BE06D1">
        <w:rPr>
          <w:i/>
          <w:sz w:val="18"/>
          <w:szCs w:val="18"/>
        </w:rPr>
        <w:t>s</w:t>
      </w:r>
      <w:r w:rsidRPr="00B51060">
        <w:rPr>
          <w:i/>
          <w:sz w:val="18"/>
          <w:szCs w:val="18"/>
        </w:rPr>
        <w:t>: Data are based on place of enumeration</w:t>
      </w:r>
      <w:r w:rsidR="007203D9">
        <w:rPr>
          <w:i/>
          <w:sz w:val="18"/>
          <w:szCs w:val="18"/>
        </w:rPr>
        <w:t xml:space="preserve"> (i.e. where people actually were on Census night)</w:t>
      </w:r>
      <w:r w:rsidRPr="00B51060">
        <w:rPr>
          <w:i/>
          <w:sz w:val="18"/>
          <w:szCs w:val="18"/>
        </w:rPr>
        <w:t>.</w:t>
      </w:r>
      <w:r w:rsidR="00BE06D1">
        <w:rPr>
          <w:i/>
          <w:sz w:val="18"/>
          <w:szCs w:val="18"/>
        </w:rPr>
        <w:t xml:space="preserve"> </w:t>
      </w:r>
      <w:r w:rsidR="007203D9" w:rsidRPr="007203D9">
        <w:rPr>
          <w:i/>
          <w:sz w:val="18"/>
          <w:szCs w:val="18"/>
        </w:rPr>
        <w:t xml:space="preserve">Hinkler refers to </w:t>
      </w:r>
      <w:r w:rsidR="0071207E">
        <w:rPr>
          <w:i/>
          <w:sz w:val="18"/>
          <w:szCs w:val="18"/>
        </w:rPr>
        <w:t xml:space="preserve">the whole </w:t>
      </w:r>
      <w:r w:rsidR="00CF5DF4">
        <w:rPr>
          <w:i/>
          <w:sz w:val="18"/>
          <w:szCs w:val="18"/>
        </w:rPr>
        <w:t>population</w:t>
      </w:r>
      <w:r w:rsidR="007203D9" w:rsidRPr="007203D9">
        <w:rPr>
          <w:i/>
          <w:sz w:val="18"/>
          <w:szCs w:val="18"/>
        </w:rPr>
        <w:t xml:space="preserve"> in the </w:t>
      </w:r>
      <w:r w:rsidR="00013D85" w:rsidRPr="00013D85">
        <w:rPr>
          <w:i/>
          <w:sz w:val="18"/>
          <w:szCs w:val="18"/>
        </w:rPr>
        <w:t>Federal electorate of Hinkler</w:t>
      </w:r>
      <w:r w:rsidR="00BA67CC">
        <w:rPr>
          <w:i/>
          <w:sz w:val="18"/>
          <w:szCs w:val="18"/>
        </w:rPr>
        <w:t>.</w:t>
      </w:r>
      <w:r w:rsidR="0071207E">
        <w:rPr>
          <w:i/>
          <w:sz w:val="18"/>
          <w:szCs w:val="18"/>
        </w:rPr>
        <w:t xml:space="preserve"> </w:t>
      </w:r>
      <w:r w:rsidR="00BA67CC">
        <w:rPr>
          <w:i/>
          <w:sz w:val="18"/>
          <w:szCs w:val="18"/>
        </w:rPr>
        <w:t>‘</w:t>
      </w:r>
      <w:r w:rsidR="0071207E" w:rsidRPr="0071207E">
        <w:rPr>
          <w:i/>
          <w:sz w:val="18"/>
          <w:szCs w:val="18"/>
        </w:rPr>
        <w:t>Other family</w:t>
      </w:r>
      <w:r w:rsidR="00BA67CC">
        <w:rPr>
          <w:i/>
          <w:sz w:val="18"/>
          <w:szCs w:val="18"/>
        </w:rPr>
        <w:t>’</w:t>
      </w:r>
      <w:r w:rsidR="0071207E" w:rsidRPr="0071207E">
        <w:rPr>
          <w:i/>
          <w:sz w:val="18"/>
          <w:szCs w:val="18"/>
        </w:rPr>
        <w:t xml:space="preserve"> is defined as a group of related individuals residing in the same household, who cannot be categorised as belonging to a couple or one parent family.</w:t>
      </w:r>
      <w:r w:rsidR="0071207E">
        <w:rPr>
          <w:i/>
          <w:sz w:val="18"/>
          <w:szCs w:val="18"/>
        </w:rPr>
        <w:t xml:space="preserve"> </w:t>
      </w:r>
      <w:r w:rsidR="00DE411A">
        <w:rPr>
          <w:i/>
          <w:sz w:val="18"/>
          <w:szCs w:val="18"/>
        </w:rPr>
        <w:t>‘</w:t>
      </w:r>
      <w:r w:rsidR="0071207E">
        <w:rPr>
          <w:i/>
          <w:sz w:val="18"/>
          <w:szCs w:val="18"/>
        </w:rPr>
        <w:t>Visitors only household</w:t>
      </w:r>
      <w:r w:rsidR="00DE411A">
        <w:rPr>
          <w:i/>
          <w:sz w:val="18"/>
          <w:szCs w:val="18"/>
        </w:rPr>
        <w:t>’</w:t>
      </w:r>
      <w:r w:rsidR="0071207E">
        <w:rPr>
          <w:i/>
          <w:sz w:val="18"/>
          <w:szCs w:val="18"/>
        </w:rPr>
        <w:t xml:space="preserve"> is defined as a</w:t>
      </w:r>
      <w:r w:rsidR="0071207E" w:rsidRPr="0071207E">
        <w:rPr>
          <w:i/>
          <w:sz w:val="18"/>
          <w:szCs w:val="18"/>
        </w:rPr>
        <w:t xml:space="preserve"> household containing only a visiting family (e.g. a famil</w:t>
      </w:r>
      <w:r w:rsidR="0071207E">
        <w:rPr>
          <w:i/>
          <w:sz w:val="18"/>
          <w:szCs w:val="18"/>
        </w:rPr>
        <w:t>y at a holiday home).</w:t>
      </w:r>
      <w:r w:rsidR="0071207E" w:rsidRPr="0071207E">
        <w:t xml:space="preserve"> </w:t>
      </w:r>
      <w:r w:rsidR="00DE411A">
        <w:t>‘</w:t>
      </w:r>
      <w:r w:rsidR="0071207E" w:rsidRPr="0071207E">
        <w:rPr>
          <w:i/>
          <w:sz w:val="18"/>
          <w:szCs w:val="18"/>
        </w:rPr>
        <w:t>Other non-classifiable household</w:t>
      </w:r>
      <w:r w:rsidR="00DE411A">
        <w:rPr>
          <w:i/>
          <w:sz w:val="18"/>
          <w:szCs w:val="18"/>
        </w:rPr>
        <w:t>’</w:t>
      </w:r>
      <w:r w:rsidR="005425BF">
        <w:rPr>
          <w:i/>
          <w:sz w:val="18"/>
          <w:szCs w:val="18"/>
        </w:rPr>
        <w:t xml:space="preserve"> is defined as a household that does not belong to any </w:t>
      </w:r>
      <w:r w:rsidR="0053035B">
        <w:rPr>
          <w:i/>
          <w:sz w:val="18"/>
          <w:szCs w:val="18"/>
        </w:rPr>
        <w:t xml:space="preserve">of the above </w:t>
      </w:r>
      <w:r w:rsidR="005425BF">
        <w:rPr>
          <w:i/>
          <w:sz w:val="18"/>
          <w:szCs w:val="18"/>
        </w:rPr>
        <w:t>categor</w:t>
      </w:r>
      <w:r w:rsidR="0053035B">
        <w:rPr>
          <w:i/>
          <w:sz w:val="18"/>
          <w:szCs w:val="18"/>
        </w:rPr>
        <w:t>ies</w:t>
      </w:r>
      <w:r w:rsidR="005425BF">
        <w:rPr>
          <w:i/>
          <w:sz w:val="18"/>
          <w:szCs w:val="18"/>
        </w:rPr>
        <w:t>.</w:t>
      </w:r>
      <w:r w:rsidR="0071207E">
        <w:rPr>
          <w:i/>
          <w:sz w:val="18"/>
          <w:szCs w:val="18"/>
        </w:rPr>
        <w:t xml:space="preserve"> </w:t>
      </w:r>
      <w:r w:rsidR="006E2F26" w:rsidRPr="006E2F26">
        <w:rPr>
          <w:i/>
          <w:sz w:val="18"/>
          <w:szCs w:val="18"/>
        </w:rPr>
        <w:t>Due to rounding, the total percentages may not sum up</w:t>
      </w:r>
      <w:r w:rsidR="00173597">
        <w:rPr>
          <w:i/>
          <w:sz w:val="18"/>
          <w:szCs w:val="18"/>
        </w:rPr>
        <w:t xml:space="preserve"> exactly</w:t>
      </w:r>
      <w:r w:rsidR="006E2F26" w:rsidRPr="006E2F26">
        <w:rPr>
          <w:i/>
          <w:sz w:val="18"/>
          <w:szCs w:val="18"/>
        </w:rPr>
        <w:t xml:space="preserve"> to 100.</w:t>
      </w:r>
    </w:p>
    <w:p w14:paraId="2335D297" w14:textId="0721F9EA" w:rsidR="004215DA" w:rsidRPr="00546A1E" w:rsidRDefault="000264E8" w:rsidP="001D7A03">
      <w:r>
        <w:fldChar w:fldCharType="begin"/>
      </w:r>
      <w:r>
        <w:instrText xml:space="preserve"> REF _Ref36210943 \h </w:instrText>
      </w:r>
      <w:r>
        <w:fldChar w:fldCharType="separate"/>
      </w:r>
      <w:r w:rsidR="008E2086">
        <w:t xml:space="preserve">Table </w:t>
      </w:r>
      <w:r w:rsidR="008E2086">
        <w:rPr>
          <w:noProof/>
        </w:rPr>
        <w:t>2</w:t>
      </w:r>
      <w:r w:rsidR="008E2086">
        <w:noBreakHyphen/>
      </w:r>
      <w:r w:rsidR="008E2086">
        <w:rPr>
          <w:noProof/>
        </w:rPr>
        <w:t>11</w:t>
      </w:r>
      <w:r>
        <w:fldChar w:fldCharType="end"/>
      </w:r>
      <w:r w:rsidR="00AA7D2C">
        <w:t xml:space="preserve"> shows that a</w:t>
      </w:r>
      <w:r w:rsidR="004215DA" w:rsidRPr="00546A1E">
        <w:t xml:space="preserve">bout one third of the households in </w:t>
      </w:r>
      <w:r w:rsidR="001D7A03">
        <w:t xml:space="preserve">the </w:t>
      </w:r>
      <w:r w:rsidR="00013D85">
        <w:t>F</w:t>
      </w:r>
      <w:r w:rsidR="00013D85" w:rsidRPr="007A58F7">
        <w:t>ederal electorate</w:t>
      </w:r>
      <w:r w:rsidR="00013D85" w:rsidRPr="0079482A">
        <w:t xml:space="preserve"> </w:t>
      </w:r>
      <w:r w:rsidR="00013D85">
        <w:t xml:space="preserve">of </w:t>
      </w:r>
      <w:r w:rsidR="00013D85" w:rsidRPr="0079482A">
        <w:t>Hinkler</w:t>
      </w:r>
      <w:r w:rsidR="00BE06D1" w:rsidRPr="00BE06D1" w:rsidDel="00BE06D1">
        <w:t xml:space="preserve"> </w:t>
      </w:r>
      <w:r w:rsidR="00C51FB2">
        <w:t>are</w:t>
      </w:r>
      <w:r w:rsidR="004215DA" w:rsidRPr="00546A1E">
        <w:t xml:space="preserve"> couple family with no children, a</w:t>
      </w:r>
      <w:r w:rsidR="00AA7D2C">
        <w:t>bout a quarter are</w:t>
      </w:r>
      <w:r w:rsidR="00C51FB2">
        <w:t xml:space="preserve"> a </w:t>
      </w:r>
      <w:r w:rsidR="004215DA" w:rsidRPr="00546A1E">
        <w:t xml:space="preserve">lone person household, one in five are </w:t>
      </w:r>
      <w:r w:rsidR="00AA7D2C">
        <w:t xml:space="preserve">in a </w:t>
      </w:r>
      <w:r w:rsidR="004215DA" w:rsidRPr="00546A1E">
        <w:t xml:space="preserve">couple family with children, and one in ten are </w:t>
      </w:r>
      <w:r w:rsidR="00AA7D2C">
        <w:t xml:space="preserve">a </w:t>
      </w:r>
      <w:r w:rsidR="004215DA" w:rsidRPr="00546A1E">
        <w:t>one parent family.</w:t>
      </w:r>
    </w:p>
    <w:p w14:paraId="62DCB8C7" w14:textId="1A8F84E2" w:rsidR="0053035B" w:rsidRDefault="004215DA" w:rsidP="001D7A03">
      <w:r w:rsidRPr="00546A1E">
        <w:t xml:space="preserve">Compared with </w:t>
      </w:r>
      <w:r w:rsidR="00C6655C">
        <w:t xml:space="preserve">the state of </w:t>
      </w:r>
      <w:r w:rsidRPr="00546A1E">
        <w:t xml:space="preserve">Queensland </w:t>
      </w:r>
      <w:r w:rsidR="00C6655C">
        <w:t xml:space="preserve">as a whole </w:t>
      </w:r>
      <w:r w:rsidRPr="00546A1E">
        <w:t>an</w:t>
      </w:r>
      <w:r w:rsidR="00AA7D2C">
        <w:t xml:space="preserve">d Australia, </w:t>
      </w:r>
      <w:r w:rsidR="00BE06D1">
        <w:t xml:space="preserve">the </w:t>
      </w:r>
      <w:r w:rsidR="00013D85">
        <w:t>F</w:t>
      </w:r>
      <w:r w:rsidR="00013D85" w:rsidRPr="007A58F7">
        <w:t>ederal electorate</w:t>
      </w:r>
      <w:r w:rsidR="00013D85" w:rsidRPr="0079482A">
        <w:t xml:space="preserve"> </w:t>
      </w:r>
      <w:r w:rsidR="00013D85">
        <w:t xml:space="preserve">of </w:t>
      </w:r>
      <w:r w:rsidR="00013D85" w:rsidRPr="0079482A">
        <w:t>Hinkler</w:t>
      </w:r>
      <w:r w:rsidR="00AA7D2C">
        <w:t xml:space="preserve"> has</w:t>
      </w:r>
      <w:r w:rsidRPr="00546A1E">
        <w:t xml:space="preserve"> a larger proportion of lone person household</w:t>
      </w:r>
      <w:r w:rsidR="00AA7D2C">
        <w:t>s</w:t>
      </w:r>
      <w:r w:rsidRPr="00546A1E">
        <w:t xml:space="preserve"> and </w:t>
      </w:r>
      <w:r w:rsidR="00AA7D2C">
        <w:t>household</w:t>
      </w:r>
      <w:r w:rsidR="00C6655C">
        <w:t>s</w:t>
      </w:r>
      <w:r w:rsidR="00AA7D2C">
        <w:t xml:space="preserve"> of a </w:t>
      </w:r>
      <w:r w:rsidRPr="00546A1E">
        <w:t>couple family with no children</w:t>
      </w:r>
      <w:r w:rsidR="00AA7D2C">
        <w:t xml:space="preserve"> (</w:t>
      </w:r>
      <w:r w:rsidR="000264E8">
        <w:fldChar w:fldCharType="begin"/>
      </w:r>
      <w:r w:rsidR="000264E8">
        <w:instrText xml:space="preserve"> REF _Ref36210943 \h </w:instrText>
      </w:r>
      <w:r w:rsidR="000264E8">
        <w:fldChar w:fldCharType="separate"/>
      </w:r>
      <w:r w:rsidR="008E2086">
        <w:t xml:space="preserve">Table </w:t>
      </w:r>
      <w:r w:rsidR="008E2086">
        <w:rPr>
          <w:noProof/>
        </w:rPr>
        <w:t>2</w:t>
      </w:r>
      <w:r w:rsidR="008E2086">
        <w:noBreakHyphen/>
      </w:r>
      <w:r w:rsidR="008E2086">
        <w:rPr>
          <w:noProof/>
        </w:rPr>
        <w:t>11</w:t>
      </w:r>
      <w:r w:rsidR="000264E8">
        <w:fldChar w:fldCharType="end"/>
      </w:r>
      <w:r w:rsidR="00AA7D2C">
        <w:t>)</w:t>
      </w:r>
      <w:r w:rsidRPr="00546A1E">
        <w:t>. In contrast,</w:t>
      </w:r>
      <w:r w:rsidR="00C6655C">
        <w:t xml:space="preserve"> there are fewer</w:t>
      </w:r>
      <w:r w:rsidRPr="00546A1E">
        <w:t xml:space="preserve"> couple families with children</w:t>
      </w:r>
      <w:r w:rsidR="00C6655C">
        <w:t xml:space="preserve"> in </w:t>
      </w:r>
      <w:r w:rsidR="00013D85">
        <w:t>the F</w:t>
      </w:r>
      <w:r w:rsidR="00013D85" w:rsidRPr="007A58F7">
        <w:t>ederal electorate</w:t>
      </w:r>
      <w:r w:rsidR="00013D85" w:rsidRPr="0079482A">
        <w:t xml:space="preserve"> </w:t>
      </w:r>
      <w:r w:rsidR="00013D85">
        <w:t xml:space="preserve">of </w:t>
      </w:r>
      <w:r w:rsidR="00013D85" w:rsidRPr="0079482A">
        <w:t>Hinkler</w:t>
      </w:r>
      <w:r w:rsidR="00C6655C">
        <w:t xml:space="preserve">, compared with the state of Queensland as a whole and Australia. </w:t>
      </w:r>
    </w:p>
    <w:p w14:paraId="48A9A6E6" w14:textId="77777777" w:rsidR="004215DA" w:rsidRDefault="004215DA" w:rsidP="001D7A03">
      <w:r w:rsidRPr="00546A1E">
        <w:t>The</w:t>
      </w:r>
      <w:r w:rsidR="00AA7D2C">
        <w:t xml:space="preserve"> proportion of one parent families</w:t>
      </w:r>
      <w:r w:rsidRPr="00546A1E">
        <w:t xml:space="preserve"> is similar across </w:t>
      </w:r>
      <w:r w:rsidR="00BE06D1">
        <w:t xml:space="preserve">the </w:t>
      </w:r>
      <w:r w:rsidR="00013D85">
        <w:t>F</w:t>
      </w:r>
      <w:r w:rsidR="00013D85" w:rsidRPr="007A58F7">
        <w:t>ederal electorate</w:t>
      </w:r>
      <w:r w:rsidR="00013D85" w:rsidRPr="0079482A">
        <w:t xml:space="preserve"> </w:t>
      </w:r>
      <w:r w:rsidR="00013D85">
        <w:t xml:space="preserve">of </w:t>
      </w:r>
      <w:r w:rsidR="00013D85" w:rsidRPr="0079482A">
        <w:t>Hinkler</w:t>
      </w:r>
      <w:r w:rsidRPr="00546A1E">
        <w:t>,</w:t>
      </w:r>
      <w:r w:rsidR="00C6655C">
        <w:t xml:space="preserve"> the state of</w:t>
      </w:r>
      <w:r w:rsidRPr="00546A1E">
        <w:t xml:space="preserve"> Queensland</w:t>
      </w:r>
      <w:r w:rsidR="00C6655C">
        <w:t xml:space="preserve"> as a whole</w:t>
      </w:r>
      <w:r w:rsidRPr="00546A1E">
        <w:t xml:space="preserve"> and Australia.</w:t>
      </w:r>
      <w:r w:rsidR="0053035B">
        <w:t xml:space="preserve"> The </w:t>
      </w:r>
      <w:r w:rsidR="00D20251">
        <w:t>higher (</w:t>
      </w:r>
      <w:r w:rsidR="0053035B">
        <w:t>approximately double</w:t>
      </w:r>
      <w:r w:rsidR="00D20251">
        <w:t>)</w:t>
      </w:r>
      <w:r w:rsidR="0053035B">
        <w:t xml:space="preserve"> proportion of </w:t>
      </w:r>
      <w:r w:rsidR="00D20251">
        <w:t>‘</w:t>
      </w:r>
      <w:r w:rsidR="0053035B">
        <w:t>visitors only household</w:t>
      </w:r>
      <w:r w:rsidR="00D20251">
        <w:t>’</w:t>
      </w:r>
      <w:r w:rsidR="0053035B">
        <w:t xml:space="preserve"> (4.5 per cent, contrasted with 2.4 and 1.7</w:t>
      </w:r>
      <w:r w:rsidR="00D20251">
        <w:t xml:space="preserve"> respectively</w:t>
      </w:r>
      <w:r w:rsidR="0053035B">
        <w:t xml:space="preserve">) is indicative of the high tourist population in </w:t>
      </w:r>
      <w:r w:rsidR="004220C5">
        <w:t xml:space="preserve">the </w:t>
      </w:r>
      <w:r w:rsidR="00013D85">
        <w:t>F</w:t>
      </w:r>
      <w:r w:rsidR="00013D85" w:rsidRPr="007A58F7">
        <w:t>ederal electorate</w:t>
      </w:r>
      <w:r w:rsidR="00013D85" w:rsidRPr="0079482A">
        <w:t xml:space="preserve"> </w:t>
      </w:r>
      <w:r w:rsidR="00013D85">
        <w:t xml:space="preserve">of </w:t>
      </w:r>
      <w:r w:rsidR="00013D85" w:rsidRPr="0079482A">
        <w:t>Hinkler</w:t>
      </w:r>
      <w:r w:rsidR="00D20251">
        <w:t xml:space="preserve"> compared with the state of Queensland as a whole and Australia</w:t>
      </w:r>
      <w:r w:rsidR="0053035B">
        <w:t>.</w:t>
      </w:r>
    </w:p>
    <w:p w14:paraId="2F74A204" w14:textId="77777777" w:rsidR="00015FB2" w:rsidRDefault="00015FB2">
      <w:pPr>
        <w:jc w:val="left"/>
      </w:pPr>
      <w:r>
        <w:br w:type="page"/>
      </w:r>
    </w:p>
    <w:p w14:paraId="287852D7" w14:textId="668E0CB4" w:rsidR="00015FB2" w:rsidRPr="00546A1E" w:rsidRDefault="00015FB2" w:rsidP="00015FB2">
      <w:r>
        <w:lastRenderedPageBreak/>
        <w:fldChar w:fldCharType="begin"/>
      </w:r>
      <w:r>
        <w:instrText xml:space="preserve"> REF _Ref36210975 \h </w:instrText>
      </w:r>
      <w:r>
        <w:fldChar w:fldCharType="separate"/>
      </w:r>
      <w:r w:rsidR="008E2086">
        <w:t xml:space="preserve">Table </w:t>
      </w:r>
      <w:r w:rsidR="008E2086">
        <w:rPr>
          <w:noProof/>
        </w:rPr>
        <w:t>2</w:t>
      </w:r>
      <w:r w:rsidR="008E2086">
        <w:noBreakHyphen/>
      </w:r>
      <w:r w:rsidR="008E2086">
        <w:rPr>
          <w:noProof/>
        </w:rPr>
        <w:t>12</w:t>
      </w:r>
      <w:r>
        <w:fldChar w:fldCharType="end"/>
      </w:r>
      <w:r>
        <w:t xml:space="preserve"> shows that </w:t>
      </w:r>
      <w:r w:rsidRPr="00546A1E">
        <w:t>41 per</w:t>
      </w:r>
      <w:r>
        <w:t xml:space="preserve"> </w:t>
      </w:r>
      <w:r w:rsidRPr="00546A1E">
        <w:t xml:space="preserve">cent of the occupied private dwellings in the </w:t>
      </w:r>
      <w:r>
        <w:t>F</w:t>
      </w:r>
      <w:r w:rsidRPr="007A58F7">
        <w:t>ederal electorate</w:t>
      </w:r>
      <w:r w:rsidRPr="0079482A">
        <w:t xml:space="preserve"> </w:t>
      </w:r>
      <w:r>
        <w:t xml:space="preserve">of </w:t>
      </w:r>
      <w:r w:rsidRPr="0079482A">
        <w:t>Hinkler</w:t>
      </w:r>
      <w:r w:rsidRPr="00546A1E">
        <w:t xml:space="preserve"> are owned outright, 26.2 per</w:t>
      </w:r>
      <w:r>
        <w:t xml:space="preserve"> </w:t>
      </w:r>
      <w:r w:rsidRPr="00546A1E">
        <w:t>cent are owned with a mortgage and 30.3 per</w:t>
      </w:r>
      <w:r>
        <w:t xml:space="preserve"> </w:t>
      </w:r>
      <w:r w:rsidRPr="00546A1E">
        <w:t xml:space="preserve">cent are rented. </w:t>
      </w:r>
    </w:p>
    <w:p w14:paraId="2B0EBE59" w14:textId="4A8725BF" w:rsidR="004215DA" w:rsidRPr="005F3FE7" w:rsidRDefault="000851DE" w:rsidP="00581FE3">
      <w:pPr>
        <w:pStyle w:val="Caption"/>
        <w:jc w:val="left"/>
      </w:pPr>
      <w:bookmarkStart w:id="77" w:name="_Ref36210975"/>
      <w:bookmarkStart w:id="78" w:name="_Toc34935540"/>
      <w:bookmarkStart w:id="79" w:name="_Toc37263575"/>
      <w:r>
        <w:t>Table</w:t>
      </w:r>
      <w:r w:rsidR="00B510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12</w:t>
      </w:r>
      <w:r w:rsidR="006C0554">
        <w:rPr>
          <w:noProof/>
        </w:rPr>
        <w:fldChar w:fldCharType="end"/>
      </w:r>
      <w:bookmarkEnd w:id="77"/>
      <w:r w:rsidR="00B51060">
        <w:t xml:space="preserve">: </w:t>
      </w:r>
      <w:r w:rsidR="004215DA" w:rsidRPr="005F3FE7">
        <w:t>Household</w:t>
      </w:r>
      <w:bookmarkEnd w:id="78"/>
      <w:r w:rsidR="0053035B">
        <w:t>:</w:t>
      </w:r>
      <w:r w:rsidR="004215DA" w:rsidRPr="005F3FE7">
        <w:t xml:space="preserve"> </w:t>
      </w:r>
      <w:r w:rsidR="00581FE3">
        <w:t>Living in</w:t>
      </w:r>
      <w:r w:rsidR="001A7C85">
        <w:t>,</w:t>
      </w:r>
      <w:r w:rsidR="00581FE3">
        <w:t xml:space="preserve"> owned or rented property</w:t>
      </w:r>
      <w:bookmarkEnd w:id="79"/>
    </w:p>
    <w:tbl>
      <w:tblPr>
        <w:tblStyle w:val="ListTable3-Accent1"/>
        <w:tblW w:w="0" w:type="auto"/>
        <w:tblLayout w:type="fixed"/>
        <w:tblLook w:val="04A0" w:firstRow="1" w:lastRow="0" w:firstColumn="1" w:lastColumn="0" w:noHBand="0" w:noVBand="1"/>
      </w:tblPr>
      <w:tblGrid>
        <w:gridCol w:w="3261"/>
        <w:gridCol w:w="1353"/>
        <w:gridCol w:w="1353"/>
        <w:gridCol w:w="1353"/>
      </w:tblGrid>
      <w:tr w:rsidR="004215DA" w:rsidRPr="003542F0" w14:paraId="3AE2E3C8" w14:textId="77777777" w:rsidTr="006C055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6FA937AB" w14:textId="77777777" w:rsidR="004215DA" w:rsidRPr="003542F0" w:rsidRDefault="004215DA" w:rsidP="0079482A"/>
        </w:tc>
        <w:tc>
          <w:tcPr>
            <w:tcW w:w="0" w:type="dxa"/>
            <w:shd w:val="clear" w:color="auto" w:fill="2F5496" w:themeFill="accent5" w:themeFillShade="BF"/>
            <w:noWrap/>
            <w:vAlign w:val="center"/>
            <w:hideMark/>
          </w:tcPr>
          <w:p w14:paraId="49C98512"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Hinkler</w:t>
            </w:r>
          </w:p>
        </w:tc>
        <w:tc>
          <w:tcPr>
            <w:tcW w:w="0" w:type="dxa"/>
            <w:shd w:val="clear" w:color="auto" w:fill="2F5496" w:themeFill="accent5" w:themeFillShade="BF"/>
            <w:noWrap/>
            <w:vAlign w:val="center"/>
            <w:hideMark/>
          </w:tcPr>
          <w:p w14:paraId="5302D762"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vAlign w:val="center"/>
            <w:hideMark/>
          </w:tcPr>
          <w:p w14:paraId="2F0DAE42"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501CFB41"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61" w:type="dxa"/>
            <w:hideMark/>
          </w:tcPr>
          <w:p w14:paraId="2D494646" w14:textId="77777777" w:rsidR="004215DA" w:rsidRPr="005F3FE7" w:rsidRDefault="004215DA" w:rsidP="0079482A">
            <w:r w:rsidRPr="005F3FE7">
              <w:t>Owned outright</w:t>
            </w:r>
          </w:p>
        </w:tc>
        <w:tc>
          <w:tcPr>
            <w:tcW w:w="1353" w:type="dxa"/>
            <w:noWrap/>
            <w:vAlign w:val="center"/>
            <w:hideMark/>
          </w:tcPr>
          <w:p w14:paraId="6F19C45E"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41.0</w:t>
            </w:r>
          </w:p>
        </w:tc>
        <w:tc>
          <w:tcPr>
            <w:tcW w:w="1353" w:type="dxa"/>
            <w:noWrap/>
            <w:vAlign w:val="center"/>
            <w:hideMark/>
          </w:tcPr>
          <w:p w14:paraId="4A8F3B4A"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29.8</w:t>
            </w:r>
          </w:p>
        </w:tc>
        <w:tc>
          <w:tcPr>
            <w:tcW w:w="1353" w:type="dxa"/>
            <w:noWrap/>
            <w:vAlign w:val="center"/>
            <w:hideMark/>
          </w:tcPr>
          <w:p w14:paraId="73E26A82"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32.0</w:t>
            </w:r>
          </w:p>
        </w:tc>
      </w:tr>
      <w:tr w:rsidR="004215DA" w:rsidRPr="005F3FE7" w14:paraId="5E31EE96"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3261" w:type="dxa"/>
            <w:hideMark/>
          </w:tcPr>
          <w:p w14:paraId="02DFDA8A" w14:textId="77777777" w:rsidR="004215DA" w:rsidRPr="005F3FE7" w:rsidRDefault="004215DA" w:rsidP="0079482A">
            <w:r w:rsidRPr="005F3FE7">
              <w:t>Owned with a mortgage</w:t>
            </w:r>
          </w:p>
        </w:tc>
        <w:tc>
          <w:tcPr>
            <w:tcW w:w="1353" w:type="dxa"/>
            <w:noWrap/>
            <w:vAlign w:val="center"/>
            <w:hideMark/>
          </w:tcPr>
          <w:p w14:paraId="60CF7F27"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FA243C">
              <w:t>26.2</w:t>
            </w:r>
          </w:p>
        </w:tc>
        <w:tc>
          <w:tcPr>
            <w:tcW w:w="1353" w:type="dxa"/>
            <w:noWrap/>
            <w:vAlign w:val="center"/>
            <w:hideMark/>
          </w:tcPr>
          <w:p w14:paraId="134DDCA8"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FA243C">
              <w:t>34.0</w:t>
            </w:r>
          </w:p>
        </w:tc>
        <w:tc>
          <w:tcPr>
            <w:tcW w:w="1353" w:type="dxa"/>
            <w:noWrap/>
            <w:vAlign w:val="center"/>
            <w:hideMark/>
          </w:tcPr>
          <w:p w14:paraId="2D16C936"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FA243C">
              <w:t>35.0</w:t>
            </w:r>
          </w:p>
        </w:tc>
      </w:tr>
      <w:tr w:rsidR="004215DA" w:rsidRPr="005F3FE7" w14:paraId="492F9A4B"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61" w:type="dxa"/>
            <w:hideMark/>
          </w:tcPr>
          <w:p w14:paraId="3C9AE5C1" w14:textId="77777777" w:rsidR="004215DA" w:rsidRPr="005F3FE7" w:rsidRDefault="004215DA" w:rsidP="0079482A">
            <w:r w:rsidRPr="005F3FE7">
              <w:t>Rented</w:t>
            </w:r>
          </w:p>
        </w:tc>
        <w:tc>
          <w:tcPr>
            <w:tcW w:w="1353" w:type="dxa"/>
            <w:noWrap/>
            <w:vAlign w:val="center"/>
            <w:hideMark/>
          </w:tcPr>
          <w:p w14:paraId="1D6D0138"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30.3</w:t>
            </w:r>
          </w:p>
        </w:tc>
        <w:tc>
          <w:tcPr>
            <w:tcW w:w="1353" w:type="dxa"/>
            <w:noWrap/>
            <w:vAlign w:val="center"/>
            <w:hideMark/>
          </w:tcPr>
          <w:p w14:paraId="79D48E97"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34.0</w:t>
            </w:r>
          </w:p>
        </w:tc>
        <w:tc>
          <w:tcPr>
            <w:tcW w:w="1353" w:type="dxa"/>
            <w:noWrap/>
            <w:vAlign w:val="center"/>
            <w:hideMark/>
          </w:tcPr>
          <w:p w14:paraId="6A6F4178"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30.8</w:t>
            </w:r>
          </w:p>
        </w:tc>
      </w:tr>
      <w:tr w:rsidR="004215DA" w:rsidRPr="005F3FE7" w14:paraId="614773FE"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3261" w:type="dxa"/>
            <w:hideMark/>
          </w:tcPr>
          <w:p w14:paraId="423F1932" w14:textId="77777777" w:rsidR="004215DA" w:rsidRPr="005F3FE7" w:rsidRDefault="004215DA" w:rsidP="0079482A">
            <w:r w:rsidRPr="005F3FE7">
              <w:t>Other tenure type</w:t>
            </w:r>
          </w:p>
        </w:tc>
        <w:tc>
          <w:tcPr>
            <w:tcW w:w="1353" w:type="dxa"/>
            <w:noWrap/>
            <w:vAlign w:val="center"/>
            <w:hideMark/>
          </w:tcPr>
          <w:p w14:paraId="09B666DD"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FA243C">
              <w:t>2.5</w:t>
            </w:r>
          </w:p>
        </w:tc>
        <w:tc>
          <w:tcPr>
            <w:tcW w:w="1353" w:type="dxa"/>
            <w:noWrap/>
            <w:vAlign w:val="center"/>
            <w:hideMark/>
          </w:tcPr>
          <w:p w14:paraId="3594DBA4"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FA243C">
              <w:t>2.1</w:t>
            </w:r>
          </w:p>
        </w:tc>
        <w:tc>
          <w:tcPr>
            <w:tcW w:w="1353" w:type="dxa"/>
            <w:noWrap/>
            <w:vAlign w:val="center"/>
            <w:hideMark/>
          </w:tcPr>
          <w:p w14:paraId="2ABAF4A0"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FA243C">
              <w:t>2.2</w:t>
            </w:r>
          </w:p>
        </w:tc>
      </w:tr>
      <w:tr w:rsidR="004215DA" w:rsidRPr="005F3FE7" w14:paraId="2C586E81"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61" w:type="dxa"/>
            <w:hideMark/>
          </w:tcPr>
          <w:p w14:paraId="0D39B743" w14:textId="77777777" w:rsidR="004215DA" w:rsidRPr="005F3FE7" w:rsidRDefault="004215DA" w:rsidP="0079482A">
            <w:r w:rsidRPr="005F3FE7">
              <w:t>Total</w:t>
            </w:r>
          </w:p>
        </w:tc>
        <w:tc>
          <w:tcPr>
            <w:tcW w:w="1353" w:type="dxa"/>
            <w:noWrap/>
            <w:vAlign w:val="center"/>
            <w:hideMark/>
          </w:tcPr>
          <w:p w14:paraId="7A382C99" w14:textId="77777777" w:rsidR="004215DA" w:rsidRPr="001179F7" w:rsidRDefault="004215DA" w:rsidP="00FA243C">
            <w:pPr>
              <w:jc w:val="right"/>
              <w:cnfStyle w:val="000000100000" w:firstRow="0" w:lastRow="0" w:firstColumn="0" w:lastColumn="0" w:oddVBand="0" w:evenVBand="0" w:oddHBand="1" w:evenHBand="0" w:firstRowFirstColumn="0" w:firstRowLastColumn="0" w:lastRowFirstColumn="0" w:lastRowLastColumn="0"/>
              <w:rPr>
                <w:b/>
              </w:rPr>
            </w:pPr>
            <w:r w:rsidRPr="001179F7">
              <w:rPr>
                <w:b/>
              </w:rPr>
              <w:t>100.0</w:t>
            </w:r>
          </w:p>
        </w:tc>
        <w:tc>
          <w:tcPr>
            <w:tcW w:w="1353" w:type="dxa"/>
            <w:noWrap/>
            <w:vAlign w:val="center"/>
            <w:hideMark/>
          </w:tcPr>
          <w:p w14:paraId="5813F0AD" w14:textId="77777777" w:rsidR="004215DA" w:rsidRPr="001179F7" w:rsidRDefault="004215DA" w:rsidP="00FA243C">
            <w:pPr>
              <w:jc w:val="right"/>
              <w:cnfStyle w:val="000000100000" w:firstRow="0" w:lastRow="0" w:firstColumn="0" w:lastColumn="0" w:oddVBand="0" w:evenVBand="0" w:oddHBand="1" w:evenHBand="0" w:firstRowFirstColumn="0" w:firstRowLastColumn="0" w:lastRowFirstColumn="0" w:lastRowLastColumn="0"/>
              <w:rPr>
                <w:b/>
              </w:rPr>
            </w:pPr>
            <w:r w:rsidRPr="001179F7">
              <w:rPr>
                <w:b/>
              </w:rPr>
              <w:t>100.0</w:t>
            </w:r>
          </w:p>
        </w:tc>
        <w:tc>
          <w:tcPr>
            <w:tcW w:w="1353" w:type="dxa"/>
            <w:noWrap/>
            <w:vAlign w:val="center"/>
            <w:hideMark/>
          </w:tcPr>
          <w:p w14:paraId="100509DF" w14:textId="77777777" w:rsidR="004215DA" w:rsidRPr="001179F7" w:rsidRDefault="004215DA" w:rsidP="00FA243C">
            <w:pPr>
              <w:jc w:val="right"/>
              <w:cnfStyle w:val="000000100000" w:firstRow="0" w:lastRow="0" w:firstColumn="0" w:lastColumn="0" w:oddVBand="0" w:evenVBand="0" w:oddHBand="1" w:evenHBand="0" w:firstRowFirstColumn="0" w:firstRowLastColumn="0" w:lastRowFirstColumn="0" w:lastRowLastColumn="0"/>
              <w:rPr>
                <w:b/>
              </w:rPr>
            </w:pPr>
            <w:r w:rsidRPr="001179F7">
              <w:rPr>
                <w:b/>
              </w:rPr>
              <w:t>100.0</w:t>
            </w:r>
          </w:p>
        </w:tc>
      </w:tr>
    </w:tbl>
    <w:p w14:paraId="57941112" w14:textId="77777777" w:rsidR="004215DA" w:rsidRPr="00B51060" w:rsidRDefault="004215DA" w:rsidP="00B51060">
      <w:pPr>
        <w:spacing w:after="0"/>
        <w:rPr>
          <w:i/>
          <w:sz w:val="18"/>
          <w:szCs w:val="18"/>
        </w:rPr>
      </w:pPr>
      <w:r w:rsidRPr="00B51060">
        <w:rPr>
          <w:i/>
          <w:sz w:val="18"/>
          <w:szCs w:val="18"/>
        </w:rPr>
        <w:t xml:space="preserve">Source: Census of Population and Housing, 2016, </w:t>
      </w:r>
      <w:proofErr w:type="spellStart"/>
      <w:r w:rsidRPr="00B51060">
        <w:rPr>
          <w:i/>
          <w:sz w:val="18"/>
          <w:szCs w:val="18"/>
        </w:rPr>
        <w:t>TableBuilder</w:t>
      </w:r>
      <w:proofErr w:type="spellEnd"/>
      <w:r w:rsidRPr="00B51060">
        <w:rPr>
          <w:i/>
          <w:sz w:val="18"/>
          <w:szCs w:val="18"/>
        </w:rPr>
        <w:t>.</w:t>
      </w:r>
    </w:p>
    <w:p w14:paraId="665FC0F2" w14:textId="77777777" w:rsidR="004215DA" w:rsidRPr="00B51060" w:rsidRDefault="004215DA" w:rsidP="00A4064D">
      <w:pPr>
        <w:spacing w:after="360"/>
        <w:rPr>
          <w:i/>
          <w:sz w:val="18"/>
          <w:szCs w:val="18"/>
        </w:rPr>
      </w:pPr>
      <w:r w:rsidRPr="00B51060">
        <w:rPr>
          <w:i/>
          <w:sz w:val="18"/>
          <w:szCs w:val="18"/>
        </w:rPr>
        <w:t xml:space="preserve">Notes: Data are based on place of enumeration </w:t>
      </w:r>
      <w:r w:rsidR="001A7C85">
        <w:rPr>
          <w:i/>
          <w:sz w:val="18"/>
          <w:szCs w:val="18"/>
        </w:rPr>
        <w:t xml:space="preserve">(i.e. where people actually were on Census night) </w:t>
      </w:r>
      <w:r w:rsidRPr="00B51060">
        <w:rPr>
          <w:i/>
          <w:sz w:val="18"/>
          <w:szCs w:val="18"/>
        </w:rPr>
        <w:t>and</w:t>
      </w:r>
      <w:r w:rsidRPr="00B51060">
        <w:rPr>
          <w:rFonts w:ascii="Arial" w:hAnsi="Arial" w:cs="Arial"/>
          <w:i/>
          <w:sz w:val="18"/>
          <w:szCs w:val="18"/>
        </w:rPr>
        <w:t xml:space="preserve"> </w:t>
      </w:r>
      <w:r w:rsidRPr="00B51060">
        <w:rPr>
          <w:i/>
          <w:sz w:val="18"/>
          <w:szCs w:val="18"/>
        </w:rPr>
        <w:t>occupied private dwellings.</w:t>
      </w:r>
      <w:r w:rsidR="00BE06D1">
        <w:rPr>
          <w:i/>
          <w:sz w:val="18"/>
          <w:szCs w:val="18"/>
        </w:rPr>
        <w:t xml:space="preserve"> Hinkler refers to the </w:t>
      </w:r>
      <w:r w:rsidR="00013D85" w:rsidRPr="00013D85">
        <w:rPr>
          <w:i/>
          <w:sz w:val="18"/>
          <w:szCs w:val="18"/>
        </w:rPr>
        <w:t>Federal electorate of Hinkler</w:t>
      </w:r>
      <w:r w:rsidR="00BE06D1">
        <w:rPr>
          <w:i/>
          <w:sz w:val="18"/>
          <w:szCs w:val="18"/>
        </w:rPr>
        <w:t>.</w:t>
      </w:r>
      <w:r w:rsidR="006E2F26">
        <w:rPr>
          <w:i/>
          <w:sz w:val="18"/>
          <w:szCs w:val="18"/>
        </w:rPr>
        <w:t xml:space="preserve"> </w:t>
      </w:r>
      <w:r w:rsidR="006E2F26" w:rsidRPr="006E2F26">
        <w:rPr>
          <w:i/>
          <w:sz w:val="18"/>
          <w:szCs w:val="18"/>
        </w:rPr>
        <w:t>Due to rounding, the total percentages may not sum up</w:t>
      </w:r>
      <w:r w:rsidR="00173597">
        <w:rPr>
          <w:i/>
          <w:sz w:val="18"/>
          <w:szCs w:val="18"/>
        </w:rPr>
        <w:t xml:space="preserve"> exactly</w:t>
      </w:r>
      <w:r w:rsidR="006E2F26" w:rsidRPr="006E2F26">
        <w:rPr>
          <w:i/>
          <w:sz w:val="18"/>
          <w:szCs w:val="18"/>
        </w:rPr>
        <w:t xml:space="preserve"> to 100.</w:t>
      </w:r>
    </w:p>
    <w:p w14:paraId="19007DFE" w14:textId="058CB23A" w:rsidR="004215DA" w:rsidRDefault="004215DA" w:rsidP="001D7A03">
      <w:r w:rsidRPr="00546A1E">
        <w:t xml:space="preserve">We observe a higher proportion of dwellings owned outright in </w:t>
      </w:r>
      <w:r w:rsidR="00BE06D1">
        <w:t xml:space="preserve">the </w:t>
      </w:r>
      <w:r w:rsidR="00013D85">
        <w:t>F</w:t>
      </w:r>
      <w:r w:rsidR="00013D85" w:rsidRPr="007A58F7">
        <w:t>ederal electorate</w:t>
      </w:r>
      <w:r w:rsidR="00013D85" w:rsidRPr="0079482A">
        <w:t xml:space="preserve"> </w:t>
      </w:r>
      <w:r w:rsidR="00013D85">
        <w:t xml:space="preserve">of </w:t>
      </w:r>
      <w:r w:rsidR="00013D85" w:rsidRPr="0079482A">
        <w:t>Hinkler</w:t>
      </w:r>
      <w:r w:rsidR="00BE06D1" w:rsidRPr="00BE06D1">
        <w:t xml:space="preserve"> </w:t>
      </w:r>
      <w:r w:rsidRPr="00546A1E">
        <w:t xml:space="preserve">than in </w:t>
      </w:r>
      <w:r w:rsidR="00C957B9">
        <w:t xml:space="preserve">the state of </w:t>
      </w:r>
      <w:r w:rsidRPr="00546A1E">
        <w:t xml:space="preserve">Queensland </w:t>
      </w:r>
      <w:r w:rsidR="00C957B9">
        <w:t xml:space="preserve">as a whole </w:t>
      </w:r>
      <w:r w:rsidRPr="00546A1E">
        <w:t>and</w:t>
      </w:r>
      <w:r w:rsidR="00AA7D2C">
        <w:t xml:space="preserve"> Australia. </w:t>
      </w:r>
      <w:r w:rsidR="0053035B">
        <w:t>The cost of hous</w:t>
      </w:r>
      <w:r w:rsidR="009220DE">
        <w:t>ing</w:t>
      </w:r>
      <w:r w:rsidR="0053035B">
        <w:t xml:space="preserve"> </w:t>
      </w:r>
      <w:r w:rsidR="009220DE">
        <w:t xml:space="preserve">(median </w:t>
      </w:r>
      <w:r w:rsidR="00C4712E">
        <w:t>mort</w:t>
      </w:r>
      <w:r w:rsidR="00EE12A6">
        <w:t>g</w:t>
      </w:r>
      <w:r w:rsidR="00C4712E">
        <w:t>age repayment</w:t>
      </w:r>
      <w:r w:rsidR="009220DE">
        <w:t xml:space="preserve"> and median rent) </w:t>
      </w:r>
      <w:r w:rsidR="0053035B">
        <w:t xml:space="preserve">is lower in </w:t>
      </w:r>
      <w:r w:rsidR="00BE06D1">
        <w:t xml:space="preserve">the </w:t>
      </w:r>
      <w:r w:rsidR="00013D85">
        <w:t>F</w:t>
      </w:r>
      <w:r w:rsidR="00013D85" w:rsidRPr="007A58F7">
        <w:t>ederal electorate</w:t>
      </w:r>
      <w:r w:rsidR="00013D85" w:rsidRPr="0079482A">
        <w:t xml:space="preserve"> </w:t>
      </w:r>
      <w:r w:rsidR="00013D85">
        <w:t xml:space="preserve">of </w:t>
      </w:r>
      <w:r w:rsidR="00013D85" w:rsidRPr="0079482A">
        <w:t>Hinkler</w:t>
      </w:r>
      <w:r w:rsidRPr="00546A1E">
        <w:t xml:space="preserve"> (</w:t>
      </w:r>
      <w:r w:rsidR="000264E8">
        <w:fldChar w:fldCharType="begin"/>
      </w:r>
      <w:r w:rsidR="000264E8">
        <w:instrText xml:space="preserve"> REF _Ref34912318 \h </w:instrText>
      </w:r>
      <w:r w:rsidR="000264E8">
        <w:fldChar w:fldCharType="separate"/>
      </w:r>
      <w:r w:rsidR="008E2086">
        <w:t xml:space="preserve">Table </w:t>
      </w:r>
      <w:r w:rsidR="008E2086">
        <w:rPr>
          <w:noProof/>
        </w:rPr>
        <w:t>2</w:t>
      </w:r>
      <w:r w:rsidR="008E2086">
        <w:noBreakHyphen/>
      </w:r>
      <w:r w:rsidR="008E2086">
        <w:rPr>
          <w:noProof/>
        </w:rPr>
        <w:t>13</w:t>
      </w:r>
      <w:r w:rsidR="000264E8">
        <w:fldChar w:fldCharType="end"/>
      </w:r>
      <w:r w:rsidR="00FA4F6C">
        <w:t xml:space="preserve"> </w:t>
      </w:r>
      <w:r w:rsidRPr="00546A1E">
        <w:t>below)</w:t>
      </w:r>
      <w:r w:rsidR="0053035B">
        <w:t xml:space="preserve"> compared with the state of Queens</w:t>
      </w:r>
      <w:r w:rsidR="009220DE">
        <w:t>land as a whole and Australia.</w:t>
      </w:r>
    </w:p>
    <w:p w14:paraId="42EE46FA" w14:textId="4F8DF2BE" w:rsidR="004215DA" w:rsidRPr="005F3FE7" w:rsidRDefault="000851DE" w:rsidP="00B51060">
      <w:pPr>
        <w:pStyle w:val="Caption"/>
      </w:pPr>
      <w:bookmarkStart w:id="80" w:name="_Ref34912318"/>
      <w:bookmarkStart w:id="81" w:name="_Toc34935541"/>
      <w:bookmarkStart w:id="82" w:name="_Toc37263576"/>
      <w:r>
        <w:t>Table</w:t>
      </w:r>
      <w:r w:rsidR="00B510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13</w:t>
      </w:r>
      <w:r w:rsidR="006C0554">
        <w:rPr>
          <w:noProof/>
        </w:rPr>
        <w:fldChar w:fldCharType="end"/>
      </w:r>
      <w:bookmarkEnd w:id="80"/>
      <w:r w:rsidR="00B51060">
        <w:t xml:space="preserve">: </w:t>
      </w:r>
      <w:r w:rsidR="00C8103B">
        <w:t>H</w:t>
      </w:r>
      <w:r w:rsidR="00ED6C81" w:rsidRPr="005F3FE7">
        <w:t xml:space="preserve">ousehold </w:t>
      </w:r>
      <w:r w:rsidR="004215DA" w:rsidRPr="005F3FE7">
        <w:t>income and housing expense</w:t>
      </w:r>
      <w:bookmarkEnd w:id="81"/>
      <w:bookmarkEnd w:id="82"/>
    </w:p>
    <w:tbl>
      <w:tblPr>
        <w:tblStyle w:val="ListTable3-Accent1"/>
        <w:tblW w:w="9209" w:type="dxa"/>
        <w:tblLayout w:type="fixed"/>
        <w:tblLook w:val="04A0" w:firstRow="1" w:lastRow="0" w:firstColumn="1" w:lastColumn="0" w:noHBand="0" w:noVBand="1"/>
      </w:tblPr>
      <w:tblGrid>
        <w:gridCol w:w="5240"/>
        <w:gridCol w:w="1258"/>
        <w:gridCol w:w="1435"/>
        <w:gridCol w:w="1276"/>
      </w:tblGrid>
      <w:tr w:rsidR="004215DA" w:rsidRPr="003542F0" w14:paraId="55EA224A" w14:textId="77777777" w:rsidTr="006C055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4A25BD29" w14:textId="77777777" w:rsidR="004215DA" w:rsidRPr="003542F0" w:rsidRDefault="004215DA" w:rsidP="0079482A"/>
        </w:tc>
        <w:tc>
          <w:tcPr>
            <w:tcW w:w="0" w:type="dxa"/>
            <w:shd w:val="clear" w:color="auto" w:fill="2F5496" w:themeFill="accent5" w:themeFillShade="BF"/>
            <w:noWrap/>
            <w:hideMark/>
          </w:tcPr>
          <w:p w14:paraId="24D6ADA8"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Hinkler</w:t>
            </w:r>
          </w:p>
        </w:tc>
        <w:tc>
          <w:tcPr>
            <w:tcW w:w="0" w:type="dxa"/>
            <w:shd w:val="clear" w:color="auto" w:fill="2F5496" w:themeFill="accent5" w:themeFillShade="BF"/>
            <w:noWrap/>
            <w:hideMark/>
          </w:tcPr>
          <w:p w14:paraId="5AD0BEC0"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hideMark/>
          </w:tcPr>
          <w:p w14:paraId="1532B8D9"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4F97CBB0" w14:textId="77777777" w:rsidTr="00FA24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40" w:type="dxa"/>
            <w:hideMark/>
          </w:tcPr>
          <w:p w14:paraId="12325956" w14:textId="77777777" w:rsidR="004215DA" w:rsidRPr="005F3FE7" w:rsidRDefault="004215DA" w:rsidP="0079482A">
            <w:r w:rsidRPr="005F3FE7">
              <w:t xml:space="preserve">Median </w:t>
            </w:r>
            <w:proofErr w:type="spellStart"/>
            <w:r w:rsidRPr="005F3FE7">
              <w:t>equivalised</w:t>
            </w:r>
            <w:proofErr w:type="spellEnd"/>
            <w:r w:rsidRPr="005F3FE7">
              <w:t xml:space="preserve"> total household income (weekly)</w:t>
            </w:r>
          </w:p>
        </w:tc>
        <w:tc>
          <w:tcPr>
            <w:tcW w:w="1258" w:type="dxa"/>
            <w:noWrap/>
            <w:hideMark/>
          </w:tcPr>
          <w:p w14:paraId="3099F3A9"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$500-$649</w:t>
            </w:r>
          </w:p>
        </w:tc>
        <w:tc>
          <w:tcPr>
            <w:tcW w:w="1435" w:type="dxa"/>
            <w:noWrap/>
            <w:hideMark/>
          </w:tcPr>
          <w:p w14:paraId="1D2575CF"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$800-$999</w:t>
            </w:r>
          </w:p>
        </w:tc>
        <w:tc>
          <w:tcPr>
            <w:tcW w:w="1276" w:type="dxa"/>
            <w:noWrap/>
            <w:hideMark/>
          </w:tcPr>
          <w:p w14:paraId="412550C1"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$800-$999</w:t>
            </w:r>
          </w:p>
        </w:tc>
      </w:tr>
      <w:tr w:rsidR="004215DA" w:rsidRPr="005F3FE7" w14:paraId="2F2A69B7" w14:textId="77777777" w:rsidTr="00FA243C">
        <w:trPr>
          <w:trHeight w:val="255"/>
        </w:trPr>
        <w:tc>
          <w:tcPr>
            <w:cnfStyle w:val="001000000000" w:firstRow="0" w:lastRow="0" w:firstColumn="1" w:lastColumn="0" w:oddVBand="0" w:evenVBand="0" w:oddHBand="0" w:evenHBand="0" w:firstRowFirstColumn="0" w:firstRowLastColumn="0" w:lastRowFirstColumn="0" w:lastRowLastColumn="0"/>
            <w:tcW w:w="5240" w:type="dxa"/>
            <w:hideMark/>
          </w:tcPr>
          <w:p w14:paraId="0D6DF509" w14:textId="77777777" w:rsidR="004215DA" w:rsidRPr="005F3FE7" w:rsidRDefault="004215DA" w:rsidP="0079482A">
            <w:r w:rsidRPr="005F3FE7">
              <w:t>Median mortgage repayment (monthly)</w:t>
            </w:r>
          </w:p>
        </w:tc>
        <w:tc>
          <w:tcPr>
            <w:tcW w:w="1258" w:type="dxa"/>
            <w:noWrap/>
            <w:hideMark/>
          </w:tcPr>
          <w:p w14:paraId="4E5E026E"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FA243C">
              <w:t>$1,400</w:t>
            </w:r>
          </w:p>
        </w:tc>
        <w:tc>
          <w:tcPr>
            <w:tcW w:w="1435" w:type="dxa"/>
            <w:noWrap/>
            <w:hideMark/>
          </w:tcPr>
          <w:p w14:paraId="07901D97"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FA243C">
              <w:t>$1,733</w:t>
            </w:r>
          </w:p>
        </w:tc>
        <w:tc>
          <w:tcPr>
            <w:tcW w:w="1276" w:type="dxa"/>
            <w:noWrap/>
            <w:hideMark/>
          </w:tcPr>
          <w:p w14:paraId="3ECBE559"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FA243C">
              <w:t>$1,753</w:t>
            </w:r>
          </w:p>
        </w:tc>
      </w:tr>
      <w:tr w:rsidR="004215DA" w:rsidRPr="005F3FE7" w14:paraId="1C660627" w14:textId="77777777" w:rsidTr="00FA24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40" w:type="dxa"/>
            <w:hideMark/>
          </w:tcPr>
          <w:p w14:paraId="092657EB" w14:textId="77777777" w:rsidR="004215DA" w:rsidRPr="005F3FE7" w:rsidRDefault="004215DA" w:rsidP="0079482A">
            <w:r w:rsidRPr="005F3FE7">
              <w:t>Median rent (weekly)</w:t>
            </w:r>
          </w:p>
        </w:tc>
        <w:tc>
          <w:tcPr>
            <w:tcW w:w="1258" w:type="dxa"/>
            <w:noWrap/>
          </w:tcPr>
          <w:p w14:paraId="1F077BF5"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$275</w:t>
            </w:r>
          </w:p>
        </w:tc>
        <w:tc>
          <w:tcPr>
            <w:tcW w:w="1435" w:type="dxa"/>
            <w:noWrap/>
          </w:tcPr>
          <w:p w14:paraId="7D2B3892"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$330</w:t>
            </w:r>
          </w:p>
        </w:tc>
        <w:tc>
          <w:tcPr>
            <w:tcW w:w="1276" w:type="dxa"/>
            <w:noWrap/>
          </w:tcPr>
          <w:p w14:paraId="7E263FAF"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FA243C">
              <w:t>$335</w:t>
            </w:r>
          </w:p>
        </w:tc>
      </w:tr>
    </w:tbl>
    <w:p w14:paraId="1106B719" w14:textId="77777777" w:rsidR="004215DA" w:rsidRPr="00B51060" w:rsidRDefault="004215DA" w:rsidP="00B51060">
      <w:pPr>
        <w:spacing w:after="0"/>
        <w:rPr>
          <w:i/>
          <w:sz w:val="18"/>
          <w:szCs w:val="18"/>
        </w:rPr>
      </w:pPr>
      <w:r w:rsidRPr="00B51060">
        <w:rPr>
          <w:i/>
          <w:sz w:val="18"/>
          <w:szCs w:val="18"/>
        </w:rPr>
        <w:t xml:space="preserve">Source: Census of Population and Housing, 2016, </w:t>
      </w:r>
      <w:proofErr w:type="spellStart"/>
      <w:r w:rsidRPr="00B51060">
        <w:rPr>
          <w:i/>
          <w:sz w:val="18"/>
          <w:szCs w:val="18"/>
        </w:rPr>
        <w:t>TableBuilder</w:t>
      </w:r>
      <w:proofErr w:type="spellEnd"/>
      <w:r w:rsidRPr="00B51060">
        <w:rPr>
          <w:i/>
          <w:sz w:val="18"/>
          <w:szCs w:val="18"/>
        </w:rPr>
        <w:t>.</w:t>
      </w:r>
    </w:p>
    <w:p w14:paraId="49AB0503" w14:textId="77777777" w:rsidR="004215DA" w:rsidRPr="00B51060" w:rsidRDefault="004215DA" w:rsidP="00A4064D">
      <w:pPr>
        <w:spacing w:after="360"/>
        <w:rPr>
          <w:i/>
          <w:sz w:val="18"/>
          <w:szCs w:val="18"/>
        </w:rPr>
      </w:pPr>
      <w:r w:rsidRPr="00B51060">
        <w:rPr>
          <w:i/>
          <w:sz w:val="18"/>
          <w:szCs w:val="18"/>
        </w:rPr>
        <w:t>Notes: Data are based on place of enumeration</w:t>
      </w:r>
      <w:r w:rsidR="0052547A">
        <w:rPr>
          <w:i/>
          <w:sz w:val="18"/>
          <w:szCs w:val="18"/>
        </w:rPr>
        <w:t xml:space="preserve"> </w:t>
      </w:r>
      <w:r w:rsidR="0052547A" w:rsidRPr="0052547A">
        <w:rPr>
          <w:i/>
          <w:sz w:val="18"/>
          <w:szCs w:val="18"/>
        </w:rPr>
        <w:t xml:space="preserve">(i.e. where people actually were on Census night). Hinkler refers to the whole population in the </w:t>
      </w:r>
      <w:r w:rsidR="00013D85" w:rsidRPr="00013D85">
        <w:rPr>
          <w:i/>
          <w:sz w:val="18"/>
          <w:szCs w:val="18"/>
        </w:rPr>
        <w:t>Federal electorate of Hinkler</w:t>
      </w:r>
      <w:r w:rsidRPr="00B51060">
        <w:rPr>
          <w:i/>
          <w:sz w:val="18"/>
          <w:szCs w:val="18"/>
        </w:rPr>
        <w:t>.</w:t>
      </w:r>
    </w:p>
    <w:p w14:paraId="3B341CEE" w14:textId="00C62DD8" w:rsidR="004215DA" w:rsidRPr="0048042E" w:rsidRDefault="00FA243C" w:rsidP="001D7A03">
      <w:r>
        <w:t>The</w:t>
      </w:r>
      <w:r w:rsidR="004215DA" w:rsidRPr="0048042E">
        <w:t xml:space="preserve"> median </w:t>
      </w:r>
      <w:proofErr w:type="spellStart"/>
      <w:r w:rsidR="0052547A">
        <w:t>equivalised</w:t>
      </w:r>
      <w:proofErr w:type="spellEnd"/>
      <w:r w:rsidR="004215DA" w:rsidRPr="0048042E">
        <w:t xml:space="preserve"> total household income, median mortgage repayment and median rent in </w:t>
      </w:r>
      <w:r w:rsidR="00013D85">
        <w:t>the F</w:t>
      </w:r>
      <w:r w:rsidR="00013D85" w:rsidRPr="007A58F7">
        <w:t>ederal electorate</w:t>
      </w:r>
      <w:r w:rsidR="00013D85" w:rsidRPr="0079482A">
        <w:t xml:space="preserve"> </w:t>
      </w:r>
      <w:r w:rsidR="00013D85">
        <w:t xml:space="preserve">of </w:t>
      </w:r>
      <w:r w:rsidR="00013D85" w:rsidRPr="0079482A">
        <w:t>Hinkler</w:t>
      </w:r>
      <w:r w:rsidR="004215DA" w:rsidRPr="0048042E">
        <w:t xml:space="preserve"> </w:t>
      </w:r>
      <w:r w:rsidR="00AA7D2C">
        <w:t>(</w:t>
      </w:r>
      <w:r w:rsidR="000264E8">
        <w:fldChar w:fldCharType="begin"/>
      </w:r>
      <w:r w:rsidR="000264E8">
        <w:instrText xml:space="preserve"> REF _Ref34912318 \h </w:instrText>
      </w:r>
      <w:r w:rsidR="000264E8">
        <w:fldChar w:fldCharType="separate"/>
      </w:r>
      <w:r w:rsidR="008E2086">
        <w:t xml:space="preserve">Table </w:t>
      </w:r>
      <w:r w:rsidR="008E2086">
        <w:rPr>
          <w:noProof/>
        </w:rPr>
        <w:t>2</w:t>
      </w:r>
      <w:r w:rsidR="008E2086">
        <w:noBreakHyphen/>
      </w:r>
      <w:r w:rsidR="008E2086">
        <w:rPr>
          <w:noProof/>
        </w:rPr>
        <w:t>13</w:t>
      </w:r>
      <w:r w:rsidR="000264E8">
        <w:fldChar w:fldCharType="end"/>
      </w:r>
      <w:r w:rsidR="00AA7D2C">
        <w:t xml:space="preserve">) </w:t>
      </w:r>
      <w:r w:rsidR="004215DA" w:rsidRPr="0048042E">
        <w:t>are all substantially lower than th</w:t>
      </w:r>
      <w:r w:rsidR="000E5F35">
        <w:t>e corresponding figures in the state and the n</w:t>
      </w:r>
      <w:r w:rsidR="004215DA" w:rsidRPr="0048042E">
        <w:t>ation.</w:t>
      </w:r>
      <w:r w:rsidR="004215DA" w:rsidRPr="0048042E">
        <w:rPr>
          <w:vertAlign w:val="superscript"/>
        </w:rPr>
        <w:footnoteReference w:id="17"/>
      </w:r>
    </w:p>
    <w:p w14:paraId="5946A6DC" w14:textId="77777777" w:rsidR="00015FB2" w:rsidRDefault="00015FB2">
      <w:pPr>
        <w:jc w:val="left"/>
        <w:rPr>
          <w:rFonts w:cstheme="minorHAnsi"/>
          <w:b/>
          <w:bCs/>
          <w:caps/>
          <w:sz w:val="20"/>
          <w:szCs w:val="18"/>
        </w:rPr>
      </w:pPr>
      <w:bookmarkStart w:id="83" w:name="_Ref36211279"/>
      <w:bookmarkStart w:id="84" w:name="_Toc37263577"/>
      <w:bookmarkStart w:id="85" w:name="_Toc34935542"/>
      <w:r>
        <w:br w:type="page"/>
      </w:r>
    </w:p>
    <w:p w14:paraId="067C1BF2" w14:textId="0327CF08" w:rsidR="004215DA" w:rsidRPr="005F3FE7" w:rsidRDefault="000851DE" w:rsidP="00B51060">
      <w:pPr>
        <w:pStyle w:val="Caption"/>
      </w:pPr>
      <w:bookmarkStart w:id="86" w:name="_Ref37264657"/>
      <w:r>
        <w:lastRenderedPageBreak/>
        <w:t>Table</w:t>
      </w:r>
      <w:r w:rsidR="00B510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14</w:t>
      </w:r>
      <w:r w:rsidR="006C0554">
        <w:rPr>
          <w:noProof/>
        </w:rPr>
        <w:fldChar w:fldCharType="end"/>
      </w:r>
      <w:bookmarkEnd w:id="83"/>
      <w:bookmarkEnd w:id="86"/>
      <w:r w:rsidR="00B51060">
        <w:t xml:space="preserve">: </w:t>
      </w:r>
      <w:r w:rsidR="0056594A">
        <w:t>H</w:t>
      </w:r>
      <w:r w:rsidR="009220DE" w:rsidRPr="005F3FE7">
        <w:t>omeless</w:t>
      </w:r>
      <w:r w:rsidR="009220DE">
        <w:t xml:space="preserve">ness: </w:t>
      </w:r>
      <w:r w:rsidR="0056594A">
        <w:t>P</w:t>
      </w:r>
      <w:r w:rsidR="0052547A">
        <w:t xml:space="preserve">ercentage of </w:t>
      </w:r>
      <w:r w:rsidR="0056594A">
        <w:t>p</w:t>
      </w:r>
      <w:r w:rsidR="00AA7D2C">
        <w:t>revalence and types</w:t>
      </w:r>
      <w:bookmarkEnd w:id="84"/>
      <w:r w:rsidR="004215DA" w:rsidRPr="005F3FE7">
        <w:t xml:space="preserve"> </w:t>
      </w:r>
      <w:bookmarkEnd w:id="85"/>
    </w:p>
    <w:tbl>
      <w:tblPr>
        <w:tblStyle w:val="ListTable3-Accent1"/>
        <w:tblW w:w="9209" w:type="dxa"/>
        <w:tblLayout w:type="fixed"/>
        <w:tblLook w:val="04A0" w:firstRow="1" w:lastRow="0" w:firstColumn="1" w:lastColumn="0" w:noHBand="0" w:noVBand="1"/>
      </w:tblPr>
      <w:tblGrid>
        <w:gridCol w:w="5807"/>
        <w:gridCol w:w="851"/>
        <w:gridCol w:w="1417"/>
        <w:gridCol w:w="1134"/>
      </w:tblGrid>
      <w:tr w:rsidR="004215DA" w:rsidRPr="003542F0" w14:paraId="32C33C4E" w14:textId="77777777" w:rsidTr="00A4064D">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6248B41B" w14:textId="77777777" w:rsidR="004215DA" w:rsidRPr="003542F0" w:rsidRDefault="004215DA" w:rsidP="0079482A"/>
        </w:tc>
        <w:tc>
          <w:tcPr>
            <w:tcW w:w="0" w:type="dxa"/>
            <w:shd w:val="clear" w:color="auto" w:fill="2F5496" w:themeFill="accent5" w:themeFillShade="BF"/>
            <w:noWrap/>
            <w:vAlign w:val="center"/>
            <w:hideMark/>
          </w:tcPr>
          <w:p w14:paraId="1A325B8F"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BHB</w:t>
            </w:r>
          </w:p>
        </w:tc>
        <w:tc>
          <w:tcPr>
            <w:tcW w:w="0" w:type="dxa"/>
            <w:shd w:val="clear" w:color="auto" w:fill="2F5496" w:themeFill="accent5" w:themeFillShade="BF"/>
            <w:noWrap/>
            <w:vAlign w:val="center"/>
            <w:hideMark/>
          </w:tcPr>
          <w:p w14:paraId="18EF3812"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vAlign w:val="center"/>
            <w:hideMark/>
          </w:tcPr>
          <w:p w14:paraId="2C46CA14"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493FAF81" w14:textId="77777777" w:rsidTr="00FA24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06ED4A6A" w14:textId="77777777" w:rsidR="004215DA" w:rsidRPr="000613C9" w:rsidRDefault="004215DA" w:rsidP="0079482A">
            <w:pPr>
              <w:rPr>
                <w:b w:val="0"/>
              </w:rPr>
            </w:pPr>
            <w:r w:rsidRPr="003424A0">
              <w:t>Persons living in improvised dwellings, tents, or sleeping out</w:t>
            </w:r>
          </w:p>
        </w:tc>
        <w:tc>
          <w:tcPr>
            <w:tcW w:w="851" w:type="dxa"/>
            <w:noWrap/>
            <w:vAlign w:val="center"/>
            <w:hideMark/>
          </w:tcPr>
          <w:p w14:paraId="584C8253"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3.7</w:t>
            </w:r>
          </w:p>
        </w:tc>
        <w:tc>
          <w:tcPr>
            <w:tcW w:w="1417" w:type="dxa"/>
            <w:noWrap/>
            <w:vAlign w:val="center"/>
            <w:hideMark/>
          </w:tcPr>
          <w:p w14:paraId="0A307E60"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4.3</w:t>
            </w:r>
          </w:p>
        </w:tc>
        <w:tc>
          <w:tcPr>
            <w:tcW w:w="1134" w:type="dxa"/>
            <w:noWrap/>
            <w:vAlign w:val="center"/>
            <w:hideMark/>
          </w:tcPr>
          <w:p w14:paraId="016CE2A6"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3.8</w:t>
            </w:r>
          </w:p>
        </w:tc>
      </w:tr>
      <w:tr w:rsidR="004215DA" w:rsidRPr="005F3FE7" w14:paraId="50AAA91B" w14:textId="77777777" w:rsidTr="00FA243C">
        <w:trPr>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2B3CC05B" w14:textId="77777777" w:rsidR="004215DA" w:rsidRPr="000613C9" w:rsidRDefault="004215DA" w:rsidP="0079482A">
            <w:pPr>
              <w:rPr>
                <w:b w:val="0"/>
              </w:rPr>
            </w:pPr>
            <w:r w:rsidRPr="003424A0">
              <w:t>Persons in supported accommodation for the homeless</w:t>
            </w:r>
          </w:p>
        </w:tc>
        <w:tc>
          <w:tcPr>
            <w:tcW w:w="851" w:type="dxa"/>
            <w:noWrap/>
            <w:vAlign w:val="center"/>
            <w:hideMark/>
          </w:tcPr>
          <w:p w14:paraId="54AC35DA"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14.4</w:t>
            </w:r>
          </w:p>
        </w:tc>
        <w:tc>
          <w:tcPr>
            <w:tcW w:w="1417" w:type="dxa"/>
            <w:noWrap/>
            <w:vAlign w:val="center"/>
            <w:hideMark/>
          </w:tcPr>
          <w:p w14:paraId="6D9AE161"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9.3</w:t>
            </w:r>
          </w:p>
        </w:tc>
        <w:tc>
          <w:tcPr>
            <w:tcW w:w="1134" w:type="dxa"/>
            <w:noWrap/>
            <w:vAlign w:val="center"/>
            <w:hideMark/>
          </w:tcPr>
          <w:p w14:paraId="69C549BC"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10.0</w:t>
            </w:r>
          </w:p>
        </w:tc>
      </w:tr>
      <w:tr w:rsidR="004215DA" w:rsidRPr="005F3FE7" w14:paraId="5DFF02FB" w14:textId="77777777" w:rsidTr="00FA24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3E265BA8" w14:textId="77777777" w:rsidR="004215DA" w:rsidRPr="000613C9" w:rsidRDefault="004215DA" w:rsidP="0079482A">
            <w:pPr>
              <w:rPr>
                <w:b w:val="0"/>
              </w:rPr>
            </w:pPr>
            <w:r w:rsidRPr="003424A0">
              <w:t>Persons staying temporarily with other households</w:t>
            </w:r>
          </w:p>
        </w:tc>
        <w:tc>
          <w:tcPr>
            <w:tcW w:w="851" w:type="dxa"/>
            <w:noWrap/>
            <w:vAlign w:val="center"/>
            <w:hideMark/>
          </w:tcPr>
          <w:p w14:paraId="6097169E"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17.7</w:t>
            </w:r>
          </w:p>
        </w:tc>
        <w:tc>
          <w:tcPr>
            <w:tcW w:w="1417" w:type="dxa"/>
            <w:noWrap/>
            <w:vAlign w:val="center"/>
            <w:hideMark/>
          </w:tcPr>
          <w:p w14:paraId="1F4B9C65"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12.1</w:t>
            </w:r>
          </w:p>
        </w:tc>
        <w:tc>
          <w:tcPr>
            <w:tcW w:w="1134" w:type="dxa"/>
            <w:noWrap/>
            <w:vAlign w:val="center"/>
            <w:hideMark/>
          </w:tcPr>
          <w:p w14:paraId="32BB7EDF"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8.3</w:t>
            </w:r>
          </w:p>
        </w:tc>
      </w:tr>
      <w:tr w:rsidR="004215DA" w:rsidRPr="005F3FE7" w14:paraId="36ABA7A6" w14:textId="77777777" w:rsidTr="00FA243C">
        <w:trPr>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1B224C73" w14:textId="77777777" w:rsidR="004215DA" w:rsidRPr="000613C9" w:rsidRDefault="004215DA" w:rsidP="0079482A">
            <w:pPr>
              <w:rPr>
                <w:b w:val="0"/>
              </w:rPr>
            </w:pPr>
            <w:r w:rsidRPr="003424A0">
              <w:t>Persons living in boarding houses</w:t>
            </w:r>
          </w:p>
        </w:tc>
        <w:tc>
          <w:tcPr>
            <w:tcW w:w="851" w:type="dxa"/>
            <w:noWrap/>
            <w:vAlign w:val="center"/>
            <w:hideMark/>
          </w:tcPr>
          <w:p w14:paraId="0DDB9586"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4.3</w:t>
            </w:r>
          </w:p>
        </w:tc>
        <w:tc>
          <w:tcPr>
            <w:tcW w:w="1417" w:type="dxa"/>
            <w:noWrap/>
            <w:vAlign w:val="center"/>
            <w:hideMark/>
          </w:tcPr>
          <w:p w14:paraId="3C03DC91"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9.0</w:t>
            </w:r>
          </w:p>
        </w:tc>
        <w:tc>
          <w:tcPr>
            <w:tcW w:w="1134" w:type="dxa"/>
            <w:noWrap/>
            <w:vAlign w:val="center"/>
            <w:hideMark/>
          </w:tcPr>
          <w:p w14:paraId="7B318AED"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8.2</w:t>
            </w:r>
          </w:p>
        </w:tc>
      </w:tr>
      <w:tr w:rsidR="004215DA" w:rsidRPr="005F3FE7" w14:paraId="3B8D01FA" w14:textId="77777777" w:rsidTr="00FA24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724B6764" w14:textId="77777777" w:rsidR="004215DA" w:rsidRPr="000613C9" w:rsidRDefault="004215DA" w:rsidP="0079482A">
            <w:pPr>
              <w:rPr>
                <w:b w:val="0"/>
              </w:rPr>
            </w:pPr>
            <w:r w:rsidRPr="003424A0">
              <w:t>Persons in other temporary lodgings</w:t>
            </w:r>
          </w:p>
        </w:tc>
        <w:tc>
          <w:tcPr>
            <w:tcW w:w="851" w:type="dxa"/>
            <w:noWrap/>
            <w:vAlign w:val="center"/>
            <w:hideMark/>
          </w:tcPr>
          <w:p w14:paraId="51CA4A3C"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0.0</w:t>
            </w:r>
          </w:p>
        </w:tc>
        <w:tc>
          <w:tcPr>
            <w:tcW w:w="1417" w:type="dxa"/>
            <w:noWrap/>
            <w:vAlign w:val="center"/>
            <w:hideMark/>
          </w:tcPr>
          <w:p w14:paraId="588EB0A5"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0.5</w:t>
            </w:r>
          </w:p>
        </w:tc>
        <w:tc>
          <w:tcPr>
            <w:tcW w:w="1134" w:type="dxa"/>
            <w:noWrap/>
            <w:vAlign w:val="center"/>
            <w:hideMark/>
          </w:tcPr>
          <w:p w14:paraId="751B8367"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0.3</w:t>
            </w:r>
          </w:p>
        </w:tc>
      </w:tr>
      <w:tr w:rsidR="004215DA" w:rsidRPr="005F3FE7" w14:paraId="6CB67D5F" w14:textId="77777777" w:rsidTr="00FA243C">
        <w:trPr>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2B919B87" w14:textId="77777777" w:rsidR="004215DA" w:rsidRPr="000613C9" w:rsidRDefault="004215DA" w:rsidP="0079482A">
            <w:pPr>
              <w:rPr>
                <w:b w:val="0"/>
              </w:rPr>
            </w:pPr>
            <w:r w:rsidRPr="003424A0">
              <w:t>Persons living in 'severely' crowded dwellings</w:t>
            </w:r>
          </w:p>
        </w:tc>
        <w:tc>
          <w:tcPr>
            <w:tcW w:w="851" w:type="dxa"/>
            <w:noWrap/>
            <w:vAlign w:val="center"/>
            <w:hideMark/>
          </w:tcPr>
          <w:p w14:paraId="0C085D5E"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8.6</w:t>
            </w:r>
          </w:p>
        </w:tc>
        <w:tc>
          <w:tcPr>
            <w:tcW w:w="1417" w:type="dxa"/>
            <w:noWrap/>
            <w:vAlign w:val="center"/>
            <w:hideMark/>
          </w:tcPr>
          <w:p w14:paraId="37F29207"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19.0</w:t>
            </w:r>
          </w:p>
        </w:tc>
        <w:tc>
          <w:tcPr>
            <w:tcW w:w="1134" w:type="dxa"/>
            <w:noWrap/>
            <w:vAlign w:val="center"/>
            <w:hideMark/>
          </w:tcPr>
          <w:p w14:paraId="6FD8D6D4"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23.9</w:t>
            </w:r>
          </w:p>
        </w:tc>
      </w:tr>
      <w:tr w:rsidR="004215DA" w:rsidRPr="005F3FE7" w14:paraId="6D8554B7" w14:textId="77777777" w:rsidTr="00FA24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2FF4972E" w14:textId="77777777" w:rsidR="004215DA" w:rsidRPr="000613C9" w:rsidRDefault="004215DA" w:rsidP="0079482A">
            <w:pPr>
              <w:rPr>
                <w:b w:val="0"/>
              </w:rPr>
            </w:pPr>
            <w:r w:rsidRPr="003424A0">
              <w:t>Persons living in other crowded dwellings</w:t>
            </w:r>
          </w:p>
        </w:tc>
        <w:tc>
          <w:tcPr>
            <w:tcW w:w="851" w:type="dxa"/>
            <w:noWrap/>
            <w:vAlign w:val="center"/>
            <w:hideMark/>
          </w:tcPr>
          <w:p w14:paraId="55588851"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16.2</w:t>
            </w:r>
          </w:p>
        </w:tc>
        <w:tc>
          <w:tcPr>
            <w:tcW w:w="1417" w:type="dxa"/>
            <w:noWrap/>
            <w:vAlign w:val="center"/>
            <w:hideMark/>
          </w:tcPr>
          <w:p w14:paraId="407265A4"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31.3</w:t>
            </w:r>
          </w:p>
        </w:tc>
        <w:tc>
          <w:tcPr>
            <w:tcW w:w="1134" w:type="dxa"/>
            <w:noWrap/>
            <w:vAlign w:val="center"/>
            <w:hideMark/>
          </w:tcPr>
          <w:p w14:paraId="7FB212BA"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37.9</w:t>
            </w:r>
          </w:p>
        </w:tc>
      </w:tr>
      <w:tr w:rsidR="004215DA" w:rsidRPr="005F3FE7" w14:paraId="7E6ED789" w14:textId="77777777" w:rsidTr="00FA243C">
        <w:trPr>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2F0FE718" w14:textId="77777777" w:rsidR="004215DA" w:rsidRPr="000613C9" w:rsidRDefault="004215DA" w:rsidP="0079482A">
            <w:pPr>
              <w:rPr>
                <w:b w:val="0"/>
              </w:rPr>
            </w:pPr>
            <w:r w:rsidRPr="003424A0">
              <w:t>Persons in other improvised dwellings</w:t>
            </w:r>
          </w:p>
        </w:tc>
        <w:tc>
          <w:tcPr>
            <w:tcW w:w="851" w:type="dxa"/>
            <w:noWrap/>
            <w:vAlign w:val="center"/>
            <w:hideMark/>
          </w:tcPr>
          <w:p w14:paraId="10214BE1"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6.8</w:t>
            </w:r>
          </w:p>
        </w:tc>
        <w:tc>
          <w:tcPr>
            <w:tcW w:w="1417" w:type="dxa"/>
            <w:noWrap/>
            <w:vAlign w:val="center"/>
            <w:hideMark/>
          </w:tcPr>
          <w:p w14:paraId="6868A724"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4.4</w:t>
            </w:r>
          </w:p>
        </w:tc>
        <w:tc>
          <w:tcPr>
            <w:tcW w:w="1134" w:type="dxa"/>
            <w:noWrap/>
            <w:vAlign w:val="center"/>
            <w:hideMark/>
          </w:tcPr>
          <w:p w14:paraId="11E0F6F5" w14:textId="77777777" w:rsidR="004215DA" w:rsidRPr="005F3FE7" w:rsidRDefault="004215DA" w:rsidP="00FA243C">
            <w:pPr>
              <w:jc w:val="right"/>
              <w:cnfStyle w:val="000000000000" w:firstRow="0" w:lastRow="0" w:firstColumn="0" w:lastColumn="0" w:oddVBand="0" w:evenVBand="0" w:oddHBand="0" w:evenHBand="0" w:firstRowFirstColumn="0" w:firstRowLastColumn="0" w:lastRowFirstColumn="0" w:lastRowLastColumn="0"/>
            </w:pPr>
            <w:r w:rsidRPr="005F3FE7">
              <w:t>2.5</w:t>
            </w:r>
          </w:p>
        </w:tc>
      </w:tr>
      <w:tr w:rsidR="004215DA" w:rsidRPr="005F3FE7" w14:paraId="0DA0051D" w14:textId="77777777" w:rsidTr="00FA24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7D4FAE5C" w14:textId="77777777" w:rsidR="004215DA" w:rsidRPr="000613C9" w:rsidRDefault="004215DA" w:rsidP="0079482A">
            <w:pPr>
              <w:rPr>
                <w:b w:val="0"/>
              </w:rPr>
            </w:pPr>
            <w:r w:rsidRPr="003424A0">
              <w:t>Persons who are marginally housed in caravan parks</w:t>
            </w:r>
          </w:p>
        </w:tc>
        <w:tc>
          <w:tcPr>
            <w:tcW w:w="851" w:type="dxa"/>
            <w:noWrap/>
            <w:vAlign w:val="center"/>
            <w:hideMark/>
          </w:tcPr>
          <w:p w14:paraId="74E0E88B"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28.3</w:t>
            </w:r>
          </w:p>
        </w:tc>
        <w:tc>
          <w:tcPr>
            <w:tcW w:w="1417" w:type="dxa"/>
            <w:noWrap/>
            <w:vAlign w:val="center"/>
            <w:hideMark/>
          </w:tcPr>
          <w:p w14:paraId="734616B4"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9.9</w:t>
            </w:r>
          </w:p>
        </w:tc>
        <w:tc>
          <w:tcPr>
            <w:tcW w:w="1134" w:type="dxa"/>
            <w:noWrap/>
            <w:vAlign w:val="center"/>
            <w:hideMark/>
          </w:tcPr>
          <w:p w14:paraId="62E1DB1E" w14:textId="77777777" w:rsidR="004215DA" w:rsidRPr="005F3FE7" w:rsidRDefault="004215DA" w:rsidP="00FA243C">
            <w:pPr>
              <w:jc w:val="right"/>
              <w:cnfStyle w:val="000000100000" w:firstRow="0" w:lastRow="0" w:firstColumn="0" w:lastColumn="0" w:oddVBand="0" w:evenVBand="0" w:oddHBand="1" w:evenHBand="0" w:firstRowFirstColumn="0" w:firstRowLastColumn="0" w:lastRowFirstColumn="0" w:lastRowLastColumn="0"/>
            </w:pPr>
            <w:r w:rsidRPr="005F3FE7">
              <w:t>5.0</w:t>
            </w:r>
          </w:p>
        </w:tc>
      </w:tr>
      <w:tr w:rsidR="004215DA" w:rsidRPr="003424A0" w14:paraId="44A0BE61" w14:textId="77777777" w:rsidTr="00FA243C">
        <w:trPr>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4EF0DCA3" w14:textId="77777777" w:rsidR="004215DA" w:rsidRPr="003424A0" w:rsidRDefault="004215DA" w:rsidP="0079482A">
            <w:r w:rsidRPr="003424A0">
              <w:t>Total</w:t>
            </w:r>
          </w:p>
        </w:tc>
        <w:tc>
          <w:tcPr>
            <w:tcW w:w="851" w:type="dxa"/>
            <w:noWrap/>
            <w:vAlign w:val="center"/>
            <w:hideMark/>
          </w:tcPr>
          <w:p w14:paraId="094D2E69" w14:textId="77777777" w:rsidR="004215DA" w:rsidRPr="000613C9" w:rsidRDefault="004215DA" w:rsidP="00FA243C">
            <w:pPr>
              <w:jc w:val="right"/>
              <w:cnfStyle w:val="000000000000" w:firstRow="0" w:lastRow="0" w:firstColumn="0" w:lastColumn="0" w:oddVBand="0" w:evenVBand="0" w:oddHBand="0" w:evenHBand="0" w:firstRowFirstColumn="0" w:firstRowLastColumn="0" w:lastRowFirstColumn="0" w:lastRowLastColumn="0"/>
              <w:rPr>
                <w:b/>
              </w:rPr>
            </w:pPr>
            <w:r w:rsidRPr="000613C9">
              <w:rPr>
                <w:b/>
              </w:rPr>
              <w:t>100.0</w:t>
            </w:r>
          </w:p>
        </w:tc>
        <w:tc>
          <w:tcPr>
            <w:tcW w:w="1417" w:type="dxa"/>
            <w:noWrap/>
            <w:vAlign w:val="center"/>
            <w:hideMark/>
          </w:tcPr>
          <w:p w14:paraId="70FA39C6" w14:textId="77777777" w:rsidR="004215DA" w:rsidRPr="000613C9" w:rsidRDefault="004215DA" w:rsidP="00FA243C">
            <w:pPr>
              <w:jc w:val="right"/>
              <w:cnfStyle w:val="000000000000" w:firstRow="0" w:lastRow="0" w:firstColumn="0" w:lastColumn="0" w:oddVBand="0" w:evenVBand="0" w:oddHBand="0" w:evenHBand="0" w:firstRowFirstColumn="0" w:firstRowLastColumn="0" w:lastRowFirstColumn="0" w:lastRowLastColumn="0"/>
              <w:rPr>
                <w:b/>
              </w:rPr>
            </w:pPr>
            <w:r w:rsidRPr="000613C9">
              <w:rPr>
                <w:b/>
              </w:rPr>
              <w:t>100.0</w:t>
            </w:r>
          </w:p>
        </w:tc>
        <w:tc>
          <w:tcPr>
            <w:tcW w:w="1134" w:type="dxa"/>
            <w:noWrap/>
            <w:vAlign w:val="center"/>
            <w:hideMark/>
          </w:tcPr>
          <w:p w14:paraId="4A8753A5" w14:textId="77777777" w:rsidR="004215DA" w:rsidRPr="000613C9" w:rsidRDefault="004215DA" w:rsidP="00FA243C">
            <w:pPr>
              <w:jc w:val="right"/>
              <w:cnfStyle w:val="000000000000" w:firstRow="0" w:lastRow="0" w:firstColumn="0" w:lastColumn="0" w:oddVBand="0" w:evenVBand="0" w:oddHBand="0" w:evenHBand="0" w:firstRowFirstColumn="0" w:firstRowLastColumn="0" w:lastRowFirstColumn="0" w:lastRowLastColumn="0"/>
              <w:rPr>
                <w:b/>
              </w:rPr>
            </w:pPr>
            <w:r w:rsidRPr="000613C9">
              <w:rPr>
                <w:b/>
              </w:rPr>
              <w:t>100.0</w:t>
            </w:r>
          </w:p>
        </w:tc>
      </w:tr>
      <w:tr w:rsidR="004215DA" w:rsidRPr="005F3FE7" w14:paraId="3E704BAC" w14:textId="77777777" w:rsidTr="00FA24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65B4561E" w14:textId="77777777" w:rsidR="004215DA" w:rsidRPr="005F3FE7" w:rsidRDefault="004215DA" w:rsidP="0079482A">
            <w:r w:rsidRPr="005F3FE7">
              <w:t>Total number of homeless people</w:t>
            </w:r>
          </w:p>
        </w:tc>
        <w:tc>
          <w:tcPr>
            <w:tcW w:w="851" w:type="dxa"/>
            <w:noWrap/>
            <w:vAlign w:val="center"/>
            <w:hideMark/>
          </w:tcPr>
          <w:p w14:paraId="5258B6A8" w14:textId="77777777" w:rsidR="004215DA" w:rsidRPr="000613C9" w:rsidRDefault="004215DA" w:rsidP="00FA243C">
            <w:pPr>
              <w:jc w:val="right"/>
              <w:cnfStyle w:val="000000100000" w:firstRow="0" w:lastRow="0" w:firstColumn="0" w:lastColumn="0" w:oddVBand="0" w:evenVBand="0" w:oddHBand="1" w:evenHBand="0" w:firstRowFirstColumn="0" w:firstRowLastColumn="0" w:lastRowFirstColumn="0" w:lastRowLastColumn="0"/>
              <w:rPr>
                <w:b/>
              </w:rPr>
            </w:pPr>
            <w:r w:rsidRPr="000613C9">
              <w:rPr>
                <w:b/>
              </w:rPr>
              <w:t>1,122</w:t>
            </w:r>
          </w:p>
        </w:tc>
        <w:tc>
          <w:tcPr>
            <w:tcW w:w="1417" w:type="dxa"/>
            <w:noWrap/>
            <w:vAlign w:val="center"/>
            <w:hideMark/>
          </w:tcPr>
          <w:p w14:paraId="30642B3E" w14:textId="77777777" w:rsidR="004215DA" w:rsidRPr="000613C9" w:rsidRDefault="004215DA" w:rsidP="00FA243C">
            <w:pPr>
              <w:jc w:val="right"/>
              <w:cnfStyle w:val="000000100000" w:firstRow="0" w:lastRow="0" w:firstColumn="0" w:lastColumn="0" w:oddVBand="0" w:evenVBand="0" w:oddHBand="1" w:evenHBand="0" w:firstRowFirstColumn="0" w:firstRowLastColumn="0" w:lastRowFirstColumn="0" w:lastRowLastColumn="0"/>
              <w:rPr>
                <w:b/>
              </w:rPr>
            </w:pPr>
            <w:r w:rsidRPr="000613C9">
              <w:rPr>
                <w:b/>
              </w:rPr>
              <w:t>39,914</w:t>
            </w:r>
          </w:p>
        </w:tc>
        <w:tc>
          <w:tcPr>
            <w:tcW w:w="1134" w:type="dxa"/>
            <w:noWrap/>
            <w:vAlign w:val="center"/>
            <w:hideMark/>
          </w:tcPr>
          <w:p w14:paraId="0DDBA5B2" w14:textId="77777777" w:rsidR="004215DA" w:rsidRPr="000613C9" w:rsidRDefault="004215DA" w:rsidP="00FA243C">
            <w:pPr>
              <w:jc w:val="right"/>
              <w:cnfStyle w:val="000000100000" w:firstRow="0" w:lastRow="0" w:firstColumn="0" w:lastColumn="0" w:oddVBand="0" w:evenVBand="0" w:oddHBand="1" w:evenHBand="0" w:firstRowFirstColumn="0" w:firstRowLastColumn="0" w:lastRowFirstColumn="0" w:lastRowLastColumn="0"/>
              <w:rPr>
                <w:b/>
              </w:rPr>
            </w:pPr>
            <w:r w:rsidRPr="000613C9">
              <w:rPr>
                <w:b/>
              </w:rPr>
              <w:t>213,424</w:t>
            </w:r>
          </w:p>
        </w:tc>
      </w:tr>
      <w:tr w:rsidR="004215DA" w:rsidRPr="005F3FE7" w14:paraId="4C3C6F50" w14:textId="77777777" w:rsidTr="00FA243C">
        <w:trPr>
          <w:trHeight w:val="255"/>
        </w:trPr>
        <w:tc>
          <w:tcPr>
            <w:cnfStyle w:val="001000000000" w:firstRow="0" w:lastRow="0" w:firstColumn="1" w:lastColumn="0" w:oddVBand="0" w:evenVBand="0" w:oddHBand="0" w:evenHBand="0" w:firstRowFirstColumn="0" w:firstRowLastColumn="0" w:lastRowFirstColumn="0" w:lastRowLastColumn="0"/>
            <w:tcW w:w="5807" w:type="dxa"/>
            <w:hideMark/>
          </w:tcPr>
          <w:p w14:paraId="7513CD30" w14:textId="77777777" w:rsidR="004215DA" w:rsidRPr="005F3FE7" w:rsidRDefault="004215DA" w:rsidP="0079482A">
            <w:r w:rsidRPr="005F3FE7">
              <w:t>Proportion of total population</w:t>
            </w:r>
          </w:p>
        </w:tc>
        <w:tc>
          <w:tcPr>
            <w:tcW w:w="851" w:type="dxa"/>
            <w:noWrap/>
            <w:vAlign w:val="center"/>
            <w:hideMark/>
          </w:tcPr>
          <w:p w14:paraId="13B3A420" w14:textId="77777777" w:rsidR="004215DA" w:rsidRPr="000613C9" w:rsidRDefault="004215DA" w:rsidP="00FA243C">
            <w:pPr>
              <w:jc w:val="right"/>
              <w:cnfStyle w:val="000000000000" w:firstRow="0" w:lastRow="0" w:firstColumn="0" w:lastColumn="0" w:oddVBand="0" w:evenVBand="0" w:oddHBand="0" w:evenHBand="0" w:firstRowFirstColumn="0" w:firstRowLastColumn="0" w:lastRowFirstColumn="0" w:lastRowLastColumn="0"/>
              <w:rPr>
                <w:b/>
              </w:rPr>
            </w:pPr>
            <w:r w:rsidRPr="000613C9">
              <w:rPr>
                <w:b/>
              </w:rPr>
              <w:t>0.7%</w:t>
            </w:r>
          </w:p>
        </w:tc>
        <w:tc>
          <w:tcPr>
            <w:tcW w:w="1417" w:type="dxa"/>
            <w:noWrap/>
            <w:vAlign w:val="center"/>
            <w:hideMark/>
          </w:tcPr>
          <w:p w14:paraId="6DAC1280" w14:textId="77777777" w:rsidR="004215DA" w:rsidRPr="000613C9" w:rsidRDefault="004215DA" w:rsidP="00FA243C">
            <w:pPr>
              <w:jc w:val="right"/>
              <w:cnfStyle w:val="000000000000" w:firstRow="0" w:lastRow="0" w:firstColumn="0" w:lastColumn="0" w:oddVBand="0" w:evenVBand="0" w:oddHBand="0" w:evenHBand="0" w:firstRowFirstColumn="0" w:firstRowLastColumn="0" w:lastRowFirstColumn="0" w:lastRowLastColumn="0"/>
              <w:rPr>
                <w:b/>
              </w:rPr>
            </w:pPr>
            <w:r w:rsidRPr="000613C9">
              <w:rPr>
                <w:b/>
              </w:rPr>
              <w:t>0.8%</w:t>
            </w:r>
          </w:p>
        </w:tc>
        <w:tc>
          <w:tcPr>
            <w:tcW w:w="1134" w:type="dxa"/>
            <w:noWrap/>
            <w:vAlign w:val="center"/>
            <w:hideMark/>
          </w:tcPr>
          <w:p w14:paraId="7D4E9F26" w14:textId="77777777" w:rsidR="004215DA" w:rsidRPr="000613C9" w:rsidRDefault="004215DA" w:rsidP="00FA243C">
            <w:pPr>
              <w:jc w:val="right"/>
              <w:cnfStyle w:val="000000000000" w:firstRow="0" w:lastRow="0" w:firstColumn="0" w:lastColumn="0" w:oddVBand="0" w:evenVBand="0" w:oddHBand="0" w:evenHBand="0" w:firstRowFirstColumn="0" w:firstRowLastColumn="0" w:lastRowFirstColumn="0" w:lastRowLastColumn="0"/>
              <w:rPr>
                <w:b/>
              </w:rPr>
            </w:pPr>
            <w:r w:rsidRPr="000613C9">
              <w:rPr>
                <w:b/>
              </w:rPr>
              <w:t>0.9%</w:t>
            </w:r>
          </w:p>
        </w:tc>
      </w:tr>
    </w:tbl>
    <w:p w14:paraId="4587294D" w14:textId="77777777" w:rsidR="004215DA" w:rsidRPr="00B51060" w:rsidRDefault="004215DA" w:rsidP="00B51060">
      <w:pPr>
        <w:spacing w:after="0"/>
        <w:rPr>
          <w:i/>
          <w:sz w:val="18"/>
          <w:szCs w:val="18"/>
        </w:rPr>
      </w:pPr>
      <w:r w:rsidRPr="00B51060">
        <w:rPr>
          <w:i/>
          <w:sz w:val="18"/>
          <w:szCs w:val="18"/>
        </w:rPr>
        <w:t xml:space="preserve">Source: Census of Population and Housing, 2016, </w:t>
      </w:r>
      <w:proofErr w:type="spellStart"/>
      <w:r w:rsidRPr="00B51060">
        <w:rPr>
          <w:i/>
          <w:sz w:val="18"/>
          <w:szCs w:val="18"/>
        </w:rPr>
        <w:t>TableBuilder</w:t>
      </w:r>
      <w:proofErr w:type="spellEnd"/>
      <w:r w:rsidRPr="00B51060">
        <w:rPr>
          <w:i/>
          <w:sz w:val="18"/>
          <w:szCs w:val="18"/>
        </w:rPr>
        <w:t>.</w:t>
      </w:r>
    </w:p>
    <w:p w14:paraId="6D48559F" w14:textId="77777777" w:rsidR="006E2F26" w:rsidRPr="006E2F26" w:rsidRDefault="004215DA" w:rsidP="00A4064D">
      <w:pPr>
        <w:spacing w:after="360"/>
        <w:rPr>
          <w:i/>
          <w:sz w:val="18"/>
          <w:szCs w:val="18"/>
        </w:rPr>
      </w:pPr>
      <w:r w:rsidRPr="00B51060">
        <w:rPr>
          <w:i/>
          <w:sz w:val="18"/>
          <w:szCs w:val="18"/>
        </w:rPr>
        <w:t>Notes: Data are based on place of enumeration</w:t>
      </w:r>
      <w:r w:rsidR="0052547A">
        <w:rPr>
          <w:i/>
          <w:sz w:val="18"/>
          <w:szCs w:val="18"/>
        </w:rPr>
        <w:t xml:space="preserve"> </w:t>
      </w:r>
      <w:r w:rsidR="0052547A" w:rsidRPr="0052547A">
        <w:rPr>
          <w:i/>
          <w:sz w:val="18"/>
          <w:szCs w:val="18"/>
        </w:rPr>
        <w:t>(i.e. where people actually were on Census night)</w:t>
      </w:r>
      <w:r w:rsidRPr="00B51060">
        <w:rPr>
          <w:i/>
          <w:sz w:val="18"/>
          <w:szCs w:val="18"/>
        </w:rPr>
        <w:t>. BHB</w:t>
      </w:r>
      <w:r w:rsidR="00BE06D1">
        <w:rPr>
          <w:i/>
          <w:sz w:val="18"/>
          <w:szCs w:val="18"/>
        </w:rPr>
        <w:t xml:space="preserve"> refers to </w:t>
      </w:r>
      <w:r w:rsidR="00FB64DF">
        <w:rPr>
          <w:i/>
          <w:sz w:val="18"/>
          <w:szCs w:val="18"/>
        </w:rPr>
        <w:t>Bundaberg and Her</w:t>
      </w:r>
      <w:r w:rsidR="00941DA6">
        <w:rPr>
          <w:i/>
          <w:sz w:val="18"/>
          <w:szCs w:val="18"/>
        </w:rPr>
        <w:t>v</w:t>
      </w:r>
      <w:r w:rsidR="00FB64DF">
        <w:rPr>
          <w:i/>
          <w:sz w:val="18"/>
          <w:szCs w:val="18"/>
        </w:rPr>
        <w:t>e</w:t>
      </w:r>
      <w:r w:rsidR="00941DA6">
        <w:rPr>
          <w:i/>
          <w:sz w:val="18"/>
          <w:szCs w:val="18"/>
        </w:rPr>
        <w:t xml:space="preserve">y Bay </w:t>
      </w:r>
      <w:r w:rsidR="00A02CC1">
        <w:rPr>
          <w:i/>
          <w:sz w:val="18"/>
          <w:szCs w:val="18"/>
        </w:rPr>
        <w:t xml:space="preserve">added </w:t>
      </w:r>
      <w:r w:rsidR="00941DA6">
        <w:rPr>
          <w:i/>
          <w:sz w:val="18"/>
          <w:szCs w:val="18"/>
        </w:rPr>
        <w:t>together, which</w:t>
      </w:r>
      <w:r w:rsidRPr="00B51060">
        <w:rPr>
          <w:i/>
          <w:sz w:val="18"/>
          <w:szCs w:val="18"/>
        </w:rPr>
        <w:t xml:space="preserve"> </w:t>
      </w:r>
      <w:r w:rsidR="008027CD">
        <w:rPr>
          <w:i/>
          <w:sz w:val="18"/>
          <w:szCs w:val="18"/>
        </w:rPr>
        <w:t>were</w:t>
      </w:r>
      <w:r w:rsidRPr="00B51060">
        <w:rPr>
          <w:i/>
          <w:sz w:val="18"/>
          <w:szCs w:val="18"/>
        </w:rPr>
        <w:t xml:space="preserve"> identified using the </w:t>
      </w:r>
      <w:r w:rsidR="00870E6D" w:rsidRPr="00870E6D">
        <w:rPr>
          <w:i/>
          <w:iCs/>
          <w:sz w:val="18"/>
          <w:szCs w:val="18"/>
        </w:rPr>
        <w:t>ABS Main Area Structure</w:t>
      </w:r>
      <w:r w:rsidRPr="00B51060">
        <w:rPr>
          <w:i/>
          <w:sz w:val="18"/>
          <w:szCs w:val="18"/>
        </w:rPr>
        <w:t xml:space="preserve"> information</w:t>
      </w:r>
      <w:r w:rsidR="00941DA6">
        <w:rPr>
          <w:i/>
          <w:sz w:val="18"/>
          <w:szCs w:val="18"/>
        </w:rPr>
        <w:t xml:space="preserve"> at the SA3 level</w:t>
      </w:r>
      <w:r w:rsidRPr="00B51060">
        <w:rPr>
          <w:i/>
          <w:sz w:val="18"/>
          <w:szCs w:val="18"/>
        </w:rPr>
        <w:t>.</w:t>
      </w:r>
      <w:r w:rsidR="006E2F26">
        <w:rPr>
          <w:i/>
          <w:sz w:val="18"/>
          <w:szCs w:val="18"/>
        </w:rPr>
        <w:t xml:space="preserve"> </w:t>
      </w:r>
      <w:bookmarkStart w:id="87" w:name="_Hlk36221670"/>
      <w:r w:rsidR="006E2F26" w:rsidRPr="006E2F26">
        <w:rPr>
          <w:i/>
          <w:sz w:val="18"/>
          <w:szCs w:val="18"/>
        </w:rPr>
        <w:t>Due to rounding, the total percentages may not sum up</w:t>
      </w:r>
      <w:r w:rsidR="00173597">
        <w:rPr>
          <w:i/>
          <w:sz w:val="18"/>
          <w:szCs w:val="18"/>
        </w:rPr>
        <w:t xml:space="preserve"> exactly</w:t>
      </w:r>
      <w:r w:rsidR="006E2F26" w:rsidRPr="006E2F26">
        <w:rPr>
          <w:i/>
          <w:sz w:val="18"/>
          <w:szCs w:val="18"/>
        </w:rPr>
        <w:t xml:space="preserve"> to 100.</w:t>
      </w:r>
      <w:bookmarkEnd w:id="87"/>
    </w:p>
    <w:p w14:paraId="0D900391" w14:textId="451454C4" w:rsidR="004215DA" w:rsidRPr="0048042E" w:rsidRDefault="003B1C3D" w:rsidP="001D7A03">
      <w:r>
        <w:fldChar w:fldCharType="begin"/>
      </w:r>
      <w:r>
        <w:instrText xml:space="preserve"> REF _Ref37264657 \h </w:instrText>
      </w:r>
      <w:r>
        <w:fldChar w:fldCharType="separate"/>
      </w:r>
      <w:r w:rsidR="008E2086">
        <w:t xml:space="preserve">Table </w:t>
      </w:r>
      <w:r w:rsidR="008E2086">
        <w:rPr>
          <w:noProof/>
        </w:rPr>
        <w:t>2</w:t>
      </w:r>
      <w:r w:rsidR="008E2086">
        <w:noBreakHyphen/>
      </w:r>
      <w:r w:rsidR="008E2086">
        <w:rPr>
          <w:noProof/>
        </w:rPr>
        <w:t>14</w:t>
      </w:r>
      <w:r>
        <w:fldChar w:fldCharType="end"/>
      </w:r>
      <w:r w:rsidR="00AA7D2C">
        <w:t xml:space="preserve"> shows that t</w:t>
      </w:r>
      <w:r w:rsidR="004215DA" w:rsidRPr="0048042E">
        <w:t>he</w:t>
      </w:r>
      <w:r w:rsidR="00FE0D68">
        <w:t xml:space="preserve"> overall</w:t>
      </w:r>
      <w:r w:rsidR="004215DA" w:rsidRPr="0048042E">
        <w:t xml:space="preserve"> proportion of homeless people is similar between the </w:t>
      </w:r>
      <w:r w:rsidR="00FE7B5B">
        <w:t>Bundaberg and Hervey Bay</w:t>
      </w:r>
      <w:r w:rsidR="004215DA" w:rsidRPr="0048042E">
        <w:t xml:space="preserve"> region,</w:t>
      </w:r>
      <w:r w:rsidR="00FE0D68">
        <w:t xml:space="preserve"> the state of</w:t>
      </w:r>
      <w:r w:rsidR="004215DA" w:rsidRPr="0048042E">
        <w:t xml:space="preserve"> Queensland </w:t>
      </w:r>
      <w:r w:rsidR="00FE0D68">
        <w:t xml:space="preserve">as a whole </w:t>
      </w:r>
      <w:r w:rsidR="004215DA" w:rsidRPr="0048042E">
        <w:t xml:space="preserve">and Australia </w:t>
      </w:r>
      <w:r w:rsidR="00FE0D68">
        <w:t>(</w:t>
      </w:r>
      <w:r w:rsidR="004215DA" w:rsidRPr="0048042E">
        <w:t>below 1 per</w:t>
      </w:r>
      <w:r w:rsidR="00880F57">
        <w:t xml:space="preserve"> </w:t>
      </w:r>
      <w:r w:rsidR="004215DA" w:rsidRPr="0048042E">
        <w:t>cent</w:t>
      </w:r>
      <w:r w:rsidR="00FE0D68">
        <w:t>)</w:t>
      </w:r>
      <w:r w:rsidR="004215DA" w:rsidRPr="0048042E">
        <w:t xml:space="preserve">. However, there </w:t>
      </w:r>
      <w:r w:rsidR="00FE0D68">
        <w:t xml:space="preserve">are </w:t>
      </w:r>
      <w:r w:rsidR="004215DA" w:rsidRPr="0048042E">
        <w:t>considerable difference</w:t>
      </w:r>
      <w:r w:rsidR="00FE0D68">
        <w:t>s</w:t>
      </w:r>
      <w:r w:rsidR="004215DA" w:rsidRPr="0048042E">
        <w:t xml:space="preserve"> in terms of the </w:t>
      </w:r>
      <w:r w:rsidR="00AA7D2C">
        <w:t>type</w:t>
      </w:r>
      <w:r w:rsidR="00FE0D68">
        <w:t>s</w:t>
      </w:r>
      <w:r w:rsidR="00AA7D2C">
        <w:t xml:space="preserve"> of </w:t>
      </w:r>
      <w:r w:rsidR="004215DA" w:rsidRPr="0048042E">
        <w:t>homeless</w:t>
      </w:r>
      <w:r w:rsidR="00AA7D2C">
        <w:t>ness</w:t>
      </w:r>
      <w:r w:rsidR="004215DA" w:rsidRPr="0048042E">
        <w:t xml:space="preserve">. </w:t>
      </w:r>
    </w:p>
    <w:p w14:paraId="68E59A34" w14:textId="77777777" w:rsidR="004215DA" w:rsidRPr="0048042E" w:rsidRDefault="004215DA" w:rsidP="001D7A03">
      <w:r w:rsidRPr="0048042E">
        <w:t xml:space="preserve">In the </w:t>
      </w:r>
      <w:r w:rsidR="00FE7B5B">
        <w:t>Bundaberg and Hervey Bay</w:t>
      </w:r>
      <w:r w:rsidRPr="0048042E">
        <w:t xml:space="preserve"> region, the most prevalent type of homeless</w:t>
      </w:r>
      <w:r w:rsidR="0062506D">
        <w:t>ness</w:t>
      </w:r>
      <w:r w:rsidRPr="0048042E">
        <w:t xml:space="preserve"> is ‘persons who are marginally housed in caravan parks’, wh</w:t>
      </w:r>
      <w:r w:rsidR="00AA7D2C">
        <w:t>o</w:t>
      </w:r>
      <w:r w:rsidRPr="0048042E">
        <w:t xml:space="preserve"> account for 28.3 per</w:t>
      </w:r>
      <w:r w:rsidR="00880F57">
        <w:t xml:space="preserve"> </w:t>
      </w:r>
      <w:r w:rsidRPr="0048042E">
        <w:t>cent of homeless</w:t>
      </w:r>
      <w:r w:rsidR="0062506D">
        <w:t>ness</w:t>
      </w:r>
      <w:r w:rsidRPr="0048042E">
        <w:t xml:space="preserve"> people in the region</w:t>
      </w:r>
      <w:r w:rsidR="00AA7D2C">
        <w:t>. The same type of homelessness accounts for only</w:t>
      </w:r>
      <w:r w:rsidRPr="0048042E">
        <w:t xml:space="preserve"> 9.9 per</w:t>
      </w:r>
      <w:r w:rsidR="00880F57">
        <w:t xml:space="preserve"> </w:t>
      </w:r>
      <w:r w:rsidRPr="0048042E">
        <w:t>cent of homeless</w:t>
      </w:r>
      <w:r w:rsidR="0062506D">
        <w:t>ness</w:t>
      </w:r>
      <w:r w:rsidRPr="0048042E">
        <w:t xml:space="preserve"> in </w:t>
      </w:r>
      <w:r w:rsidR="0062506D">
        <w:t xml:space="preserve">the state of </w:t>
      </w:r>
      <w:r w:rsidRPr="0048042E">
        <w:t>Queensland</w:t>
      </w:r>
      <w:r w:rsidR="0062506D">
        <w:t xml:space="preserve"> as a whole</w:t>
      </w:r>
      <w:r w:rsidRPr="0048042E">
        <w:t xml:space="preserve"> (the fourth most prevalent</w:t>
      </w:r>
      <w:r w:rsidR="0062506D">
        <w:t xml:space="preserve"> type of homelessness</w:t>
      </w:r>
      <w:r w:rsidRPr="0048042E">
        <w:t>) and 5.0 per</w:t>
      </w:r>
      <w:r w:rsidR="00880F57">
        <w:t xml:space="preserve"> </w:t>
      </w:r>
      <w:r w:rsidRPr="0048042E">
        <w:t>cent in Australia (the sixth most prevalent</w:t>
      </w:r>
      <w:r w:rsidR="0062506D">
        <w:t xml:space="preserve"> type of homelessness</w:t>
      </w:r>
      <w:r w:rsidRPr="0048042E">
        <w:t>).</w:t>
      </w:r>
    </w:p>
    <w:p w14:paraId="4B59B680" w14:textId="77777777" w:rsidR="004215DA" w:rsidRDefault="00AA7D2C" w:rsidP="001D7A03">
      <w:r>
        <w:t>T</w:t>
      </w:r>
      <w:r w:rsidR="004215DA" w:rsidRPr="0048042E">
        <w:t>he most prevalent type of homeless</w:t>
      </w:r>
      <w:r w:rsidR="0062506D">
        <w:t>ness (over 30 per cent)</w:t>
      </w:r>
      <w:r w:rsidR="004215DA" w:rsidRPr="0048042E">
        <w:t xml:space="preserve"> in both </w:t>
      </w:r>
      <w:r w:rsidR="0062506D">
        <w:t xml:space="preserve">the state of </w:t>
      </w:r>
      <w:r w:rsidR="004215DA" w:rsidRPr="0048042E">
        <w:t>Queensland</w:t>
      </w:r>
      <w:r w:rsidR="0062506D">
        <w:t xml:space="preserve"> as a whole</w:t>
      </w:r>
      <w:r w:rsidR="004215DA" w:rsidRPr="0048042E">
        <w:t xml:space="preserve"> and Australia is ‘persons living in other crowded dwellings’</w:t>
      </w:r>
      <w:r w:rsidR="009220DE">
        <w:t xml:space="preserve"> and the second most prevalent type is ‘persons living in severely crowded dwellings’ (around 20 per cent) </w:t>
      </w:r>
      <w:r>
        <w:t xml:space="preserve">. </w:t>
      </w:r>
      <w:r w:rsidR="001628D4">
        <w:t>In comparison, t</w:t>
      </w:r>
      <w:r w:rsidR="009220DE">
        <w:t>hese two</w:t>
      </w:r>
      <w:r w:rsidR="004215DA" w:rsidRPr="0048042E">
        <w:t xml:space="preserve"> type</w:t>
      </w:r>
      <w:r w:rsidR="009220DE">
        <w:t>s</w:t>
      </w:r>
      <w:r w:rsidR="004215DA" w:rsidRPr="0048042E">
        <w:t xml:space="preserve"> </w:t>
      </w:r>
      <w:r w:rsidR="0062506D">
        <w:t xml:space="preserve">of </w:t>
      </w:r>
      <w:r w:rsidR="009220DE">
        <w:t xml:space="preserve">‘crowded dwelling’ </w:t>
      </w:r>
      <w:r w:rsidR="0062506D">
        <w:t xml:space="preserve">homelessness </w:t>
      </w:r>
      <w:r w:rsidR="004215DA" w:rsidRPr="0048042E">
        <w:t xml:space="preserve">only account for 16.2 </w:t>
      </w:r>
      <w:r w:rsidR="009220DE">
        <w:t xml:space="preserve">and 8.6 </w:t>
      </w:r>
      <w:r w:rsidR="004215DA" w:rsidRPr="0048042E">
        <w:t>per</w:t>
      </w:r>
      <w:r w:rsidR="00880F57">
        <w:t xml:space="preserve"> </w:t>
      </w:r>
      <w:r w:rsidR="004215DA" w:rsidRPr="0048042E">
        <w:t>cent of homeless</w:t>
      </w:r>
      <w:r w:rsidR="0062506D">
        <w:t>ness</w:t>
      </w:r>
      <w:r w:rsidR="004215DA" w:rsidRPr="0048042E">
        <w:t xml:space="preserve"> in the </w:t>
      </w:r>
      <w:r w:rsidR="00FE7B5B">
        <w:t>Bundaberg and Hervey Bay</w:t>
      </w:r>
      <w:r w:rsidR="004215DA" w:rsidRPr="0048042E">
        <w:t xml:space="preserve"> region (the third</w:t>
      </w:r>
      <w:r w:rsidR="00C4712E">
        <w:t xml:space="preserve"> and fifth</w:t>
      </w:r>
      <w:r w:rsidR="004215DA" w:rsidRPr="0048042E">
        <w:t xml:space="preserve"> most prevalent</w:t>
      </w:r>
      <w:r w:rsidR="0062506D">
        <w:t xml:space="preserve"> type of homelessness</w:t>
      </w:r>
      <w:r w:rsidR="00C4712E">
        <w:t>, respectively</w:t>
      </w:r>
      <w:r w:rsidR="004215DA" w:rsidRPr="0048042E">
        <w:t>).</w:t>
      </w:r>
    </w:p>
    <w:p w14:paraId="64985656" w14:textId="77777777" w:rsidR="00C053C9" w:rsidRPr="003532DA" w:rsidRDefault="00C053C9">
      <w:pPr>
        <w:pStyle w:val="Heading2"/>
      </w:pPr>
      <w:bookmarkStart w:id="88" w:name="_Toc34818225"/>
      <w:bookmarkStart w:id="89" w:name="_Toc34935581"/>
      <w:bookmarkStart w:id="90" w:name="_Toc37258351"/>
      <w:r w:rsidRPr="003532DA">
        <w:t>Socio</w:t>
      </w:r>
      <w:r w:rsidR="00335D75" w:rsidRPr="003532DA">
        <w:t>-</w:t>
      </w:r>
      <w:r w:rsidRPr="003532DA">
        <w:t>economic status</w:t>
      </w:r>
      <w:bookmarkEnd w:id="88"/>
      <w:bookmarkEnd w:id="89"/>
      <w:bookmarkEnd w:id="90"/>
    </w:p>
    <w:p w14:paraId="67624ED1" w14:textId="77777777" w:rsidR="0012520D" w:rsidRDefault="0012520D" w:rsidP="0079482A">
      <w:r w:rsidRPr="0012520D">
        <w:t xml:space="preserve">Socio-Economic Indexes for Areas (SEIFA) is an ABS product that ranks areas in Australia according to relative socio-economic advantage and disadvantage. The indexes are based on </w:t>
      </w:r>
      <w:r>
        <w:t>information from the</w:t>
      </w:r>
      <w:r w:rsidRPr="0012520D">
        <w:t xml:space="preserve"> </w:t>
      </w:r>
      <w:r>
        <w:t xml:space="preserve">Census. </w:t>
      </w:r>
      <w:r w:rsidR="005D761E">
        <w:t xml:space="preserve">The </w:t>
      </w:r>
      <w:r>
        <w:t>SEIFA 2016 is created from the Census 2016 data and consists of four indexes</w:t>
      </w:r>
      <w:r w:rsidR="001628D4">
        <w:t>.</w:t>
      </w:r>
      <w:r>
        <w:t xml:space="preserve"> </w:t>
      </w:r>
      <w:r w:rsidR="00CE7C03" w:rsidRPr="0048042E">
        <w:t>The</w:t>
      </w:r>
      <w:r w:rsidR="005D761E">
        <w:t xml:space="preserve"> </w:t>
      </w:r>
      <w:r w:rsidR="001628D4">
        <w:t xml:space="preserve">index </w:t>
      </w:r>
      <w:r w:rsidR="005D761E">
        <w:t>we use</w:t>
      </w:r>
      <w:r>
        <w:t xml:space="preserve"> here is the population</w:t>
      </w:r>
      <w:r w:rsidR="00A86E7C">
        <w:t>-</w:t>
      </w:r>
      <w:r>
        <w:t>based</w:t>
      </w:r>
      <w:r w:rsidR="00CE7C03" w:rsidRPr="0048042E">
        <w:t xml:space="preserve"> </w:t>
      </w:r>
      <w:r w:rsidR="00A86E7C">
        <w:t>I</w:t>
      </w:r>
      <w:r w:rsidR="00A86E7C" w:rsidRPr="0048042E">
        <w:t xml:space="preserve">ndex </w:t>
      </w:r>
      <w:r w:rsidR="00CE7C03" w:rsidRPr="0048042E">
        <w:t>of Relative Socio-economic Disadvantage</w:t>
      </w:r>
      <w:r w:rsidR="00B96692">
        <w:t xml:space="preserve"> </w:t>
      </w:r>
      <w:r w:rsidR="00CE7C03" w:rsidRPr="0048042E">
        <w:t>(IRSD)</w:t>
      </w:r>
      <w:r>
        <w:t>.</w:t>
      </w:r>
      <w:r>
        <w:rPr>
          <w:rStyle w:val="FootnoteReference"/>
        </w:rPr>
        <w:footnoteReference w:id="18"/>
      </w:r>
      <w:r>
        <w:t xml:space="preserve"> The index</w:t>
      </w:r>
      <w:r w:rsidR="00CE7C03" w:rsidRPr="0048042E">
        <w:t xml:space="preserve"> is a general socio-economic index that measures </w:t>
      </w:r>
      <w:r w:rsidR="00CE7C03" w:rsidRPr="00B96692">
        <w:rPr>
          <w:i/>
        </w:rPr>
        <w:t>relative</w:t>
      </w:r>
      <w:r w:rsidR="00CE7C03" w:rsidRPr="0048042E">
        <w:t xml:space="preserve"> disadvantage</w:t>
      </w:r>
      <w:r>
        <w:t xml:space="preserve"> and it</w:t>
      </w:r>
      <w:r w:rsidR="00B96692">
        <w:t>s</w:t>
      </w:r>
      <w:r>
        <w:t xml:space="preserve"> deriv</w:t>
      </w:r>
      <w:r w:rsidR="00B96692">
        <w:t>ation is</w:t>
      </w:r>
      <w:r>
        <w:t xml:space="preserve"> based on household income, qualification</w:t>
      </w:r>
      <w:r w:rsidR="00B96692">
        <w:t>s,</w:t>
      </w:r>
      <w:r>
        <w:t xml:space="preserve"> and job occupation</w:t>
      </w:r>
      <w:r w:rsidR="00CE7C03" w:rsidRPr="0048042E">
        <w:t>.</w:t>
      </w:r>
      <w:r>
        <w:t xml:space="preserve"> </w:t>
      </w:r>
      <w:r w:rsidR="00B96692">
        <w:t>A low score (low</w:t>
      </w:r>
      <w:r w:rsidR="00AA7D2C">
        <w:t>er</w:t>
      </w:r>
      <w:r w:rsidR="00CE7C03" w:rsidRPr="0048042E">
        <w:t xml:space="preserve"> decile) indicates </w:t>
      </w:r>
      <w:r w:rsidR="00B96692">
        <w:t xml:space="preserve">more </w:t>
      </w:r>
      <w:r w:rsidR="00CE7C03" w:rsidRPr="0048042E">
        <w:t>relative dis</w:t>
      </w:r>
      <w:r w:rsidR="00B96692">
        <w:t>advantage and a high score (high</w:t>
      </w:r>
      <w:r w:rsidR="00CE7C03" w:rsidRPr="0048042E">
        <w:t>e</w:t>
      </w:r>
      <w:r w:rsidR="00AA7D2C">
        <w:t>r</w:t>
      </w:r>
      <w:r w:rsidR="00CE7C03" w:rsidRPr="0048042E">
        <w:t xml:space="preserve"> decile) indicates </w:t>
      </w:r>
      <w:r w:rsidR="00B96692">
        <w:t>less</w:t>
      </w:r>
      <w:r w:rsidR="00CE7C03" w:rsidRPr="0048042E">
        <w:t xml:space="preserve"> relative disadvantage.</w:t>
      </w:r>
    </w:p>
    <w:p w14:paraId="4176A475" w14:textId="23747050" w:rsidR="00CE7C03" w:rsidRDefault="001D7A03" w:rsidP="0079482A">
      <w:r>
        <w:lastRenderedPageBreak/>
        <w:t>The following table (</w:t>
      </w:r>
      <w:r w:rsidR="000264E8">
        <w:fldChar w:fldCharType="begin"/>
      </w:r>
      <w:r w:rsidR="000264E8">
        <w:instrText xml:space="preserve"> REF _Ref34901227 \h </w:instrText>
      </w:r>
      <w:r w:rsidR="000264E8">
        <w:fldChar w:fldCharType="separate"/>
      </w:r>
      <w:r w:rsidR="008E2086">
        <w:t xml:space="preserve">Table </w:t>
      </w:r>
      <w:r w:rsidR="008E2086">
        <w:rPr>
          <w:noProof/>
        </w:rPr>
        <w:t>2</w:t>
      </w:r>
      <w:r w:rsidR="008E2086">
        <w:noBreakHyphen/>
      </w:r>
      <w:r w:rsidR="008E2086">
        <w:rPr>
          <w:noProof/>
        </w:rPr>
        <w:t>15</w:t>
      </w:r>
      <w:r w:rsidR="000264E8">
        <w:fldChar w:fldCharType="end"/>
      </w:r>
      <w:r>
        <w:t>) display</w:t>
      </w:r>
      <w:r w:rsidR="00280408">
        <w:t>s</w:t>
      </w:r>
      <w:r>
        <w:t xml:space="preserve"> the distribution of the population of </w:t>
      </w:r>
      <w:r w:rsidR="00DD43FE">
        <w:t>the F</w:t>
      </w:r>
      <w:r w:rsidR="00DD43FE" w:rsidRPr="007A58F7">
        <w:t>ederal electorate</w:t>
      </w:r>
      <w:r w:rsidR="00DD43FE" w:rsidRPr="0079482A">
        <w:t xml:space="preserve"> </w:t>
      </w:r>
      <w:r w:rsidR="00DD43FE">
        <w:t xml:space="preserve">of </w:t>
      </w:r>
      <w:r w:rsidR="00DD43FE" w:rsidRPr="0079482A">
        <w:t>Hinkler</w:t>
      </w:r>
      <w:r>
        <w:t xml:space="preserve"> </w:t>
      </w:r>
      <w:r w:rsidR="00041F2B">
        <w:t>in relation</w:t>
      </w:r>
      <w:r>
        <w:t xml:space="preserve"> to these IRSD dec</w:t>
      </w:r>
      <w:r w:rsidR="00280408">
        <w:t xml:space="preserve">iles. The figure following </w:t>
      </w:r>
      <w:r w:rsidR="003A566F">
        <w:fldChar w:fldCharType="begin"/>
      </w:r>
      <w:r w:rsidR="003A566F">
        <w:instrText xml:space="preserve"> REF _Ref34901227 \h </w:instrText>
      </w:r>
      <w:r w:rsidR="003A566F">
        <w:fldChar w:fldCharType="separate"/>
      </w:r>
      <w:r w:rsidR="008E2086">
        <w:t xml:space="preserve">Table </w:t>
      </w:r>
      <w:r w:rsidR="008E2086">
        <w:rPr>
          <w:noProof/>
        </w:rPr>
        <w:t>2</w:t>
      </w:r>
      <w:r w:rsidR="008E2086">
        <w:noBreakHyphen/>
      </w:r>
      <w:r w:rsidR="008E2086">
        <w:rPr>
          <w:noProof/>
        </w:rPr>
        <w:t>15</w:t>
      </w:r>
      <w:r w:rsidR="003A566F">
        <w:fldChar w:fldCharType="end"/>
      </w:r>
      <w:r w:rsidR="00280408">
        <w:t xml:space="preserve"> </w:t>
      </w:r>
      <w:r>
        <w:t>(</w:t>
      </w:r>
      <w:r w:rsidR="00A66926">
        <w:fldChar w:fldCharType="begin"/>
      </w:r>
      <w:r w:rsidR="00A66926">
        <w:instrText xml:space="preserve"> REF _Ref34912419 \h </w:instrText>
      </w:r>
      <w:r w:rsidR="00A66926">
        <w:fldChar w:fldCharType="separate"/>
      </w:r>
      <w:r w:rsidR="008E2086">
        <w:t xml:space="preserve">Figure </w:t>
      </w:r>
      <w:r w:rsidR="008E2086">
        <w:rPr>
          <w:noProof/>
        </w:rPr>
        <w:t>2</w:t>
      </w:r>
      <w:r w:rsidR="008E2086">
        <w:noBreakHyphen/>
      </w:r>
      <w:r w:rsidR="008E2086">
        <w:rPr>
          <w:noProof/>
        </w:rPr>
        <w:t>5</w:t>
      </w:r>
      <w:r w:rsidR="00A66926">
        <w:fldChar w:fldCharType="end"/>
      </w:r>
      <w:r w:rsidR="00A66926">
        <w:t xml:space="preserve">) </w:t>
      </w:r>
      <w:r w:rsidR="00FF2315">
        <w:t xml:space="preserve">displays the cumulative distribution of the IRSD index within each population </w:t>
      </w:r>
      <w:r w:rsidR="00B96692">
        <w:t>and</w:t>
      </w:r>
      <w:r w:rsidR="00FF2315">
        <w:t xml:space="preserve"> highlights the large differences between the </w:t>
      </w:r>
      <w:r w:rsidR="00FC50A4">
        <w:t xml:space="preserve">Federal electorate of </w:t>
      </w:r>
      <w:r w:rsidR="00FF2315">
        <w:t xml:space="preserve">Hinkler </w:t>
      </w:r>
      <w:r w:rsidR="001628D4">
        <w:t xml:space="preserve">in comparison with </w:t>
      </w:r>
      <w:r w:rsidR="00B96692">
        <w:t>the state of Queensland as a whole and Australia.</w:t>
      </w:r>
    </w:p>
    <w:p w14:paraId="7F8FF1FE" w14:textId="50D2812E" w:rsidR="00A86E7C" w:rsidRDefault="000264E8" w:rsidP="0079482A">
      <w:r>
        <w:fldChar w:fldCharType="begin"/>
      </w:r>
      <w:r>
        <w:instrText xml:space="preserve"> REF _Ref34901227 \h </w:instrText>
      </w:r>
      <w:r>
        <w:fldChar w:fldCharType="separate"/>
      </w:r>
      <w:r w:rsidR="008E2086">
        <w:t xml:space="preserve">Table </w:t>
      </w:r>
      <w:r w:rsidR="008E2086">
        <w:rPr>
          <w:noProof/>
        </w:rPr>
        <w:t>2</w:t>
      </w:r>
      <w:r w:rsidR="008E2086">
        <w:noBreakHyphen/>
      </w:r>
      <w:r w:rsidR="008E2086">
        <w:rPr>
          <w:noProof/>
        </w:rPr>
        <w:t>15</w:t>
      </w:r>
      <w:r>
        <w:fldChar w:fldCharType="end"/>
      </w:r>
      <w:r w:rsidR="00280408">
        <w:t xml:space="preserve"> </w:t>
      </w:r>
      <w:r w:rsidR="00FF2315">
        <w:t xml:space="preserve">shows that </w:t>
      </w:r>
      <w:r w:rsidR="00A86E7C">
        <w:t>almost half</w:t>
      </w:r>
      <w:r w:rsidR="00FF2315">
        <w:t xml:space="preserve"> of the population of the </w:t>
      </w:r>
      <w:r w:rsidR="00DD43FE">
        <w:t>F</w:t>
      </w:r>
      <w:r w:rsidR="00DD43FE" w:rsidRPr="007A58F7">
        <w:t>ederal electorate</w:t>
      </w:r>
      <w:r w:rsidR="00DD43FE" w:rsidRPr="0079482A">
        <w:t xml:space="preserve"> </w:t>
      </w:r>
      <w:r w:rsidR="00DD43FE">
        <w:t xml:space="preserve">of </w:t>
      </w:r>
      <w:r w:rsidR="00DD43FE" w:rsidRPr="0079482A">
        <w:t>Hinkler</w:t>
      </w:r>
      <w:r w:rsidR="00FF2315">
        <w:t xml:space="preserve"> is in the lowest decile of the </w:t>
      </w:r>
      <w:r w:rsidR="0097662E">
        <w:t xml:space="preserve">IRSD </w:t>
      </w:r>
      <w:r w:rsidR="00FF2315">
        <w:t>distribution</w:t>
      </w:r>
      <w:r w:rsidR="00A86E7C">
        <w:t xml:space="preserve"> (</w:t>
      </w:r>
      <w:r w:rsidR="00FF2315">
        <w:t>the most disadvantaged group</w:t>
      </w:r>
      <w:r w:rsidR="00A86E7C">
        <w:t>)</w:t>
      </w:r>
      <w:r w:rsidR="00FF2315">
        <w:t xml:space="preserve">. Comparatively, the proportion of the </w:t>
      </w:r>
      <w:r w:rsidR="00A86E7C">
        <w:t xml:space="preserve">population in the lowest decile in the state of Queensland as a whole and in Australia </w:t>
      </w:r>
      <w:r w:rsidR="00FF2315">
        <w:t>is about 11</w:t>
      </w:r>
      <w:r w:rsidR="00A05380">
        <w:t xml:space="preserve"> per cent</w:t>
      </w:r>
      <w:r w:rsidR="00FF2315">
        <w:t xml:space="preserve">. </w:t>
      </w:r>
      <w:r w:rsidR="00B96692">
        <w:t>This picture of disadvantage continues to emerge when we look at the next two lowest deciles</w:t>
      </w:r>
      <w:r w:rsidR="000F5324">
        <w:t xml:space="preserve"> (Decile 2 and 3)</w:t>
      </w:r>
      <w:r w:rsidR="0097662E">
        <w:t xml:space="preserve">. </w:t>
      </w:r>
      <w:r w:rsidR="00FF2315">
        <w:t>Almost 80</w:t>
      </w:r>
      <w:r w:rsidR="00A05380">
        <w:t xml:space="preserve"> per cent</w:t>
      </w:r>
      <w:r w:rsidR="00FF2315">
        <w:t xml:space="preserve"> of the population of </w:t>
      </w:r>
      <w:r w:rsidR="00941DA6">
        <w:t xml:space="preserve">the </w:t>
      </w:r>
      <w:r w:rsidR="00DD43FE">
        <w:t>F</w:t>
      </w:r>
      <w:r w:rsidR="00DD43FE" w:rsidRPr="007A58F7">
        <w:t>ederal electorate</w:t>
      </w:r>
      <w:r w:rsidR="00DD43FE" w:rsidRPr="0079482A">
        <w:t xml:space="preserve"> </w:t>
      </w:r>
      <w:r w:rsidR="00DD43FE">
        <w:t xml:space="preserve">of </w:t>
      </w:r>
      <w:r w:rsidR="00DD43FE" w:rsidRPr="0079482A">
        <w:t>Hinkler</w:t>
      </w:r>
      <w:r w:rsidR="00FF2315">
        <w:t xml:space="preserve"> </w:t>
      </w:r>
      <w:r w:rsidR="00A86E7C">
        <w:t>is in the lowest (most disadvantaged) three deciles (Decile 1-3)</w:t>
      </w:r>
      <w:r w:rsidR="0097662E">
        <w:t xml:space="preserve"> of the IRSD distribution</w:t>
      </w:r>
      <w:r w:rsidR="00A86E7C">
        <w:t xml:space="preserve">. </w:t>
      </w:r>
      <w:r w:rsidR="001A290E">
        <w:t xml:space="preserve">Comparatively, about </w:t>
      </w:r>
      <w:r w:rsidR="00CE1F98">
        <w:t>30</w:t>
      </w:r>
      <w:r w:rsidR="00A86E7C">
        <w:t xml:space="preserve"> </w:t>
      </w:r>
      <w:r w:rsidR="00A05380">
        <w:t>per cent</w:t>
      </w:r>
      <w:r w:rsidR="001A290E">
        <w:t xml:space="preserve"> of the population</w:t>
      </w:r>
      <w:r w:rsidR="00A86E7C">
        <w:t xml:space="preserve"> in the state of Queensland as a whole and in Australia as a whole are in the lowest (most disadvantaged) three deciles (Decile 1-3</w:t>
      </w:r>
      <w:r w:rsidR="0097662E">
        <w:t>) of the IRSD distribution</w:t>
      </w:r>
      <w:r w:rsidR="00A86E7C">
        <w:t>.</w:t>
      </w:r>
    </w:p>
    <w:p w14:paraId="5043A724" w14:textId="77777777" w:rsidR="00D33107" w:rsidRDefault="0097662E" w:rsidP="0079482A">
      <w:r>
        <w:t>Looking at</w:t>
      </w:r>
      <w:r w:rsidR="00FF2315">
        <w:t xml:space="preserve"> the other </w:t>
      </w:r>
      <w:r>
        <w:t>end</w:t>
      </w:r>
      <w:r w:rsidR="00FF2315">
        <w:t xml:space="preserve"> of the </w:t>
      </w:r>
      <w:r>
        <w:t xml:space="preserve">IRSD </w:t>
      </w:r>
      <w:r w:rsidR="00FF2315">
        <w:t>distribution</w:t>
      </w:r>
      <w:r w:rsidR="001D7E08">
        <w:t xml:space="preserve"> (the least disadvantaged groups, Deciles 8-10)</w:t>
      </w:r>
      <w:r>
        <w:t>, we hardly see anyone from</w:t>
      </w:r>
      <w:r w:rsidR="00FF2315">
        <w:t xml:space="preserve"> the</w:t>
      </w:r>
      <w:r w:rsidR="001D7E08">
        <w:t xml:space="preserve"> </w:t>
      </w:r>
      <w:r w:rsidR="00DD43FE">
        <w:t>F</w:t>
      </w:r>
      <w:r w:rsidR="00DD43FE" w:rsidRPr="007A58F7">
        <w:t>ederal electorate</w:t>
      </w:r>
      <w:r w:rsidR="00DD43FE" w:rsidRPr="0079482A">
        <w:t xml:space="preserve"> </w:t>
      </w:r>
      <w:r w:rsidR="00DD43FE">
        <w:t xml:space="preserve">of </w:t>
      </w:r>
      <w:r w:rsidR="00DD43FE" w:rsidRPr="0079482A">
        <w:t>Hinkler</w:t>
      </w:r>
      <w:r w:rsidR="001D7E08">
        <w:t xml:space="preserve"> in the</w:t>
      </w:r>
      <w:r>
        <w:t>se</w:t>
      </w:r>
      <w:r w:rsidR="00FF2315">
        <w:t xml:space="preserve"> highest deci</w:t>
      </w:r>
      <w:r w:rsidR="00280408">
        <w:t>le</w:t>
      </w:r>
      <w:r w:rsidR="001D7E08">
        <w:t>s</w:t>
      </w:r>
      <w:r w:rsidR="00280408">
        <w:t xml:space="preserve"> </w:t>
      </w:r>
      <w:r w:rsidR="001D7E08">
        <w:t xml:space="preserve">(only 2.5 per cent of the population are in Deciles 8-10). In comparison, </w:t>
      </w:r>
      <w:r w:rsidR="00280408">
        <w:t xml:space="preserve">a much higher proportion of the </w:t>
      </w:r>
      <w:r w:rsidR="00FF2315">
        <w:t>population in</w:t>
      </w:r>
      <w:r w:rsidR="001D7E08">
        <w:t xml:space="preserve"> the state of Queensland as a whole and in Australia are in the highest (least disadvantaged) three deciles</w:t>
      </w:r>
      <w:r w:rsidR="00280408">
        <w:t xml:space="preserve"> (30.6</w:t>
      </w:r>
      <w:r w:rsidR="00A05380">
        <w:t xml:space="preserve"> per cent</w:t>
      </w:r>
      <w:r w:rsidR="00280408">
        <w:t xml:space="preserve"> and 36.7</w:t>
      </w:r>
      <w:r w:rsidR="00A05380">
        <w:t xml:space="preserve"> per cent</w:t>
      </w:r>
      <w:r w:rsidR="00280408">
        <w:t xml:space="preserve"> respectively)</w:t>
      </w:r>
      <w:r w:rsidR="00FF2315">
        <w:t xml:space="preserve">. </w:t>
      </w:r>
    </w:p>
    <w:p w14:paraId="37AF9F8F" w14:textId="4CBFBE1F" w:rsidR="004215DA" w:rsidRDefault="000851DE" w:rsidP="009F2CD0">
      <w:pPr>
        <w:pStyle w:val="Caption"/>
        <w:jc w:val="left"/>
      </w:pPr>
      <w:bookmarkStart w:id="91" w:name="_Ref34901227"/>
      <w:bookmarkStart w:id="92" w:name="_Toc34935543"/>
      <w:bookmarkStart w:id="93" w:name="_Toc37263578"/>
      <w:r>
        <w:t>Table</w:t>
      </w:r>
      <w:r w:rsidR="00B510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15</w:t>
      </w:r>
      <w:r w:rsidR="006C0554">
        <w:rPr>
          <w:noProof/>
        </w:rPr>
        <w:fldChar w:fldCharType="end"/>
      </w:r>
      <w:bookmarkEnd w:id="91"/>
      <w:r w:rsidR="00B51060">
        <w:t xml:space="preserve">: </w:t>
      </w:r>
      <w:r w:rsidR="004215DA">
        <w:t xml:space="preserve">The distribution of population across the IRSD </w:t>
      </w:r>
      <w:bookmarkEnd w:id="92"/>
      <w:r w:rsidR="00B8174D">
        <w:t>d</w:t>
      </w:r>
      <w:r w:rsidR="004215DA">
        <w:t>eciles</w:t>
      </w:r>
      <w:bookmarkEnd w:id="93"/>
      <w:r w:rsidR="004215DA">
        <w:t xml:space="preserve"> </w:t>
      </w:r>
    </w:p>
    <w:tbl>
      <w:tblPr>
        <w:tblStyle w:val="ListTable3-Accent1"/>
        <w:tblW w:w="6640" w:type="dxa"/>
        <w:tblLook w:val="04A0" w:firstRow="1" w:lastRow="0" w:firstColumn="1" w:lastColumn="0" w:noHBand="0" w:noVBand="1"/>
      </w:tblPr>
      <w:tblGrid>
        <w:gridCol w:w="1660"/>
        <w:gridCol w:w="1660"/>
        <w:gridCol w:w="1660"/>
        <w:gridCol w:w="1660"/>
      </w:tblGrid>
      <w:tr w:rsidR="004215DA" w:rsidRPr="003542F0" w14:paraId="66FAE17E" w14:textId="77777777" w:rsidTr="006C055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tcPr>
          <w:p w14:paraId="67890923" w14:textId="77777777" w:rsidR="004215DA" w:rsidRPr="003542F0" w:rsidRDefault="004215DA" w:rsidP="0079482A">
            <w:pPr>
              <w:rPr>
                <w:lang w:eastAsia="en-AU"/>
              </w:rPr>
            </w:pPr>
          </w:p>
        </w:tc>
        <w:tc>
          <w:tcPr>
            <w:tcW w:w="0" w:type="dxa"/>
            <w:shd w:val="clear" w:color="auto" w:fill="2F5496" w:themeFill="accent5" w:themeFillShade="BF"/>
            <w:noWrap/>
            <w:vAlign w:val="center"/>
            <w:hideMark/>
          </w:tcPr>
          <w:p w14:paraId="0F307BE7"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Hinkler</w:t>
            </w:r>
          </w:p>
        </w:tc>
        <w:tc>
          <w:tcPr>
            <w:tcW w:w="0" w:type="dxa"/>
            <w:shd w:val="clear" w:color="auto" w:fill="2F5496" w:themeFill="accent5" w:themeFillShade="BF"/>
            <w:noWrap/>
            <w:vAlign w:val="center"/>
            <w:hideMark/>
          </w:tcPr>
          <w:p w14:paraId="520E0DE1"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vAlign w:val="center"/>
            <w:hideMark/>
          </w:tcPr>
          <w:p w14:paraId="00375D17"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14:paraId="06F71DDC"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41A98A13" w14:textId="77777777" w:rsidR="004215DA" w:rsidRDefault="004215DA" w:rsidP="0079482A">
            <w:pPr>
              <w:rPr>
                <w:lang w:eastAsia="en-AU"/>
              </w:rPr>
            </w:pPr>
            <w:r>
              <w:rPr>
                <w:lang w:eastAsia="en-AU"/>
              </w:rPr>
              <w:t>Decile 1</w:t>
            </w:r>
          </w:p>
        </w:tc>
        <w:tc>
          <w:tcPr>
            <w:tcW w:w="1660" w:type="dxa"/>
            <w:noWrap/>
            <w:vAlign w:val="center"/>
            <w:hideMark/>
          </w:tcPr>
          <w:p w14:paraId="2022C0F6"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48.0</w:t>
            </w:r>
          </w:p>
        </w:tc>
        <w:tc>
          <w:tcPr>
            <w:tcW w:w="1660" w:type="dxa"/>
            <w:noWrap/>
            <w:vAlign w:val="center"/>
            <w:hideMark/>
          </w:tcPr>
          <w:p w14:paraId="705170D6"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11.8</w:t>
            </w:r>
          </w:p>
        </w:tc>
        <w:tc>
          <w:tcPr>
            <w:tcW w:w="1660" w:type="dxa"/>
            <w:noWrap/>
            <w:vAlign w:val="center"/>
            <w:hideMark/>
          </w:tcPr>
          <w:p w14:paraId="7F62A8EA"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11.2</w:t>
            </w:r>
          </w:p>
        </w:tc>
      </w:tr>
      <w:tr w:rsidR="004215DA" w14:paraId="2EBAFF91"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51413658" w14:textId="77777777" w:rsidR="004215DA" w:rsidRDefault="004215DA" w:rsidP="0079482A">
            <w:pPr>
              <w:rPr>
                <w:lang w:eastAsia="en-AU"/>
              </w:rPr>
            </w:pPr>
            <w:r>
              <w:rPr>
                <w:lang w:eastAsia="en-AU"/>
              </w:rPr>
              <w:t>Decile 2</w:t>
            </w:r>
          </w:p>
        </w:tc>
        <w:tc>
          <w:tcPr>
            <w:tcW w:w="1660" w:type="dxa"/>
            <w:noWrap/>
            <w:vAlign w:val="center"/>
            <w:hideMark/>
          </w:tcPr>
          <w:p w14:paraId="4DCEBB5D"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14.8</w:t>
            </w:r>
          </w:p>
        </w:tc>
        <w:tc>
          <w:tcPr>
            <w:tcW w:w="1660" w:type="dxa"/>
            <w:noWrap/>
            <w:vAlign w:val="center"/>
            <w:hideMark/>
          </w:tcPr>
          <w:p w14:paraId="0EF6C01F"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11.3</w:t>
            </w:r>
          </w:p>
        </w:tc>
        <w:tc>
          <w:tcPr>
            <w:tcW w:w="1660" w:type="dxa"/>
            <w:noWrap/>
            <w:vAlign w:val="center"/>
            <w:hideMark/>
          </w:tcPr>
          <w:p w14:paraId="2B3516DE"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10.5</w:t>
            </w:r>
          </w:p>
        </w:tc>
      </w:tr>
      <w:tr w:rsidR="004215DA" w14:paraId="79463ED7"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56EB2B00" w14:textId="77777777" w:rsidR="004215DA" w:rsidRDefault="004215DA" w:rsidP="0079482A">
            <w:pPr>
              <w:rPr>
                <w:lang w:eastAsia="en-AU"/>
              </w:rPr>
            </w:pPr>
            <w:r>
              <w:rPr>
                <w:lang w:eastAsia="en-AU"/>
              </w:rPr>
              <w:t>Decile 3</w:t>
            </w:r>
          </w:p>
        </w:tc>
        <w:tc>
          <w:tcPr>
            <w:tcW w:w="1660" w:type="dxa"/>
            <w:noWrap/>
            <w:vAlign w:val="center"/>
            <w:hideMark/>
          </w:tcPr>
          <w:p w14:paraId="16DD8A3A"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15.5</w:t>
            </w:r>
          </w:p>
        </w:tc>
        <w:tc>
          <w:tcPr>
            <w:tcW w:w="1660" w:type="dxa"/>
            <w:noWrap/>
            <w:vAlign w:val="center"/>
            <w:hideMark/>
          </w:tcPr>
          <w:p w14:paraId="4C0C83C6"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8.3</w:t>
            </w:r>
          </w:p>
        </w:tc>
        <w:tc>
          <w:tcPr>
            <w:tcW w:w="1660" w:type="dxa"/>
            <w:noWrap/>
            <w:vAlign w:val="center"/>
            <w:hideMark/>
          </w:tcPr>
          <w:p w14:paraId="17281F52"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8.4</w:t>
            </w:r>
          </w:p>
        </w:tc>
      </w:tr>
      <w:tr w:rsidR="004215DA" w14:paraId="5084D3EF"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16E5A4D6" w14:textId="77777777" w:rsidR="004215DA" w:rsidRDefault="004215DA" w:rsidP="0079482A">
            <w:pPr>
              <w:rPr>
                <w:lang w:eastAsia="en-AU"/>
              </w:rPr>
            </w:pPr>
            <w:r>
              <w:rPr>
                <w:lang w:eastAsia="en-AU"/>
              </w:rPr>
              <w:t>Decile 4</w:t>
            </w:r>
          </w:p>
        </w:tc>
        <w:tc>
          <w:tcPr>
            <w:tcW w:w="1660" w:type="dxa"/>
            <w:noWrap/>
            <w:vAlign w:val="center"/>
            <w:hideMark/>
          </w:tcPr>
          <w:p w14:paraId="02F15A6C"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2.1</w:t>
            </w:r>
          </w:p>
        </w:tc>
        <w:tc>
          <w:tcPr>
            <w:tcW w:w="1660" w:type="dxa"/>
            <w:noWrap/>
            <w:vAlign w:val="center"/>
            <w:hideMark/>
          </w:tcPr>
          <w:p w14:paraId="002688F3"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7.3</w:t>
            </w:r>
          </w:p>
        </w:tc>
        <w:tc>
          <w:tcPr>
            <w:tcW w:w="1660" w:type="dxa"/>
            <w:noWrap/>
            <w:vAlign w:val="center"/>
            <w:hideMark/>
          </w:tcPr>
          <w:p w14:paraId="61609018"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7.9</w:t>
            </w:r>
          </w:p>
        </w:tc>
      </w:tr>
      <w:tr w:rsidR="004215DA" w14:paraId="30014D8F"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12C364FF" w14:textId="77777777" w:rsidR="004215DA" w:rsidRDefault="004215DA" w:rsidP="0079482A">
            <w:pPr>
              <w:rPr>
                <w:lang w:eastAsia="en-AU"/>
              </w:rPr>
            </w:pPr>
            <w:r>
              <w:rPr>
                <w:lang w:eastAsia="en-AU"/>
              </w:rPr>
              <w:t>Decile 5</w:t>
            </w:r>
          </w:p>
        </w:tc>
        <w:tc>
          <w:tcPr>
            <w:tcW w:w="1660" w:type="dxa"/>
            <w:noWrap/>
            <w:vAlign w:val="center"/>
            <w:hideMark/>
          </w:tcPr>
          <w:p w14:paraId="6D065710"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10.3</w:t>
            </w:r>
          </w:p>
        </w:tc>
        <w:tc>
          <w:tcPr>
            <w:tcW w:w="1660" w:type="dxa"/>
            <w:noWrap/>
            <w:vAlign w:val="center"/>
            <w:hideMark/>
          </w:tcPr>
          <w:p w14:paraId="2746E525"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8.2</w:t>
            </w:r>
          </w:p>
        </w:tc>
        <w:tc>
          <w:tcPr>
            <w:tcW w:w="1660" w:type="dxa"/>
            <w:noWrap/>
            <w:vAlign w:val="center"/>
            <w:hideMark/>
          </w:tcPr>
          <w:p w14:paraId="65D1784F"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8.5</w:t>
            </w:r>
          </w:p>
        </w:tc>
      </w:tr>
      <w:tr w:rsidR="004215DA" w14:paraId="0A60F77F"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3D093F24" w14:textId="77777777" w:rsidR="004215DA" w:rsidRDefault="004215DA" w:rsidP="0079482A">
            <w:pPr>
              <w:rPr>
                <w:lang w:eastAsia="en-AU"/>
              </w:rPr>
            </w:pPr>
            <w:r>
              <w:rPr>
                <w:lang w:eastAsia="en-AU"/>
              </w:rPr>
              <w:t>Decile 6</w:t>
            </w:r>
          </w:p>
        </w:tc>
        <w:tc>
          <w:tcPr>
            <w:tcW w:w="1660" w:type="dxa"/>
            <w:noWrap/>
            <w:vAlign w:val="center"/>
            <w:hideMark/>
          </w:tcPr>
          <w:p w14:paraId="26C819E7"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4.3</w:t>
            </w:r>
          </w:p>
        </w:tc>
        <w:tc>
          <w:tcPr>
            <w:tcW w:w="1660" w:type="dxa"/>
            <w:noWrap/>
            <w:vAlign w:val="center"/>
            <w:hideMark/>
          </w:tcPr>
          <w:p w14:paraId="659673E1"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9.7</w:t>
            </w:r>
          </w:p>
        </w:tc>
        <w:tc>
          <w:tcPr>
            <w:tcW w:w="1660" w:type="dxa"/>
            <w:noWrap/>
            <w:vAlign w:val="center"/>
            <w:hideMark/>
          </w:tcPr>
          <w:p w14:paraId="57E86B15"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7.3</w:t>
            </w:r>
          </w:p>
        </w:tc>
      </w:tr>
      <w:tr w:rsidR="004215DA" w14:paraId="3F6554DA"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45038812" w14:textId="77777777" w:rsidR="004215DA" w:rsidRDefault="004215DA" w:rsidP="0079482A">
            <w:pPr>
              <w:rPr>
                <w:lang w:eastAsia="en-AU"/>
              </w:rPr>
            </w:pPr>
            <w:r>
              <w:rPr>
                <w:lang w:eastAsia="en-AU"/>
              </w:rPr>
              <w:t>Decile 7</w:t>
            </w:r>
          </w:p>
        </w:tc>
        <w:tc>
          <w:tcPr>
            <w:tcW w:w="1660" w:type="dxa"/>
            <w:noWrap/>
            <w:vAlign w:val="center"/>
            <w:hideMark/>
          </w:tcPr>
          <w:p w14:paraId="3387F893"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2.6</w:t>
            </w:r>
          </w:p>
        </w:tc>
        <w:tc>
          <w:tcPr>
            <w:tcW w:w="1660" w:type="dxa"/>
            <w:noWrap/>
            <w:vAlign w:val="center"/>
            <w:hideMark/>
          </w:tcPr>
          <w:p w14:paraId="0257F7AC"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12.9</w:t>
            </w:r>
          </w:p>
        </w:tc>
        <w:tc>
          <w:tcPr>
            <w:tcW w:w="1660" w:type="dxa"/>
            <w:noWrap/>
            <w:vAlign w:val="center"/>
            <w:hideMark/>
          </w:tcPr>
          <w:p w14:paraId="03C533EA"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9.5</w:t>
            </w:r>
          </w:p>
        </w:tc>
      </w:tr>
      <w:tr w:rsidR="004215DA" w14:paraId="369A1F64"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2D750C8C" w14:textId="77777777" w:rsidR="004215DA" w:rsidRDefault="004215DA" w:rsidP="0079482A">
            <w:pPr>
              <w:rPr>
                <w:lang w:eastAsia="en-AU"/>
              </w:rPr>
            </w:pPr>
            <w:r>
              <w:rPr>
                <w:lang w:eastAsia="en-AU"/>
              </w:rPr>
              <w:t>Decile 8</w:t>
            </w:r>
          </w:p>
        </w:tc>
        <w:tc>
          <w:tcPr>
            <w:tcW w:w="1660" w:type="dxa"/>
            <w:noWrap/>
            <w:vAlign w:val="center"/>
            <w:hideMark/>
          </w:tcPr>
          <w:p w14:paraId="7E6F2DD9"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1.9</w:t>
            </w:r>
          </w:p>
        </w:tc>
        <w:tc>
          <w:tcPr>
            <w:tcW w:w="1660" w:type="dxa"/>
            <w:noWrap/>
            <w:vAlign w:val="center"/>
            <w:hideMark/>
          </w:tcPr>
          <w:p w14:paraId="0A3ED99E"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10.6</w:t>
            </w:r>
          </w:p>
        </w:tc>
        <w:tc>
          <w:tcPr>
            <w:tcW w:w="1660" w:type="dxa"/>
            <w:noWrap/>
            <w:vAlign w:val="center"/>
            <w:hideMark/>
          </w:tcPr>
          <w:p w14:paraId="282F3893"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8.7</w:t>
            </w:r>
          </w:p>
        </w:tc>
      </w:tr>
      <w:tr w:rsidR="004215DA" w14:paraId="408050AE"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51B31DD0" w14:textId="77777777" w:rsidR="004215DA" w:rsidRDefault="004215DA" w:rsidP="0079482A">
            <w:pPr>
              <w:rPr>
                <w:lang w:eastAsia="en-AU"/>
              </w:rPr>
            </w:pPr>
            <w:r>
              <w:rPr>
                <w:lang w:eastAsia="en-AU"/>
              </w:rPr>
              <w:t>Decile 9</w:t>
            </w:r>
          </w:p>
        </w:tc>
        <w:tc>
          <w:tcPr>
            <w:tcW w:w="1660" w:type="dxa"/>
            <w:noWrap/>
            <w:vAlign w:val="center"/>
            <w:hideMark/>
          </w:tcPr>
          <w:p w14:paraId="5F8B9046"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0.6</w:t>
            </w:r>
          </w:p>
        </w:tc>
        <w:tc>
          <w:tcPr>
            <w:tcW w:w="1660" w:type="dxa"/>
            <w:noWrap/>
            <w:vAlign w:val="center"/>
            <w:hideMark/>
          </w:tcPr>
          <w:p w14:paraId="082AB3DC"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9.4</w:t>
            </w:r>
          </w:p>
        </w:tc>
        <w:tc>
          <w:tcPr>
            <w:tcW w:w="1660" w:type="dxa"/>
            <w:noWrap/>
            <w:vAlign w:val="center"/>
            <w:hideMark/>
          </w:tcPr>
          <w:p w14:paraId="6942BE02" w14:textId="77777777" w:rsidR="004215DA" w:rsidRPr="00FA243C" w:rsidRDefault="004215DA" w:rsidP="00FA243C">
            <w:pPr>
              <w:jc w:val="right"/>
              <w:cnfStyle w:val="000000100000" w:firstRow="0" w:lastRow="0" w:firstColumn="0" w:lastColumn="0" w:oddVBand="0" w:evenVBand="0" w:oddHBand="1" w:evenHBand="0" w:firstRowFirstColumn="0" w:firstRowLastColumn="0" w:lastRowFirstColumn="0" w:lastRowLastColumn="0"/>
              <w:rPr>
                <w:lang w:eastAsia="en-AU"/>
              </w:rPr>
            </w:pPr>
            <w:r w:rsidRPr="00FA243C">
              <w:rPr>
                <w:lang w:eastAsia="en-AU"/>
              </w:rPr>
              <w:t>12.6</w:t>
            </w:r>
          </w:p>
        </w:tc>
      </w:tr>
      <w:tr w:rsidR="004215DA" w14:paraId="20D7AC39"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15A40A04" w14:textId="77777777" w:rsidR="004215DA" w:rsidRDefault="004215DA" w:rsidP="0079482A">
            <w:pPr>
              <w:rPr>
                <w:lang w:eastAsia="en-AU"/>
              </w:rPr>
            </w:pPr>
            <w:r>
              <w:rPr>
                <w:lang w:eastAsia="en-AU"/>
              </w:rPr>
              <w:t>Decile 10</w:t>
            </w:r>
          </w:p>
        </w:tc>
        <w:tc>
          <w:tcPr>
            <w:tcW w:w="1660" w:type="dxa"/>
            <w:noWrap/>
            <w:vAlign w:val="center"/>
            <w:hideMark/>
          </w:tcPr>
          <w:p w14:paraId="5120F705"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0.0</w:t>
            </w:r>
          </w:p>
        </w:tc>
        <w:tc>
          <w:tcPr>
            <w:tcW w:w="1660" w:type="dxa"/>
            <w:noWrap/>
            <w:vAlign w:val="center"/>
            <w:hideMark/>
          </w:tcPr>
          <w:p w14:paraId="78B1642A"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10.6</w:t>
            </w:r>
          </w:p>
        </w:tc>
        <w:tc>
          <w:tcPr>
            <w:tcW w:w="1660" w:type="dxa"/>
            <w:noWrap/>
            <w:vAlign w:val="center"/>
            <w:hideMark/>
          </w:tcPr>
          <w:p w14:paraId="485C87EF" w14:textId="77777777" w:rsidR="004215DA" w:rsidRPr="00FA243C" w:rsidRDefault="004215DA" w:rsidP="00FA243C">
            <w:pPr>
              <w:jc w:val="right"/>
              <w:cnfStyle w:val="000000000000" w:firstRow="0" w:lastRow="0" w:firstColumn="0" w:lastColumn="0" w:oddVBand="0" w:evenVBand="0" w:oddHBand="0" w:evenHBand="0" w:firstRowFirstColumn="0" w:firstRowLastColumn="0" w:lastRowFirstColumn="0" w:lastRowLastColumn="0"/>
              <w:rPr>
                <w:lang w:eastAsia="en-AU"/>
              </w:rPr>
            </w:pPr>
            <w:r w:rsidRPr="00FA243C">
              <w:rPr>
                <w:lang w:eastAsia="en-AU"/>
              </w:rPr>
              <w:t>15.4</w:t>
            </w:r>
          </w:p>
        </w:tc>
      </w:tr>
      <w:tr w:rsidR="004215DA" w14:paraId="2FB4CCEB"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0" w:type="dxa"/>
            <w:hideMark/>
          </w:tcPr>
          <w:p w14:paraId="0CF6DCBA" w14:textId="77777777" w:rsidR="004215DA" w:rsidRDefault="004215DA" w:rsidP="0079482A">
            <w:pPr>
              <w:rPr>
                <w:lang w:eastAsia="en-AU"/>
              </w:rPr>
            </w:pPr>
            <w:r>
              <w:rPr>
                <w:lang w:eastAsia="en-AU"/>
              </w:rPr>
              <w:t>Total</w:t>
            </w:r>
          </w:p>
        </w:tc>
        <w:tc>
          <w:tcPr>
            <w:tcW w:w="1660" w:type="dxa"/>
            <w:noWrap/>
            <w:vAlign w:val="center"/>
            <w:hideMark/>
          </w:tcPr>
          <w:p w14:paraId="757E9320" w14:textId="77777777" w:rsidR="004215DA" w:rsidRPr="001179F7" w:rsidRDefault="004215DA" w:rsidP="00FA243C">
            <w:pPr>
              <w:jc w:val="right"/>
              <w:cnfStyle w:val="000000100000" w:firstRow="0" w:lastRow="0" w:firstColumn="0" w:lastColumn="0" w:oddVBand="0" w:evenVBand="0" w:oddHBand="1" w:evenHBand="0" w:firstRowFirstColumn="0" w:firstRowLastColumn="0" w:lastRowFirstColumn="0" w:lastRowLastColumn="0"/>
              <w:rPr>
                <w:b/>
                <w:lang w:eastAsia="en-AU"/>
              </w:rPr>
            </w:pPr>
            <w:r w:rsidRPr="001179F7">
              <w:rPr>
                <w:b/>
                <w:lang w:eastAsia="en-AU"/>
              </w:rPr>
              <w:t>100.0</w:t>
            </w:r>
          </w:p>
        </w:tc>
        <w:tc>
          <w:tcPr>
            <w:tcW w:w="1660" w:type="dxa"/>
            <w:noWrap/>
            <w:vAlign w:val="center"/>
            <w:hideMark/>
          </w:tcPr>
          <w:p w14:paraId="13DF1E60" w14:textId="77777777" w:rsidR="004215DA" w:rsidRPr="001179F7" w:rsidRDefault="004215DA" w:rsidP="00FA243C">
            <w:pPr>
              <w:jc w:val="right"/>
              <w:cnfStyle w:val="000000100000" w:firstRow="0" w:lastRow="0" w:firstColumn="0" w:lastColumn="0" w:oddVBand="0" w:evenVBand="0" w:oddHBand="1" w:evenHBand="0" w:firstRowFirstColumn="0" w:firstRowLastColumn="0" w:lastRowFirstColumn="0" w:lastRowLastColumn="0"/>
              <w:rPr>
                <w:b/>
                <w:lang w:eastAsia="en-AU"/>
              </w:rPr>
            </w:pPr>
            <w:r w:rsidRPr="001179F7">
              <w:rPr>
                <w:b/>
                <w:lang w:eastAsia="en-AU"/>
              </w:rPr>
              <w:t>100.0</w:t>
            </w:r>
          </w:p>
        </w:tc>
        <w:tc>
          <w:tcPr>
            <w:tcW w:w="1660" w:type="dxa"/>
            <w:noWrap/>
            <w:vAlign w:val="center"/>
            <w:hideMark/>
          </w:tcPr>
          <w:p w14:paraId="719D0424" w14:textId="77777777" w:rsidR="004215DA" w:rsidRPr="001179F7" w:rsidRDefault="004215DA" w:rsidP="00FA243C">
            <w:pPr>
              <w:jc w:val="right"/>
              <w:cnfStyle w:val="000000100000" w:firstRow="0" w:lastRow="0" w:firstColumn="0" w:lastColumn="0" w:oddVBand="0" w:evenVBand="0" w:oddHBand="1" w:evenHBand="0" w:firstRowFirstColumn="0" w:firstRowLastColumn="0" w:lastRowFirstColumn="0" w:lastRowLastColumn="0"/>
              <w:rPr>
                <w:b/>
                <w:lang w:eastAsia="en-AU"/>
              </w:rPr>
            </w:pPr>
            <w:r w:rsidRPr="001179F7">
              <w:rPr>
                <w:b/>
                <w:lang w:eastAsia="en-AU"/>
              </w:rPr>
              <w:t>100.0</w:t>
            </w:r>
          </w:p>
        </w:tc>
      </w:tr>
    </w:tbl>
    <w:p w14:paraId="46262651" w14:textId="77777777" w:rsidR="004215DA" w:rsidRPr="00B51060" w:rsidRDefault="004215DA" w:rsidP="00B51060">
      <w:pPr>
        <w:spacing w:after="0"/>
        <w:rPr>
          <w:i/>
          <w:sz w:val="18"/>
          <w:szCs w:val="18"/>
        </w:rPr>
      </w:pPr>
      <w:r w:rsidRPr="00B51060">
        <w:rPr>
          <w:i/>
          <w:sz w:val="18"/>
          <w:szCs w:val="18"/>
        </w:rPr>
        <w:t xml:space="preserve">Source: Census of Population and Housing, 2016, </w:t>
      </w:r>
      <w:proofErr w:type="spellStart"/>
      <w:r w:rsidRPr="00B51060">
        <w:rPr>
          <w:i/>
          <w:sz w:val="18"/>
          <w:szCs w:val="18"/>
        </w:rPr>
        <w:t>TableBuilder</w:t>
      </w:r>
      <w:proofErr w:type="spellEnd"/>
      <w:r w:rsidRPr="00B51060">
        <w:rPr>
          <w:i/>
          <w:sz w:val="18"/>
          <w:szCs w:val="18"/>
        </w:rPr>
        <w:t>.</w:t>
      </w:r>
    </w:p>
    <w:p w14:paraId="4098CE30" w14:textId="20AE9777" w:rsidR="004C04BF" w:rsidRDefault="004215DA" w:rsidP="003532DA">
      <w:pPr>
        <w:spacing w:after="360"/>
        <w:rPr>
          <w:i/>
          <w:sz w:val="18"/>
          <w:szCs w:val="18"/>
        </w:rPr>
      </w:pPr>
      <w:r w:rsidRPr="00B51060">
        <w:rPr>
          <w:i/>
          <w:sz w:val="18"/>
          <w:szCs w:val="18"/>
        </w:rPr>
        <w:t>Note</w:t>
      </w:r>
      <w:r w:rsidR="00941DA6">
        <w:rPr>
          <w:i/>
          <w:sz w:val="18"/>
          <w:szCs w:val="18"/>
        </w:rPr>
        <w:t>s</w:t>
      </w:r>
      <w:r w:rsidRPr="00B51060">
        <w:rPr>
          <w:i/>
          <w:sz w:val="18"/>
          <w:szCs w:val="18"/>
        </w:rPr>
        <w:t>: Data are based on place of usual residence.</w:t>
      </w:r>
      <w:r w:rsidR="00941DA6">
        <w:rPr>
          <w:i/>
          <w:sz w:val="18"/>
          <w:szCs w:val="18"/>
        </w:rPr>
        <w:t xml:space="preserve"> Hinkler refers to the </w:t>
      </w:r>
      <w:r w:rsidR="00DD43FE" w:rsidRPr="00DD43FE">
        <w:rPr>
          <w:i/>
          <w:sz w:val="18"/>
          <w:szCs w:val="18"/>
        </w:rPr>
        <w:t>Federal electorate of Hinkler</w:t>
      </w:r>
      <w:r w:rsidR="00941DA6">
        <w:rPr>
          <w:i/>
          <w:sz w:val="18"/>
          <w:szCs w:val="18"/>
        </w:rPr>
        <w:t>.</w:t>
      </w:r>
      <w:r w:rsidR="006E2F26">
        <w:rPr>
          <w:i/>
          <w:sz w:val="18"/>
          <w:szCs w:val="18"/>
        </w:rPr>
        <w:t xml:space="preserve"> </w:t>
      </w:r>
      <w:r w:rsidR="006E2F26" w:rsidRPr="006E2F26">
        <w:rPr>
          <w:i/>
          <w:sz w:val="18"/>
          <w:szCs w:val="18"/>
        </w:rPr>
        <w:t>Due to rounding, the total percentages may not sum up</w:t>
      </w:r>
      <w:r w:rsidR="00173597">
        <w:rPr>
          <w:i/>
          <w:sz w:val="18"/>
          <w:szCs w:val="18"/>
        </w:rPr>
        <w:t xml:space="preserve"> exactly</w:t>
      </w:r>
      <w:r w:rsidR="006E2F26" w:rsidRPr="006E2F26">
        <w:rPr>
          <w:i/>
          <w:sz w:val="18"/>
          <w:szCs w:val="18"/>
        </w:rPr>
        <w:t xml:space="preserve"> to 100.</w:t>
      </w:r>
    </w:p>
    <w:p w14:paraId="64F5650E" w14:textId="77777777" w:rsidR="004C04BF" w:rsidRDefault="004C04BF">
      <w:pPr>
        <w:jc w:val="left"/>
        <w:rPr>
          <w:i/>
          <w:sz w:val="18"/>
          <w:szCs w:val="18"/>
        </w:rPr>
      </w:pPr>
      <w:r>
        <w:rPr>
          <w:i/>
          <w:sz w:val="18"/>
          <w:szCs w:val="18"/>
        </w:rPr>
        <w:br w:type="page"/>
      </w:r>
    </w:p>
    <w:p w14:paraId="24537B01" w14:textId="0AC1EBC3" w:rsidR="004215DA" w:rsidRDefault="001A290E" w:rsidP="0079482A">
      <w:r>
        <w:lastRenderedPageBreak/>
        <w:t>The following figure (</w:t>
      </w:r>
      <w:r w:rsidR="00A66926">
        <w:fldChar w:fldCharType="begin"/>
      </w:r>
      <w:r w:rsidR="00A66926">
        <w:instrText xml:space="preserve"> REF _Ref34912419 \h </w:instrText>
      </w:r>
      <w:r w:rsidR="00A66926">
        <w:fldChar w:fldCharType="separate"/>
      </w:r>
      <w:r w:rsidR="008E2086">
        <w:t xml:space="preserve">Figure </w:t>
      </w:r>
      <w:r w:rsidR="008E2086">
        <w:rPr>
          <w:noProof/>
        </w:rPr>
        <w:t>2</w:t>
      </w:r>
      <w:r w:rsidR="008E2086">
        <w:noBreakHyphen/>
      </w:r>
      <w:r w:rsidR="008E2086">
        <w:rPr>
          <w:noProof/>
        </w:rPr>
        <w:t>5</w:t>
      </w:r>
      <w:r w:rsidR="00A66926">
        <w:fldChar w:fldCharType="end"/>
      </w:r>
      <w:r>
        <w:t>) illustrates observations made about the distribution of socio</w:t>
      </w:r>
      <w:r w:rsidR="008A24D9">
        <w:t>-</w:t>
      </w:r>
      <w:r>
        <w:t xml:space="preserve">economic disadvantage within </w:t>
      </w:r>
      <w:r w:rsidR="00941DA6">
        <w:t xml:space="preserve">the </w:t>
      </w:r>
      <w:r w:rsidR="00DD43FE">
        <w:t>F</w:t>
      </w:r>
      <w:r w:rsidR="00DD43FE" w:rsidRPr="007A58F7">
        <w:t>ederal electorate</w:t>
      </w:r>
      <w:r w:rsidR="00DD43FE" w:rsidRPr="0079482A">
        <w:t xml:space="preserve"> </w:t>
      </w:r>
      <w:r w:rsidR="00DD43FE">
        <w:t xml:space="preserve">of </w:t>
      </w:r>
      <w:r w:rsidR="00DD43FE" w:rsidRPr="0079482A">
        <w:t>Hinkler</w:t>
      </w:r>
      <w:r>
        <w:t xml:space="preserve"> compared with </w:t>
      </w:r>
      <w:r w:rsidR="001D7E08">
        <w:t>the state of Queensland as a whole and Australia as a whole</w:t>
      </w:r>
      <w:r>
        <w:t>. Note that with such a display of the cumulative distribution of the socio</w:t>
      </w:r>
      <w:r w:rsidR="008A24D9">
        <w:t>-</w:t>
      </w:r>
      <w:r>
        <w:t>economic index, the 45</w:t>
      </w:r>
      <w:r w:rsidR="00FD0291">
        <w:t>-</w:t>
      </w:r>
      <w:r>
        <w:t>degree line starting from th</w:t>
      </w:r>
      <w:r w:rsidR="002E32B8">
        <w:t>e origin gives another point of comparison</w:t>
      </w:r>
      <w:r>
        <w:t>. Along that line, the distribution indicates a perfectly equal distributed population (10</w:t>
      </w:r>
      <w:r w:rsidR="00A05380">
        <w:t xml:space="preserve"> per cent</w:t>
      </w:r>
      <w:r w:rsidR="00ED0216">
        <w:t xml:space="preserve"> </w:t>
      </w:r>
      <w:r>
        <w:t>of the most disadvantaged population in the bottom 10</w:t>
      </w:r>
      <w:r w:rsidR="00A05380">
        <w:t xml:space="preserve"> per cent</w:t>
      </w:r>
      <w:r>
        <w:t xml:space="preserve"> of the IRSD, 20</w:t>
      </w:r>
      <w:r w:rsidR="00A05380">
        <w:t xml:space="preserve"> per cent</w:t>
      </w:r>
      <w:r>
        <w:t xml:space="preserve"> in the bottom 20</w:t>
      </w:r>
      <w:r w:rsidR="00A05380">
        <w:t xml:space="preserve"> per cent</w:t>
      </w:r>
      <w:r>
        <w:t xml:space="preserve"> index and so on). We see that the distribution in </w:t>
      </w:r>
      <w:r w:rsidR="00ED0216">
        <w:t xml:space="preserve">the state of Queensland as a whole and Australia as a whole </w:t>
      </w:r>
      <w:r>
        <w:t>is pretty close to the ‘imaginary’ 45</w:t>
      </w:r>
      <w:r w:rsidR="004913F7">
        <w:t>-</w:t>
      </w:r>
      <w:r>
        <w:t>degree line, more so in Queensland than Australia</w:t>
      </w:r>
      <w:r w:rsidR="00130A1A">
        <w:t xml:space="preserve"> as a whole</w:t>
      </w:r>
      <w:r w:rsidR="00223371">
        <w:t xml:space="preserve">. The figure </w:t>
      </w:r>
      <w:r w:rsidR="00ED0216">
        <w:t xml:space="preserve">emphasises </w:t>
      </w:r>
      <w:r w:rsidR="00E2461E">
        <w:t>the sizeable</w:t>
      </w:r>
      <w:r w:rsidR="00223371">
        <w:t xml:space="preserve"> difference between </w:t>
      </w:r>
      <w:r w:rsidR="00941DA6">
        <w:t xml:space="preserve">the </w:t>
      </w:r>
      <w:r w:rsidR="00DD43FE">
        <w:t>F</w:t>
      </w:r>
      <w:r w:rsidR="00DD43FE" w:rsidRPr="007A58F7">
        <w:t>ederal electorate</w:t>
      </w:r>
      <w:r w:rsidR="00DD43FE" w:rsidRPr="0079482A">
        <w:t xml:space="preserve"> </w:t>
      </w:r>
      <w:r w:rsidR="00DD43FE">
        <w:t xml:space="preserve">of </w:t>
      </w:r>
      <w:r w:rsidR="00DD43FE" w:rsidRPr="0079482A">
        <w:t>Hinkler</w:t>
      </w:r>
      <w:r w:rsidR="00223371">
        <w:t xml:space="preserve"> and the </w:t>
      </w:r>
      <w:r w:rsidR="00ED0216">
        <w:t>state of Queensland as a whole and Australia</w:t>
      </w:r>
      <w:r w:rsidR="00E2461E">
        <w:t>.</w:t>
      </w:r>
      <w:r w:rsidR="00ED0216">
        <w:t xml:space="preserve"> </w:t>
      </w:r>
      <w:r w:rsidR="00E2461E">
        <w:t>It</w:t>
      </w:r>
      <w:r w:rsidR="00223371">
        <w:t xml:space="preserve"> highlights </w:t>
      </w:r>
      <w:r w:rsidR="00ED0216">
        <w:t>that</w:t>
      </w:r>
      <w:r w:rsidR="00223371">
        <w:t xml:space="preserve"> the </w:t>
      </w:r>
      <w:r w:rsidR="00DD43FE">
        <w:t>F</w:t>
      </w:r>
      <w:r w:rsidR="00DD43FE" w:rsidRPr="007A58F7">
        <w:t>ederal electorate</w:t>
      </w:r>
      <w:r w:rsidR="00DD43FE" w:rsidRPr="0079482A">
        <w:t xml:space="preserve"> </w:t>
      </w:r>
      <w:r w:rsidR="00DD43FE">
        <w:t xml:space="preserve">of </w:t>
      </w:r>
      <w:r w:rsidR="00DD43FE" w:rsidRPr="0079482A">
        <w:t>Hinkler</w:t>
      </w:r>
      <w:r w:rsidR="00223371">
        <w:t xml:space="preserve"> is socio</w:t>
      </w:r>
      <w:r w:rsidR="006326B9">
        <w:t>-</w:t>
      </w:r>
      <w:r w:rsidR="00223371">
        <w:t>economically disadvantage</w:t>
      </w:r>
      <w:r w:rsidR="00AC7D09">
        <w:t>d</w:t>
      </w:r>
      <w:r w:rsidR="00223371">
        <w:t xml:space="preserve"> </w:t>
      </w:r>
      <w:r w:rsidR="00E2461E">
        <w:t>when compared with the state of Queensland as a whole and Australi</w:t>
      </w:r>
      <w:r w:rsidR="00236370">
        <w:t>a</w:t>
      </w:r>
      <w:r w:rsidR="00E2461E">
        <w:t>.</w:t>
      </w:r>
    </w:p>
    <w:p w14:paraId="31A28BD6" w14:textId="3ED5C1C8" w:rsidR="00FA243C" w:rsidRDefault="00A66926" w:rsidP="00A66926">
      <w:pPr>
        <w:pStyle w:val="Caption"/>
      </w:pPr>
      <w:bookmarkStart w:id="94" w:name="_Ref34912419"/>
      <w:bookmarkStart w:id="95" w:name="_Toc34935502"/>
      <w:bookmarkStart w:id="96" w:name="_Toc37263829"/>
      <w:r>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6B022F">
        <w:noBreakHyphen/>
      </w:r>
      <w:r w:rsidR="006C0554">
        <w:fldChar w:fldCharType="begin"/>
      </w:r>
      <w:r w:rsidR="006C0554">
        <w:instrText xml:space="preserve"> SEQ Figure \* ARABIC \s 1 </w:instrText>
      </w:r>
      <w:r w:rsidR="006C0554">
        <w:fldChar w:fldCharType="separate"/>
      </w:r>
      <w:r w:rsidR="008E2086">
        <w:rPr>
          <w:noProof/>
        </w:rPr>
        <w:t>5</w:t>
      </w:r>
      <w:r w:rsidR="006C0554">
        <w:rPr>
          <w:noProof/>
        </w:rPr>
        <w:fldChar w:fldCharType="end"/>
      </w:r>
      <w:bookmarkEnd w:id="94"/>
      <w:r>
        <w:t xml:space="preserve">: </w:t>
      </w:r>
      <w:r w:rsidR="00FA243C">
        <w:t xml:space="preserve">Cumulative distribution of population across the IRSD </w:t>
      </w:r>
      <w:bookmarkEnd w:id="95"/>
      <w:r w:rsidR="004F46B2">
        <w:t>d</w:t>
      </w:r>
      <w:r w:rsidR="00FA243C">
        <w:t>eciles</w:t>
      </w:r>
      <w:bookmarkEnd w:id="96"/>
    </w:p>
    <w:p w14:paraId="43DB6C9B" w14:textId="77777777" w:rsidR="004215DA" w:rsidRDefault="007C53B5" w:rsidP="00FA243C">
      <w:pPr>
        <w:jc w:val="center"/>
      </w:pPr>
      <w:r w:rsidRPr="007C53B5">
        <w:rPr>
          <w:noProof/>
          <w:lang w:eastAsia="en-AU"/>
        </w:rPr>
        <w:drawing>
          <wp:inline distT="0" distB="0" distL="0" distR="0" wp14:anchorId="27D27041" wp14:editId="025E3ED1">
            <wp:extent cx="3786625" cy="2325393"/>
            <wp:effectExtent l="0" t="0" r="4445" b="0"/>
            <wp:docPr id="3" name="Picture 3" descr="Cumulative distribution of population across the IRSD deciles within the Federal electorate of Hinkler compared with the state of Queensland as a whole and Australia as a whole.&#10;An ‘imaginary’ 45-degree line from the origin of the line chart provides a point of comparison. &#10;Queensland: close to the 45-degree line&#10;Australia: close to the 45-degree line but less close than Queensland&#10;Hinkler: substantially above the 45-degree line" title="Figure 2 5: Cumulative distribution of population across the IRSD de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07673" cy="2338319"/>
                    </a:xfrm>
                    <a:prstGeom prst="rect">
                      <a:avLst/>
                    </a:prstGeom>
                    <a:noFill/>
                    <a:ln>
                      <a:noFill/>
                    </a:ln>
                  </pic:spPr>
                </pic:pic>
              </a:graphicData>
            </a:graphic>
          </wp:inline>
        </w:drawing>
      </w:r>
    </w:p>
    <w:p w14:paraId="53E2444F" w14:textId="77777777" w:rsidR="006536D5" w:rsidRDefault="006536D5">
      <w:pPr>
        <w:jc w:val="left"/>
      </w:pPr>
      <w:r>
        <w:br w:type="page"/>
      </w:r>
    </w:p>
    <w:p w14:paraId="2A6367E9" w14:textId="77777777" w:rsidR="004215DA" w:rsidRDefault="004215DA">
      <w:pPr>
        <w:pStyle w:val="Heading2"/>
      </w:pPr>
      <w:bookmarkStart w:id="97" w:name="_Toc36213116"/>
      <w:bookmarkStart w:id="98" w:name="_Toc34818226"/>
      <w:bookmarkStart w:id="99" w:name="_Toc34935582"/>
      <w:bookmarkStart w:id="100" w:name="_Toc37258352"/>
      <w:bookmarkEnd w:id="97"/>
      <w:r w:rsidRPr="0007357C">
        <w:lastRenderedPageBreak/>
        <w:t>Education and training</w:t>
      </w:r>
      <w:bookmarkEnd w:id="98"/>
      <w:bookmarkEnd w:id="99"/>
      <w:bookmarkEnd w:id="100"/>
    </w:p>
    <w:p w14:paraId="166EFC4F" w14:textId="4DAAADA1" w:rsidR="0006685B" w:rsidRPr="0007357C" w:rsidRDefault="0006685B" w:rsidP="0079482A">
      <w:pPr>
        <w:rPr>
          <w:b/>
        </w:rPr>
      </w:pPr>
      <w:r>
        <w:t>In this section, we focus on a numb</w:t>
      </w:r>
      <w:r w:rsidR="00D7668F">
        <w:t>er of indicators about</w:t>
      </w:r>
      <w:r>
        <w:t xml:space="preserve"> education and training.</w:t>
      </w:r>
      <w:r w:rsidR="008520A0">
        <w:t xml:space="preserve"> The following table and figure (</w:t>
      </w:r>
      <w:r w:rsidR="000264E8">
        <w:fldChar w:fldCharType="begin"/>
      </w:r>
      <w:r w:rsidR="000264E8">
        <w:instrText xml:space="preserve"> REF _Ref34904025 \h </w:instrText>
      </w:r>
      <w:r w:rsidR="000264E8">
        <w:fldChar w:fldCharType="separate"/>
      </w:r>
      <w:r w:rsidR="008E2086">
        <w:t xml:space="preserve">Table </w:t>
      </w:r>
      <w:r w:rsidR="008E2086">
        <w:rPr>
          <w:noProof/>
        </w:rPr>
        <w:t>2</w:t>
      </w:r>
      <w:r w:rsidR="008E2086">
        <w:noBreakHyphen/>
      </w:r>
      <w:r w:rsidR="008E2086">
        <w:rPr>
          <w:noProof/>
        </w:rPr>
        <w:t>16</w:t>
      </w:r>
      <w:r w:rsidR="000264E8">
        <w:fldChar w:fldCharType="end"/>
      </w:r>
      <w:r w:rsidR="008520A0">
        <w:t xml:space="preserve"> and</w:t>
      </w:r>
      <w:r w:rsidR="00764B29">
        <w:t xml:space="preserve"> </w:t>
      </w:r>
      <w:r w:rsidR="00764B29">
        <w:fldChar w:fldCharType="begin"/>
      </w:r>
      <w:r w:rsidR="00764B29">
        <w:instrText xml:space="preserve"> REF _Ref35852001 \h </w:instrText>
      </w:r>
      <w:r w:rsidR="00764B29">
        <w:fldChar w:fldCharType="separate"/>
      </w:r>
      <w:r w:rsidR="008E2086">
        <w:t xml:space="preserve">Figure </w:t>
      </w:r>
      <w:r w:rsidR="008E2086">
        <w:rPr>
          <w:noProof/>
        </w:rPr>
        <w:t>2</w:t>
      </w:r>
      <w:r w:rsidR="008E2086">
        <w:noBreakHyphen/>
      </w:r>
      <w:r w:rsidR="008E2086">
        <w:rPr>
          <w:noProof/>
        </w:rPr>
        <w:t>6</w:t>
      </w:r>
      <w:r w:rsidR="00764B29">
        <w:fldChar w:fldCharType="end"/>
      </w:r>
      <w:r w:rsidR="008520A0">
        <w:t>) show the distribution of the population</w:t>
      </w:r>
      <w:r w:rsidR="008A24D9">
        <w:t xml:space="preserve"> of the Federal electorate of Hinkler, the state of Queensland as a whole and Australia</w:t>
      </w:r>
      <w:r w:rsidR="008520A0">
        <w:t xml:space="preserve"> </w:t>
      </w:r>
      <w:r w:rsidR="00041F2B">
        <w:t>in relation</w:t>
      </w:r>
      <w:r w:rsidR="008520A0">
        <w:t xml:space="preserve"> to the highest level of educational achievement.</w:t>
      </w:r>
    </w:p>
    <w:p w14:paraId="3AD21B6C" w14:textId="19360A07" w:rsidR="004215DA" w:rsidRPr="005F3FE7" w:rsidRDefault="000851DE" w:rsidP="00B51060">
      <w:pPr>
        <w:pStyle w:val="Caption"/>
      </w:pPr>
      <w:bookmarkStart w:id="101" w:name="_Ref34904025"/>
      <w:bookmarkStart w:id="102" w:name="_Ref36653380"/>
      <w:bookmarkStart w:id="103" w:name="_Toc34935544"/>
      <w:bookmarkStart w:id="104" w:name="_Toc37263579"/>
      <w:r>
        <w:t>Table</w:t>
      </w:r>
      <w:r w:rsidR="00B510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16</w:t>
      </w:r>
      <w:r w:rsidR="006C0554">
        <w:rPr>
          <w:noProof/>
        </w:rPr>
        <w:fldChar w:fldCharType="end"/>
      </w:r>
      <w:bookmarkEnd w:id="101"/>
      <w:r w:rsidR="00B51060">
        <w:t xml:space="preserve">: </w:t>
      </w:r>
      <w:r w:rsidR="004215DA" w:rsidRPr="005F3FE7">
        <w:t>Level of highest educational attainment</w:t>
      </w:r>
      <w:r w:rsidR="0010531D">
        <w:t xml:space="preserve"> of</w:t>
      </w:r>
      <w:r w:rsidR="0010531D" w:rsidRPr="0010531D">
        <w:rPr>
          <w:rFonts w:cstheme="minorBidi"/>
          <w:b w:val="0"/>
          <w:bCs w:val="0"/>
          <w:caps w:val="0"/>
          <w:sz w:val="22"/>
          <w:szCs w:val="22"/>
        </w:rPr>
        <w:t xml:space="preserve"> </w:t>
      </w:r>
      <w:r w:rsidR="0010531D">
        <w:t xml:space="preserve">people aged 15 and over </w:t>
      </w:r>
      <w:r w:rsidR="00463DC7">
        <w:t>(per</w:t>
      </w:r>
      <w:r w:rsidR="00880F57">
        <w:t xml:space="preserve"> </w:t>
      </w:r>
      <w:r w:rsidR="00463DC7">
        <w:t>cent)</w:t>
      </w:r>
      <w:bookmarkEnd w:id="102"/>
      <w:bookmarkEnd w:id="103"/>
      <w:bookmarkEnd w:id="104"/>
    </w:p>
    <w:tbl>
      <w:tblPr>
        <w:tblStyle w:val="ListTable3-Accent1"/>
        <w:tblW w:w="0" w:type="auto"/>
        <w:tblLayout w:type="fixed"/>
        <w:tblLook w:val="04A0" w:firstRow="1" w:lastRow="0" w:firstColumn="1" w:lastColumn="0" w:noHBand="0" w:noVBand="1"/>
      </w:tblPr>
      <w:tblGrid>
        <w:gridCol w:w="3194"/>
        <w:gridCol w:w="1375"/>
        <w:gridCol w:w="1375"/>
        <w:gridCol w:w="1376"/>
      </w:tblGrid>
      <w:tr w:rsidR="004215DA" w:rsidRPr="003542F0" w14:paraId="65AFD41D" w14:textId="77777777" w:rsidTr="006C055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2972C4F8" w14:textId="77777777" w:rsidR="004215DA" w:rsidRPr="003542F0" w:rsidRDefault="004215DA" w:rsidP="0079482A"/>
        </w:tc>
        <w:tc>
          <w:tcPr>
            <w:tcW w:w="0" w:type="dxa"/>
            <w:shd w:val="clear" w:color="auto" w:fill="2F5496" w:themeFill="accent5" w:themeFillShade="BF"/>
            <w:noWrap/>
            <w:vAlign w:val="center"/>
            <w:hideMark/>
          </w:tcPr>
          <w:p w14:paraId="32FB238E"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Hinkler</w:t>
            </w:r>
          </w:p>
        </w:tc>
        <w:tc>
          <w:tcPr>
            <w:tcW w:w="0" w:type="dxa"/>
            <w:shd w:val="clear" w:color="auto" w:fill="2F5496" w:themeFill="accent5" w:themeFillShade="BF"/>
            <w:noWrap/>
            <w:vAlign w:val="center"/>
            <w:hideMark/>
          </w:tcPr>
          <w:p w14:paraId="678FC0AC"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vAlign w:val="center"/>
            <w:hideMark/>
          </w:tcPr>
          <w:p w14:paraId="10DF6845"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759D70B9"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4" w:type="dxa"/>
            <w:noWrap/>
            <w:hideMark/>
          </w:tcPr>
          <w:p w14:paraId="25694D74" w14:textId="77777777" w:rsidR="004215DA" w:rsidRPr="005F3FE7" w:rsidRDefault="009F2CD0" w:rsidP="0079482A">
            <w:r w:rsidRPr="005F3FE7">
              <w:t>Bachelor’s degree</w:t>
            </w:r>
            <w:r w:rsidR="004215DA" w:rsidRPr="005F3FE7">
              <w:t xml:space="preserve"> and above</w:t>
            </w:r>
          </w:p>
        </w:tc>
        <w:tc>
          <w:tcPr>
            <w:tcW w:w="1375" w:type="dxa"/>
            <w:noWrap/>
            <w:vAlign w:val="center"/>
            <w:hideMark/>
          </w:tcPr>
          <w:p w14:paraId="53CD2AB7" w14:textId="77777777" w:rsidR="004215DA" w:rsidRPr="00AC7D09" w:rsidRDefault="004215DA" w:rsidP="00AC7D09">
            <w:pPr>
              <w:jc w:val="right"/>
              <w:cnfStyle w:val="000000100000" w:firstRow="0" w:lastRow="0" w:firstColumn="0" w:lastColumn="0" w:oddVBand="0" w:evenVBand="0" w:oddHBand="1" w:evenHBand="0" w:firstRowFirstColumn="0" w:firstRowLastColumn="0" w:lastRowFirstColumn="0" w:lastRowLastColumn="0"/>
            </w:pPr>
            <w:r w:rsidRPr="00AC7D09">
              <w:t>12.0</w:t>
            </w:r>
          </w:p>
        </w:tc>
        <w:tc>
          <w:tcPr>
            <w:tcW w:w="1375" w:type="dxa"/>
            <w:noWrap/>
            <w:vAlign w:val="center"/>
            <w:hideMark/>
          </w:tcPr>
          <w:p w14:paraId="00EC8494" w14:textId="77777777" w:rsidR="004215DA" w:rsidRPr="00AC7D09" w:rsidRDefault="004215DA" w:rsidP="00AC7D09">
            <w:pPr>
              <w:jc w:val="right"/>
              <w:cnfStyle w:val="000000100000" w:firstRow="0" w:lastRow="0" w:firstColumn="0" w:lastColumn="0" w:oddVBand="0" w:evenVBand="0" w:oddHBand="1" w:evenHBand="0" w:firstRowFirstColumn="0" w:firstRowLastColumn="0" w:lastRowFirstColumn="0" w:lastRowLastColumn="0"/>
            </w:pPr>
            <w:r w:rsidRPr="00AC7D09">
              <w:t>21.2</w:t>
            </w:r>
          </w:p>
        </w:tc>
        <w:tc>
          <w:tcPr>
            <w:tcW w:w="1376" w:type="dxa"/>
            <w:noWrap/>
            <w:vAlign w:val="center"/>
            <w:hideMark/>
          </w:tcPr>
          <w:p w14:paraId="0CA6C9EE" w14:textId="77777777" w:rsidR="004215DA" w:rsidRPr="00AC7D09" w:rsidRDefault="004215DA" w:rsidP="00AC7D09">
            <w:pPr>
              <w:jc w:val="right"/>
              <w:cnfStyle w:val="000000100000" w:firstRow="0" w:lastRow="0" w:firstColumn="0" w:lastColumn="0" w:oddVBand="0" w:evenVBand="0" w:oddHBand="1" w:evenHBand="0" w:firstRowFirstColumn="0" w:firstRowLastColumn="0" w:lastRowFirstColumn="0" w:lastRowLastColumn="0"/>
            </w:pPr>
            <w:r w:rsidRPr="00AC7D09">
              <w:t>25.5</w:t>
            </w:r>
          </w:p>
        </w:tc>
      </w:tr>
      <w:tr w:rsidR="004215DA" w:rsidRPr="005F3FE7" w14:paraId="48702F38"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3194" w:type="dxa"/>
            <w:noWrap/>
            <w:hideMark/>
          </w:tcPr>
          <w:p w14:paraId="33FA5691" w14:textId="77777777" w:rsidR="004215DA" w:rsidRPr="005F3FE7" w:rsidRDefault="004215DA" w:rsidP="0079482A">
            <w:r w:rsidRPr="005F3FE7">
              <w:t>Diploma and advanced diploma</w:t>
            </w:r>
          </w:p>
        </w:tc>
        <w:tc>
          <w:tcPr>
            <w:tcW w:w="1375" w:type="dxa"/>
            <w:noWrap/>
            <w:vAlign w:val="center"/>
            <w:hideMark/>
          </w:tcPr>
          <w:p w14:paraId="25D7C362" w14:textId="77777777" w:rsidR="004215DA" w:rsidRPr="00AC7D09" w:rsidRDefault="004215DA" w:rsidP="00AC7D09">
            <w:pPr>
              <w:jc w:val="right"/>
              <w:cnfStyle w:val="000000000000" w:firstRow="0" w:lastRow="0" w:firstColumn="0" w:lastColumn="0" w:oddVBand="0" w:evenVBand="0" w:oddHBand="0" w:evenHBand="0" w:firstRowFirstColumn="0" w:firstRowLastColumn="0" w:lastRowFirstColumn="0" w:lastRowLastColumn="0"/>
            </w:pPr>
            <w:r w:rsidRPr="00AC7D09">
              <w:t>8.2</w:t>
            </w:r>
          </w:p>
        </w:tc>
        <w:tc>
          <w:tcPr>
            <w:tcW w:w="1375" w:type="dxa"/>
            <w:noWrap/>
            <w:vAlign w:val="center"/>
            <w:hideMark/>
          </w:tcPr>
          <w:p w14:paraId="616F3DBF" w14:textId="77777777" w:rsidR="004215DA" w:rsidRPr="00AC7D09" w:rsidRDefault="004215DA" w:rsidP="00AC7D09">
            <w:pPr>
              <w:jc w:val="right"/>
              <w:cnfStyle w:val="000000000000" w:firstRow="0" w:lastRow="0" w:firstColumn="0" w:lastColumn="0" w:oddVBand="0" w:evenVBand="0" w:oddHBand="0" w:evenHBand="0" w:firstRowFirstColumn="0" w:firstRowLastColumn="0" w:lastRowFirstColumn="0" w:lastRowLastColumn="0"/>
            </w:pPr>
            <w:r w:rsidRPr="00AC7D09">
              <w:t>10.1</w:t>
            </w:r>
          </w:p>
        </w:tc>
        <w:tc>
          <w:tcPr>
            <w:tcW w:w="1376" w:type="dxa"/>
            <w:noWrap/>
            <w:vAlign w:val="center"/>
            <w:hideMark/>
          </w:tcPr>
          <w:p w14:paraId="03A0BC9B" w14:textId="77777777" w:rsidR="004215DA" w:rsidRPr="00AC7D09" w:rsidRDefault="004215DA" w:rsidP="00AC7D09">
            <w:pPr>
              <w:jc w:val="right"/>
              <w:cnfStyle w:val="000000000000" w:firstRow="0" w:lastRow="0" w:firstColumn="0" w:lastColumn="0" w:oddVBand="0" w:evenVBand="0" w:oddHBand="0" w:evenHBand="0" w:firstRowFirstColumn="0" w:firstRowLastColumn="0" w:lastRowFirstColumn="0" w:lastRowLastColumn="0"/>
            </w:pPr>
            <w:r w:rsidRPr="00AC7D09">
              <w:t>10.3</w:t>
            </w:r>
          </w:p>
        </w:tc>
      </w:tr>
      <w:tr w:rsidR="004215DA" w:rsidRPr="005F3FE7" w14:paraId="46FC3647"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4" w:type="dxa"/>
            <w:noWrap/>
            <w:hideMark/>
          </w:tcPr>
          <w:p w14:paraId="12D057EE" w14:textId="77777777" w:rsidR="004215DA" w:rsidRPr="005F3FE7" w:rsidRDefault="004215DA" w:rsidP="0079482A">
            <w:r w:rsidRPr="005F3FE7">
              <w:t>Certificate III/IV</w:t>
            </w:r>
          </w:p>
        </w:tc>
        <w:tc>
          <w:tcPr>
            <w:tcW w:w="1375" w:type="dxa"/>
            <w:noWrap/>
            <w:vAlign w:val="center"/>
            <w:hideMark/>
          </w:tcPr>
          <w:p w14:paraId="5DC9FE1B" w14:textId="77777777" w:rsidR="004215DA" w:rsidRPr="00AC7D09" w:rsidRDefault="004215DA" w:rsidP="00AC7D09">
            <w:pPr>
              <w:jc w:val="right"/>
              <w:cnfStyle w:val="000000100000" w:firstRow="0" w:lastRow="0" w:firstColumn="0" w:lastColumn="0" w:oddVBand="0" w:evenVBand="0" w:oddHBand="1" w:evenHBand="0" w:firstRowFirstColumn="0" w:firstRowLastColumn="0" w:lastRowFirstColumn="0" w:lastRowLastColumn="0"/>
            </w:pPr>
            <w:r w:rsidRPr="00AC7D09">
              <w:t>23.8</w:t>
            </w:r>
          </w:p>
        </w:tc>
        <w:tc>
          <w:tcPr>
            <w:tcW w:w="1375" w:type="dxa"/>
            <w:noWrap/>
            <w:vAlign w:val="center"/>
            <w:hideMark/>
          </w:tcPr>
          <w:p w14:paraId="292637F0" w14:textId="77777777" w:rsidR="004215DA" w:rsidRPr="00AC7D09" w:rsidRDefault="004215DA" w:rsidP="00AC7D09">
            <w:pPr>
              <w:jc w:val="right"/>
              <w:cnfStyle w:val="000000100000" w:firstRow="0" w:lastRow="0" w:firstColumn="0" w:lastColumn="0" w:oddVBand="0" w:evenVBand="0" w:oddHBand="1" w:evenHBand="0" w:firstRowFirstColumn="0" w:firstRowLastColumn="0" w:lastRowFirstColumn="0" w:lastRowLastColumn="0"/>
            </w:pPr>
            <w:r w:rsidRPr="00AC7D09">
              <w:t>21.1</w:t>
            </w:r>
          </w:p>
        </w:tc>
        <w:tc>
          <w:tcPr>
            <w:tcW w:w="1376" w:type="dxa"/>
            <w:noWrap/>
            <w:vAlign w:val="center"/>
            <w:hideMark/>
          </w:tcPr>
          <w:p w14:paraId="3A3CBBC5" w14:textId="77777777" w:rsidR="004215DA" w:rsidRPr="00AC7D09" w:rsidRDefault="004215DA" w:rsidP="00AC7D09">
            <w:pPr>
              <w:jc w:val="right"/>
              <w:cnfStyle w:val="000000100000" w:firstRow="0" w:lastRow="0" w:firstColumn="0" w:lastColumn="0" w:oddVBand="0" w:evenVBand="0" w:oddHBand="1" w:evenHBand="0" w:firstRowFirstColumn="0" w:firstRowLastColumn="0" w:lastRowFirstColumn="0" w:lastRowLastColumn="0"/>
            </w:pPr>
            <w:r w:rsidRPr="00AC7D09">
              <w:t>18.3</w:t>
            </w:r>
          </w:p>
        </w:tc>
      </w:tr>
      <w:tr w:rsidR="004215DA" w:rsidRPr="005F3FE7" w14:paraId="0094C36B"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3194" w:type="dxa"/>
            <w:noWrap/>
            <w:hideMark/>
          </w:tcPr>
          <w:p w14:paraId="54BB2718" w14:textId="77777777" w:rsidR="004215DA" w:rsidRPr="005F3FE7" w:rsidRDefault="004215DA" w:rsidP="0079482A">
            <w:r w:rsidRPr="005F3FE7">
              <w:t>Year 12</w:t>
            </w:r>
          </w:p>
        </w:tc>
        <w:tc>
          <w:tcPr>
            <w:tcW w:w="1375" w:type="dxa"/>
            <w:noWrap/>
            <w:vAlign w:val="center"/>
            <w:hideMark/>
          </w:tcPr>
          <w:p w14:paraId="2AD7B3BD" w14:textId="77777777" w:rsidR="004215DA" w:rsidRPr="00AC7D09" w:rsidRDefault="004215DA" w:rsidP="00AC7D09">
            <w:pPr>
              <w:jc w:val="right"/>
              <w:cnfStyle w:val="000000000000" w:firstRow="0" w:lastRow="0" w:firstColumn="0" w:lastColumn="0" w:oddVBand="0" w:evenVBand="0" w:oddHBand="0" w:evenHBand="0" w:firstRowFirstColumn="0" w:firstRowLastColumn="0" w:lastRowFirstColumn="0" w:lastRowLastColumn="0"/>
            </w:pPr>
            <w:r w:rsidRPr="00AC7D09">
              <w:t>15.1</w:t>
            </w:r>
          </w:p>
        </w:tc>
        <w:tc>
          <w:tcPr>
            <w:tcW w:w="1375" w:type="dxa"/>
            <w:noWrap/>
            <w:vAlign w:val="center"/>
            <w:hideMark/>
          </w:tcPr>
          <w:p w14:paraId="30172258" w14:textId="77777777" w:rsidR="004215DA" w:rsidRPr="00AC7D09" w:rsidRDefault="004215DA" w:rsidP="00AC7D09">
            <w:pPr>
              <w:jc w:val="right"/>
              <w:cnfStyle w:val="000000000000" w:firstRow="0" w:lastRow="0" w:firstColumn="0" w:lastColumn="0" w:oddVBand="0" w:evenVBand="0" w:oddHBand="0" w:evenHBand="0" w:firstRowFirstColumn="0" w:firstRowLastColumn="0" w:lastRowFirstColumn="0" w:lastRowLastColumn="0"/>
            </w:pPr>
            <w:r w:rsidRPr="00AC7D09">
              <w:t>19.1</w:t>
            </w:r>
          </w:p>
        </w:tc>
        <w:tc>
          <w:tcPr>
            <w:tcW w:w="1376" w:type="dxa"/>
            <w:noWrap/>
            <w:vAlign w:val="center"/>
            <w:hideMark/>
          </w:tcPr>
          <w:p w14:paraId="028D44CB" w14:textId="77777777" w:rsidR="004215DA" w:rsidRPr="00AC7D09" w:rsidRDefault="004215DA" w:rsidP="00AC7D09">
            <w:pPr>
              <w:jc w:val="right"/>
              <w:cnfStyle w:val="000000000000" w:firstRow="0" w:lastRow="0" w:firstColumn="0" w:lastColumn="0" w:oddVBand="0" w:evenVBand="0" w:oddHBand="0" w:evenHBand="0" w:firstRowFirstColumn="0" w:firstRowLastColumn="0" w:lastRowFirstColumn="0" w:lastRowLastColumn="0"/>
            </w:pPr>
            <w:r w:rsidRPr="00AC7D09">
              <w:t>18.3</w:t>
            </w:r>
          </w:p>
        </w:tc>
      </w:tr>
      <w:tr w:rsidR="004215DA" w:rsidRPr="005F3FE7" w14:paraId="1F460380"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4" w:type="dxa"/>
            <w:noWrap/>
            <w:hideMark/>
          </w:tcPr>
          <w:p w14:paraId="66197EAB" w14:textId="77777777" w:rsidR="004215DA" w:rsidRPr="005F3FE7" w:rsidRDefault="004215DA" w:rsidP="0079482A">
            <w:r w:rsidRPr="005F3FE7">
              <w:t>Year 10/11 and Certificate I/II</w:t>
            </w:r>
          </w:p>
        </w:tc>
        <w:tc>
          <w:tcPr>
            <w:tcW w:w="1375" w:type="dxa"/>
            <w:noWrap/>
            <w:vAlign w:val="center"/>
            <w:hideMark/>
          </w:tcPr>
          <w:p w14:paraId="7B1D49B1" w14:textId="77777777" w:rsidR="004215DA" w:rsidRPr="00AC7D09" w:rsidRDefault="004215DA" w:rsidP="00AC7D09">
            <w:pPr>
              <w:jc w:val="right"/>
              <w:cnfStyle w:val="000000100000" w:firstRow="0" w:lastRow="0" w:firstColumn="0" w:lastColumn="0" w:oddVBand="0" w:evenVBand="0" w:oddHBand="1" w:evenHBand="0" w:firstRowFirstColumn="0" w:firstRowLastColumn="0" w:lastRowFirstColumn="0" w:lastRowLastColumn="0"/>
            </w:pPr>
            <w:r w:rsidRPr="00AC7D09">
              <w:t>26.9</w:t>
            </w:r>
          </w:p>
        </w:tc>
        <w:tc>
          <w:tcPr>
            <w:tcW w:w="1375" w:type="dxa"/>
            <w:noWrap/>
            <w:vAlign w:val="center"/>
            <w:hideMark/>
          </w:tcPr>
          <w:p w14:paraId="2DA107C2" w14:textId="77777777" w:rsidR="004215DA" w:rsidRPr="00AC7D09" w:rsidRDefault="004215DA" w:rsidP="00AC7D09">
            <w:pPr>
              <w:jc w:val="right"/>
              <w:cnfStyle w:val="000000100000" w:firstRow="0" w:lastRow="0" w:firstColumn="0" w:lastColumn="0" w:oddVBand="0" w:evenVBand="0" w:oddHBand="1" w:evenHBand="0" w:firstRowFirstColumn="0" w:firstRowLastColumn="0" w:lastRowFirstColumn="0" w:lastRowLastColumn="0"/>
            </w:pPr>
            <w:r w:rsidRPr="00AC7D09">
              <w:t>20.0</w:t>
            </w:r>
          </w:p>
        </w:tc>
        <w:tc>
          <w:tcPr>
            <w:tcW w:w="1376" w:type="dxa"/>
            <w:noWrap/>
            <w:vAlign w:val="center"/>
            <w:hideMark/>
          </w:tcPr>
          <w:p w14:paraId="15B36C14" w14:textId="77777777" w:rsidR="004215DA" w:rsidRPr="00AC7D09" w:rsidRDefault="004215DA" w:rsidP="00AC7D09">
            <w:pPr>
              <w:jc w:val="right"/>
              <w:cnfStyle w:val="000000100000" w:firstRow="0" w:lastRow="0" w:firstColumn="0" w:lastColumn="0" w:oddVBand="0" w:evenVBand="0" w:oddHBand="1" w:evenHBand="0" w:firstRowFirstColumn="0" w:firstRowLastColumn="0" w:lastRowFirstColumn="0" w:lastRowLastColumn="0"/>
            </w:pPr>
            <w:r w:rsidRPr="00AC7D09">
              <w:t>18.4</w:t>
            </w:r>
          </w:p>
        </w:tc>
      </w:tr>
      <w:tr w:rsidR="004215DA" w:rsidRPr="005F3FE7" w14:paraId="0637E7FE" w14:textId="77777777" w:rsidTr="009F2CD0">
        <w:trPr>
          <w:trHeight w:val="255"/>
        </w:trPr>
        <w:tc>
          <w:tcPr>
            <w:cnfStyle w:val="001000000000" w:firstRow="0" w:lastRow="0" w:firstColumn="1" w:lastColumn="0" w:oddVBand="0" w:evenVBand="0" w:oddHBand="0" w:evenHBand="0" w:firstRowFirstColumn="0" w:firstRowLastColumn="0" w:lastRowFirstColumn="0" w:lastRowLastColumn="0"/>
            <w:tcW w:w="3194" w:type="dxa"/>
            <w:noWrap/>
            <w:hideMark/>
          </w:tcPr>
          <w:p w14:paraId="5C00FCDF" w14:textId="77777777" w:rsidR="004215DA" w:rsidRPr="005F3FE7" w:rsidRDefault="004215DA" w:rsidP="0079482A">
            <w:r w:rsidRPr="005F3FE7">
              <w:t>Year 9 and below</w:t>
            </w:r>
          </w:p>
        </w:tc>
        <w:tc>
          <w:tcPr>
            <w:tcW w:w="1375" w:type="dxa"/>
            <w:noWrap/>
            <w:vAlign w:val="center"/>
            <w:hideMark/>
          </w:tcPr>
          <w:p w14:paraId="2CF1D9C5" w14:textId="77777777" w:rsidR="004215DA" w:rsidRPr="00AC7D09" w:rsidRDefault="004215DA" w:rsidP="00AC7D09">
            <w:pPr>
              <w:jc w:val="right"/>
              <w:cnfStyle w:val="000000000000" w:firstRow="0" w:lastRow="0" w:firstColumn="0" w:lastColumn="0" w:oddVBand="0" w:evenVBand="0" w:oddHBand="0" w:evenHBand="0" w:firstRowFirstColumn="0" w:firstRowLastColumn="0" w:lastRowFirstColumn="0" w:lastRowLastColumn="0"/>
            </w:pPr>
            <w:r w:rsidRPr="00AC7D09">
              <w:t>13.9</w:t>
            </w:r>
          </w:p>
        </w:tc>
        <w:tc>
          <w:tcPr>
            <w:tcW w:w="1375" w:type="dxa"/>
            <w:noWrap/>
            <w:vAlign w:val="center"/>
            <w:hideMark/>
          </w:tcPr>
          <w:p w14:paraId="553C1D7A" w14:textId="77777777" w:rsidR="004215DA" w:rsidRPr="00AC7D09" w:rsidRDefault="004215DA" w:rsidP="00AC7D09">
            <w:pPr>
              <w:jc w:val="right"/>
              <w:cnfStyle w:val="000000000000" w:firstRow="0" w:lastRow="0" w:firstColumn="0" w:lastColumn="0" w:oddVBand="0" w:evenVBand="0" w:oddHBand="0" w:evenHBand="0" w:firstRowFirstColumn="0" w:firstRowLastColumn="0" w:lastRowFirstColumn="0" w:lastRowLastColumn="0"/>
            </w:pPr>
            <w:r w:rsidRPr="00AC7D09">
              <w:t>8.4</w:t>
            </w:r>
          </w:p>
        </w:tc>
        <w:tc>
          <w:tcPr>
            <w:tcW w:w="1376" w:type="dxa"/>
            <w:noWrap/>
            <w:vAlign w:val="center"/>
            <w:hideMark/>
          </w:tcPr>
          <w:p w14:paraId="7E43B306" w14:textId="77777777" w:rsidR="004215DA" w:rsidRPr="00AC7D09" w:rsidRDefault="004215DA" w:rsidP="00AC7D09">
            <w:pPr>
              <w:jc w:val="right"/>
              <w:cnfStyle w:val="000000000000" w:firstRow="0" w:lastRow="0" w:firstColumn="0" w:lastColumn="0" w:oddVBand="0" w:evenVBand="0" w:oddHBand="0" w:evenHBand="0" w:firstRowFirstColumn="0" w:firstRowLastColumn="0" w:lastRowFirstColumn="0" w:lastRowLastColumn="0"/>
            </w:pPr>
            <w:r w:rsidRPr="00AC7D09">
              <w:t>9.3</w:t>
            </w:r>
          </w:p>
        </w:tc>
      </w:tr>
      <w:tr w:rsidR="004215DA" w:rsidRPr="005F3FE7" w14:paraId="15F0B6D7" w14:textId="77777777" w:rsidTr="009F2CD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4" w:type="dxa"/>
            <w:noWrap/>
            <w:hideMark/>
          </w:tcPr>
          <w:p w14:paraId="29CBA3A9" w14:textId="77777777" w:rsidR="004215DA" w:rsidRPr="005F3FE7" w:rsidRDefault="004215DA" w:rsidP="0079482A">
            <w:r w:rsidRPr="005F3FE7">
              <w:t>Total</w:t>
            </w:r>
          </w:p>
        </w:tc>
        <w:tc>
          <w:tcPr>
            <w:tcW w:w="1375" w:type="dxa"/>
            <w:noWrap/>
            <w:vAlign w:val="center"/>
            <w:hideMark/>
          </w:tcPr>
          <w:p w14:paraId="04526091" w14:textId="77777777" w:rsidR="004215DA" w:rsidRPr="00463DC7" w:rsidRDefault="004215DA" w:rsidP="00AC7D09">
            <w:pPr>
              <w:jc w:val="right"/>
              <w:cnfStyle w:val="000000100000" w:firstRow="0" w:lastRow="0" w:firstColumn="0" w:lastColumn="0" w:oddVBand="0" w:evenVBand="0" w:oddHBand="1" w:evenHBand="0" w:firstRowFirstColumn="0" w:firstRowLastColumn="0" w:lastRowFirstColumn="0" w:lastRowLastColumn="0"/>
              <w:rPr>
                <w:b/>
              </w:rPr>
            </w:pPr>
            <w:r w:rsidRPr="00463DC7">
              <w:rPr>
                <w:b/>
              </w:rPr>
              <w:t>100.0</w:t>
            </w:r>
          </w:p>
        </w:tc>
        <w:tc>
          <w:tcPr>
            <w:tcW w:w="1375" w:type="dxa"/>
            <w:noWrap/>
            <w:vAlign w:val="center"/>
            <w:hideMark/>
          </w:tcPr>
          <w:p w14:paraId="674F49CE" w14:textId="77777777" w:rsidR="004215DA" w:rsidRPr="00463DC7" w:rsidRDefault="004215DA" w:rsidP="00AC7D09">
            <w:pPr>
              <w:jc w:val="right"/>
              <w:cnfStyle w:val="000000100000" w:firstRow="0" w:lastRow="0" w:firstColumn="0" w:lastColumn="0" w:oddVBand="0" w:evenVBand="0" w:oddHBand="1" w:evenHBand="0" w:firstRowFirstColumn="0" w:firstRowLastColumn="0" w:lastRowFirstColumn="0" w:lastRowLastColumn="0"/>
              <w:rPr>
                <w:b/>
              </w:rPr>
            </w:pPr>
            <w:r w:rsidRPr="00463DC7">
              <w:rPr>
                <w:b/>
              </w:rPr>
              <w:t>100.0</w:t>
            </w:r>
          </w:p>
        </w:tc>
        <w:tc>
          <w:tcPr>
            <w:tcW w:w="1376" w:type="dxa"/>
            <w:noWrap/>
            <w:vAlign w:val="center"/>
            <w:hideMark/>
          </w:tcPr>
          <w:p w14:paraId="67CF4757" w14:textId="77777777" w:rsidR="004215DA" w:rsidRPr="00463DC7" w:rsidRDefault="004215DA" w:rsidP="00AC7D09">
            <w:pPr>
              <w:jc w:val="right"/>
              <w:cnfStyle w:val="000000100000" w:firstRow="0" w:lastRow="0" w:firstColumn="0" w:lastColumn="0" w:oddVBand="0" w:evenVBand="0" w:oddHBand="1" w:evenHBand="0" w:firstRowFirstColumn="0" w:firstRowLastColumn="0" w:lastRowFirstColumn="0" w:lastRowLastColumn="0"/>
              <w:rPr>
                <w:b/>
              </w:rPr>
            </w:pPr>
            <w:r w:rsidRPr="00463DC7">
              <w:rPr>
                <w:b/>
              </w:rPr>
              <w:t>100.0</w:t>
            </w:r>
          </w:p>
        </w:tc>
      </w:tr>
    </w:tbl>
    <w:p w14:paraId="4EA30E9A" w14:textId="77777777" w:rsidR="004215DA" w:rsidRPr="00AC7D09" w:rsidRDefault="004215DA" w:rsidP="009F2CD0">
      <w:pPr>
        <w:spacing w:after="0" w:line="240" w:lineRule="auto"/>
        <w:rPr>
          <w:i/>
          <w:sz w:val="18"/>
          <w:szCs w:val="18"/>
        </w:rPr>
      </w:pPr>
      <w:r w:rsidRPr="00AC7D09">
        <w:rPr>
          <w:i/>
          <w:sz w:val="18"/>
          <w:szCs w:val="18"/>
        </w:rPr>
        <w:t xml:space="preserve">Source: Census of Population and Housing, 2016, </w:t>
      </w:r>
      <w:proofErr w:type="spellStart"/>
      <w:r w:rsidRPr="00AC7D09">
        <w:rPr>
          <w:i/>
          <w:sz w:val="18"/>
          <w:szCs w:val="18"/>
        </w:rPr>
        <w:t>TableBuilder</w:t>
      </w:r>
      <w:proofErr w:type="spellEnd"/>
      <w:r w:rsidRPr="00AC7D09">
        <w:rPr>
          <w:i/>
          <w:sz w:val="18"/>
          <w:szCs w:val="18"/>
        </w:rPr>
        <w:t>.</w:t>
      </w:r>
    </w:p>
    <w:p w14:paraId="60740222" w14:textId="77777777" w:rsidR="004215DA" w:rsidRPr="00173597" w:rsidRDefault="004215DA" w:rsidP="00A4064D">
      <w:pPr>
        <w:spacing w:after="360" w:line="240" w:lineRule="auto"/>
        <w:rPr>
          <w:i/>
          <w:sz w:val="18"/>
          <w:szCs w:val="18"/>
        </w:rPr>
      </w:pPr>
      <w:r w:rsidRPr="00AC7D09">
        <w:rPr>
          <w:i/>
          <w:sz w:val="18"/>
          <w:szCs w:val="18"/>
        </w:rPr>
        <w:t>Notes: Data are based on place of usual residence and</w:t>
      </w:r>
      <w:r w:rsidRPr="00AC7D09">
        <w:rPr>
          <w:rFonts w:ascii="Arial" w:hAnsi="Arial" w:cs="Arial"/>
          <w:i/>
          <w:sz w:val="18"/>
          <w:szCs w:val="18"/>
        </w:rPr>
        <w:t xml:space="preserve"> </w:t>
      </w:r>
      <w:r w:rsidRPr="00AC7D09">
        <w:rPr>
          <w:i/>
          <w:sz w:val="18"/>
          <w:szCs w:val="18"/>
        </w:rPr>
        <w:t>people aged 15 and over</w:t>
      </w:r>
      <w:r w:rsidR="00041324">
        <w:t>.</w:t>
      </w:r>
      <w:r w:rsidR="00941DA6">
        <w:rPr>
          <w:i/>
          <w:sz w:val="18"/>
          <w:szCs w:val="18"/>
        </w:rPr>
        <w:t xml:space="preserve"> Hinkler refers to the</w:t>
      </w:r>
      <w:r w:rsidR="006E21FB">
        <w:rPr>
          <w:i/>
          <w:sz w:val="18"/>
          <w:szCs w:val="18"/>
        </w:rPr>
        <w:t xml:space="preserve"> </w:t>
      </w:r>
      <w:r w:rsidR="00DD43FE" w:rsidRPr="00DD43FE">
        <w:rPr>
          <w:i/>
          <w:sz w:val="18"/>
          <w:szCs w:val="18"/>
        </w:rPr>
        <w:t>Federal electorate of Hinkler</w:t>
      </w:r>
      <w:r w:rsidR="00941DA6">
        <w:rPr>
          <w:i/>
          <w:sz w:val="18"/>
          <w:szCs w:val="18"/>
        </w:rPr>
        <w:t xml:space="preserve">. </w:t>
      </w:r>
      <w:r w:rsidR="00941DA6">
        <w:t xml:space="preserve"> </w:t>
      </w:r>
      <w:r w:rsidR="006E2F26" w:rsidRPr="00173597">
        <w:rPr>
          <w:i/>
          <w:sz w:val="18"/>
          <w:szCs w:val="18"/>
        </w:rPr>
        <w:t>Due to rounding, the total percentages may not sum up to 100.</w:t>
      </w:r>
    </w:p>
    <w:p w14:paraId="7DA0D118" w14:textId="480D2E2D" w:rsidR="004215DA" w:rsidRDefault="00ED090F" w:rsidP="00ED090F">
      <w:pPr>
        <w:pStyle w:val="Caption"/>
      </w:pPr>
      <w:bookmarkStart w:id="105" w:name="_Ref35852001"/>
      <w:bookmarkStart w:id="106" w:name="_Ref34904039"/>
      <w:bookmarkStart w:id="107" w:name="_Toc34935503"/>
      <w:bookmarkStart w:id="108" w:name="_Toc37263830"/>
      <w:r>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6B022F">
        <w:noBreakHyphen/>
      </w:r>
      <w:r w:rsidR="006C0554">
        <w:fldChar w:fldCharType="begin"/>
      </w:r>
      <w:r w:rsidR="006C0554">
        <w:instrText xml:space="preserve"> SEQ Figure \* ARABIC \s 1 </w:instrText>
      </w:r>
      <w:r w:rsidR="006C0554">
        <w:fldChar w:fldCharType="separate"/>
      </w:r>
      <w:r w:rsidR="008E2086">
        <w:rPr>
          <w:noProof/>
        </w:rPr>
        <w:t>6</w:t>
      </w:r>
      <w:r w:rsidR="006C0554">
        <w:rPr>
          <w:noProof/>
        </w:rPr>
        <w:fldChar w:fldCharType="end"/>
      </w:r>
      <w:bookmarkEnd w:id="105"/>
      <w:r>
        <w:t xml:space="preserve">: </w:t>
      </w:r>
      <w:r w:rsidR="008520A0">
        <w:t>Level of highest educational attainment</w:t>
      </w:r>
      <w:bookmarkEnd w:id="106"/>
      <w:r w:rsidR="0010531D">
        <w:t xml:space="preserve"> </w:t>
      </w:r>
      <w:bookmarkEnd w:id="107"/>
      <w:r w:rsidR="0010531D">
        <w:t>of people aged 15 and over</w:t>
      </w:r>
      <w:r w:rsidR="00463DC7">
        <w:t xml:space="preserve"> (per</w:t>
      </w:r>
      <w:r w:rsidR="00880F57">
        <w:t xml:space="preserve"> </w:t>
      </w:r>
      <w:r w:rsidR="00463DC7">
        <w:t>cent)</w:t>
      </w:r>
      <w:bookmarkEnd w:id="108"/>
    </w:p>
    <w:p w14:paraId="1D827211" w14:textId="77777777" w:rsidR="00AC7D09" w:rsidRDefault="00F71D59" w:rsidP="00AC7D09">
      <w:pPr>
        <w:jc w:val="center"/>
      </w:pPr>
      <w:r w:rsidRPr="00F71D59">
        <w:rPr>
          <w:noProof/>
          <w:lang w:eastAsia="en-AU"/>
        </w:rPr>
        <w:drawing>
          <wp:inline distT="0" distB="0" distL="0" distR="0" wp14:anchorId="781DDE91" wp14:editId="1D1970E7">
            <wp:extent cx="3988580" cy="2470074"/>
            <wp:effectExtent l="0" t="0" r="0" b="6985"/>
            <wp:docPr id="17" name="Picture 17" descr="Percentage of population by highest level of educational attainment.&#10;Year 9 and below: Hinkler 14%, Queensland 8%, Australia 9%&#10;Year 10/11 and Certificate I/II: Hinkler 27%, Queensland 20%, Australia 18%&#10;Year 12: Hinkler 15%, Queensland 19%, Australia 18%&#10;Certificate III/IV: Hinkler 24%, Queensland 21%, Australia 18%&#10;Diploma and advanced diploma: Hinkler 8%, Queensland 10%, Australia 10%&#10;Bachelor degree and above: Hinkler 12%, Queensland 21%, Australia 26%" title="Figure 2 6: Level of highest educational attainment of people aged 15 and over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9253" cy="2476683"/>
                    </a:xfrm>
                    <a:prstGeom prst="rect">
                      <a:avLst/>
                    </a:prstGeom>
                    <a:noFill/>
                    <a:ln>
                      <a:noFill/>
                    </a:ln>
                  </pic:spPr>
                </pic:pic>
              </a:graphicData>
            </a:graphic>
          </wp:inline>
        </w:drawing>
      </w:r>
    </w:p>
    <w:p w14:paraId="305EC2D4" w14:textId="77777777" w:rsidR="004215DA" w:rsidRPr="0048042E" w:rsidRDefault="004215DA" w:rsidP="00463DC7">
      <w:r w:rsidRPr="0048042E">
        <w:t>The education level of the population</w:t>
      </w:r>
      <w:r w:rsidR="00EC6EB3">
        <w:t xml:space="preserve"> aged 15 and over</w:t>
      </w:r>
      <w:r w:rsidRPr="0048042E">
        <w:t xml:space="preserve"> in </w:t>
      </w:r>
      <w:r w:rsidR="00941DA6">
        <w:t xml:space="preserve">the </w:t>
      </w:r>
      <w:r w:rsidR="00DD43FE">
        <w:t>F</w:t>
      </w:r>
      <w:r w:rsidR="00DD43FE" w:rsidRPr="007A58F7">
        <w:t>ederal electorate</w:t>
      </w:r>
      <w:r w:rsidR="00DD43FE" w:rsidRPr="0079482A">
        <w:t xml:space="preserve"> </w:t>
      </w:r>
      <w:r w:rsidR="00DD43FE">
        <w:t xml:space="preserve">of </w:t>
      </w:r>
      <w:r w:rsidR="00DD43FE" w:rsidRPr="0079482A">
        <w:t>Hinkler</w:t>
      </w:r>
      <w:r w:rsidRPr="0048042E">
        <w:t xml:space="preserve"> is</w:t>
      </w:r>
      <w:r w:rsidR="00AD53F1">
        <w:t xml:space="preserve"> </w:t>
      </w:r>
      <w:r w:rsidRPr="0048042E">
        <w:t xml:space="preserve">substantially lower than </w:t>
      </w:r>
      <w:r w:rsidR="00463DC7">
        <w:t xml:space="preserve">in </w:t>
      </w:r>
      <w:r w:rsidRPr="0048042E">
        <w:t xml:space="preserve">the </w:t>
      </w:r>
      <w:r w:rsidR="004B748A">
        <w:t>s</w:t>
      </w:r>
      <w:r w:rsidR="004B748A" w:rsidRPr="0048042E">
        <w:t>tate</w:t>
      </w:r>
      <w:r w:rsidR="004B748A">
        <w:t xml:space="preserve"> </w:t>
      </w:r>
      <w:r w:rsidR="00463DC7">
        <w:t xml:space="preserve">of Queensland </w:t>
      </w:r>
      <w:r w:rsidR="004B748A">
        <w:t xml:space="preserve">as a whole </w:t>
      </w:r>
      <w:r w:rsidR="00463DC7">
        <w:t xml:space="preserve">and </w:t>
      </w:r>
      <w:r w:rsidR="004B748A">
        <w:t>in Australia</w:t>
      </w:r>
      <w:r w:rsidRPr="0048042E">
        <w:t>. Only 12</w:t>
      </w:r>
      <w:r w:rsidR="00EC6EB3">
        <w:t>.0</w:t>
      </w:r>
      <w:r w:rsidRPr="0048042E">
        <w:t xml:space="preserve"> per</w:t>
      </w:r>
      <w:r w:rsidR="00880F57">
        <w:t xml:space="preserve"> </w:t>
      </w:r>
      <w:r w:rsidRPr="0048042E">
        <w:t xml:space="preserve">cent of the population </w:t>
      </w:r>
      <w:r w:rsidR="004B748A">
        <w:t xml:space="preserve">in </w:t>
      </w:r>
      <w:r w:rsidR="00DD43FE">
        <w:t>the F</w:t>
      </w:r>
      <w:r w:rsidR="00DD43FE" w:rsidRPr="007A58F7">
        <w:t>ederal electorate</w:t>
      </w:r>
      <w:r w:rsidR="00DD43FE" w:rsidRPr="0079482A">
        <w:t xml:space="preserve"> </w:t>
      </w:r>
      <w:r w:rsidR="00DD43FE">
        <w:t xml:space="preserve">of </w:t>
      </w:r>
      <w:r w:rsidR="00DD43FE" w:rsidRPr="0079482A">
        <w:t>Hinkler</w:t>
      </w:r>
      <w:r w:rsidR="004B748A">
        <w:t xml:space="preserve"> </w:t>
      </w:r>
      <w:r w:rsidRPr="0048042E">
        <w:t xml:space="preserve">had completed a </w:t>
      </w:r>
      <w:r w:rsidR="003B1C3D" w:rsidRPr="0048042E">
        <w:t>bachelor’s</w:t>
      </w:r>
      <w:r w:rsidRPr="0048042E">
        <w:t xml:space="preserve"> degree or above, while the corresponding figures are 21.2 per</w:t>
      </w:r>
      <w:r w:rsidR="009A08BF">
        <w:t xml:space="preserve"> </w:t>
      </w:r>
      <w:r w:rsidRPr="0048042E">
        <w:t xml:space="preserve">cent in </w:t>
      </w:r>
      <w:r w:rsidR="004B748A">
        <w:t xml:space="preserve">the state of </w:t>
      </w:r>
      <w:r w:rsidRPr="0048042E">
        <w:t xml:space="preserve">Queensland </w:t>
      </w:r>
      <w:r w:rsidR="004B748A">
        <w:t xml:space="preserve">as a whole </w:t>
      </w:r>
      <w:r w:rsidRPr="0048042E">
        <w:t>and 25.5 per</w:t>
      </w:r>
      <w:r w:rsidR="00880F57">
        <w:t xml:space="preserve"> </w:t>
      </w:r>
      <w:r w:rsidRPr="0048042E">
        <w:t xml:space="preserve">cent in Australia. </w:t>
      </w:r>
      <w:r w:rsidR="006E593D">
        <w:t>In contrast,</w:t>
      </w:r>
      <w:r w:rsidR="00463DC7">
        <w:t xml:space="preserve"> we see</w:t>
      </w:r>
      <w:r w:rsidRPr="0048042E">
        <w:t xml:space="preserve"> a much larger proportion </w:t>
      </w:r>
      <w:r w:rsidR="00D7668F">
        <w:t xml:space="preserve">of the </w:t>
      </w:r>
      <w:r w:rsidR="00DD43FE">
        <w:t>F</w:t>
      </w:r>
      <w:r w:rsidR="00DD43FE" w:rsidRPr="007A58F7">
        <w:t>ederal electorate</w:t>
      </w:r>
      <w:r w:rsidR="00DD43FE" w:rsidRPr="0079482A">
        <w:t xml:space="preserve"> </w:t>
      </w:r>
      <w:r w:rsidR="00DD43FE">
        <w:t xml:space="preserve">of </w:t>
      </w:r>
      <w:r w:rsidR="00DD43FE" w:rsidRPr="0079482A">
        <w:t>Hinkler</w:t>
      </w:r>
      <w:r w:rsidR="00DD43FE">
        <w:t xml:space="preserve"> </w:t>
      </w:r>
      <w:r w:rsidR="00D7668F">
        <w:t>population that</w:t>
      </w:r>
      <w:r w:rsidR="00463DC7">
        <w:t xml:space="preserve"> has not completed </w:t>
      </w:r>
      <w:r w:rsidRPr="0048042E">
        <w:t>Year 12 (40.8 per</w:t>
      </w:r>
      <w:r w:rsidR="00880F57">
        <w:t xml:space="preserve"> </w:t>
      </w:r>
      <w:r w:rsidRPr="0048042E">
        <w:t>cent), compared to 28.4 per</w:t>
      </w:r>
      <w:r w:rsidR="00880F57">
        <w:t xml:space="preserve"> </w:t>
      </w:r>
      <w:r w:rsidRPr="0048042E">
        <w:t xml:space="preserve">cent in </w:t>
      </w:r>
      <w:r w:rsidR="006E593D">
        <w:t xml:space="preserve">the state of </w:t>
      </w:r>
      <w:r w:rsidRPr="0048042E">
        <w:t xml:space="preserve">Queensland </w:t>
      </w:r>
      <w:r w:rsidR="006E593D">
        <w:t xml:space="preserve">as a whole </w:t>
      </w:r>
      <w:r w:rsidRPr="0048042E">
        <w:t>and 27.7 per</w:t>
      </w:r>
      <w:r w:rsidR="00880F57">
        <w:t xml:space="preserve"> </w:t>
      </w:r>
      <w:r w:rsidRPr="0048042E">
        <w:t xml:space="preserve">cent in Australia. The only level of </w:t>
      </w:r>
      <w:r w:rsidR="008A24D9">
        <w:t>educational attainment above Year 12</w:t>
      </w:r>
      <w:r w:rsidRPr="0048042E">
        <w:t xml:space="preserve"> at which people in the </w:t>
      </w:r>
      <w:r w:rsidR="00DD43FE">
        <w:t>F</w:t>
      </w:r>
      <w:r w:rsidR="00DD43FE" w:rsidRPr="007A58F7">
        <w:t>ederal electorate</w:t>
      </w:r>
      <w:r w:rsidR="00DD43FE" w:rsidRPr="0079482A">
        <w:t xml:space="preserve"> </w:t>
      </w:r>
      <w:r w:rsidR="00DD43FE">
        <w:t xml:space="preserve">of </w:t>
      </w:r>
      <w:r w:rsidR="00DD43FE" w:rsidRPr="0079482A">
        <w:t>Hinkler</w:t>
      </w:r>
      <w:r w:rsidRPr="0048042E">
        <w:t xml:space="preserve"> comprise a larger proportion is </w:t>
      </w:r>
      <w:r w:rsidR="00026FD0">
        <w:t xml:space="preserve">Vocational Education and </w:t>
      </w:r>
      <w:r w:rsidR="0001750E">
        <w:t>T</w:t>
      </w:r>
      <w:r w:rsidR="00026FD0">
        <w:t xml:space="preserve">raining (VET) </w:t>
      </w:r>
      <w:r w:rsidRPr="0048042E">
        <w:t>Certificate</w:t>
      </w:r>
      <w:r w:rsidR="00026FD0">
        <w:t>s</w:t>
      </w:r>
      <w:r w:rsidRPr="0048042E">
        <w:t xml:space="preserve"> III/IV.</w:t>
      </w:r>
    </w:p>
    <w:p w14:paraId="3E6511E3" w14:textId="38B3F67F" w:rsidR="00ED6D00" w:rsidRDefault="00463DC7" w:rsidP="0079482A">
      <w:r>
        <w:t>The next table (</w:t>
      </w:r>
      <w:r w:rsidR="000264E8">
        <w:fldChar w:fldCharType="begin"/>
      </w:r>
      <w:r w:rsidR="000264E8">
        <w:instrText xml:space="preserve"> REF _Ref34905108 \h </w:instrText>
      </w:r>
      <w:r w:rsidR="000264E8">
        <w:fldChar w:fldCharType="separate"/>
      </w:r>
      <w:r w:rsidR="008E2086">
        <w:t xml:space="preserve">Table </w:t>
      </w:r>
      <w:r w:rsidR="008E2086">
        <w:rPr>
          <w:noProof/>
        </w:rPr>
        <w:t>2</w:t>
      </w:r>
      <w:r w:rsidR="008E2086">
        <w:noBreakHyphen/>
      </w:r>
      <w:r w:rsidR="008E2086">
        <w:rPr>
          <w:noProof/>
        </w:rPr>
        <w:t>17</w:t>
      </w:r>
      <w:r w:rsidR="000264E8">
        <w:fldChar w:fldCharType="end"/>
      </w:r>
      <w:r>
        <w:t>) shows school attendance rates between 2015 and 201</w:t>
      </w:r>
      <w:r w:rsidR="00D73A10">
        <w:t>8</w:t>
      </w:r>
      <w:r w:rsidR="006467ED">
        <w:t xml:space="preserve"> for primary, secondary and special schools for </w:t>
      </w:r>
      <w:r w:rsidR="00B024B5">
        <w:t>the Bundaberg and Hervey Bay area</w:t>
      </w:r>
      <w:r w:rsidR="006467ED">
        <w:t xml:space="preserve">, </w:t>
      </w:r>
      <w:r w:rsidR="006E593D">
        <w:t xml:space="preserve">and </w:t>
      </w:r>
      <w:r w:rsidR="006467ED">
        <w:t xml:space="preserve">the </w:t>
      </w:r>
      <w:r w:rsidR="006E593D">
        <w:t xml:space="preserve">state </w:t>
      </w:r>
      <w:r w:rsidR="006467ED">
        <w:t xml:space="preserve">of Queensland </w:t>
      </w:r>
      <w:r w:rsidR="006E593D">
        <w:t>as a whole.</w:t>
      </w:r>
      <w:bookmarkStart w:id="109" w:name="_Toc34935545"/>
      <w:r w:rsidR="006E593D">
        <w:t xml:space="preserve"> </w:t>
      </w:r>
      <w:r w:rsidR="005D761E">
        <w:t>We obtain</w:t>
      </w:r>
      <w:r w:rsidR="00026FD0">
        <w:t>ed</w:t>
      </w:r>
      <w:r w:rsidR="005D761E">
        <w:t xml:space="preserve"> the information on </w:t>
      </w:r>
      <w:r w:rsidR="005D761E" w:rsidRPr="005D761E">
        <w:t>state school attendance rate</w:t>
      </w:r>
      <w:r w:rsidR="0001750E">
        <w:t>s</w:t>
      </w:r>
      <w:r w:rsidR="005D761E" w:rsidRPr="005D761E">
        <w:t xml:space="preserve"> </w:t>
      </w:r>
      <w:bookmarkEnd w:id="109"/>
      <w:r w:rsidR="00ED6D00">
        <w:t>from the Queensland Government Open Data Portal, which provides the attendance rates</w:t>
      </w:r>
      <w:r w:rsidR="00B024B5">
        <w:t xml:space="preserve"> in each Queensland </w:t>
      </w:r>
      <w:r w:rsidR="00D35E09">
        <w:t>government</w:t>
      </w:r>
      <w:r w:rsidR="00ED6D00">
        <w:t xml:space="preserve"> </w:t>
      </w:r>
      <w:r w:rsidR="00ED6D00">
        <w:lastRenderedPageBreak/>
        <w:t xml:space="preserve">school annually over the last five years. The information is also </w:t>
      </w:r>
      <w:r w:rsidR="00026FD0">
        <w:t>provided</w:t>
      </w:r>
      <w:r w:rsidR="00ED6D00">
        <w:t xml:space="preserve"> by school category and geographic area</w:t>
      </w:r>
      <w:r w:rsidR="00ED6D00" w:rsidRPr="00ED6D00">
        <w:t>.</w:t>
      </w:r>
      <w:r w:rsidR="00ED6D00">
        <w:t xml:space="preserve"> The </w:t>
      </w:r>
      <w:r w:rsidR="00026FD0">
        <w:t xml:space="preserve">attendance </w:t>
      </w:r>
      <w:r w:rsidR="00ED6D00" w:rsidRPr="00ED6D00">
        <w:t xml:space="preserve">rate is </w:t>
      </w:r>
      <w:r w:rsidR="00026FD0">
        <w:t>calculated</w:t>
      </w:r>
      <w:r w:rsidR="00ED6D00" w:rsidRPr="00ED6D00">
        <w:t xml:space="preserve"> by dividing the total of full-days and part-days that students attended, and comparing this to the total of all possible days for students to attend, expressed as a percentage.</w:t>
      </w:r>
    </w:p>
    <w:p w14:paraId="466C0742" w14:textId="5F7BB9C1" w:rsidR="004215DA" w:rsidRDefault="000851DE" w:rsidP="00B51060">
      <w:pPr>
        <w:pStyle w:val="Caption"/>
      </w:pPr>
      <w:bookmarkStart w:id="110" w:name="_Ref34905108"/>
      <w:bookmarkStart w:id="111" w:name="_Toc37263580"/>
      <w:r>
        <w:t>Table</w:t>
      </w:r>
      <w:r w:rsidR="00B5106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17</w:t>
      </w:r>
      <w:r w:rsidR="006C0554">
        <w:rPr>
          <w:noProof/>
        </w:rPr>
        <w:fldChar w:fldCharType="end"/>
      </w:r>
      <w:bookmarkEnd w:id="110"/>
      <w:r w:rsidR="00B51060">
        <w:t xml:space="preserve">: </w:t>
      </w:r>
      <w:r w:rsidR="004215DA">
        <w:t>Student attendan</w:t>
      </w:r>
      <w:r w:rsidR="00AD53F1">
        <w:t>ce rate</w:t>
      </w:r>
      <w:r w:rsidR="00923328">
        <w:t>s</w:t>
      </w:r>
      <w:r w:rsidR="00B024B5">
        <w:t xml:space="preserve"> of public schools</w:t>
      </w:r>
      <w:r w:rsidR="00AD53F1">
        <w:t xml:space="preserve"> by school category (per</w:t>
      </w:r>
      <w:r w:rsidR="00880F57">
        <w:t xml:space="preserve"> </w:t>
      </w:r>
      <w:r w:rsidR="004215DA">
        <w:t>cent)</w:t>
      </w:r>
      <w:bookmarkEnd w:id="111"/>
    </w:p>
    <w:tbl>
      <w:tblPr>
        <w:tblStyle w:val="ListTable3-Accent1"/>
        <w:tblW w:w="5000" w:type="pct"/>
        <w:tblLook w:val="04A0" w:firstRow="1" w:lastRow="0" w:firstColumn="1" w:lastColumn="0" w:noHBand="0" w:noVBand="1"/>
      </w:tblPr>
      <w:tblGrid>
        <w:gridCol w:w="2636"/>
        <w:gridCol w:w="1594"/>
        <w:gridCol w:w="1596"/>
        <w:gridCol w:w="1596"/>
        <w:gridCol w:w="1594"/>
      </w:tblGrid>
      <w:tr w:rsidR="00D73A10" w:rsidRPr="003542F0" w14:paraId="66B4FA85" w14:textId="77777777" w:rsidTr="00A4064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462" w:type="pct"/>
            <w:shd w:val="clear" w:color="auto" w:fill="2F5496" w:themeFill="accent5" w:themeFillShade="BF"/>
            <w:noWrap/>
            <w:hideMark/>
          </w:tcPr>
          <w:p w14:paraId="395F47FE" w14:textId="77777777" w:rsidR="00D73A10" w:rsidRPr="003542F0" w:rsidRDefault="00D73A10" w:rsidP="0079482A">
            <w:pPr>
              <w:rPr>
                <w:lang w:eastAsia="en-AU"/>
              </w:rPr>
            </w:pPr>
          </w:p>
        </w:tc>
        <w:tc>
          <w:tcPr>
            <w:tcW w:w="884" w:type="pct"/>
            <w:shd w:val="clear" w:color="auto" w:fill="2F5496" w:themeFill="accent5" w:themeFillShade="BF"/>
            <w:noWrap/>
            <w:hideMark/>
          </w:tcPr>
          <w:p w14:paraId="1759AD06" w14:textId="77777777" w:rsidR="00D73A10" w:rsidRPr="003542F0" w:rsidRDefault="00D73A10"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2015</w:t>
            </w:r>
          </w:p>
        </w:tc>
        <w:tc>
          <w:tcPr>
            <w:tcW w:w="885" w:type="pct"/>
            <w:shd w:val="clear" w:color="auto" w:fill="2F5496" w:themeFill="accent5" w:themeFillShade="BF"/>
            <w:noWrap/>
            <w:hideMark/>
          </w:tcPr>
          <w:p w14:paraId="664F792C" w14:textId="77777777" w:rsidR="00D73A10" w:rsidRPr="003542F0" w:rsidRDefault="00D73A10"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2016</w:t>
            </w:r>
          </w:p>
        </w:tc>
        <w:tc>
          <w:tcPr>
            <w:tcW w:w="885" w:type="pct"/>
            <w:shd w:val="clear" w:color="auto" w:fill="2F5496" w:themeFill="accent5" w:themeFillShade="BF"/>
            <w:noWrap/>
            <w:hideMark/>
          </w:tcPr>
          <w:p w14:paraId="11E87D74" w14:textId="77777777" w:rsidR="00D73A10" w:rsidRPr="003542F0" w:rsidRDefault="00D73A10"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2017</w:t>
            </w:r>
          </w:p>
        </w:tc>
        <w:tc>
          <w:tcPr>
            <w:tcW w:w="885" w:type="pct"/>
            <w:shd w:val="clear" w:color="auto" w:fill="2F5496" w:themeFill="accent5" w:themeFillShade="BF"/>
            <w:noWrap/>
            <w:hideMark/>
          </w:tcPr>
          <w:p w14:paraId="1F219745" w14:textId="77777777" w:rsidR="00D73A10" w:rsidRPr="003542F0" w:rsidRDefault="00D73A10"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3542F0">
              <w:rPr>
                <w:lang w:eastAsia="en-AU"/>
              </w:rPr>
              <w:t>2018</w:t>
            </w:r>
          </w:p>
        </w:tc>
      </w:tr>
      <w:tr w:rsidR="00D73A10" w:rsidRPr="00B93915" w14:paraId="51EA6DF0"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47FBB2F5" w14:textId="77777777" w:rsidR="00D73A10" w:rsidRPr="00F5236D" w:rsidRDefault="00D73A10" w:rsidP="0079482A">
            <w:pPr>
              <w:rPr>
                <w:lang w:eastAsia="en-AU"/>
              </w:rPr>
            </w:pPr>
            <w:r w:rsidRPr="00F5236D">
              <w:rPr>
                <w:lang w:eastAsia="en-AU"/>
              </w:rPr>
              <w:t>Primary school</w:t>
            </w:r>
          </w:p>
        </w:tc>
        <w:tc>
          <w:tcPr>
            <w:tcW w:w="884" w:type="pct"/>
            <w:noWrap/>
          </w:tcPr>
          <w:p w14:paraId="1E0D3766"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p>
        </w:tc>
        <w:tc>
          <w:tcPr>
            <w:tcW w:w="885" w:type="pct"/>
            <w:noWrap/>
          </w:tcPr>
          <w:p w14:paraId="7C130816"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p>
        </w:tc>
        <w:tc>
          <w:tcPr>
            <w:tcW w:w="885" w:type="pct"/>
            <w:noWrap/>
          </w:tcPr>
          <w:p w14:paraId="012A3180"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p>
        </w:tc>
        <w:tc>
          <w:tcPr>
            <w:tcW w:w="885" w:type="pct"/>
            <w:noWrap/>
          </w:tcPr>
          <w:p w14:paraId="4AB9B891"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p>
        </w:tc>
      </w:tr>
      <w:tr w:rsidR="00D73A10" w:rsidRPr="00B93915" w14:paraId="1C1F20E9"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62" w:type="pct"/>
            <w:noWrap/>
            <w:hideMark/>
          </w:tcPr>
          <w:p w14:paraId="29887EA2" w14:textId="77777777" w:rsidR="00D73A10" w:rsidRPr="00463DC7" w:rsidRDefault="00D73A10" w:rsidP="0079482A">
            <w:pPr>
              <w:rPr>
                <w:rFonts w:ascii="Calibri" w:eastAsia="Times New Roman" w:hAnsi="Calibri" w:cs="Calibri"/>
                <w:b w:val="0"/>
                <w:color w:val="000000"/>
                <w:lang w:eastAsia="en-AU"/>
              </w:rPr>
            </w:pPr>
            <w:r w:rsidRPr="00463DC7">
              <w:rPr>
                <w:b w:val="0"/>
              </w:rPr>
              <w:t>Bundaberg</w:t>
            </w:r>
          </w:p>
        </w:tc>
        <w:tc>
          <w:tcPr>
            <w:tcW w:w="884" w:type="pct"/>
            <w:noWrap/>
          </w:tcPr>
          <w:p w14:paraId="746EDCA6"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92.6 </w:t>
            </w:r>
          </w:p>
        </w:tc>
        <w:tc>
          <w:tcPr>
            <w:tcW w:w="885" w:type="pct"/>
            <w:noWrap/>
          </w:tcPr>
          <w:p w14:paraId="5C13B74D"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92.7 </w:t>
            </w:r>
          </w:p>
        </w:tc>
        <w:tc>
          <w:tcPr>
            <w:tcW w:w="885" w:type="pct"/>
            <w:noWrap/>
          </w:tcPr>
          <w:p w14:paraId="7B6BED7F"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92.7 </w:t>
            </w:r>
          </w:p>
        </w:tc>
        <w:tc>
          <w:tcPr>
            <w:tcW w:w="885" w:type="pct"/>
            <w:noWrap/>
          </w:tcPr>
          <w:p w14:paraId="768309E2"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92.5 </w:t>
            </w:r>
          </w:p>
        </w:tc>
      </w:tr>
      <w:tr w:rsidR="00D73A10" w:rsidRPr="00B93915" w14:paraId="11C302FF"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2" w:type="pct"/>
            <w:noWrap/>
            <w:hideMark/>
          </w:tcPr>
          <w:p w14:paraId="713E3D38" w14:textId="77777777" w:rsidR="00D73A10" w:rsidRPr="00463DC7" w:rsidRDefault="00D73A10" w:rsidP="0079482A">
            <w:pPr>
              <w:rPr>
                <w:b w:val="0"/>
                <w:lang w:eastAsia="en-AU"/>
              </w:rPr>
            </w:pPr>
            <w:r w:rsidRPr="00463DC7">
              <w:rPr>
                <w:b w:val="0"/>
                <w:lang w:eastAsia="en-AU"/>
              </w:rPr>
              <w:t>Fraser Coast</w:t>
            </w:r>
          </w:p>
        </w:tc>
        <w:tc>
          <w:tcPr>
            <w:tcW w:w="884" w:type="pct"/>
            <w:noWrap/>
          </w:tcPr>
          <w:p w14:paraId="7BBF7E7B"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91.7 </w:t>
            </w:r>
          </w:p>
        </w:tc>
        <w:tc>
          <w:tcPr>
            <w:tcW w:w="885" w:type="pct"/>
            <w:noWrap/>
          </w:tcPr>
          <w:p w14:paraId="7C643FAC"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91.8 </w:t>
            </w:r>
          </w:p>
        </w:tc>
        <w:tc>
          <w:tcPr>
            <w:tcW w:w="885" w:type="pct"/>
            <w:noWrap/>
          </w:tcPr>
          <w:p w14:paraId="2CEBA797"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91.7 </w:t>
            </w:r>
          </w:p>
        </w:tc>
        <w:tc>
          <w:tcPr>
            <w:tcW w:w="885" w:type="pct"/>
            <w:noWrap/>
          </w:tcPr>
          <w:p w14:paraId="67891A4E"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91.2 </w:t>
            </w:r>
          </w:p>
        </w:tc>
      </w:tr>
      <w:tr w:rsidR="00D73A10" w:rsidRPr="00B93915" w14:paraId="3925A3C0"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62" w:type="pct"/>
            <w:noWrap/>
            <w:hideMark/>
          </w:tcPr>
          <w:p w14:paraId="0156B041" w14:textId="77777777" w:rsidR="00D73A10" w:rsidRPr="00463DC7" w:rsidRDefault="00FB64DF" w:rsidP="0079482A">
            <w:pPr>
              <w:rPr>
                <w:b w:val="0"/>
                <w:lang w:eastAsia="en-AU"/>
              </w:rPr>
            </w:pPr>
            <w:r>
              <w:rPr>
                <w:b w:val="0"/>
                <w:lang w:eastAsia="en-AU"/>
              </w:rPr>
              <w:t>Bundaberg and Hervey Bay</w:t>
            </w:r>
          </w:p>
        </w:tc>
        <w:tc>
          <w:tcPr>
            <w:tcW w:w="884" w:type="pct"/>
            <w:noWrap/>
          </w:tcPr>
          <w:p w14:paraId="75B46941"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92.2 </w:t>
            </w:r>
          </w:p>
        </w:tc>
        <w:tc>
          <w:tcPr>
            <w:tcW w:w="885" w:type="pct"/>
            <w:noWrap/>
          </w:tcPr>
          <w:p w14:paraId="2536D2EF"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92.2 </w:t>
            </w:r>
          </w:p>
        </w:tc>
        <w:tc>
          <w:tcPr>
            <w:tcW w:w="885" w:type="pct"/>
            <w:noWrap/>
          </w:tcPr>
          <w:p w14:paraId="4346E4A1"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92.2 </w:t>
            </w:r>
          </w:p>
        </w:tc>
        <w:tc>
          <w:tcPr>
            <w:tcW w:w="885" w:type="pct"/>
            <w:noWrap/>
          </w:tcPr>
          <w:p w14:paraId="11BDCB1C"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91.8 </w:t>
            </w:r>
          </w:p>
        </w:tc>
      </w:tr>
      <w:tr w:rsidR="00D73A10" w:rsidRPr="00B93915" w14:paraId="66D84ACE"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2" w:type="pct"/>
            <w:noWrap/>
            <w:hideMark/>
          </w:tcPr>
          <w:p w14:paraId="7407C787" w14:textId="77777777" w:rsidR="00D73A10" w:rsidRPr="00463DC7" w:rsidRDefault="00D73A10" w:rsidP="0079482A">
            <w:pPr>
              <w:rPr>
                <w:b w:val="0"/>
                <w:lang w:eastAsia="en-AU"/>
              </w:rPr>
            </w:pPr>
            <w:r w:rsidRPr="00463DC7">
              <w:rPr>
                <w:b w:val="0"/>
                <w:lang w:eastAsia="en-AU"/>
              </w:rPr>
              <w:t>Queensland</w:t>
            </w:r>
          </w:p>
        </w:tc>
        <w:tc>
          <w:tcPr>
            <w:tcW w:w="884" w:type="pct"/>
            <w:noWrap/>
          </w:tcPr>
          <w:p w14:paraId="697E6A85"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92.7 </w:t>
            </w:r>
          </w:p>
        </w:tc>
        <w:tc>
          <w:tcPr>
            <w:tcW w:w="885" w:type="pct"/>
            <w:noWrap/>
          </w:tcPr>
          <w:p w14:paraId="31C9607C"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92.9 </w:t>
            </w:r>
          </w:p>
        </w:tc>
        <w:tc>
          <w:tcPr>
            <w:tcW w:w="885" w:type="pct"/>
            <w:noWrap/>
          </w:tcPr>
          <w:p w14:paraId="15874BAB"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92.8 </w:t>
            </w:r>
          </w:p>
        </w:tc>
        <w:tc>
          <w:tcPr>
            <w:tcW w:w="885" w:type="pct"/>
            <w:noWrap/>
          </w:tcPr>
          <w:p w14:paraId="026E91B4"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92.4 </w:t>
            </w:r>
          </w:p>
        </w:tc>
      </w:tr>
      <w:tr w:rsidR="00D73A10" w:rsidRPr="00B93915" w14:paraId="67E59629"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12BAA552" w14:textId="77777777" w:rsidR="00D73A10" w:rsidRPr="00F5236D" w:rsidRDefault="00D73A10" w:rsidP="0079482A">
            <w:pPr>
              <w:rPr>
                <w:lang w:eastAsia="en-AU"/>
              </w:rPr>
            </w:pPr>
            <w:r w:rsidRPr="00F5236D">
              <w:rPr>
                <w:lang w:eastAsia="en-AU"/>
              </w:rPr>
              <w:t>Secondary school</w:t>
            </w:r>
          </w:p>
        </w:tc>
        <w:tc>
          <w:tcPr>
            <w:tcW w:w="884" w:type="pct"/>
            <w:noWrap/>
          </w:tcPr>
          <w:p w14:paraId="1D64F529"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p>
        </w:tc>
        <w:tc>
          <w:tcPr>
            <w:tcW w:w="885" w:type="pct"/>
            <w:noWrap/>
          </w:tcPr>
          <w:p w14:paraId="451DEC7A"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p>
        </w:tc>
        <w:tc>
          <w:tcPr>
            <w:tcW w:w="885" w:type="pct"/>
            <w:noWrap/>
          </w:tcPr>
          <w:p w14:paraId="2805E235"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p>
        </w:tc>
        <w:tc>
          <w:tcPr>
            <w:tcW w:w="885" w:type="pct"/>
            <w:noWrap/>
          </w:tcPr>
          <w:p w14:paraId="04C3D596"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p>
        </w:tc>
      </w:tr>
      <w:tr w:rsidR="00D73A10" w:rsidRPr="00B93915" w14:paraId="6753DD7E"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6DBE8559" w14:textId="77777777" w:rsidR="00D73A10" w:rsidRPr="00463DC7" w:rsidRDefault="00D73A10" w:rsidP="0079482A">
            <w:pPr>
              <w:rPr>
                <w:rFonts w:ascii="Calibri" w:eastAsia="Times New Roman" w:hAnsi="Calibri" w:cs="Calibri"/>
                <w:b w:val="0"/>
                <w:color w:val="000000"/>
                <w:lang w:eastAsia="en-AU"/>
              </w:rPr>
            </w:pPr>
            <w:r w:rsidRPr="00463DC7">
              <w:rPr>
                <w:b w:val="0"/>
              </w:rPr>
              <w:t>Bundaberg</w:t>
            </w:r>
          </w:p>
        </w:tc>
        <w:tc>
          <w:tcPr>
            <w:tcW w:w="884" w:type="pct"/>
            <w:noWrap/>
          </w:tcPr>
          <w:p w14:paraId="410E9B19"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88.8 </w:t>
            </w:r>
          </w:p>
        </w:tc>
        <w:tc>
          <w:tcPr>
            <w:tcW w:w="885" w:type="pct"/>
            <w:noWrap/>
          </w:tcPr>
          <w:p w14:paraId="6860D9FB"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88.2 </w:t>
            </w:r>
          </w:p>
        </w:tc>
        <w:tc>
          <w:tcPr>
            <w:tcW w:w="885" w:type="pct"/>
            <w:noWrap/>
          </w:tcPr>
          <w:p w14:paraId="66977275"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87.9 </w:t>
            </w:r>
          </w:p>
        </w:tc>
        <w:tc>
          <w:tcPr>
            <w:tcW w:w="885" w:type="pct"/>
            <w:noWrap/>
          </w:tcPr>
          <w:p w14:paraId="5B0EF182"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87.6 </w:t>
            </w:r>
          </w:p>
        </w:tc>
      </w:tr>
      <w:tr w:rsidR="00D73A10" w:rsidRPr="00B93915" w14:paraId="1595227D"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17651FBD" w14:textId="77777777" w:rsidR="00D73A10" w:rsidRPr="00463DC7" w:rsidRDefault="00D73A10" w:rsidP="0079482A">
            <w:pPr>
              <w:rPr>
                <w:b w:val="0"/>
                <w:lang w:eastAsia="en-AU"/>
              </w:rPr>
            </w:pPr>
            <w:r w:rsidRPr="00463DC7">
              <w:rPr>
                <w:b w:val="0"/>
                <w:lang w:eastAsia="en-AU"/>
              </w:rPr>
              <w:t>Fraser Coast</w:t>
            </w:r>
          </w:p>
        </w:tc>
        <w:tc>
          <w:tcPr>
            <w:tcW w:w="884" w:type="pct"/>
            <w:noWrap/>
          </w:tcPr>
          <w:p w14:paraId="1D7F5DE5"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87.5 </w:t>
            </w:r>
          </w:p>
        </w:tc>
        <w:tc>
          <w:tcPr>
            <w:tcW w:w="885" w:type="pct"/>
            <w:noWrap/>
          </w:tcPr>
          <w:p w14:paraId="3A41D190"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87.9 </w:t>
            </w:r>
          </w:p>
        </w:tc>
        <w:tc>
          <w:tcPr>
            <w:tcW w:w="885" w:type="pct"/>
            <w:noWrap/>
          </w:tcPr>
          <w:p w14:paraId="0A116412"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87.8 </w:t>
            </w:r>
          </w:p>
        </w:tc>
        <w:tc>
          <w:tcPr>
            <w:tcW w:w="885" w:type="pct"/>
            <w:noWrap/>
          </w:tcPr>
          <w:p w14:paraId="5838C973"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86.7 </w:t>
            </w:r>
          </w:p>
        </w:tc>
      </w:tr>
      <w:tr w:rsidR="00D73A10" w:rsidRPr="00B93915" w14:paraId="249BD1E5"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1558C37E" w14:textId="77777777" w:rsidR="00D73A10" w:rsidRPr="00463DC7" w:rsidRDefault="00FB64DF" w:rsidP="0079482A">
            <w:pPr>
              <w:rPr>
                <w:b w:val="0"/>
                <w:lang w:eastAsia="en-AU"/>
              </w:rPr>
            </w:pPr>
            <w:r>
              <w:rPr>
                <w:b w:val="0"/>
                <w:lang w:eastAsia="en-AU"/>
              </w:rPr>
              <w:t>Bundaberg and Hervey Bay</w:t>
            </w:r>
          </w:p>
        </w:tc>
        <w:tc>
          <w:tcPr>
            <w:tcW w:w="884" w:type="pct"/>
            <w:noWrap/>
          </w:tcPr>
          <w:p w14:paraId="09508774"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88.2 </w:t>
            </w:r>
          </w:p>
        </w:tc>
        <w:tc>
          <w:tcPr>
            <w:tcW w:w="885" w:type="pct"/>
            <w:noWrap/>
          </w:tcPr>
          <w:p w14:paraId="716915F9"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88.0 </w:t>
            </w:r>
          </w:p>
        </w:tc>
        <w:tc>
          <w:tcPr>
            <w:tcW w:w="885" w:type="pct"/>
            <w:noWrap/>
          </w:tcPr>
          <w:p w14:paraId="677CF16F"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87.9 </w:t>
            </w:r>
          </w:p>
        </w:tc>
        <w:tc>
          <w:tcPr>
            <w:tcW w:w="885" w:type="pct"/>
            <w:noWrap/>
          </w:tcPr>
          <w:p w14:paraId="3F471274"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87.2 </w:t>
            </w:r>
          </w:p>
        </w:tc>
      </w:tr>
      <w:tr w:rsidR="00D73A10" w:rsidRPr="00B93915" w14:paraId="212FA651"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08D00B4C" w14:textId="77777777" w:rsidR="00D73A10" w:rsidRPr="00463DC7" w:rsidRDefault="00D73A10" w:rsidP="0079482A">
            <w:pPr>
              <w:rPr>
                <w:b w:val="0"/>
                <w:lang w:eastAsia="en-AU"/>
              </w:rPr>
            </w:pPr>
            <w:r w:rsidRPr="00463DC7">
              <w:rPr>
                <w:b w:val="0"/>
                <w:lang w:eastAsia="en-AU"/>
              </w:rPr>
              <w:t>Queensland</w:t>
            </w:r>
          </w:p>
        </w:tc>
        <w:tc>
          <w:tcPr>
            <w:tcW w:w="884" w:type="pct"/>
            <w:noWrap/>
          </w:tcPr>
          <w:p w14:paraId="304E1291"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89.7 </w:t>
            </w:r>
          </w:p>
        </w:tc>
        <w:tc>
          <w:tcPr>
            <w:tcW w:w="885" w:type="pct"/>
            <w:noWrap/>
          </w:tcPr>
          <w:p w14:paraId="3E2B01BE"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89.8 </w:t>
            </w:r>
          </w:p>
        </w:tc>
        <w:tc>
          <w:tcPr>
            <w:tcW w:w="885" w:type="pct"/>
            <w:noWrap/>
          </w:tcPr>
          <w:p w14:paraId="12EEB14A"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89.9 </w:t>
            </w:r>
          </w:p>
        </w:tc>
        <w:tc>
          <w:tcPr>
            <w:tcW w:w="885" w:type="pct"/>
            <w:noWrap/>
          </w:tcPr>
          <w:p w14:paraId="6A14207F"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89.1 </w:t>
            </w:r>
          </w:p>
        </w:tc>
      </w:tr>
      <w:tr w:rsidR="00D73A10" w:rsidRPr="00B93915" w14:paraId="7043E492"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3C0C46C5" w14:textId="77777777" w:rsidR="00D73A10" w:rsidRPr="00F5236D" w:rsidRDefault="00D73A10" w:rsidP="0079482A">
            <w:pPr>
              <w:rPr>
                <w:lang w:eastAsia="en-AU"/>
              </w:rPr>
            </w:pPr>
            <w:r w:rsidRPr="00F5236D">
              <w:rPr>
                <w:lang w:eastAsia="en-AU"/>
              </w:rPr>
              <w:t>Special school</w:t>
            </w:r>
          </w:p>
        </w:tc>
        <w:tc>
          <w:tcPr>
            <w:tcW w:w="884" w:type="pct"/>
            <w:noWrap/>
          </w:tcPr>
          <w:p w14:paraId="3E03C923"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p>
        </w:tc>
        <w:tc>
          <w:tcPr>
            <w:tcW w:w="885" w:type="pct"/>
            <w:noWrap/>
          </w:tcPr>
          <w:p w14:paraId="324807D3"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p>
        </w:tc>
        <w:tc>
          <w:tcPr>
            <w:tcW w:w="885" w:type="pct"/>
            <w:noWrap/>
          </w:tcPr>
          <w:p w14:paraId="106107C4"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p>
        </w:tc>
        <w:tc>
          <w:tcPr>
            <w:tcW w:w="885" w:type="pct"/>
            <w:noWrap/>
          </w:tcPr>
          <w:p w14:paraId="7573A312"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p>
        </w:tc>
      </w:tr>
      <w:tr w:rsidR="00D73A10" w:rsidRPr="00B93915" w14:paraId="17F05AAE"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77A498C4" w14:textId="77777777" w:rsidR="00D73A10" w:rsidRPr="00463DC7" w:rsidRDefault="00D73A10" w:rsidP="0079482A">
            <w:pPr>
              <w:rPr>
                <w:rFonts w:ascii="Calibri" w:eastAsia="Times New Roman" w:hAnsi="Calibri" w:cs="Calibri"/>
                <w:b w:val="0"/>
                <w:color w:val="000000"/>
                <w:lang w:eastAsia="en-AU"/>
              </w:rPr>
            </w:pPr>
            <w:r w:rsidRPr="00463DC7">
              <w:rPr>
                <w:b w:val="0"/>
              </w:rPr>
              <w:t>Bundaberg</w:t>
            </w:r>
          </w:p>
        </w:tc>
        <w:tc>
          <w:tcPr>
            <w:tcW w:w="884" w:type="pct"/>
            <w:noWrap/>
          </w:tcPr>
          <w:p w14:paraId="00858E6B"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90.4 </w:t>
            </w:r>
          </w:p>
        </w:tc>
        <w:tc>
          <w:tcPr>
            <w:tcW w:w="885" w:type="pct"/>
            <w:noWrap/>
          </w:tcPr>
          <w:p w14:paraId="1EB5520D"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90.8 </w:t>
            </w:r>
          </w:p>
        </w:tc>
        <w:tc>
          <w:tcPr>
            <w:tcW w:w="885" w:type="pct"/>
            <w:noWrap/>
          </w:tcPr>
          <w:p w14:paraId="2D197286"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90.3 </w:t>
            </w:r>
          </w:p>
        </w:tc>
        <w:tc>
          <w:tcPr>
            <w:tcW w:w="885" w:type="pct"/>
            <w:noWrap/>
          </w:tcPr>
          <w:p w14:paraId="444B4DB1"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87.8 </w:t>
            </w:r>
          </w:p>
        </w:tc>
      </w:tr>
      <w:tr w:rsidR="00D73A10" w:rsidRPr="00B93915" w14:paraId="04AF8EAE"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7AD3790F" w14:textId="77777777" w:rsidR="00D73A10" w:rsidRPr="00463DC7" w:rsidRDefault="00D73A10" w:rsidP="0079482A">
            <w:pPr>
              <w:rPr>
                <w:b w:val="0"/>
                <w:lang w:eastAsia="en-AU"/>
              </w:rPr>
            </w:pPr>
            <w:r w:rsidRPr="00463DC7">
              <w:rPr>
                <w:b w:val="0"/>
                <w:lang w:eastAsia="en-AU"/>
              </w:rPr>
              <w:t>Fraser Coast</w:t>
            </w:r>
          </w:p>
        </w:tc>
        <w:tc>
          <w:tcPr>
            <w:tcW w:w="884" w:type="pct"/>
            <w:noWrap/>
          </w:tcPr>
          <w:p w14:paraId="1DD828F7"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85.7 </w:t>
            </w:r>
          </w:p>
        </w:tc>
        <w:tc>
          <w:tcPr>
            <w:tcW w:w="885" w:type="pct"/>
            <w:noWrap/>
          </w:tcPr>
          <w:p w14:paraId="08A85098"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85.3 </w:t>
            </w:r>
          </w:p>
        </w:tc>
        <w:tc>
          <w:tcPr>
            <w:tcW w:w="885" w:type="pct"/>
            <w:noWrap/>
          </w:tcPr>
          <w:p w14:paraId="3C2887EC"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87.0 </w:t>
            </w:r>
          </w:p>
        </w:tc>
        <w:tc>
          <w:tcPr>
            <w:tcW w:w="885" w:type="pct"/>
            <w:noWrap/>
          </w:tcPr>
          <w:p w14:paraId="79F3451E"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86.4 </w:t>
            </w:r>
          </w:p>
        </w:tc>
      </w:tr>
      <w:tr w:rsidR="00D73A10" w:rsidRPr="00B93915" w14:paraId="274B61BE"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5E016993" w14:textId="77777777" w:rsidR="00D73A10" w:rsidRPr="00463DC7" w:rsidRDefault="00FB64DF" w:rsidP="0079482A">
            <w:pPr>
              <w:rPr>
                <w:b w:val="0"/>
                <w:lang w:eastAsia="en-AU"/>
              </w:rPr>
            </w:pPr>
            <w:r>
              <w:rPr>
                <w:b w:val="0"/>
                <w:lang w:eastAsia="en-AU"/>
              </w:rPr>
              <w:t>Bundaberg and Hervey Bay</w:t>
            </w:r>
          </w:p>
        </w:tc>
        <w:tc>
          <w:tcPr>
            <w:tcW w:w="884" w:type="pct"/>
            <w:noWrap/>
          </w:tcPr>
          <w:p w14:paraId="773C075D"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87.5 </w:t>
            </w:r>
          </w:p>
        </w:tc>
        <w:tc>
          <w:tcPr>
            <w:tcW w:w="885" w:type="pct"/>
            <w:noWrap/>
          </w:tcPr>
          <w:p w14:paraId="54F36841"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87.3 </w:t>
            </w:r>
          </w:p>
        </w:tc>
        <w:tc>
          <w:tcPr>
            <w:tcW w:w="885" w:type="pct"/>
            <w:noWrap/>
          </w:tcPr>
          <w:p w14:paraId="18F36DFE"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88.2 </w:t>
            </w:r>
          </w:p>
        </w:tc>
        <w:tc>
          <w:tcPr>
            <w:tcW w:w="885" w:type="pct"/>
            <w:noWrap/>
          </w:tcPr>
          <w:p w14:paraId="4DCF5DB9"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86.9 </w:t>
            </w:r>
          </w:p>
        </w:tc>
      </w:tr>
      <w:tr w:rsidR="00D73A10" w:rsidRPr="00B93915" w14:paraId="295DD128"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11F18035" w14:textId="77777777" w:rsidR="00D73A10" w:rsidRPr="00463DC7" w:rsidRDefault="00D73A10" w:rsidP="0079482A">
            <w:pPr>
              <w:rPr>
                <w:b w:val="0"/>
                <w:lang w:eastAsia="en-AU"/>
              </w:rPr>
            </w:pPr>
            <w:r w:rsidRPr="00463DC7">
              <w:rPr>
                <w:b w:val="0"/>
                <w:lang w:eastAsia="en-AU"/>
              </w:rPr>
              <w:t>Queensland</w:t>
            </w:r>
          </w:p>
        </w:tc>
        <w:tc>
          <w:tcPr>
            <w:tcW w:w="884" w:type="pct"/>
            <w:noWrap/>
          </w:tcPr>
          <w:p w14:paraId="78D01DFC"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88.7 </w:t>
            </w:r>
          </w:p>
        </w:tc>
        <w:tc>
          <w:tcPr>
            <w:tcW w:w="885" w:type="pct"/>
            <w:noWrap/>
          </w:tcPr>
          <w:p w14:paraId="631B373E"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88.6 </w:t>
            </w:r>
          </w:p>
        </w:tc>
        <w:tc>
          <w:tcPr>
            <w:tcW w:w="885" w:type="pct"/>
            <w:noWrap/>
          </w:tcPr>
          <w:p w14:paraId="2623388A"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87.8 </w:t>
            </w:r>
          </w:p>
        </w:tc>
        <w:tc>
          <w:tcPr>
            <w:tcW w:w="885" w:type="pct"/>
            <w:noWrap/>
          </w:tcPr>
          <w:p w14:paraId="303CD901"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86.7 </w:t>
            </w:r>
          </w:p>
        </w:tc>
      </w:tr>
      <w:tr w:rsidR="00D73A10" w:rsidRPr="00B93915" w14:paraId="30DD71DB"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0F2DC48D" w14:textId="77777777" w:rsidR="00D73A10" w:rsidRPr="00F5236D" w:rsidRDefault="00D73A10" w:rsidP="00463DC7">
            <w:pPr>
              <w:jc w:val="left"/>
              <w:rPr>
                <w:lang w:eastAsia="en-AU"/>
              </w:rPr>
            </w:pPr>
            <w:r w:rsidRPr="00F5236D">
              <w:rPr>
                <w:lang w:eastAsia="en-AU"/>
              </w:rPr>
              <w:t>All school categories</w:t>
            </w:r>
          </w:p>
        </w:tc>
        <w:tc>
          <w:tcPr>
            <w:tcW w:w="884" w:type="pct"/>
            <w:noWrap/>
          </w:tcPr>
          <w:p w14:paraId="69DA009B"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p>
        </w:tc>
        <w:tc>
          <w:tcPr>
            <w:tcW w:w="885" w:type="pct"/>
            <w:noWrap/>
          </w:tcPr>
          <w:p w14:paraId="6B561AAA"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p>
        </w:tc>
        <w:tc>
          <w:tcPr>
            <w:tcW w:w="885" w:type="pct"/>
            <w:noWrap/>
          </w:tcPr>
          <w:p w14:paraId="6149DC39"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p>
        </w:tc>
        <w:tc>
          <w:tcPr>
            <w:tcW w:w="885" w:type="pct"/>
            <w:noWrap/>
          </w:tcPr>
          <w:p w14:paraId="69926945"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p>
        </w:tc>
      </w:tr>
      <w:tr w:rsidR="00D73A10" w:rsidRPr="00B93915" w14:paraId="1E00E584"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3A65A6B7" w14:textId="77777777" w:rsidR="00D73A10" w:rsidRPr="00463DC7" w:rsidRDefault="00D73A10" w:rsidP="0079482A">
            <w:pPr>
              <w:rPr>
                <w:rFonts w:ascii="Calibri" w:eastAsia="Times New Roman" w:hAnsi="Calibri" w:cs="Calibri"/>
                <w:b w:val="0"/>
                <w:color w:val="000000"/>
                <w:lang w:eastAsia="en-AU"/>
              </w:rPr>
            </w:pPr>
            <w:r w:rsidRPr="00463DC7">
              <w:rPr>
                <w:b w:val="0"/>
              </w:rPr>
              <w:t>Bundaberg</w:t>
            </w:r>
          </w:p>
        </w:tc>
        <w:tc>
          <w:tcPr>
            <w:tcW w:w="884" w:type="pct"/>
            <w:noWrap/>
          </w:tcPr>
          <w:p w14:paraId="68B9913F"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91.0 </w:t>
            </w:r>
          </w:p>
        </w:tc>
        <w:tc>
          <w:tcPr>
            <w:tcW w:w="885" w:type="pct"/>
            <w:noWrap/>
          </w:tcPr>
          <w:p w14:paraId="320604C4"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90.8 </w:t>
            </w:r>
          </w:p>
        </w:tc>
        <w:tc>
          <w:tcPr>
            <w:tcW w:w="885" w:type="pct"/>
            <w:noWrap/>
          </w:tcPr>
          <w:p w14:paraId="2BF195BE"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90.8 </w:t>
            </w:r>
          </w:p>
        </w:tc>
        <w:tc>
          <w:tcPr>
            <w:tcW w:w="885" w:type="pct"/>
            <w:noWrap/>
          </w:tcPr>
          <w:p w14:paraId="6E0A58E3"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90.5 </w:t>
            </w:r>
          </w:p>
        </w:tc>
      </w:tr>
      <w:tr w:rsidR="00D73A10" w:rsidRPr="00B93915" w14:paraId="70CE3B1A"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2371C5E8" w14:textId="77777777" w:rsidR="00D73A10" w:rsidRPr="00463DC7" w:rsidRDefault="00D73A10" w:rsidP="0079482A">
            <w:pPr>
              <w:rPr>
                <w:b w:val="0"/>
                <w:lang w:eastAsia="en-AU"/>
              </w:rPr>
            </w:pPr>
            <w:r w:rsidRPr="00463DC7">
              <w:rPr>
                <w:b w:val="0"/>
                <w:lang w:eastAsia="en-AU"/>
              </w:rPr>
              <w:t>Fraser Coast</w:t>
            </w:r>
          </w:p>
        </w:tc>
        <w:tc>
          <w:tcPr>
            <w:tcW w:w="884" w:type="pct"/>
            <w:noWrap/>
          </w:tcPr>
          <w:p w14:paraId="5EC21DA9"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90.0 </w:t>
            </w:r>
          </w:p>
        </w:tc>
        <w:tc>
          <w:tcPr>
            <w:tcW w:w="885" w:type="pct"/>
            <w:noWrap/>
          </w:tcPr>
          <w:p w14:paraId="57F8C811"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90.1 </w:t>
            </w:r>
          </w:p>
        </w:tc>
        <w:tc>
          <w:tcPr>
            <w:tcW w:w="885" w:type="pct"/>
            <w:noWrap/>
          </w:tcPr>
          <w:p w14:paraId="7E200EB0"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90.0 </w:t>
            </w:r>
          </w:p>
        </w:tc>
        <w:tc>
          <w:tcPr>
            <w:tcW w:w="885" w:type="pct"/>
            <w:noWrap/>
          </w:tcPr>
          <w:p w14:paraId="2EE05FF6"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89.3 </w:t>
            </w:r>
          </w:p>
        </w:tc>
      </w:tr>
      <w:tr w:rsidR="00D73A10" w:rsidRPr="00B93915" w14:paraId="0B057804"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32BE5360" w14:textId="77777777" w:rsidR="00D73A10" w:rsidRPr="00463DC7" w:rsidRDefault="00FB64DF" w:rsidP="0079482A">
            <w:pPr>
              <w:rPr>
                <w:b w:val="0"/>
                <w:lang w:eastAsia="en-AU"/>
              </w:rPr>
            </w:pPr>
            <w:r>
              <w:rPr>
                <w:b w:val="0"/>
                <w:lang w:eastAsia="en-AU"/>
              </w:rPr>
              <w:t>Bundaberg and Hervey Bay</w:t>
            </w:r>
          </w:p>
        </w:tc>
        <w:tc>
          <w:tcPr>
            <w:tcW w:w="884" w:type="pct"/>
            <w:noWrap/>
          </w:tcPr>
          <w:p w14:paraId="4A915853"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90.5 </w:t>
            </w:r>
          </w:p>
        </w:tc>
        <w:tc>
          <w:tcPr>
            <w:tcW w:w="885" w:type="pct"/>
            <w:noWrap/>
          </w:tcPr>
          <w:p w14:paraId="44F648CF"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90.5 </w:t>
            </w:r>
          </w:p>
        </w:tc>
        <w:tc>
          <w:tcPr>
            <w:tcW w:w="885" w:type="pct"/>
            <w:noWrap/>
          </w:tcPr>
          <w:p w14:paraId="3754132D"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90.4 </w:t>
            </w:r>
          </w:p>
        </w:tc>
        <w:tc>
          <w:tcPr>
            <w:tcW w:w="885" w:type="pct"/>
            <w:noWrap/>
          </w:tcPr>
          <w:p w14:paraId="2F70875B" w14:textId="77777777" w:rsidR="00D73A10" w:rsidRPr="00463DC7" w:rsidRDefault="00D73A10" w:rsidP="00463DC7">
            <w:pPr>
              <w:jc w:val="right"/>
              <w:cnfStyle w:val="000000100000" w:firstRow="0" w:lastRow="0" w:firstColumn="0" w:lastColumn="0" w:oddVBand="0" w:evenVBand="0" w:oddHBand="1" w:evenHBand="0" w:firstRowFirstColumn="0" w:firstRowLastColumn="0" w:lastRowFirstColumn="0" w:lastRowLastColumn="0"/>
              <w:rPr>
                <w:lang w:eastAsia="en-AU"/>
              </w:rPr>
            </w:pPr>
            <w:r w:rsidRPr="00463DC7">
              <w:rPr>
                <w:lang w:eastAsia="en-AU"/>
              </w:rPr>
              <w:t xml:space="preserve">89.9 </w:t>
            </w:r>
          </w:p>
        </w:tc>
      </w:tr>
      <w:tr w:rsidR="00D73A10" w:rsidRPr="00B93915" w14:paraId="36635D2A"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1462" w:type="pct"/>
            <w:noWrap/>
          </w:tcPr>
          <w:p w14:paraId="6BD9EFA4" w14:textId="77777777" w:rsidR="00D73A10" w:rsidRPr="00463DC7" w:rsidRDefault="00D73A10" w:rsidP="0079482A">
            <w:pPr>
              <w:rPr>
                <w:b w:val="0"/>
                <w:lang w:eastAsia="en-AU"/>
              </w:rPr>
            </w:pPr>
            <w:r w:rsidRPr="00463DC7">
              <w:rPr>
                <w:b w:val="0"/>
                <w:lang w:eastAsia="en-AU"/>
              </w:rPr>
              <w:t>Queensland</w:t>
            </w:r>
          </w:p>
        </w:tc>
        <w:tc>
          <w:tcPr>
            <w:tcW w:w="884" w:type="pct"/>
            <w:noWrap/>
          </w:tcPr>
          <w:p w14:paraId="22CB5DA4"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91.4 </w:t>
            </w:r>
          </w:p>
        </w:tc>
        <w:tc>
          <w:tcPr>
            <w:tcW w:w="885" w:type="pct"/>
            <w:noWrap/>
          </w:tcPr>
          <w:p w14:paraId="6ED4282E"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91.5 </w:t>
            </w:r>
          </w:p>
        </w:tc>
        <w:tc>
          <w:tcPr>
            <w:tcW w:w="885" w:type="pct"/>
            <w:noWrap/>
          </w:tcPr>
          <w:p w14:paraId="5C16511D"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91.5 </w:t>
            </w:r>
          </w:p>
        </w:tc>
        <w:tc>
          <w:tcPr>
            <w:tcW w:w="885" w:type="pct"/>
            <w:noWrap/>
          </w:tcPr>
          <w:p w14:paraId="5F32AEA8" w14:textId="77777777" w:rsidR="00D73A10" w:rsidRPr="00463DC7" w:rsidRDefault="00D73A10" w:rsidP="00463DC7">
            <w:pPr>
              <w:jc w:val="right"/>
              <w:cnfStyle w:val="000000000000" w:firstRow="0" w:lastRow="0" w:firstColumn="0" w:lastColumn="0" w:oddVBand="0" w:evenVBand="0" w:oddHBand="0" w:evenHBand="0" w:firstRowFirstColumn="0" w:firstRowLastColumn="0" w:lastRowFirstColumn="0" w:lastRowLastColumn="0"/>
              <w:rPr>
                <w:lang w:eastAsia="en-AU"/>
              </w:rPr>
            </w:pPr>
            <w:r w:rsidRPr="00463DC7">
              <w:rPr>
                <w:lang w:eastAsia="en-AU"/>
              </w:rPr>
              <w:t xml:space="preserve">90.9 </w:t>
            </w:r>
          </w:p>
        </w:tc>
      </w:tr>
    </w:tbl>
    <w:p w14:paraId="1CF9F0F2" w14:textId="77777777" w:rsidR="00041324" w:rsidRPr="00463DC7" w:rsidRDefault="00041324" w:rsidP="00463DC7">
      <w:pPr>
        <w:spacing w:after="0" w:line="240" w:lineRule="auto"/>
        <w:rPr>
          <w:i/>
          <w:sz w:val="18"/>
          <w:szCs w:val="18"/>
        </w:rPr>
      </w:pPr>
      <w:r w:rsidRPr="00463DC7">
        <w:rPr>
          <w:i/>
          <w:sz w:val="18"/>
          <w:szCs w:val="18"/>
        </w:rPr>
        <w:t>Source: Queensland Government Open Data Portal: State school attend</w:t>
      </w:r>
      <w:r w:rsidR="002D72FD">
        <w:rPr>
          <w:i/>
          <w:sz w:val="18"/>
          <w:szCs w:val="18"/>
        </w:rPr>
        <w:t>ance</w:t>
      </w:r>
      <w:r w:rsidRPr="00463DC7">
        <w:rPr>
          <w:i/>
          <w:sz w:val="18"/>
          <w:szCs w:val="18"/>
        </w:rPr>
        <w:t xml:space="preserve"> rate</w:t>
      </w:r>
      <w:r w:rsidR="002D72FD">
        <w:rPr>
          <w:i/>
          <w:sz w:val="18"/>
          <w:szCs w:val="18"/>
        </w:rPr>
        <w:t>s</w:t>
      </w:r>
      <w:r w:rsidRPr="00463DC7">
        <w:rPr>
          <w:i/>
          <w:sz w:val="18"/>
          <w:szCs w:val="18"/>
        </w:rPr>
        <w:t>.</w:t>
      </w:r>
    </w:p>
    <w:p w14:paraId="3B9D41D7" w14:textId="77777777" w:rsidR="004215DA" w:rsidRPr="00463DC7" w:rsidRDefault="004215DA" w:rsidP="00A4064D">
      <w:pPr>
        <w:spacing w:after="360" w:line="240" w:lineRule="auto"/>
        <w:rPr>
          <w:i/>
          <w:sz w:val="18"/>
          <w:szCs w:val="18"/>
        </w:rPr>
      </w:pPr>
      <w:r w:rsidRPr="00463DC7">
        <w:rPr>
          <w:i/>
          <w:sz w:val="18"/>
          <w:szCs w:val="18"/>
        </w:rPr>
        <w:t xml:space="preserve">Note: </w:t>
      </w:r>
      <w:r w:rsidR="00D35E09">
        <w:rPr>
          <w:i/>
          <w:sz w:val="18"/>
          <w:szCs w:val="18"/>
        </w:rPr>
        <w:t xml:space="preserve">Queensland state </w:t>
      </w:r>
      <w:r w:rsidR="00D35E09" w:rsidRPr="0022127E">
        <w:rPr>
          <w:i/>
          <w:sz w:val="18"/>
          <w:szCs w:val="18"/>
        </w:rPr>
        <w:t>special schools</w:t>
      </w:r>
      <w:r w:rsidR="00D35E09" w:rsidRPr="00D35E09">
        <w:rPr>
          <w:i/>
          <w:sz w:val="18"/>
          <w:szCs w:val="18"/>
        </w:rPr>
        <w:t> provide highly specialised and individual programs in many locations for students with significant support needs, and who have an intellectual impairment.</w:t>
      </w:r>
      <w:r w:rsidR="00D35E09">
        <w:rPr>
          <w:i/>
          <w:sz w:val="18"/>
          <w:szCs w:val="18"/>
        </w:rPr>
        <w:t xml:space="preserve"> </w:t>
      </w:r>
      <w:r w:rsidR="002D72FD">
        <w:rPr>
          <w:i/>
          <w:sz w:val="18"/>
          <w:szCs w:val="18"/>
        </w:rPr>
        <w:t>‘</w:t>
      </w:r>
      <w:r w:rsidR="00FB64DF">
        <w:rPr>
          <w:i/>
          <w:sz w:val="18"/>
          <w:szCs w:val="18"/>
        </w:rPr>
        <w:t>Bundaberg and Hervey Bay</w:t>
      </w:r>
      <w:r w:rsidR="002D72FD">
        <w:rPr>
          <w:i/>
          <w:sz w:val="18"/>
          <w:szCs w:val="18"/>
        </w:rPr>
        <w:t>’</w:t>
      </w:r>
      <w:r w:rsidR="00FB64DF">
        <w:rPr>
          <w:i/>
          <w:sz w:val="18"/>
          <w:szCs w:val="18"/>
        </w:rPr>
        <w:t xml:space="preserve"> refers to Bundaberg and Fraser Coast </w:t>
      </w:r>
      <w:r w:rsidR="00A02CC1">
        <w:rPr>
          <w:i/>
          <w:sz w:val="18"/>
          <w:szCs w:val="18"/>
        </w:rPr>
        <w:t xml:space="preserve">added </w:t>
      </w:r>
      <w:r w:rsidR="00FB64DF">
        <w:rPr>
          <w:i/>
          <w:sz w:val="18"/>
          <w:szCs w:val="18"/>
        </w:rPr>
        <w:t>together, which</w:t>
      </w:r>
      <w:r w:rsidRPr="00463DC7">
        <w:rPr>
          <w:i/>
          <w:sz w:val="18"/>
          <w:szCs w:val="18"/>
        </w:rPr>
        <w:t xml:space="preserve"> </w:t>
      </w:r>
      <w:r w:rsidR="002D72FD">
        <w:rPr>
          <w:i/>
          <w:sz w:val="18"/>
          <w:szCs w:val="18"/>
        </w:rPr>
        <w:t xml:space="preserve">was </w:t>
      </w:r>
      <w:r w:rsidRPr="00463DC7">
        <w:rPr>
          <w:i/>
          <w:sz w:val="18"/>
          <w:szCs w:val="18"/>
        </w:rPr>
        <w:t>identified using the LGA information.</w:t>
      </w:r>
    </w:p>
    <w:p w14:paraId="110151CC" w14:textId="38E18FEE" w:rsidR="00C053C9" w:rsidRDefault="00026FD0" w:rsidP="005F4374">
      <w:r>
        <w:t>A clear</w:t>
      </w:r>
      <w:r w:rsidR="006467ED">
        <w:t xml:space="preserve"> observation </w:t>
      </w:r>
      <w:r w:rsidR="00041F2B">
        <w:t>in relation</w:t>
      </w:r>
      <w:r w:rsidR="006467ED">
        <w:t xml:space="preserve"> to school attendance is that </w:t>
      </w:r>
      <w:r>
        <w:t>attendance</w:t>
      </w:r>
      <w:r w:rsidR="006467ED">
        <w:t xml:space="preserve"> rates are stable over time, with a slight and slow decrease by one to two percentage points since 2017</w:t>
      </w:r>
      <w:r w:rsidR="004B224E">
        <w:t xml:space="preserve"> for all regions and the state</w:t>
      </w:r>
      <w:r>
        <w:t xml:space="preserve"> of Queensland as a whole</w:t>
      </w:r>
      <w:r w:rsidR="006467ED">
        <w:t>.</w:t>
      </w:r>
      <w:r>
        <w:t xml:space="preserve"> </w:t>
      </w:r>
      <w:r w:rsidR="00270238">
        <w:t>The a</w:t>
      </w:r>
      <w:r w:rsidR="004215DA">
        <w:t xml:space="preserve">ttendance rate in the </w:t>
      </w:r>
      <w:r w:rsidR="00FE7B5B">
        <w:t>Bundaberg and Hervey Bay</w:t>
      </w:r>
      <w:r w:rsidR="004215DA">
        <w:t xml:space="preserve"> region</w:t>
      </w:r>
      <w:r w:rsidR="009F61E2">
        <w:t xml:space="preserve"> </w:t>
      </w:r>
      <w:r w:rsidR="004215DA">
        <w:t xml:space="preserve">is </w:t>
      </w:r>
      <w:r>
        <w:t xml:space="preserve">only </w:t>
      </w:r>
      <w:r w:rsidR="00AD53F1">
        <w:t xml:space="preserve">marginally </w:t>
      </w:r>
      <w:r w:rsidR="004215DA">
        <w:t>lo</w:t>
      </w:r>
      <w:r w:rsidR="0035280F">
        <w:t>wer than the</w:t>
      </w:r>
      <w:r w:rsidR="006E593D">
        <w:t xml:space="preserve"> average for the state of</w:t>
      </w:r>
      <w:r w:rsidR="0035280F">
        <w:t xml:space="preserve"> Queensland </w:t>
      </w:r>
      <w:r w:rsidR="006E593D">
        <w:t xml:space="preserve">as a whole, </w:t>
      </w:r>
      <w:r>
        <w:t xml:space="preserve">the difference coming from </w:t>
      </w:r>
      <w:r w:rsidR="0035280F">
        <w:t xml:space="preserve">secondary schools. </w:t>
      </w:r>
      <w:r w:rsidR="004215DA">
        <w:t xml:space="preserve">Bundaberg has </w:t>
      </w:r>
      <w:r w:rsidR="009F61E2">
        <w:t xml:space="preserve">a </w:t>
      </w:r>
      <w:r w:rsidR="004215DA">
        <w:t xml:space="preserve">higher attendance rate than Fraser </w:t>
      </w:r>
      <w:r w:rsidR="006E593D">
        <w:t xml:space="preserve">Coast </w:t>
      </w:r>
      <w:r w:rsidR="004215DA">
        <w:t>for all school categories.</w:t>
      </w:r>
      <w:r w:rsidR="0035280F">
        <w:t xml:space="preserve"> The following set of figures (</w:t>
      </w:r>
      <w:r w:rsidR="003A566F">
        <w:fldChar w:fldCharType="begin"/>
      </w:r>
      <w:r w:rsidR="003A566F">
        <w:instrText xml:space="preserve"> REF _Ref36653627 \h </w:instrText>
      </w:r>
      <w:r w:rsidR="009A08BF">
        <w:instrText xml:space="preserve"> \* MERGEFORMAT </w:instrText>
      </w:r>
      <w:r w:rsidR="003A566F">
        <w:fldChar w:fldCharType="separate"/>
      </w:r>
      <w:r w:rsidR="008E2086">
        <w:t xml:space="preserve">Figure </w:t>
      </w:r>
      <w:r w:rsidR="008E2086">
        <w:rPr>
          <w:noProof/>
        </w:rPr>
        <w:t>2</w:t>
      </w:r>
      <w:r w:rsidR="008E2086">
        <w:rPr>
          <w:noProof/>
        </w:rPr>
        <w:noBreakHyphen/>
        <w:t>7</w:t>
      </w:r>
      <w:r w:rsidR="003A566F">
        <w:fldChar w:fldCharType="end"/>
      </w:r>
      <w:r w:rsidR="0035280F">
        <w:t xml:space="preserve">) highlight this observation in a more visual way. </w:t>
      </w:r>
    </w:p>
    <w:p w14:paraId="7AABB820" w14:textId="77777777" w:rsidR="009F61E2" w:rsidRDefault="004215DA" w:rsidP="006467ED">
      <w:r>
        <w:t>The declining trend</w:t>
      </w:r>
      <w:r w:rsidR="00C053C9">
        <w:t xml:space="preserve"> </w:t>
      </w:r>
      <w:r w:rsidR="00026FD0">
        <w:t>in</w:t>
      </w:r>
      <w:r w:rsidR="009F61E2">
        <w:t xml:space="preserve"> attendance rate</w:t>
      </w:r>
      <w:r w:rsidR="006E593D">
        <w:t>s</w:t>
      </w:r>
      <w:r w:rsidR="009F61E2">
        <w:t xml:space="preserve"> </w:t>
      </w:r>
      <w:r w:rsidR="00C053C9">
        <w:t>since 2017</w:t>
      </w:r>
      <w:r>
        <w:t xml:space="preserve"> is</w:t>
      </w:r>
      <w:r w:rsidR="00C053C9">
        <w:t xml:space="preserve"> </w:t>
      </w:r>
      <w:r w:rsidR="00026FD0">
        <w:t>more visible</w:t>
      </w:r>
      <w:r w:rsidR="00C053C9">
        <w:t xml:space="preserve"> </w:t>
      </w:r>
      <w:r w:rsidR="00026FD0">
        <w:t>in</w:t>
      </w:r>
      <w:r>
        <w:t xml:space="preserve"> </w:t>
      </w:r>
      <w:r w:rsidR="00C053C9">
        <w:t>the ‘</w:t>
      </w:r>
      <w:r>
        <w:t>sp</w:t>
      </w:r>
      <w:r w:rsidR="00C053C9">
        <w:t>ecial school’ category. In this case</w:t>
      </w:r>
      <w:r w:rsidR="00026FD0">
        <w:t>,</w:t>
      </w:r>
      <w:r w:rsidRPr="00F63A86">
        <w:t xml:space="preserve"> attendance rate</w:t>
      </w:r>
      <w:r>
        <w:t xml:space="preserve"> in the </w:t>
      </w:r>
      <w:r w:rsidR="00FE7B5B">
        <w:t>Bundaberg and Hervey Bay</w:t>
      </w:r>
      <w:r>
        <w:t xml:space="preserve"> region is similar </w:t>
      </w:r>
      <w:r w:rsidR="006E593D">
        <w:t>to</w:t>
      </w:r>
      <w:r w:rsidR="006E593D" w:rsidRPr="00F63A86">
        <w:t xml:space="preserve"> </w:t>
      </w:r>
      <w:r w:rsidRPr="00F63A86">
        <w:t xml:space="preserve">the </w:t>
      </w:r>
      <w:r w:rsidR="006E593D">
        <w:t xml:space="preserve">state of </w:t>
      </w:r>
      <w:r w:rsidRPr="00F63A86">
        <w:t xml:space="preserve">Queensland </w:t>
      </w:r>
      <w:r w:rsidR="006E593D">
        <w:t>as a whole</w:t>
      </w:r>
      <w:r>
        <w:t xml:space="preserve">. The gap between Bundaberg and Fraser Coast is </w:t>
      </w:r>
      <w:r w:rsidR="00C053C9">
        <w:t xml:space="preserve">also </w:t>
      </w:r>
      <w:r w:rsidR="00026FD0">
        <w:t xml:space="preserve">more visible in this category. </w:t>
      </w:r>
      <w:r w:rsidR="00297ABA">
        <w:t>The a</w:t>
      </w:r>
      <w:r>
        <w:t xml:space="preserve">ttendance rate in </w:t>
      </w:r>
      <w:r w:rsidRPr="00F63A86">
        <w:t xml:space="preserve">Bundaberg </w:t>
      </w:r>
      <w:r>
        <w:t>is higher than the Queensland average</w:t>
      </w:r>
      <w:r w:rsidR="00297ABA">
        <w:t xml:space="preserve"> for special schools</w:t>
      </w:r>
      <w:r>
        <w:t>.</w:t>
      </w:r>
      <w:r w:rsidR="0015000C">
        <w:t xml:space="preserve"> The following </w:t>
      </w:r>
      <w:r w:rsidR="00E868E6">
        <w:t xml:space="preserve">set of </w:t>
      </w:r>
      <w:r w:rsidR="0015000C">
        <w:t>figures highlight the</w:t>
      </w:r>
      <w:r w:rsidR="00026FD0">
        <w:t>se small</w:t>
      </w:r>
      <w:r w:rsidR="0015000C">
        <w:t xml:space="preserve"> differences between each area and the </w:t>
      </w:r>
      <w:r w:rsidR="006E593D">
        <w:t xml:space="preserve">state of Queensland as a whole </w:t>
      </w:r>
      <w:r w:rsidR="00041F2B">
        <w:t>in relation</w:t>
      </w:r>
      <w:r w:rsidR="0015000C">
        <w:t xml:space="preserve"> to secondary schools and special schools. </w:t>
      </w:r>
    </w:p>
    <w:p w14:paraId="28C3AC98" w14:textId="77777777" w:rsidR="006536D5" w:rsidRDefault="006536D5">
      <w:pPr>
        <w:jc w:val="left"/>
        <w:rPr>
          <w:rFonts w:cstheme="minorHAnsi"/>
          <w:b/>
          <w:bCs/>
          <w:caps/>
          <w:sz w:val="20"/>
          <w:szCs w:val="18"/>
        </w:rPr>
      </w:pPr>
      <w:bookmarkStart w:id="112" w:name="_Ref34912594"/>
      <w:r>
        <w:br w:type="page"/>
      </w:r>
    </w:p>
    <w:p w14:paraId="75C11E8E" w14:textId="43611AF8" w:rsidR="00E868E6" w:rsidRDefault="00ED090F" w:rsidP="00ED090F">
      <w:pPr>
        <w:pStyle w:val="Caption"/>
      </w:pPr>
      <w:bookmarkStart w:id="113" w:name="_Ref36653627"/>
      <w:bookmarkStart w:id="114" w:name="_Toc34935504"/>
      <w:bookmarkStart w:id="115" w:name="_Toc37263831"/>
      <w:r>
        <w:lastRenderedPageBreak/>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6B022F">
        <w:noBreakHyphen/>
      </w:r>
      <w:r w:rsidR="006C0554">
        <w:fldChar w:fldCharType="begin"/>
      </w:r>
      <w:r w:rsidR="006C0554">
        <w:instrText xml:space="preserve"> SEQ Figure \* ARABIC \s 1 </w:instrText>
      </w:r>
      <w:r w:rsidR="006C0554">
        <w:fldChar w:fldCharType="separate"/>
      </w:r>
      <w:r w:rsidR="008E2086">
        <w:rPr>
          <w:noProof/>
        </w:rPr>
        <w:t>7</w:t>
      </w:r>
      <w:r w:rsidR="006C0554">
        <w:rPr>
          <w:noProof/>
        </w:rPr>
        <w:fldChar w:fldCharType="end"/>
      </w:r>
      <w:bookmarkEnd w:id="112"/>
      <w:bookmarkEnd w:id="113"/>
      <w:r>
        <w:t xml:space="preserve">: </w:t>
      </w:r>
      <w:r w:rsidR="0068391E">
        <w:t xml:space="preserve">School </w:t>
      </w:r>
      <w:r w:rsidR="00E868E6">
        <w:t xml:space="preserve">attendance rates in Secondary and special schools, 2015 to </w:t>
      </w:r>
      <w:bookmarkEnd w:id="114"/>
      <w:r w:rsidR="00E868E6">
        <w:t>201</w:t>
      </w:r>
      <w:r w:rsidR="00D73A10">
        <w:t>8</w:t>
      </w:r>
      <w:bookmarkEnd w:id="115"/>
    </w:p>
    <w:tbl>
      <w:tblPr>
        <w:tblStyle w:val="TableGrid"/>
        <w:tblW w:w="9588" w:type="dxa"/>
        <w:tblInd w:w="-142"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ayout w:type="fixed"/>
        <w:tblCellMar>
          <w:top w:w="227" w:type="dxa"/>
          <w:left w:w="57" w:type="dxa"/>
          <w:bottom w:w="227" w:type="dxa"/>
          <w:right w:w="57" w:type="dxa"/>
        </w:tblCellMar>
        <w:tblLook w:val="04A0" w:firstRow="1" w:lastRow="0" w:firstColumn="1" w:lastColumn="0" w:noHBand="0" w:noVBand="1"/>
      </w:tblPr>
      <w:tblGrid>
        <w:gridCol w:w="4794"/>
        <w:gridCol w:w="4794"/>
      </w:tblGrid>
      <w:tr w:rsidR="00E868E6" w14:paraId="6AFF88B0" w14:textId="77777777" w:rsidTr="006C0554">
        <w:trPr>
          <w:tblHeader/>
        </w:trPr>
        <w:tc>
          <w:tcPr>
            <w:tcW w:w="4794" w:type="dxa"/>
          </w:tcPr>
          <w:p w14:paraId="0CBE178A" w14:textId="77777777" w:rsidR="00E868E6" w:rsidRDefault="00D35E09" w:rsidP="00E868E6">
            <w:pPr>
              <w:pStyle w:val="ListParagraph"/>
              <w:ind w:left="0"/>
              <w:jc w:val="center"/>
            </w:pPr>
            <w:r w:rsidRPr="00D35E09">
              <w:rPr>
                <w:noProof/>
                <w:lang w:eastAsia="en-AU"/>
              </w:rPr>
              <w:drawing>
                <wp:inline distT="0" distB="0" distL="0" distR="0" wp14:anchorId="1C73CCE8" wp14:editId="7E407C90">
                  <wp:extent cx="2984423" cy="1851025"/>
                  <wp:effectExtent l="0" t="0" r="6985" b="0"/>
                  <wp:docPr id="6" name="Picture 6" descr="Two line graphs showing attendance rates in secondary and special schools respectively. This is the first graph.&#10;Secondary school attendance rates: &#10;Bundaberg: 2015 88.8%, 2016 88.2%, 2017 87.9%, 2018 87.6%&#10;Fraser Coast: 2015 87.5%, 2016 87.9%, 2017 87.8%, 2018 86.7%&#10;BHB: 2015 88.2%, 2016 88.0%, 2017 87.9% 2018 87.2%&#10;Queensland: 2015 89.7%, 2016 89.8%, 2017 89.9%, 2018 89.1%&#10;" title="Figure 2 7: School attendance rates in Secondary and special schools, 2015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2326" cy="1862129"/>
                          </a:xfrm>
                          <a:prstGeom prst="rect">
                            <a:avLst/>
                          </a:prstGeom>
                          <a:noFill/>
                          <a:ln>
                            <a:noFill/>
                          </a:ln>
                        </pic:spPr>
                      </pic:pic>
                    </a:graphicData>
                  </a:graphic>
                </wp:inline>
              </w:drawing>
            </w:r>
          </w:p>
        </w:tc>
        <w:tc>
          <w:tcPr>
            <w:tcW w:w="4794" w:type="dxa"/>
          </w:tcPr>
          <w:p w14:paraId="7399B69D" w14:textId="77777777" w:rsidR="00E868E6" w:rsidRDefault="00D35E09" w:rsidP="00E868E6">
            <w:pPr>
              <w:pStyle w:val="ListParagraph"/>
              <w:ind w:left="0"/>
            </w:pPr>
            <w:r w:rsidRPr="00D35E09">
              <w:rPr>
                <w:noProof/>
                <w:lang w:eastAsia="en-AU"/>
              </w:rPr>
              <w:drawing>
                <wp:inline distT="0" distB="0" distL="0" distR="0" wp14:anchorId="0EF57286" wp14:editId="41C465D1">
                  <wp:extent cx="2894428" cy="1851025"/>
                  <wp:effectExtent l="0" t="0" r="1270" b="0"/>
                  <wp:docPr id="9" name="Picture 9" descr="Two line graphs showing attendance rates in secondary and special schools respectively. This is the second graph.&#10;Special school attendance rates: &#10;Bundaberg: 2015 90.4%, 2016 90.8%, 2017 90.3%, 2018 87.8%&#10;Fraser Coast: 2015 85.7%, 2016 85.3%, 2017 87.0%, 2018 86.4%&#10;BHB: 2015 87.5%, 2016 87.3%, 2017 88.2%, 2018 86.9%&#10;Queensland: 2015 88.7%, 2016 88.6%, 2017 87.8%, 2018 86.7%&#10;" title="Figure 2 7: School attendance rates in Secondary and special schools, 2015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4635" cy="1857553"/>
                          </a:xfrm>
                          <a:prstGeom prst="rect">
                            <a:avLst/>
                          </a:prstGeom>
                          <a:noFill/>
                          <a:ln>
                            <a:noFill/>
                          </a:ln>
                        </pic:spPr>
                      </pic:pic>
                    </a:graphicData>
                  </a:graphic>
                </wp:inline>
              </w:drawing>
            </w:r>
          </w:p>
        </w:tc>
      </w:tr>
    </w:tbl>
    <w:p w14:paraId="682BB841" w14:textId="77777777" w:rsidR="009F61E2" w:rsidRDefault="00D35E09" w:rsidP="00AC75E3">
      <w:pPr>
        <w:pStyle w:val="ListParagraph"/>
        <w:ind w:left="0"/>
        <w:jc w:val="left"/>
      </w:pPr>
      <w:r>
        <w:rPr>
          <w:i/>
          <w:sz w:val="18"/>
          <w:szCs w:val="18"/>
        </w:rPr>
        <w:t>Note: BHB refers to Bundaberg and Fraser Coast added together, which</w:t>
      </w:r>
      <w:r w:rsidRPr="00463DC7">
        <w:rPr>
          <w:i/>
          <w:sz w:val="18"/>
          <w:szCs w:val="18"/>
        </w:rPr>
        <w:t xml:space="preserve"> is identified using the LGA information</w:t>
      </w:r>
    </w:p>
    <w:p w14:paraId="70487A3D" w14:textId="463CDCAA" w:rsidR="00026FD0" w:rsidRDefault="00026FD0">
      <w:r>
        <w:t xml:space="preserve">We conclude from </w:t>
      </w:r>
      <w:r w:rsidR="003A566F">
        <w:fldChar w:fldCharType="begin"/>
      </w:r>
      <w:r w:rsidR="003A566F">
        <w:instrText xml:space="preserve"> REF _Ref34905108 \h </w:instrText>
      </w:r>
      <w:r w:rsidR="003A566F">
        <w:fldChar w:fldCharType="separate"/>
      </w:r>
      <w:r w:rsidR="008E2086">
        <w:t xml:space="preserve">Table </w:t>
      </w:r>
      <w:r w:rsidR="008E2086">
        <w:rPr>
          <w:noProof/>
        </w:rPr>
        <w:t>2</w:t>
      </w:r>
      <w:r w:rsidR="008E2086">
        <w:noBreakHyphen/>
      </w:r>
      <w:r w:rsidR="008E2086">
        <w:rPr>
          <w:noProof/>
        </w:rPr>
        <w:t>17</w:t>
      </w:r>
      <w:r w:rsidR="003A566F">
        <w:fldChar w:fldCharType="end"/>
      </w:r>
      <w:r>
        <w:t xml:space="preserve"> and </w:t>
      </w:r>
      <w:r w:rsidR="003A566F">
        <w:fldChar w:fldCharType="begin"/>
      </w:r>
      <w:r w:rsidR="003A566F">
        <w:instrText xml:space="preserve"> REF _Ref36653627 \h </w:instrText>
      </w:r>
      <w:r w:rsidR="003A566F">
        <w:fldChar w:fldCharType="separate"/>
      </w:r>
      <w:r w:rsidR="008E2086">
        <w:t xml:space="preserve">Figure </w:t>
      </w:r>
      <w:r w:rsidR="008E2086">
        <w:rPr>
          <w:noProof/>
        </w:rPr>
        <w:t>2</w:t>
      </w:r>
      <w:r w:rsidR="008E2086">
        <w:noBreakHyphen/>
      </w:r>
      <w:r w:rsidR="008E2086">
        <w:rPr>
          <w:noProof/>
        </w:rPr>
        <w:t>7</w:t>
      </w:r>
      <w:r w:rsidR="003A566F">
        <w:fldChar w:fldCharType="end"/>
      </w:r>
      <w:r>
        <w:t xml:space="preserve"> that attendance rates in schools </w:t>
      </w:r>
      <w:r w:rsidR="006703BA">
        <w:t xml:space="preserve">in </w:t>
      </w:r>
      <w:r w:rsidR="00B73A44">
        <w:t xml:space="preserve">Bundaberg and Hervey Bay </w:t>
      </w:r>
      <w:r w:rsidR="006703BA">
        <w:t xml:space="preserve">have been </w:t>
      </w:r>
      <w:r>
        <w:t xml:space="preserve">stable over time and show minimal differences </w:t>
      </w:r>
      <w:r w:rsidR="00B73A44">
        <w:t>when compared with those in</w:t>
      </w:r>
      <w:r>
        <w:t xml:space="preserve"> the </w:t>
      </w:r>
      <w:r w:rsidR="00B73A44">
        <w:t>state of Queensland as a whole.</w:t>
      </w:r>
    </w:p>
    <w:p w14:paraId="27867431" w14:textId="77777777" w:rsidR="00730093" w:rsidRPr="00730093" w:rsidRDefault="00730093">
      <w:r>
        <w:t xml:space="preserve">Next, we use </w:t>
      </w:r>
      <w:r w:rsidR="005D761E">
        <w:t>the</w:t>
      </w:r>
      <w:r w:rsidR="00AC75E3">
        <w:t xml:space="preserve"> NCVER</w:t>
      </w:r>
      <w:r w:rsidR="005D761E">
        <w:t xml:space="preserve"> ‘t</w:t>
      </w:r>
      <w:r w:rsidRPr="00FB339C">
        <w:t>otal VET activity (TVA)</w:t>
      </w:r>
      <w:r>
        <w:t xml:space="preserve"> 2016</w:t>
      </w:r>
      <w:r w:rsidRPr="00FB339C">
        <w:t xml:space="preserve">’ </w:t>
      </w:r>
      <w:r>
        <w:t xml:space="preserve">database </w:t>
      </w:r>
      <w:r w:rsidRPr="00FB339C">
        <w:t xml:space="preserve">from the National VET </w:t>
      </w:r>
      <w:r>
        <w:t>Provider Collection to compare VET enrolment and completion statistics between</w:t>
      </w:r>
      <w:r w:rsidRPr="00FB339C">
        <w:t xml:space="preserve"> </w:t>
      </w:r>
      <w:r>
        <w:t xml:space="preserve">the population in the </w:t>
      </w:r>
      <w:r w:rsidR="00FE7B5B">
        <w:t>Bundaberg and Hervey Bay</w:t>
      </w:r>
      <w:r>
        <w:t xml:space="preserve"> area and the state </w:t>
      </w:r>
      <w:r w:rsidR="00B73A44">
        <w:t xml:space="preserve">of Queensland as a whole </w:t>
      </w:r>
      <w:r>
        <w:t xml:space="preserve">and </w:t>
      </w:r>
      <w:r w:rsidR="00B73A44">
        <w:t>Australia.</w:t>
      </w:r>
      <w:r>
        <w:t xml:space="preserve"> </w:t>
      </w:r>
      <w:r w:rsidRPr="00730093">
        <w:t>The N</w:t>
      </w:r>
      <w:r>
        <w:t>ational VET Provider Collection collects data on VET</w:t>
      </w:r>
      <w:r w:rsidRPr="00730093">
        <w:t xml:space="preserve"> delivered b</w:t>
      </w:r>
      <w:r>
        <w:t>y Australian training providers</w:t>
      </w:r>
      <w:r w:rsidRPr="00730093">
        <w:t xml:space="preserve"> to a nationally agreed standard.</w:t>
      </w:r>
      <w:r>
        <w:t xml:space="preserve"> </w:t>
      </w:r>
      <w:r w:rsidRPr="00730093">
        <w:t>It provides information on the number of students and full</w:t>
      </w:r>
      <w:r w:rsidR="00B73A44">
        <w:t>-</w:t>
      </w:r>
      <w:r w:rsidRPr="00730093">
        <w:t>year training equivalent participation rates, program and subject enrolments, program completions and training providers.</w:t>
      </w:r>
      <w:r>
        <w:t xml:space="preserve"> </w:t>
      </w:r>
      <w:r w:rsidRPr="00730093">
        <w:t>The collection, which dates back to 1994, has historically reported on</w:t>
      </w:r>
      <w:r w:rsidR="00B73A44">
        <w:t xml:space="preserve"> </w:t>
      </w:r>
      <w:r w:rsidRPr="005D761E">
        <w:rPr>
          <w:bCs/>
        </w:rPr>
        <w:t>government-funded VET</w:t>
      </w:r>
      <w:r>
        <w:t>.</w:t>
      </w:r>
      <w:r w:rsidRPr="00730093">
        <w:t xml:space="preserve"> </w:t>
      </w:r>
      <w:r>
        <w:t xml:space="preserve">In </w:t>
      </w:r>
      <w:r w:rsidRPr="00730093">
        <w:t>2014, the scope of the collection was expanded to include</w:t>
      </w:r>
      <w:r w:rsidR="00B73A44">
        <w:t xml:space="preserve"> </w:t>
      </w:r>
      <w:r>
        <w:t>‘</w:t>
      </w:r>
      <w:r w:rsidR="005D761E">
        <w:rPr>
          <w:bCs/>
        </w:rPr>
        <w:t>t</w:t>
      </w:r>
      <w:r w:rsidRPr="005D761E">
        <w:rPr>
          <w:bCs/>
        </w:rPr>
        <w:t>otal VET activity</w:t>
      </w:r>
      <w:r>
        <w:rPr>
          <w:bCs/>
        </w:rPr>
        <w:t>’</w:t>
      </w:r>
      <w:r w:rsidRPr="00730093">
        <w:t xml:space="preserve">. This collection </w:t>
      </w:r>
      <w:r w:rsidR="00B73A44">
        <w:t xml:space="preserve">now </w:t>
      </w:r>
      <w:r w:rsidRPr="00730093">
        <w:t>covers all onshore and offshore nationally recognised VET activity delivered by Australian registered training organisations (RTOs) and reports on students who undertook VET on a government funded or fee-for-</w:t>
      </w:r>
      <w:r>
        <w:t>service basis.</w:t>
      </w:r>
      <w:r w:rsidR="008A24D9">
        <w:rPr>
          <w:rStyle w:val="FootnoteReference"/>
        </w:rPr>
        <w:footnoteReference w:id="19"/>
      </w:r>
    </w:p>
    <w:p w14:paraId="6C24435B" w14:textId="60E7DC2E" w:rsidR="004215DA" w:rsidRDefault="00E868E6" w:rsidP="00E868E6">
      <w:pPr>
        <w:pStyle w:val="ListParagraph"/>
        <w:ind w:left="0"/>
      </w:pPr>
      <w:r>
        <w:t>The following table (</w:t>
      </w:r>
      <w:r w:rsidR="005F78E4">
        <w:fldChar w:fldCharType="begin"/>
      </w:r>
      <w:r w:rsidR="005F78E4">
        <w:instrText xml:space="preserve"> REF _Ref37264740 \h </w:instrText>
      </w:r>
      <w:r w:rsidR="005F78E4">
        <w:fldChar w:fldCharType="separate"/>
      </w:r>
      <w:r w:rsidR="008E2086">
        <w:t xml:space="preserve">Table </w:t>
      </w:r>
      <w:r w:rsidR="008E2086">
        <w:rPr>
          <w:noProof/>
        </w:rPr>
        <w:t>2</w:t>
      </w:r>
      <w:r w:rsidR="008E2086">
        <w:noBreakHyphen/>
      </w:r>
      <w:r w:rsidR="008E2086">
        <w:rPr>
          <w:noProof/>
        </w:rPr>
        <w:t>18</w:t>
      </w:r>
      <w:r w:rsidR="005F78E4">
        <w:fldChar w:fldCharType="end"/>
      </w:r>
      <w:r>
        <w:t>) displays information on enrolments and completion</w:t>
      </w:r>
      <w:r w:rsidR="00686EDF">
        <w:t>s</w:t>
      </w:r>
      <w:r>
        <w:t xml:space="preserve"> in </w:t>
      </w:r>
      <w:r w:rsidR="00686EDF">
        <w:t>VET</w:t>
      </w:r>
      <w:r w:rsidR="000B00BB">
        <w:t xml:space="preserve"> in 2016</w:t>
      </w:r>
      <w:r>
        <w:t>.</w:t>
      </w:r>
      <w:r w:rsidR="00E800A2">
        <w:t xml:space="preserve"> The proportion of individuals enrolling in VET in the </w:t>
      </w:r>
      <w:r w:rsidR="00FA3401">
        <w:t xml:space="preserve">Bundaberg and Hervey Bay region </w:t>
      </w:r>
      <w:r w:rsidR="00E800A2">
        <w:t xml:space="preserve">is slightly larger than the proportions observed in the </w:t>
      </w:r>
      <w:r w:rsidR="00686EDF">
        <w:t>state of Queensland as a whole and Australia</w:t>
      </w:r>
      <w:r w:rsidR="00E800A2">
        <w:t xml:space="preserve">. </w:t>
      </w:r>
      <w:r w:rsidR="00041F2B">
        <w:t>In relation</w:t>
      </w:r>
      <w:r w:rsidR="00E800A2">
        <w:t xml:space="preserve"> to completions </w:t>
      </w:r>
      <w:r w:rsidR="00EF54ED">
        <w:t>(</w:t>
      </w:r>
      <w:r w:rsidR="00E800A2">
        <w:t>expressed as a percentage of the total enrolments</w:t>
      </w:r>
      <w:r w:rsidR="00EF54ED">
        <w:t>)</w:t>
      </w:r>
      <w:r w:rsidR="00E800A2">
        <w:t xml:space="preserve">, we see that completion rates are similar </w:t>
      </w:r>
      <w:r w:rsidR="00EF54ED">
        <w:t>(at</w:t>
      </w:r>
      <w:r w:rsidR="00E800A2">
        <w:t xml:space="preserve"> around 30</w:t>
      </w:r>
      <w:r w:rsidR="00A05380">
        <w:t xml:space="preserve"> per cent </w:t>
      </w:r>
      <w:r w:rsidR="00E800A2">
        <w:t>of the total enrolments</w:t>
      </w:r>
      <w:r w:rsidR="00EF54ED">
        <w:t>) between</w:t>
      </w:r>
      <w:r w:rsidR="00DD43FE">
        <w:t xml:space="preserve"> the</w:t>
      </w:r>
      <w:r w:rsidR="00EF54ED">
        <w:t xml:space="preserve"> </w:t>
      </w:r>
      <w:r w:rsidR="00A00925">
        <w:t>Bundaberg and Hervey Bay region</w:t>
      </w:r>
      <w:r w:rsidR="00EF54ED">
        <w:t>, the state of Queensland as a whole and Australia</w:t>
      </w:r>
      <w:r w:rsidR="00E800A2">
        <w:t>.</w:t>
      </w:r>
    </w:p>
    <w:p w14:paraId="4638E5CE" w14:textId="77777777" w:rsidR="00F61B93" w:rsidRDefault="00F61B93">
      <w:pPr>
        <w:jc w:val="left"/>
        <w:rPr>
          <w:rFonts w:cstheme="minorHAnsi"/>
          <w:b/>
          <w:bCs/>
          <w:caps/>
          <w:sz w:val="20"/>
          <w:szCs w:val="18"/>
        </w:rPr>
      </w:pPr>
      <w:bookmarkStart w:id="116" w:name="_Ref34908230"/>
      <w:bookmarkStart w:id="117" w:name="_Toc34935546"/>
      <w:r>
        <w:br w:type="page"/>
      </w:r>
    </w:p>
    <w:p w14:paraId="0FD4F179" w14:textId="58804877" w:rsidR="004215DA" w:rsidRPr="005F3FE7" w:rsidRDefault="000851DE" w:rsidP="00E567F5">
      <w:pPr>
        <w:pStyle w:val="Caption"/>
      </w:pPr>
      <w:bookmarkStart w:id="118" w:name="_Ref37264740"/>
      <w:bookmarkStart w:id="119" w:name="_Toc37263581"/>
      <w:r>
        <w:lastRenderedPageBreak/>
        <w:t>Table</w:t>
      </w:r>
      <w:r w:rsidR="00E567F5">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18</w:t>
      </w:r>
      <w:r w:rsidR="006C0554">
        <w:rPr>
          <w:noProof/>
        </w:rPr>
        <w:fldChar w:fldCharType="end"/>
      </w:r>
      <w:bookmarkEnd w:id="116"/>
      <w:bookmarkEnd w:id="118"/>
      <w:r w:rsidR="00E567F5">
        <w:t xml:space="preserve">: </w:t>
      </w:r>
      <w:r w:rsidR="00AB1B16">
        <w:t xml:space="preserve">Number of </w:t>
      </w:r>
      <w:r w:rsidR="004215DA" w:rsidRPr="005F3FE7">
        <w:t>VET enrolment</w:t>
      </w:r>
      <w:r w:rsidR="009630C1">
        <w:t>s</w:t>
      </w:r>
      <w:r w:rsidR="004215DA">
        <w:t xml:space="preserve"> and completion</w:t>
      </w:r>
      <w:r w:rsidR="00923328">
        <w:t>s</w:t>
      </w:r>
      <w:r w:rsidR="00AB1B16">
        <w:t xml:space="preserve"> and proportion of the total population</w:t>
      </w:r>
      <w:r w:rsidR="004215DA" w:rsidRPr="005F3FE7">
        <w:t xml:space="preserve"> in 2016</w:t>
      </w:r>
      <w:bookmarkEnd w:id="117"/>
      <w:bookmarkEnd w:id="119"/>
    </w:p>
    <w:tbl>
      <w:tblPr>
        <w:tblStyle w:val="ListTable3-Accent1"/>
        <w:tblW w:w="5000" w:type="pct"/>
        <w:tblLook w:val="04A0" w:firstRow="1" w:lastRow="0" w:firstColumn="1" w:lastColumn="0" w:noHBand="0" w:noVBand="1"/>
      </w:tblPr>
      <w:tblGrid>
        <w:gridCol w:w="5566"/>
        <w:gridCol w:w="880"/>
        <w:gridCol w:w="1394"/>
        <w:gridCol w:w="1176"/>
      </w:tblGrid>
      <w:tr w:rsidR="004215DA" w:rsidRPr="003542F0" w14:paraId="797DCE31" w14:textId="77777777" w:rsidTr="006C055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pct"/>
            <w:shd w:val="clear" w:color="auto" w:fill="2F5496" w:themeFill="accent5" w:themeFillShade="BF"/>
            <w:noWrap/>
            <w:hideMark/>
          </w:tcPr>
          <w:p w14:paraId="77405611" w14:textId="77777777" w:rsidR="004215DA" w:rsidRPr="003542F0" w:rsidRDefault="004215DA" w:rsidP="0079482A"/>
        </w:tc>
        <w:tc>
          <w:tcPr>
            <w:tcW w:w="0" w:type="pct"/>
            <w:shd w:val="clear" w:color="auto" w:fill="2F5496" w:themeFill="accent5" w:themeFillShade="BF"/>
            <w:noWrap/>
            <w:vAlign w:val="center"/>
            <w:hideMark/>
          </w:tcPr>
          <w:p w14:paraId="7A32C355" w14:textId="77777777" w:rsidR="004215DA" w:rsidRPr="003542F0" w:rsidRDefault="00950040" w:rsidP="000613C9">
            <w:pPr>
              <w:jc w:val="center"/>
              <w:cnfStyle w:val="100000000000" w:firstRow="1" w:lastRow="0" w:firstColumn="0" w:lastColumn="0" w:oddVBand="0" w:evenVBand="0" w:oddHBand="0" w:evenHBand="0" w:firstRowFirstColumn="0" w:firstRowLastColumn="0" w:lastRowFirstColumn="0" w:lastRowLastColumn="0"/>
            </w:pPr>
            <w:r w:rsidRPr="003542F0">
              <w:t>BHB</w:t>
            </w:r>
          </w:p>
        </w:tc>
        <w:tc>
          <w:tcPr>
            <w:tcW w:w="0" w:type="pct"/>
            <w:shd w:val="clear" w:color="auto" w:fill="2F5496" w:themeFill="accent5" w:themeFillShade="BF"/>
            <w:noWrap/>
            <w:vAlign w:val="center"/>
            <w:hideMark/>
          </w:tcPr>
          <w:p w14:paraId="087C8925"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pct"/>
            <w:shd w:val="clear" w:color="auto" w:fill="2F5496" w:themeFill="accent5" w:themeFillShade="BF"/>
            <w:noWrap/>
            <w:vAlign w:val="center"/>
            <w:hideMark/>
          </w:tcPr>
          <w:p w14:paraId="2CA60E42"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14D0FF88" w14:textId="77777777" w:rsidTr="00F61B9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87" w:type="pct"/>
            <w:hideMark/>
          </w:tcPr>
          <w:p w14:paraId="6A5C344B" w14:textId="77777777" w:rsidR="004215DA" w:rsidRPr="005F3FE7" w:rsidRDefault="004215DA" w:rsidP="0079482A">
            <w:r w:rsidRPr="005F3FE7">
              <w:t>No. of program enrolments</w:t>
            </w:r>
          </w:p>
        </w:tc>
        <w:tc>
          <w:tcPr>
            <w:tcW w:w="488" w:type="pct"/>
            <w:noWrap/>
            <w:vAlign w:val="center"/>
            <w:hideMark/>
          </w:tcPr>
          <w:p w14:paraId="6E4F233F" w14:textId="77777777" w:rsidR="004215DA" w:rsidRPr="00E800A2" w:rsidRDefault="004215DA" w:rsidP="00E800A2">
            <w:pPr>
              <w:jc w:val="right"/>
              <w:cnfStyle w:val="000000100000" w:firstRow="0" w:lastRow="0" w:firstColumn="0" w:lastColumn="0" w:oddVBand="0" w:evenVBand="0" w:oddHBand="1" w:evenHBand="0" w:firstRowFirstColumn="0" w:firstRowLastColumn="0" w:lastRowFirstColumn="0" w:lastRowLastColumn="0"/>
            </w:pPr>
            <w:r w:rsidRPr="00E800A2">
              <w:t>21,264</w:t>
            </w:r>
          </w:p>
        </w:tc>
        <w:tc>
          <w:tcPr>
            <w:tcW w:w="773" w:type="pct"/>
            <w:noWrap/>
            <w:vAlign w:val="center"/>
            <w:hideMark/>
          </w:tcPr>
          <w:p w14:paraId="6D080758" w14:textId="77777777" w:rsidR="004215DA" w:rsidRPr="00E800A2" w:rsidRDefault="004215DA" w:rsidP="00E800A2">
            <w:pPr>
              <w:jc w:val="right"/>
              <w:cnfStyle w:val="000000100000" w:firstRow="0" w:lastRow="0" w:firstColumn="0" w:lastColumn="0" w:oddVBand="0" w:evenVBand="0" w:oddHBand="1" w:evenHBand="0" w:firstRowFirstColumn="0" w:firstRowLastColumn="0" w:lastRowFirstColumn="0" w:lastRowLastColumn="0"/>
            </w:pPr>
            <w:r w:rsidRPr="00E800A2">
              <w:t>735,104</w:t>
            </w:r>
          </w:p>
        </w:tc>
        <w:tc>
          <w:tcPr>
            <w:tcW w:w="652" w:type="pct"/>
            <w:noWrap/>
            <w:vAlign w:val="center"/>
            <w:hideMark/>
          </w:tcPr>
          <w:p w14:paraId="680EA4B1" w14:textId="77777777" w:rsidR="004215DA" w:rsidRPr="00E800A2" w:rsidRDefault="004215DA" w:rsidP="00E800A2">
            <w:pPr>
              <w:jc w:val="right"/>
              <w:cnfStyle w:val="000000100000" w:firstRow="0" w:lastRow="0" w:firstColumn="0" w:lastColumn="0" w:oddVBand="0" w:evenVBand="0" w:oddHBand="1" w:evenHBand="0" w:firstRowFirstColumn="0" w:firstRowLastColumn="0" w:lastRowFirstColumn="0" w:lastRowLastColumn="0"/>
            </w:pPr>
            <w:r w:rsidRPr="00E800A2">
              <w:t>3,016,958</w:t>
            </w:r>
          </w:p>
        </w:tc>
      </w:tr>
      <w:tr w:rsidR="004215DA" w:rsidRPr="005F3FE7" w14:paraId="2748241D" w14:textId="77777777" w:rsidTr="00F61B93">
        <w:trPr>
          <w:trHeight w:val="255"/>
        </w:trPr>
        <w:tc>
          <w:tcPr>
            <w:cnfStyle w:val="001000000000" w:firstRow="0" w:lastRow="0" w:firstColumn="1" w:lastColumn="0" w:oddVBand="0" w:evenVBand="0" w:oddHBand="0" w:evenHBand="0" w:firstRowFirstColumn="0" w:firstRowLastColumn="0" w:lastRowFirstColumn="0" w:lastRowLastColumn="0"/>
            <w:tcW w:w="3087" w:type="pct"/>
          </w:tcPr>
          <w:p w14:paraId="30E7C718" w14:textId="77777777" w:rsidR="004215DA" w:rsidRPr="005F3FE7" w:rsidRDefault="004215DA" w:rsidP="0079482A">
            <w:r w:rsidRPr="005F3FE7">
              <w:t>Proportion of the total population</w:t>
            </w:r>
          </w:p>
        </w:tc>
        <w:tc>
          <w:tcPr>
            <w:tcW w:w="488" w:type="pct"/>
            <w:noWrap/>
            <w:vAlign w:val="center"/>
          </w:tcPr>
          <w:p w14:paraId="46CDB085" w14:textId="77777777" w:rsidR="004215DA" w:rsidRPr="00E800A2" w:rsidRDefault="004215DA" w:rsidP="00E800A2">
            <w:pPr>
              <w:jc w:val="right"/>
              <w:cnfStyle w:val="000000000000" w:firstRow="0" w:lastRow="0" w:firstColumn="0" w:lastColumn="0" w:oddVBand="0" w:evenVBand="0" w:oddHBand="0" w:evenHBand="0" w:firstRowFirstColumn="0" w:firstRowLastColumn="0" w:lastRowFirstColumn="0" w:lastRowLastColumn="0"/>
            </w:pPr>
            <w:r w:rsidRPr="00E800A2">
              <w:t>14.7%</w:t>
            </w:r>
          </w:p>
        </w:tc>
        <w:tc>
          <w:tcPr>
            <w:tcW w:w="773" w:type="pct"/>
            <w:noWrap/>
            <w:vAlign w:val="center"/>
          </w:tcPr>
          <w:p w14:paraId="5BF9BF1F" w14:textId="77777777" w:rsidR="004215DA" w:rsidRPr="00E800A2" w:rsidRDefault="004215DA" w:rsidP="00E800A2">
            <w:pPr>
              <w:jc w:val="right"/>
              <w:cnfStyle w:val="000000000000" w:firstRow="0" w:lastRow="0" w:firstColumn="0" w:lastColumn="0" w:oddVBand="0" w:evenVBand="0" w:oddHBand="0" w:evenHBand="0" w:firstRowFirstColumn="0" w:firstRowLastColumn="0" w:lastRowFirstColumn="0" w:lastRowLastColumn="0"/>
            </w:pPr>
            <w:r w:rsidRPr="00E800A2">
              <w:t>15.6%</w:t>
            </w:r>
          </w:p>
        </w:tc>
        <w:tc>
          <w:tcPr>
            <w:tcW w:w="652" w:type="pct"/>
            <w:noWrap/>
            <w:vAlign w:val="center"/>
          </w:tcPr>
          <w:p w14:paraId="1725FC2E" w14:textId="77777777" w:rsidR="004215DA" w:rsidRPr="00E800A2" w:rsidRDefault="004215DA" w:rsidP="00E800A2">
            <w:pPr>
              <w:jc w:val="right"/>
              <w:cnfStyle w:val="000000000000" w:firstRow="0" w:lastRow="0" w:firstColumn="0" w:lastColumn="0" w:oddVBand="0" w:evenVBand="0" w:oddHBand="0" w:evenHBand="0" w:firstRowFirstColumn="0" w:firstRowLastColumn="0" w:lastRowFirstColumn="0" w:lastRowLastColumn="0"/>
            </w:pPr>
            <w:r w:rsidRPr="00E800A2">
              <w:t>12.9%</w:t>
            </w:r>
          </w:p>
        </w:tc>
      </w:tr>
      <w:tr w:rsidR="004215DA" w:rsidRPr="005F3FE7" w14:paraId="35F55268" w14:textId="77777777" w:rsidTr="00F61B9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87" w:type="pct"/>
          </w:tcPr>
          <w:p w14:paraId="159E373E" w14:textId="77777777" w:rsidR="004215DA" w:rsidRPr="005F3FE7" w:rsidRDefault="004215DA" w:rsidP="0079482A">
            <w:r w:rsidRPr="005F3FE7">
              <w:t>No. of program completions</w:t>
            </w:r>
          </w:p>
        </w:tc>
        <w:tc>
          <w:tcPr>
            <w:tcW w:w="488" w:type="pct"/>
            <w:noWrap/>
            <w:vAlign w:val="center"/>
          </w:tcPr>
          <w:p w14:paraId="71B9FCAB" w14:textId="77777777" w:rsidR="004215DA" w:rsidRPr="00E800A2" w:rsidRDefault="004215DA" w:rsidP="00E800A2">
            <w:pPr>
              <w:jc w:val="right"/>
              <w:cnfStyle w:val="000000100000" w:firstRow="0" w:lastRow="0" w:firstColumn="0" w:lastColumn="0" w:oddVBand="0" w:evenVBand="0" w:oddHBand="1" w:evenHBand="0" w:firstRowFirstColumn="0" w:firstRowLastColumn="0" w:lastRowFirstColumn="0" w:lastRowLastColumn="0"/>
            </w:pPr>
            <w:r w:rsidRPr="00E800A2">
              <w:t>6,904</w:t>
            </w:r>
          </w:p>
        </w:tc>
        <w:tc>
          <w:tcPr>
            <w:tcW w:w="773" w:type="pct"/>
            <w:noWrap/>
            <w:vAlign w:val="center"/>
          </w:tcPr>
          <w:p w14:paraId="071F2057" w14:textId="77777777" w:rsidR="004215DA" w:rsidRPr="00E800A2" w:rsidRDefault="004215DA" w:rsidP="00E800A2">
            <w:pPr>
              <w:jc w:val="right"/>
              <w:cnfStyle w:val="000000100000" w:firstRow="0" w:lastRow="0" w:firstColumn="0" w:lastColumn="0" w:oddVBand="0" w:evenVBand="0" w:oddHBand="1" w:evenHBand="0" w:firstRowFirstColumn="0" w:firstRowLastColumn="0" w:lastRowFirstColumn="0" w:lastRowLastColumn="0"/>
            </w:pPr>
            <w:r w:rsidRPr="00E800A2">
              <w:t>240,902</w:t>
            </w:r>
          </w:p>
        </w:tc>
        <w:tc>
          <w:tcPr>
            <w:tcW w:w="652" w:type="pct"/>
            <w:noWrap/>
            <w:vAlign w:val="center"/>
          </w:tcPr>
          <w:p w14:paraId="50285297" w14:textId="77777777" w:rsidR="004215DA" w:rsidRPr="00E800A2" w:rsidRDefault="004215DA" w:rsidP="00E800A2">
            <w:pPr>
              <w:jc w:val="right"/>
              <w:cnfStyle w:val="000000100000" w:firstRow="0" w:lastRow="0" w:firstColumn="0" w:lastColumn="0" w:oddVBand="0" w:evenVBand="0" w:oddHBand="1" w:evenHBand="0" w:firstRowFirstColumn="0" w:firstRowLastColumn="0" w:lastRowFirstColumn="0" w:lastRowLastColumn="0"/>
            </w:pPr>
            <w:r w:rsidRPr="00E800A2">
              <w:t>918,160</w:t>
            </w:r>
          </w:p>
        </w:tc>
      </w:tr>
      <w:tr w:rsidR="004215DA" w:rsidRPr="005F3FE7" w14:paraId="13F519AD" w14:textId="77777777" w:rsidTr="00F61B93">
        <w:trPr>
          <w:trHeight w:val="255"/>
        </w:trPr>
        <w:tc>
          <w:tcPr>
            <w:cnfStyle w:val="001000000000" w:firstRow="0" w:lastRow="0" w:firstColumn="1" w:lastColumn="0" w:oddVBand="0" w:evenVBand="0" w:oddHBand="0" w:evenHBand="0" w:firstRowFirstColumn="0" w:firstRowLastColumn="0" w:lastRowFirstColumn="0" w:lastRowLastColumn="0"/>
            <w:tcW w:w="3087" w:type="pct"/>
          </w:tcPr>
          <w:p w14:paraId="1F673AAC" w14:textId="77777777" w:rsidR="004215DA" w:rsidRPr="005F3FE7" w:rsidRDefault="004215DA" w:rsidP="0079482A">
            <w:r w:rsidRPr="005F3FE7">
              <w:t>Proportion of the total population</w:t>
            </w:r>
          </w:p>
        </w:tc>
        <w:tc>
          <w:tcPr>
            <w:tcW w:w="488" w:type="pct"/>
            <w:noWrap/>
            <w:vAlign w:val="center"/>
          </w:tcPr>
          <w:p w14:paraId="5642989F" w14:textId="77777777" w:rsidR="004215DA" w:rsidRPr="00E800A2" w:rsidRDefault="004215DA" w:rsidP="00E800A2">
            <w:pPr>
              <w:jc w:val="right"/>
              <w:cnfStyle w:val="000000000000" w:firstRow="0" w:lastRow="0" w:firstColumn="0" w:lastColumn="0" w:oddVBand="0" w:evenVBand="0" w:oddHBand="0" w:evenHBand="0" w:firstRowFirstColumn="0" w:firstRowLastColumn="0" w:lastRowFirstColumn="0" w:lastRowLastColumn="0"/>
            </w:pPr>
            <w:r w:rsidRPr="00E800A2">
              <w:t>4.8%</w:t>
            </w:r>
          </w:p>
        </w:tc>
        <w:tc>
          <w:tcPr>
            <w:tcW w:w="773" w:type="pct"/>
            <w:noWrap/>
            <w:vAlign w:val="center"/>
          </w:tcPr>
          <w:p w14:paraId="53E5F82F" w14:textId="77777777" w:rsidR="004215DA" w:rsidRPr="00E800A2" w:rsidRDefault="004215DA" w:rsidP="00E800A2">
            <w:pPr>
              <w:jc w:val="right"/>
              <w:cnfStyle w:val="000000000000" w:firstRow="0" w:lastRow="0" w:firstColumn="0" w:lastColumn="0" w:oddVBand="0" w:evenVBand="0" w:oddHBand="0" w:evenHBand="0" w:firstRowFirstColumn="0" w:firstRowLastColumn="0" w:lastRowFirstColumn="0" w:lastRowLastColumn="0"/>
            </w:pPr>
            <w:r w:rsidRPr="00E800A2">
              <w:t>5.1%</w:t>
            </w:r>
          </w:p>
        </w:tc>
        <w:tc>
          <w:tcPr>
            <w:tcW w:w="652" w:type="pct"/>
            <w:noWrap/>
            <w:vAlign w:val="center"/>
          </w:tcPr>
          <w:p w14:paraId="386EF68C" w14:textId="77777777" w:rsidR="004215DA" w:rsidRPr="00E800A2" w:rsidRDefault="004215DA" w:rsidP="00E800A2">
            <w:pPr>
              <w:jc w:val="right"/>
              <w:cnfStyle w:val="000000000000" w:firstRow="0" w:lastRow="0" w:firstColumn="0" w:lastColumn="0" w:oddVBand="0" w:evenVBand="0" w:oddHBand="0" w:evenHBand="0" w:firstRowFirstColumn="0" w:firstRowLastColumn="0" w:lastRowFirstColumn="0" w:lastRowLastColumn="0"/>
            </w:pPr>
            <w:r w:rsidRPr="00E800A2">
              <w:t>3.9%</w:t>
            </w:r>
          </w:p>
        </w:tc>
      </w:tr>
      <w:tr w:rsidR="00E800A2" w:rsidRPr="005F3FE7" w14:paraId="5BDBCDB5" w14:textId="77777777" w:rsidTr="00F61B9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87" w:type="pct"/>
          </w:tcPr>
          <w:p w14:paraId="3CE6B9E5" w14:textId="77777777" w:rsidR="00E800A2" w:rsidRPr="005F3FE7" w:rsidRDefault="00E800A2" w:rsidP="00E800A2">
            <w:pPr>
              <w:jc w:val="left"/>
            </w:pPr>
            <w:r>
              <w:t>Proportion of completions as per</w:t>
            </w:r>
            <w:r w:rsidR="00880F57">
              <w:t xml:space="preserve"> </w:t>
            </w:r>
            <w:r>
              <w:t>cent of enrolments</w:t>
            </w:r>
          </w:p>
        </w:tc>
        <w:tc>
          <w:tcPr>
            <w:tcW w:w="488" w:type="pct"/>
            <w:noWrap/>
            <w:vAlign w:val="center"/>
          </w:tcPr>
          <w:p w14:paraId="7A765AEF" w14:textId="77777777" w:rsidR="00E800A2" w:rsidRPr="00E800A2" w:rsidRDefault="00E800A2" w:rsidP="00E800A2">
            <w:pPr>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32%</w:t>
            </w:r>
          </w:p>
        </w:tc>
        <w:tc>
          <w:tcPr>
            <w:tcW w:w="773" w:type="pct"/>
            <w:noWrap/>
            <w:vAlign w:val="center"/>
          </w:tcPr>
          <w:p w14:paraId="298B6D60" w14:textId="77777777" w:rsidR="00E800A2" w:rsidRPr="00E800A2" w:rsidRDefault="00E800A2" w:rsidP="00E800A2">
            <w:pPr>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33%</w:t>
            </w:r>
          </w:p>
        </w:tc>
        <w:tc>
          <w:tcPr>
            <w:tcW w:w="652" w:type="pct"/>
            <w:noWrap/>
            <w:vAlign w:val="center"/>
          </w:tcPr>
          <w:p w14:paraId="64EFBABD" w14:textId="77777777" w:rsidR="00E800A2" w:rsidRPr="00E800A2" w:rsidRDefault="00E800A2" w:rsidP="00E800A2">
            <w:pPr>
              <w:jc w:val="right"/>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30%</w:t>
            </w:r>
          </w:p>
        </w:tc>
      </w:tr>
    </w:tbl>
    <w:p w14:paraId="1A6F8BEC" w14:textId="77777777" w:rsidR="004215DA" w:rsidRPr="00E567F5" w:rsidRDefault="004215DA" w:rsidP="00E567F5">
      <w:pPr>
        <w:spacing w:after="0"/>
        <w:rPr>
          <w:i/>
          <w:sz w:val="18"/>
          <w:szCs w:val="18"/>
        </w:rPr>
      </w:pPr>
      <w:r w:rsidRPr="00E567F5">
        <w:rPr>
          <w:i/>
          <w:sz w:val="18"/>
          <w:szCs w:val="18"/>
        </w:rPr>
        <w:t xml:space="preserve">Source: </w:t>
      </w:r>
      <w:r w:rsidR="00AB1B16">
        <w:rPr>
          <w:i/>
          <w:sz w:val="18"/>
          <w:szCs w:val="18"/>
        </w:rPr>
        <w:t xml:space="preserve">NCVER </w:t>
      </w:r>
      <w:r w:rsidRPr="00E567F5">
        <w:rPr>
          <w:i/>
          <w:sz w:val="18"/>
          <w:szCs w:val="18"/>
        </w:rPr>
        <w:t xml:space="preserve">Total VET activity (TVA), </w:t>
      </w:r>
      <w:proofErr w:type="spellStart"/>
      <w:r w:rsidRPr="00E567F5">
        <w:rPr>
          <w:i/>
          <w:sz w:val="18"/>
          <w:szCs w:val="18"/>
        </w:rPr>
        <w:t>TableBuilder</w:t>
      </w:r>
      <w:proofErr w:type="spellEnd"/>
      <w:r w:rsidRPr="00E567F5">
        <w:rPr>
          <w:i/>
          <w:sz w:val="18"/>
          <w:szCs w:val="18"/>
        </w:rPr>
        <w:t>.</w:t>
      </w:r>
    </w:p>
    <w:p w14:paraId="4457972E" w14:textId="77777777" w:rsidR="004215DA" w:rsidRPr="00E567F5" w:rsidRDefault="00950040" w:rsidP="00A4064D">
      <w:pPr>
        <w:spacing w:after="360"/>
        <w:rPr>
          <w:i/>
          <w:sz w:val="18"/>
          <w:szCs w:val="18"/>
        </w:rPr>
      </w:pPr>
      <w:r>
        <w:rPr>
          <w:i/>
          <w:sz w:val="18"/>
          <w:szCs w:val="18"/>
        </w:rPr>
        <w:t xml:space="preserve">Note: </w:t>
      </w:r>
      <w:r w:rsidR="006703BA">
        <w:rPr>
          <w:i/>
          <w:sz w:val="18"/>
          <w:szCs w:val="18"/>
        </w:rPr>
        <w:t>‘</w:t>
      </w:r>
      <w:r>
        <w:rPr>
          <w:i/>
          <w:sz w:val="18"/>
          <w:szCs w:val="18"/>
        </w:rPr>
        <w:t>BHB</w:t>
      </w:r>
      <w:r w:rsidR="006703BA">
        <w:rPr>
          <w:i/>
          <w:sz w:val="18"/>
          <w:szCs w:val="18"/>
        </w:rPr>
        <w:t>’</w:t>
      </w:r>
      <w:r>
        <w:rPr>
          <w:i/>
          <w:sz w:val="18"/>
          <w:szCs w:val="18"/>
        </w:rPr>
        <w:t xml:space="preserve"> refers to Bundaberg and Hervey Bay </w:t>
      </w:r>
      <w:r w:rsidR="00A02CC1">
        <w:rPr>
          <w:i/>
          <w:sz w:val="18"/>
          <w:szCs w:val="18"/>
        </w:rPr>
        <w:t xml:space="preserve">added </w:t>
      </w:r>
      <w:r>
        <w:rPr>
          <w:i/>
          <w:sz w:val="18"/>
          <w:szCs w:val="18"/>
        </w:rPr>
        <w:t>together, which</w:t>
      </w:r>
      <w:r w:rsidR="004215DA" w:rsidRPr="00E567F5">
        <w:rPr>
          <w:i/>
          <w:sz w:val="18"/>
          <w:szCs w:val="18"/>
        </w:rPr>
        <w:t xml:space="preserve"> </w:t>
      </w:r>
      <w:r w:rsidR="002D2169">
        <w:rPr>
          <w:i/>
          <w:sz w:val="18"/>
          <w:szCs w:val="18"/>
        </w:rPr>
        <w:t>was</w:t>
      </w:r>
      <w:r w:rsidR="004215DA" w:rsidRPr="00E567F5">
        <w:rPr>
          <w:i/>
          <w:sz w:val="18"/>
          <w:szCs w:val="18"/>
        </w:rPr>
        <w:t xml:space="preserve"> identified using the </w:t>
      </w:r>
      <w:r w:rsidR="00870E6D" w:rsidRPr="00870E6D">
        <w:rPr>
          <w:i/>
          <w:iCs/>
          <w:sz w:val="18"/>
          <w:szCs w:val="18"/>
        </w:rPr>
        <w:t>ABS Main Area Structure</w:t>
      </w:r>
      <w:r w:rsidR="004215DA" w:rsidRPr="00E567F5">
        <w:rPr>
          <w:i/>
          <w:sz w:val="18"/>
          <w:szCs w:val="18"/>
        </w:rPr>
        <w:t xml:space="preserve"> information</w:t>
      </w:r>
      <w:r>
        <w:rPr>
          <w:i/>
          <w:sz w:val="18"/>
          <w:szCs w:val="18"/>
        </w:rPr>
        <w:t xml:space="preserve"> at the SA3 level</w:t>
      </w:r>
      <w:r w:rsidR="004215DA" w:rsidRPr="00E567F5">
        <w:rPr>
          <w:i/>
          <w:sz w:val="18"/>
          <w:szCs w:val="18"/>
        </w:rPr>
        <w:t>.</w:t>
      </w:r>
    </w:p>
    <w:p w14:paraId="59EB1D1A" w14:textId="1549F2FC" w:rsidR="00DF5203" w:rsidRDefault="00DF5203" w:rsidP="0079482A">
      <w:r>
        <w:t xml:space="preserve">While </w:t>
      </w:r>
      <w:r w:rsidR="005F78E4">
        <w:fldChar w:fldCharType="begin"/>
      </w:r>
      <w:r w:rsidR="005F78E4">
        <w:instrText xml:space="preserve"> REF _Ref37264740 \h </w:instrText>
      </w:r>
      <w:r w:rsidR="005F78E4">
        <w:fldChar w:fldCharType="separate"/>
      </w:r>
      <w:r w:rsidR="008E2086">
        <w:t xml:space="preserve">Table </w:t>
      </w:r>
      <w:r w:rsidR="008E2086">
        <w:rPr>
          <w:noProof/>
        </w:rPr>
        <w:t>2</w:t>
      </w:r>
      <w:r w:rsidR="008E2086">
        <w:noBreakHyphen/>
      </w:r>
      <w:r w:rsidR="008E2086">
        <w:rPr>
          <w:noProof/>
        </w:rPr>
        <w:t>18</w:t>
      </w:r>
      <w:r w:rsidR="005F78E4">
        <w:fldChar w:fldCharType="end"/>
      </w:r>
      <w:r>
        <w:t xml:space="preserve"> above suggests that the proportion of VET enrolment</w:t>
      </w:r>
      <w:r w:rsidR="00260F41">
        <w:t>s and completions are of a similar magnitud</w:t>
      </w:r>
      <w:r>
        <w:t>e</w:t>
      </w:r>
      <w:r w:rsidR="00260F41">
        <w:t xml:space="preserve"> in the Bundaberg and Hervey Bay region as compared with the state of Queensland as a whole and Australia, </w:t>
      </w:r>
      <w:r w:rsidR="003E18E6">
        <w:fldChar w:fldCharType="begin"/>
      </w:r>
      <w:r w:rsidR="003E18E6">
        <w:instrText xml:space="preserve"> REF _Ref34909156 \h </w:instrText>
      </w:r>
      <w:r w:rsidR="003E18E6">
        <w:fldChar w:fldCharType="separate"/>
      </w:r>
      <w:r w:rsidR="008E2086">
        <w:t xml:space="preserve">Table </w:t>
      </w:r>
      <w:r w:rsidR="008E2086">
        <w:rPr>
          <w:noProof/>
        </w:rPr>
        <w:t>2</w:t>
      </w:r>
      <w:r w:rsidR="008E2086">
        <w:noBreakHyphen/>
      </w:r>
      <w:r w:rsidR="008E2086">
        <w:rPr>
          <w:noProof/>
        </w:rPr>
        <w:t>19</w:t>
      </w:r>
      <w:r w:rsidR="003E18E6">
        <w:fldChar w:fldCharType="end"/>
      </w:r>
      <w:r w:rsidR="00260F41">
        <w:t xml:space="preserve"> and </w:t>
      </w:r>
      <w:r w:rsidR="003E18E6">
        <w:fldChar w:fldCharType="begin"/>
      </w:r>
      <w:r w:rsidR="003E18E6">
        <w:instrText xml:space="preserve"> REF _Ref34909271 \h </w:instrText>
      </w:r>
      <w:r w:rsidR="003E18E6">
        <w:fldChar w:fldCharType="separate"/>
      </w:r>
      <w:r w:rsidR="008E2086">
        <w:t xml:space="preserve">Table </w:t>
      </w:r>
      <w:r w:rsidR="008E2086">
        <w:rPr>
          <w:noProof/>
        </w:rPr>
        <w:t>2</w:t>
      </w:r>
      <w:r w:rsidR="008E2086">
        <w:noBreakHyphen/>
      </w:r>
      <w:r w:rsidR="008E2086">
        <w:rPr>
          <w:noProof/>
        </w:rPr>
        <w:t>20</w:t>
      </w:r>
      <w:r w:rsidR="003E18E6">
        <w:fldChar w:fldCharType="end"/>
      </w:r>
      <w:r w:rsidR="00260F41">
        <w:t xml:space="preserve"> suggest that the level of qualifications within VET is different both in the number of enrolments and completions.</w:t>
      </w:r>
    </w:p>
    <w:p w14:paraId="2BC85FAA" w14:textId="77777777" w:rsidR="004215DA" w:rsidRDefault="00BE0917" w:rsidP="0079482A">
      <w:r>
        <w:t>The proportion of enrolments in the higher levels of VET (</w:t>
      </w:r>
      <w:r w:rsidR="00B73A44">
        <w:t xml:space="preserve">that is </w:t>
      </w:r>
      <w:r>
        <w:t>Certificate IV and Diploma</w:t>
      </w:r>
      <w:r w:rsidR="00F96D8E">
        <w:t>)</w:t>
      </w:r>
      <w:r w:rsidR="00B73A44">
        <w:t xml:space="preserve"> </w:t>
      </w:r>
      <w:r>
        <w:t xml:space="preserve">is slightly lower in the </w:t>
      </w:r>
      <w:r w:rsidR="00A00925">
        <w:t>Bundaberg and Hervey Bay region</w:t>
      </w:r>
      <w:r>
        <w:t xml:space="preserve"> compared to the </w:t>
      </w:r>
      <w:r w:rsidR="00AB2A57">
        <w:t>state of Queensland as a whole and Australia</w:t>
      </w:r>
      <w:r>
        <w:t xml:space="preserve">. We also observe </w:t>
      </w:r>
      <w:r w:rsidR="00260F41">
        <w:t>small difference</w:t>
      </w:r>
      <w:r w:rsidR="00505579">
        <w:t>s</w:t>
      </w:r>
      <w:r w:rsidR="00260F41">
        <w:t xml:space="preserve"> in the lower level of qualifications </w:t>
      </w:r>
      <w:r>
        <w:t xml:space="preserve">at </w:t>
      </w:r>
      <w:r w:rsidR="004B3EDD">
        <w:t>C</w:t>
      </w:r>
      <w:r>
        <w:t xml:space="preserve">ertificate II level in the </w:t>
      </w:r>
      <w:r w:rsidR="00A00925">
        <w:t>Bundaberg and Hervey Bay region</w:t>
      </w:r>
      <w:r>
        <w:t xml:space="preserve">. </w:t>
      </w:r>
      <w:r w:rsidR="00260F41">
        <w:t xml:space="preserve">We could conclude that, with the sole exception of Certificate IV, there are no major differences in </w:t>
      </w:r>
      <w:r w:rsidR="00CE1F98">
        <w:t>other</w:t>
      </w:r>
      <w:r w:rsidR="00260F41">
        <w:t xml:space="preserve"> VET enrolment</w:t>
      </w:r>
      <w:r w:rsidR="00CE1F98">
        <w:t>s</w:t>
      </w:r>
      <w:r w:rsidR="00260F41">
        <w:t>.</w:t>
      </w:r>
    </w:p>
    <w:p w14:paraId="410AC1D8" w14:textId="60C1C3CD" w:rsidR="004215DA" w:rsidRPr="005F3FE7" w:rsidRDefault="000851DE" w:rsidP="00E567F5">
      <w:pPr>
        <w:pStyle w:val="Caption"/>
      </w:pPr>
      <w:bookmarkStart w:id="120" w:name="_Ref34909156"/>
      <w:bookmarkStart w:id="121" w:name="_Toc34935547"/>
      <w:bookmarkStart w:id="122" w:name="_Toc37263582"/>
      <w:r>
        <w:t>Table</w:t>
      </w:r>
      <w:r w:rsidR="00E567F5">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19</w:t>
      </w:r>
      <w:r w:rsidR="006C0554">
        <w:rPr>
          <w:noProof/>
        </w:rPr>
        <w:fldChar w:fldCharType="end"/>
      </w:r>
      <w:bookmarkEnd w:id="120"/>
      <w:r w:rsidR="00E567F5">
        <w:t xml:space="preserve">: </w:t>
      </w:r>
      <w:r w:rsidR="004215DA" w:rsidRPr="005F3FE7">
        <w:t>Enrolment level of VET training in 2016</w:t>
      </w:r>
      <w:bookmarkEnd w:id="121"/>
      <w:r w:rsidR="004B3EDD">
        <w:t xml:space="preserve"> (percentage of total vet enrolments)</w:t>
      </w:r>
      <w:bookmarkEnd w:id="122"/>
    </w:p>
    <w:tbl>
      <w:tblPr>
        <w:tblStyle w:val="ListTable3-Accent1"/>
        <w:tblW w:w="0" w:type="auto"/>
        <w:tblLook w:val="04A0" w:firstRow="1" w:lastRow="0" w:firstColumn="1" w:lastColumn="0" w:noHBand="0" w:noVBand="1"/>
      </w:tblPr>
      <w:tblGrid>
        <w:gridCol w:w="4560"/>
        <w:gridCol w:w="980"/>
        <w:gridCol w:w="1312"/>
        <w:gridCol w:w="1035"/>
      </w:tblGrid>
      <w:tr w:rsidR="004215DA" w:rsidRPr="003542F0" w14:paraId="68549790" w14:textId="77777777" w:rsidTr="006C055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54BB4114" w14:textId="77777777" w:rsidR="004215DA" w:rsidRPr="003542F0" w:rsidRDefault="004215DA" w:rsidP="0079482A"/>
        </w:tc>
        <w:tc>
          <w:tcPr>
            <w:tcW w:w="0" w:type="dxa"/>
            <w:shd w:val="clear" w:color="auto" w:fill="2F5496" w:themeFill="accent5" w:themeFillShade="BF"/>
            <w:noWrap/>
            <w:vAlign w:val="center"/>
            <w:hideMark/>
          </w:tcPr>
          <w:p w14:paraId="2EBC6C4A" w14:textId="77777777" w:rsidR="004215DA" w:rsidRPr="003542F0" w:rsidRDefault="00950040" w:rsidP="000613C9">
            <w:pPr>
              <w:jc w:val="center"/>
              <w:cnfStyle w:val="100000000000" w:firstRow="1" w:lastRow="0" w:firstColumn="0" w:lastColumn="0" w:oddVBand="0" w:evenVBand="0" w:oddHBand="0" w:evenHBand="0" w:firstRowFirstColumn="0" w:firstRowLastColumn="0" w:lastRowFirstColumn="0" w:lastRowLastColumn="0"/>
            </w:pPr>
            <w:r w:rsidRPr="003542F0">
              <w:t>BHB</w:t>
            </w:r>
          </w:p>
        </w:tc>
        <w:tc>
          <w:tcPr>
            <w:tcW w:w="0" w:type="dxa"/>
            <w:shd w:val="clear" w:color="auto" w:fill="2F5496" w:themeFill="accent5" w:themeFillShade="BF"/>
            <w:noWrap/>
            <w:vAlign w:val="center"/>
            <w:hideMark/>
          </w:tcPr>
          <w:p w14:paraId="0D932C6D"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vAlign w:val="center"/>
            <w:hideMark/>
          </w:tcPr>
          <w:p w14:paraId="621C0765"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33113BE4" w14:textId="77777777" w:rsidTr="00F61B9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tcPr>
          <w:p w14:paraId="10476268" w14:textId="77777777" w:rsidR="004215DA" w:rsidRPr="005F3FE7" w:rsidRDefault="004215DA" w:rsidP="0079482A">
            <w:r w:rsidRPr="005F3FE7">
              <w:t>Diploma or higher</w:t>
            </w:r>
          </w:p>
        </w:tc>
        <w:tc>
          <w:tcPr>
            <w:tcW w:w="980" w:type="dxa"/>
            <w:noWrap/>
            <w:vAlign w:val="center"/>
            <w:hideMark/>
          </w:tcPr>
          <w:p w14:paraId="1D96E342"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16.9</w:t>
            </w:r>
          </w:p>
        </w:tc>
        <w:tc>
          <w:tcPr>
            <w:tcW w:w="1288" w:type="dxa"/>
            <w:noWrap/>
            <w:vAlign w:val="center"/>
            <w:hideMark/>
          </w:tcPr>
          <w:p w14:paraId="40992CA6"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18.0</w:t>
            </w:r>
          </w:p>
        </w:tc>
        <w:tc>
          <w:tcPr>
            <w:tcW w:w="1008" w:type="dxa"/>
            <w:noWrap/>
            <w:vAlign w:val="center"/>
            <w:hideMark/>
          </w:tcPr>
          <w:p w14:paraId="4F52B5B2"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20.5</w:t>
            </w:r>
          </w:p>
        </w:tc>
      </w:tr>
      <w:tr w:rsidR="004215DA" w:rsidRPr="005F3FE7" w14:paraId="59A160EE" w14:textId="77777777" w:rsidTr="00F61B93">
        <w:trPr>
          <w:trHeight w:val="255"/>
        </w:trPr>
        <w:tc>
          <w:tcPr>
            <w:cnfStyle w:val="001000000000" w:firstRow="0" w:lastRow="0" w:firstColumn="1" w:lastColumn="0" w:oddVBand="0" w:evenVBand="0" w:oddHBand="0" w:evenHBand="0" w:firstRowFirstColumn="0" w:firstRowLastColumn="0" w:lastRowFirstColumn="0" w:lastRowLastColumn="0"/>
            <w:tcW w:w="4560" w:type="dxa"/>
          </w:tcPr>
          <w:p w14:paraId="37336595" w14:textId="77777777" w:rsidR="004215DA" w:rsidRPr="005F3FE7" w:rsidRDefault="004215DA" w:rsidP="0079482A">
            <w:r w:rsidRPr="005F3FE7">
              <w:t>Certificate IV</w:t>
            </w:r>
          </w:p>
        </w:tc>
        <w:tc>
          <w:tcPr>
            <w:tcW w:w="980" w:type="dxa"/>
            <w:noWrap/>
            <w:vAlign w:val="center"/>
            <w:hideMark/>
          </w:tcPr>
          <w:p w14:paraId="49CCD11B"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9.1</w:t>
            </w:r>
          </w:p>
        </w:tc>
        <w:tc>
          <w:tcPr>
            <w:tcW w:w="1288" w:type="dxa"/>
            <w:noWrap/>
            <w:vAlign w:val="center"/>
            <w:hideMark/>
          </w:tcPr>
          <w:p w14:paraId="517ED9B1"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11.5</w:t>
            </w:r>
          </w:p>
        </w:tc>
        <w:tc>
          <w:tcPr>
            <w:tcW w:w="1008" w:type="dxa"/>
            <w:noWrap/>
            <w:vAlign w:val="center"/>
            <w:hideMark/>
          </w:tcPr>
          <w:p w14:paraId="0A722FD3"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16.4</w:t>
            </w:r>
          </w:p>
        </w:tc>
      </w:tr>
      <w:tr w:rsidR="004215DA" w:rsidRPr="005F3FE7" w14:paraId="251A2DCC" w14:textId="77777777" w:rsidTr="00F61B9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tcPr>
          <w:p w14:paraId="1F107BE8" w14:textId="77777777" w:rsidR="004215DA" w:rsidRPr="005F3FE7" w:rsidRDefault="004215DA" w:rsidP="0079482A">
            <w:r w:rsidRPr="005F3FE7">
              <w:t>Certificate III</w:t>
            </w:r>
          </w:p>
        </w:tc>
        <w:tc>
          <w:tcPr>
            <w:tcW w:w="980" w:type="dxa"/>
            <w:noWrap/>
            <w:vAlign w:val="center"/>
            <w:hideMark/>
          </w:tcPr>
          <w:p w14:paraId="566E26E8"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31.9</w:t>
            </w:r>
          </w:p>
        </w:tc>
        <w:tc>
          <w:tcPr>
            <w:tcW w:w="1288" w:type="dxa"/>
            <w:noWrap/>
            <w:vAlign w:val="center"/>
            <w:hideMark/>
          </w:tcPr>
          <w:p w14:paraId="5AD771E3"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32.8</w:t>
            </w:r>
          </w:p>
        </w:tc>
        <w:tc>
          <w:tcPr>
            <w:tcW w:w="1008" w:type="dxa"/>
            <w:noWrap/>
            <w:vAlign w:val="center"/>
            <w:hideMark/>
          </w:tcPr>
          <w:p w14:paraId="163908FA"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31.8</w:t>
            </w:r>
          </w:p>
        </w:tc>
      </w:tr>
      <w:tr w:rsidR="004215DA" w:rsidRPr="005F3FE7" w14:paraId="62337FE6" w14:textId="77777777" w:rsidTr="00F61B93">
        <w:trPr>
          <w:trHeight w:val="255"/>
        </w:trPr>
        <w:tc>
          <w:tcPr>
            <w:cnfStyle w:val="001000000000" w:firstRow="0" w:lastRow="0" w:firstColumn="1" w:lastColumn="0" w:oddVBand="0" w:evenVBand="0" w:oddHBand="0" w:evenHBand="0" w:firstRowFirstColumn="0" w:firstRowLastColumn="0" w:lastRowFirstColumn="0" w:lastRowLastColumn="0"/>
            <w:tcW w:w="4560" w:type="dxa"/>
          </w:tcPr>
          <w:p w14:paraId="785BAFD1" w14:textId="77777777" w:rsidR="004215DA" w:rsidRPr="005F3FE7" w:rsidRDefault="004215DA" w:rsidP="0079482A">
            <w:r w:rsidRPr="005F3FE7">
              <w:t>Certificate II</w:t>
            </w:r>
          </w:p>
        </w:tc>
        <w:tc>
          <w:tcPr>
            <w:tcW w:w="980" w:type="dxa"/>
            <w:noWrap/>
            <w:vAlign w:val="center"/>
            <w:hideMark/>
          </w:tcPr>
          <w:p w14:paraId="7074D46B"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22.4</w:t>
            </w:r>
          </w:p>
        </w:tc>
        <w:tc>
          <w:tcPr>
            <w:tcW w:w="1288" w:type="dxa"/>
            <w:noWrap/>
            <w:vAlign w:val="center"/>
            <w:hideMark/>
          </w:tcPr>
          <w:p w14:paraId="4D05F180"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19.9</w:t>
            </w:r>
          </w:p>
        </w:tc>
        <w:tc>
          <w:tcPr>
            <w:tcW w:w="1008" w:type="dxa"/>
            <w:noWrap/>
            <w:vAlign w:val="center"/>
            <w:hideMark/>
          </w:tcPr>
          <w:p w14:paraId="780E933D"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18.3</w:t>
            </w:r>
          </w:p>
        </w:tc>
      </w:tr>
      <w:tr w:rsidR="004215DA" w:rsidRPr="005F3FE7" w14:paraId="1C52CBF0" w14:textId="77777777" w:rsidTr="00F61B9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tcPr>
          <w:p w14:paraId="6CBE7464" w14:textId="77777777" w:rsidR="004215DA" w:rsidRPr="005F3FE7" w:rsidRDefault="004215DA" w:rsidP="0079482A">
            <w:r w:rsidRPr="005F3FE7">
              <w:t>Certificate I</w:t>
            </w:r>
          </w:p>
        </w:tc>
        <w:tc>
          <w:tcPr>
            <w:tcW w:w="980" w:type="dxa"/>
            <w:noWrap/>
            <w:vAlign w:val="center"/>
            <w:hideMark/>
          </w:tcPr>
          <w:p w14:paraId="6184185D"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8.9</w:t>
            </w:r>
          </w:p>
        </w:tc>
        <w:tc>
          <w:tcPr>
            <w:tcW w:w="1288" w:type="dxa"/>
            <w:noWrap/>
            <w:vAlign w:val="center"/>
            <w:hideMark/>
          </w:tcPr>
          <w:p w14:paraId="23A78154"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8.8</w:t>
            </w:r>
          </w:p>
        </w:tc>
        <w:tc>
          <w:tcPr>
            <w:tcW w:w="1008" w:type="dxa"/>
            <w:noWrap/>
            <w:vAlign w:val="center"/>
            <w:hideMark/>
          </w:tcPr>
          <w:p w14:paraId="6C192950"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6.1</w:t>
            </w:r>
          </w:p>
        </w:tc>
      </w:tr>
      <w:tr w:rsidR="004215DA" w:rsidRPr="005F3FE7" w14:paraId="42105335" w14:textId="77777777" w:rsidTr="00F61B93">
        <w:trPr>
          <w:trHeight w:val="255"/>
        </w:trPr>
        <w:tc>
          <w:tcPr>
            <w:cnfStyle w:val="001000000000" w:firstRow="0" w:lastRow="0" w:firstColumn="1" w:lastColumn="0" w:oddVBand="0" w:evenVBand="0" w:oddHBand="0" w:evenHBand="0" w:firstRowFirstColumn="0" w:firstRowLastColumn="0" w:lastRowFirstColumn="0" w:lastRowLastColumn="0"/>
            <w:tcW w:w="4560" w:type="dxa"/>
          </w:tcPr>
          <w:p w14:paraId="2F6682FE" w14:textId="77777777" w:rsidR="004215DA" w:rsidRPr="005F3FE7" w:rsidRDefault="004215DA" w:rsidP="0079482A">
            <w:r w:rsidRPr="005F3FE7">
              <w:t>Statement of attainment</w:t>
            </w:r>
          </w:p>
        </w:tc>
        <w:tc>
          <w:tcPr>
            <w:tcW w:w="980" w:type="dxa"/>
            <w:noWrap/>
            <w:vAlign w:val="center"/>
            <w:hideMark/>
          </w:tcPr>
          <w:p w14:paraId="0ABC04B9"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10.7</w:t>
            </w:r>
          </w:p>
        </w:tc>
        <w:tc>
          <w:tcPr>
            <w:tcW w:w="1288" w:type="dxa"/>
            <w:noWrap/>
            <w:vAlign w:val="center"/>
            <w:hideMark/>
          </w:tcPr>
          <w:p w14:paraId="6A0DD464"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9.0</w:t>
            </w:r>
          </w:p>
        </w:tc>
        <w:tc>
          <w:tcPr>
            <w:tcW w:w="1008" w:type="dxa"/>
            <w:noWrap/>
            <w:vAlign w:val="center"/>
            <w:hideMark/>
          </w:tcPr>
          <w:p w14:paraId="2F9A0075"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7.0</w:t>
            </w:r>
          </w:p>
        </w:tc>
      </w:tr>
      <w:tr w:rsidR="004215DA" w:rsidRPr="005F3FE7" w14:paraId="1DDED560" w14:textId="77777777" w:rsidTr="00F61B9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0754F5C5" w14:textId="77777777" w:rsidR="004215DA" w:rsidRPr="005F3FE7" w:rsidRDefault="004215DA" w:rsidP="0079482A">
            <w:r w:rsidRPr="005F3FE7">
              <w:t>Total</w:t>
            </w:r>
          </w:p>
        </w:tc>
        <w:tc>
          <w:tcPr>
            <w:tcW w:w="980" w:type="dxa"/>
            <w:noWrap/>
            <w:vAlign w:val="center"/>
            <w:hideMark/>
          </w:tcPr>
          <w:p w14:paraId="61652E0D"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rPr>
                <w:b/>
              </w:rPr>
            </w:pPr>
            <w:r w:rsidRPr="00BE0917">
              <w:rPr>
                <w:b/>
              </w:rPr>
              <w:t>100.0</w:t>
            </w:r>
          </w:p>
        </w:tc>
        <w:tc>
          <w:tcPr>
            <w:tcW w:w="1288" w:type="dxa"/>
            <w:noWrap/>
            <w:vAlign w:val="center"/>
            <w:hideMark/>
          </w:tcPr>
          <w:p w14:paraId="01A49E5D"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rPr>
                <w:b/>
              </w:rPr>
            </w:pPr>
            <w:r w:rsidRPr="00BE0917">
              <w:rPr>
                <w:b/>
              </w:rPr>
              <w:t>100.0</w:t>
            </w:r>
          </w:p>
        </w:tc>
        <w:tc>
          <w:tcPr>
            <w:tcW w:w="1008" w:type="dxa"/>
            <w:noWrap/>
            <w:vAlign w:val="center"/>
            <w:hideMark/>
          </w:tcPr>
          <w:p w14:paraId="235C1002"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rPr>
                <w:b/>
              </w:rPr>
            </w:pPr>
            <w:r w:rsidRPr="00BE0917">
              <w:rPr>
                <w:b/>
              </w:rPr>
              <w:t>100.0</w:t>
            </w:r>
          </w:p>
        </w:tc>
      </w:tr>
    </w:tbl>
    <w:p w14:paraId="08AC8F25" w14:textId="77777777" w:rsidR="004215DA" w:rsidRPr="00BE0917" w:rsidRDefault="004215DA" w:rsidP="00BE0917">
      <w:pPr>
        <w:spacing w:after="0"/>
        <w:rPr>
          <w:i/>
          <w:sz w:val="18"/>
          <w:szCs w:val="18"/>
        </w:rPr>
      </w:pPr>
      <w:r w:rsidRPr="00BE0917">
        <w:rPr>
          <w:i/>
          <w:sz w:val="18"/>
          <w:szCs w:val="18"/>
        </w:rPr>
        <w:t xml:space="preserve">Source: </w:t>
      </w:r>
      <w:r w:rsidR="003F788C">
        <w:rPr>
          <w:i/>
          <w:sz w:val="18"/>
          <w:szCs w:val="18"/>
        </w:rPr>
        <w:t xml:space="preserve">NCVER </w:t>
      </w:r>
      <w:r w:rsidRPr="00BE0917">
        <w:rPr>
          <w:i/>
          <w:sz w:val="18"/>
          <w:szCs w:val="18"/>
        </w:rPr>
        <w:t xml:space="preserve">Total VET activity (TVA), </w:t>
      </w:r>
      <w:proofErr w:type="spellStart"/>
      <w:r w:rsidRPr="00BE0917">
        <w:rPr>
          <w:i/>
          <w:sz w:val="18"/>
          <w:szCs w:val="18"/>
        </w:rPr>
        <w:t>TableBuilder</w:t>
      </w:r>
      <w:proofErr w:type="spellEnd"/>
      <w:r w:rsidRPr="00BE0917">
        <w:rPr>
          <w:i/>
          <w:sz w:val="18"/>
          <w:szCs w:val="18"/>
        </w:rPr>
        <w:t>.</w:t>
      </w:r>
    </w:p>
    <w:p w14:paraId="5EFC304E" w14:textId="77777777" w:rsidR="004215DA" w:rsidRPr="00BE0917" w:rsidRDefault="00950040" w:rsidP="00BE0917">
      <w:pPr>
        <w:spacing w:after="0"/>
        <w:rPr>
          <w:i/>
          <w:sz w:val="18"/>
          <w:szCs w:val="18"/>
        </w:rPr>
      </w:pPr>
      <w:r>
        <w:rPr>
          <w:i/>
          <w:sz w:val="18"/>
          <w:szCs w:val="18"/>
        </w:rPr>
        <w:t>Note</w:t>
      </w:r>
      <w:r w:rsidR="006E2F26">
        <w:rPr>
          <w:i/>
          <w:sz w:val="18"/>
          <w:szCs w:val="18"/>
        </w:rPr>
        <w:t>s</w:t>
      </w:r>
      <w:r>
        <w:rPr>
          <w:i/>
          <w:sz w:val="18"/>
          <w:szCs w:val="18"/>
        </w:rPr>
        <w:t xml:space="preserve">: </w:t>
      </w:r>
      <w:r w:rsidR="00505579">
        <w:rPr>
          <w:i/>
          <w:sz w:val="18"/>
          <w:szCs w:val="18"/>
        </w:rPr>
        <w:t>‘</w:t>
      </w:r>
      <w:r>
        <w:rPr>
          <w:i/>
          <w:sz w:val="18"/>
          <w:szCs w:val="18"/>
        </w:rPr>
        <w:t>BHB</w:t>
      </w:r>
      <w:r w:rsidR="00505579">
        <w:rPr>
          <w:i/>
          <w:sz w:val="18"/>
          <w:szCs w:val="18"/>
        </w:rPr>
        <w:t>’</w:t>
      </w:r>
      <w:r w:rsidR="007B7DDF">
        <w:rPr>
          <w:i/>
          <w:sz w:val="18"/>
          <w:szCs w:val="18"/>
        </w:rPr>
        <w:t xml:space="preserve"> refers to Bundaberg and Hervey Bay </w:t>
      </w:r>
      <w:r w:rsidR="00A02CC1">
        <w:rPr>
          <w:i/>
          <w:sz w:val="18"/>
          <w:szCs w:val="18"/>
        </w:rPr>
        <w:t xml:space="preserve">added </w:t>
      </w:r>
      <w:r w:rsidR="007B7DDF">
        <w:rPr>
          <w:i/>
          <w:sz w:val="18"/>
          <w:szCs w:val="18"/>
        </w:rPr>
        <w:t>together, which</w:t>
      </w:r>
      <w:r w:rsidR="004215DA" w:rsidRPr="00BE0917">
        <w:rPr>
          <w:i/>
          <w:sz w:val="18"/>
          <w:szCs w:val="18"/>
        </w:rPr>
        <w:t xml:space="preserve"> is identified using the </w:t>
      </w:r>
      <w:r w:rsidR="00870E6D" w:rsidRPr="00870E6D">
        <w:rPr>
          <w:i/>
          <w:iCs/>
          <w:sz w:val="18"/>
          <w:szCs w:val="18"/>
        </w:rPr>
        <w:t>ABS Main Area Structure</w:t>
      </w:r>
      <w:r w:rsidR="004215DA" w:rsidRPr="00BE0917">
        <w:rPr>
          <w:i/>
          <w:sz w:val="18"/>
          <w:szCs w:val="18"/>
        </w:rPr>
        <w:t xml:space="preserve"> information</w:t>
      </w:r>
      <w:r w:rsidR="007B7DDF">
        <w:rPr>
          <w:i/>
          <w:sz w:val="18"/>
          <w:szCs w:val="18"/>
        </w:rPr>
        <w:t xml:space="preserve"> at the SA3 level</w:t>
      </w:r>
      <w:r w:rsidR="004215DA" w:rsidRPr="00BE0917">
        <w:rPr>
          <w:i/>
          <w:sz w:val="18"/>
          <w:szCs w:val="18"/>
        </w:rPr>
        <w:t>.</w:t>
      </w:r>
      <w:r w:rsidR="006E2F26">
        <w:rPr>
          <w:i/>
          <w:sz w:val="18"/>
          <w:szCs w:val="18"/>
        </w:rPr>
        <w:t xml:space="preserve"> </w:t>
      </w:r>
      <w:r w:rsidR="00505579">
        <w:rPr>
          <w:i/>
          <w:sz w:val="18"/>
          <w:szCs w:val="18"/>
        </w:rPr>
        <w:t xml:space="preserve">Statement of attainment is a certificate that is issued when an individual has completed one or more accredited units and exit from a training program. </w:t>
      </w:r>
      <w:r w:rsidR="006E2F26" w:rsidRPr="006E2F26">
        <w:rPr>
          <w:i/>
          <w:sz w:val="18"/>
          <w:szCs w:val="18"/>
        </w:rPr>
        <w:t>Due to rounding, the total percentages may not sum up</w:t>
      </w:r>
      <w:r w:rsidR="00173597">
        <w:rPr>
          <w:i/>
          <w:sz w:val="18"/>
          <w:szCs w:val="18"/>
        </w:rPr>
        <w:t xml:space="preserve"> exactly </w:t>
      </w:r>
      <w:r w:rsidR="006E2F26" w:rsidRPr="006E2F26">
        <w:rPr>
          <w:i/>
          <w:sz w:val="18"/>
          <w:szCs w:val="18"/>
        </w:rPr>
        <w:t>to 100.</w:t>
      </w:r>
    </w:p>
    <w:p w14:paraId="0BD608D4" w14:textId="77777777" w:rsidR="00F44DEC" w:rsidRDefault="00F44DEC">
      <w:pPr>
        <w:jc w:val="left"/>
      </w:pPr>
      <w:r>
        <w:br w:type="page"/>
      </w:r>
    </w:p>
    <w:p w14:paraId="2D1D58C6" w14:textId="1E5462A5" w:rsidR="004215DA" w:rsidRDefault="00260F41" w:rsidP="0079482A">
      <w:r>
        <w:lastRenderedPageBreak/>
        <w:t>In relation to completion</w:t>
      </w:r>
      <w:r w:rsidR="00097211">
        <w:t>s</w:t>
      </w:r>
      <w:r>
        <w:t xml:space="preserve"> (see </w:t>
      </w:r>
      <w:r>
        <w:fldChar w:fldCharType="begin"/>
      </w:r>
      <w:r>
        <w:instrText xml:space="preserve"> REF _Ref34909271 \h </w:instrText>
      </w:r>
      <w:r>
        <w:fldChar w:fldCharType="separate"/>
      </w:r>
      <w:r w:rsidR="008E2086">
        <w:t xml:space="preserve">Table </w:t>
      </w:r>
      <w:r w:rsidR="008E2086">
        <w:rPr>
          <w:noProof/>
        </w:rPr>
        <w:t>2</w:t>
      </w:r>
      <w:r w:rsidR="008E2086">
        <w:noBreakHyphen/>
      </w:r>
      <w:r w:rsidR="008E2086">
        <w:rPr>
          <w:noProof/>
        </w:rPr>
        <w:t>20</w:t>
      </w:r>
      <w:r>
        <w:fldChar w:fldCharType="end"/>
      </w:r>
      <w:r>
        <w:t>), we see a different picture</w:t>
      </w:r>
      <w:r w:rsidR="00097211">
        <w:t>. B</w:t>
      </w:r>
      <w:r w:rsidR="002405AE">
        <w:t>oth Bunda</w:t>
      </w:r>
      <w:r>
        <w:t>berg and Hervey Bay</w:t>
      </w:r>
      <w:r w:rsidR="00097211">
        <w:t>,</w:t>
      </w:r>
      <w:r>
        <w:t xml:space="preserve"> and to a lesser degree the state of Queensland as a whole</w:t>
      </w:r>
      <w:r w:rsidR="00097211">
        <w:t>,</w:t>
      </w:r>
      <w:r>
        <w:t xml:space="preserve"> are showing lower completion levels for the higher qualifications (Certificate IV and above) than Australia and higher completion rates for the lower qualifications (Certificate II and below) th</w:t>
      </w:r>
      <w:r w:rsidR="002405AE">
        <w:t>a</w:t>
      </w:r>
      <w:r>
        <w:t xml:space="preserve">n Australia. </w:t>
      </w:r>
    </w:p>
    <w:p w14:paraId="59E380C4" w14:textId="48CAE3A6" w:rsidR="004215DA" w:rsidRPr="005F3FE7" w:rsidRDefault="000851DE" w:rsidP="00BE0917">
      <w:pPr>
        <w:pStyle w:val="Caption"/>
      </w:pPr>
      <w:bookmarkStart w:id="123" w:name="_Ref34909271"/>
      <w:bookmarkStart w:id="124" w:name="_Toc34935548"/>
      <w:bookmarkStart w:id="125" w:name="_Toc37263583"/>
      <w:r>
        <w:t>Table</w:t>
      </w:r>
      <w:r w:rsidR="00BE0917">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20</w:t>
      </w:r>
      <w:r w:rsidR="006C0554">
        <w:rPr>
          <w:noProof/>
        </w:rPr>
        <w:fldChar w:fldCharType="end"/>
      </w:r>
      <w:bookmarkEnd w:id="123"/>
      <w:r w:rsidR="00BE0917">
        <w:t xml:space="preserve">: </w:t>
      </w:r>
      <w:r w:rsidR="004215DA" w:rsidRPr="005F3FE7">
        <w:t>Completion level of VET training in 2016</w:t>
      </w:r>
      <w:bookmarkEnd w:id="124"/>
      <w:r w:rsidR="004B3EDD">
        <w:t xml:space="preserve"> (percentage of total vet completions)</w:t>
      </w:r>
      <w:bookmarkEnd w:id="125"/>
    </w:p>
    <w:tbl>
      <w:tblPr>
        <w:tblStyle w:val="ListTable3-Accent1"/>
        <w:tblW w:w="0" w:type="auto"/>
        <w:tblLook w:val="04A0" w:firstRow="1" w:lastRow="0" w:firstColumn="1" w:lastColumn="0" w:noHBand="0" w:noVBand="1"/>
      </w:tblPr>
      <w:tblGrid>
        <w:gridCol w:w="4560"/>
        <w:gridCol w:w="980"/>
        <w:gridCol w:w="1312"/>
        <w:gridCol w:w="1035"/>
      </w:tblGrid>
      <w:tr w:rsidR="004215DA" w:rsidRPr="003542F0" w14:paraId="763484A3" w14:textId="77777777" w:rsidTr="006C055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07CFBB12" w14:textId="77777777" w:rsidR="004215DA" w:rsidRPr="003542F0" w:rsidRDefault="004215DA" w:rsidP="0079482A"/>
        </w:tc>
        <w:tc>
          <w:tcPr>
            <w:tcW w:w="0" w:type="dxa"/>
            <w:shd w:val="clear" w:color="auto" w:fill="2F5496" w:themeFill="accent5" w:themeFillShade="BF"/>
            <w:noWrap/>
            <w:vAlign w:val="center"/>
            <w:hideMark/>
          </w:tcPr>
          <w:p w14:paraId="4748492D" w14:textId="77777777" w:rsidR="004215DA" w:rsidRPr="003542F0" w:rsidRDefault="007B7DDF" w:rsidP="000613C9">
            <w:pPr>
              <w:jc w:val="center"/>
              <w:cnfStyle w:val="100000000000" w:firstRow="1" w:lastRow="0" w:firstColumn="0" w:lastColumn="0" w:oddVBand="0" w:evenVBand="0" w:oddHBand="0" w:evenHBand="0" w:firstRowFirstColumn="0" w:firstRowLastColumn="0" w:lastRowFirstColumn="0" w:lastRowLastColumn="0"/>
            </w:pPr>
            <w:r w:rsidRPr="003542F0">
              <w:t>BHB</w:t>
            </w:r>
          </w:p>
        </w:tc>
        <w:tc>
          <w:tcPr>
            <w:tcW w:w="0" w:type="dxa"/>
            <w:shd w:val="clear" w:color="auto" w:fill="2F5496" w:themeFill="accent5" w:themeFillShade="BF"/>
            <w:noWrap/>
            <w:vAlign w:val="center"/>
            <w:hideMark/>
          </w:tcPr>
          <w:p w14:paraId="3B2C208F"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vAlign w:val="center"/>
            <w:hideMark/>
          </w:tcPr>
          <w:p w14:paraId="26E9E64B"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4E9E1816"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tcPr>
          <w:p w14:paraId="57D166A9" w14:textId="77777777" w:rsidR="004215DA" w:rsidRPr="005F3FE7" w:rsidRDefault="004215DA" w:rsidP="0079482A">
            <w:r w:rsidRPr="005F3FE7">
              <w:t>Diploma or higher</w:t>
            </w:r>
          </w:p>
        </w:tc>
        <w:tc>
          <w:tcPr>
            <w:tcW w:w="980" w:type="dxa"/>
            <w:noWrap/>
            <w:vAlign w:val="center"/>
          </w:tcPr>
          <w:p w14:paraId="175C4E91"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7.0</w:t>
            </w:r>
          </w:p>
        </w:tc>
        <w:tc>
          <w:tcPr>
            <w:tcW w:w="1288" w:type="dxa"/>
            <w:noWrap/>
            <w:vAlign w:val="center"/>
          </w:tcPr>
          <w:p w14:paraId="4B3EDD1A"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10.3</w:t>
            </w:r>
          </w:p>
        </w:tc>
        <w:tc>
          <w:tcPr>
            <w:tcW w:w="1008" w:type="dxa"/>
            <w:noWrap/>
            <w:vAlign w:val="center"/>
          </w:tcPr>
          <w:p w14:paraId="45B512C6"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16.2</w:t>
            </w:r>
          </w:p>
        </w:tc>
      </w:tr>
      <w:tr w:rsidR="004215DA" w:rsidRPr="005F3FE7" w14:paraId="5A823CFF" w14:textId="77777777" w:rsidTr="00F44DEC">
        <w:trPr>
          <w:trHeight w:val="255"/>
        </w:trPr>
        <w:tc>
          <w:tcPr>
            <w:cnfStyle w:val="001000000000" w:firstRow="0" w:lastRow="0" w:firstColumn="1" w:lastColumn="0" w:oddVBand="0" w:evenVBand="0" w:oddHBand="0" w:evenHBand="0" w:firstRowFirstColumn="0" w:firstRowLastColumn="0" w:lastRowFirstColumn="0" w:lastRowLastColumn="0"/>
            <w:tcW w:w="4560" w:type="dxa"/>
          </w:tcPr>
          <w:p w14:paraId="220EDBE3" w14:textId="77777777" w:rsidR="004215DA" w:rsidRPr="005F3FE7" w:rsidRDefault="004215DA" w:rsidP="0079482A">
            <w:r w:rsidRPr="005F3FE7">
              <w:t>Certificate IV</w:t>
            </w:r>
          </w:p>
        </w:tc>
        <w:tc>
          <w:tcPr>
            <w:tcW w:w="980" w:type="dxa"/>
            <w:noWrap/>
            <w:vAlign w:val="center"/>
          </w:tcPr>
          <w:p w14:paraId="2F16496A"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8.1</w:t>
            </w:r>
          </w:p>
        </w:tc>
        <w:tc>
          <w:tcPr>
            <w:tcW w:w="1288" w:type="dxa"/>
            <w:noWrap/>
            <w:vAlign w:val="center"/>
          </w:tcPr>
          <w:p w14:paraId="050B38F5"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11.3</w:t>
            </w:r>
          </w:p>
        </w:tc>
        <w:tc>
          <w:tcPr>
            <w:tcW w:w="1008" w:type="dxa"/>
            <w:noWrap/>
            <w:vAlign w:val="center"/>
          </w:tcPr>
          <w:p w14:paraId="1A94D37E"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17.7</w:t>
            </w:r>
          </w:p>
        </w:tc>
      </w:tr>
      <w:tr w:rsidR="004215DA" w:rsidRPr="005F3FE7" w14:paraId="53AB5951"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tcPr>
          <w:p w14:paraId="516AF3A1" w14:textId="77777777" w:rsidR="004215DA" w:rsidRPr="005F3FE7" w:rsidRDefault="004215DA" w:rsidP="0079482A">
            <w:r w:rsidRPr="005F3FE7">
              <w:t>Certificate III</w:t>
            </w:r>
          </w:p>
        </w:tc>
        <w:tc>
          <w:tcPr>
            <w:tcW w:w="980" w:type="dxa"/>
            <w:noWrap/>
            <w:vAlign w:val="center"/>
          </w:tcPr>
          <w:p w14:paraId="0F113E09"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33.7</w:t>
            </w:r>
          </w:p>
        </w:tc>
        <w:tc>
          <w:tcPr>
            <w:tcW w:w="1288" w:type="dxa"/>
            <w:noWrap/>
            <w:vAlign w:val="center"/>
          </w:tcPr>
          <w:p w14:paraId="23858AE1"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33.6</w:t>
            </w:r>
          </w:p>
        </w:tc>
        <w:tc>
          <w:tcPr>
            <w:tcW w:w="1008" w:type="dxa"/>
            <w:noWrap/>
            <w:vAlign w:val="center"/>
          </w:tcPr>
          <w:p w14:paraId="552DA8A3"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30.6</w:t>
            </w:r>
          </w:p>
        </w:tc>
      </w:tr>
      <w:tr w:rsidR="004215DA" w:rsidRPr="005F3FE7" w14:paraId="05CD0EEF" w14:textId="77777777" w:rsidTr="00F44DEC">
        <w:trPr>
          <w:trHeight w:val="255"/>
        </w:trPr>
        <w:tc>
          <w:tcPr>
            <w:cnfStyle w:val="001000000000" w:firstRow="0" w:lastRow="0" w:firstColumn="1" w:lastColumn="0" w:oddVBand="0" w:evenVBand="0" w:oddHBand="0" w:evenHBand="0" w:firstRowFirstColumn="0" w:firstRowLastColumn="0" w:lastRowFirstColumn="0" w:lastRowLastColumn="0"/>
            <w:tcW w:w="4560" w:type="dxa"/>
          </w:tcPr>
          <w:p w14:paraId="6F8E6C0A" w14:textId="77777777" w:rsidR="004215DA" w:rsidRPr="005F3FE7" w:rsidRDefault="004215DA" w:rsidP="0079482A">
            <w:r w:rsidRPr="005F3FE7">
              <w:t>Certificate II</w:t>
            </w:r>
          </w:p>
        </w:tc>
        <w:tc>
          <w:tcPr>
            <w:tcW w:w="980" w:type="dxa"/>
            <w:noWrap/>
            <w:vAlign w:val="center"/>
          </w:tcPr>
          <w:p w14:paraId="45D39FE3"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23.2</w:t>
            </w:r>
          </w:p>
        </w:tc>
        <w:tc>
          <w:tcPr>
            <w:tcW w:w="1288" w:type="dxa"/>
            <w:noWrap/>
            <w:vAlign w:val="center"/>
          </w:tcPr>
          <w:p w14:paraId="62A9A2CD"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23.0</w:t>
            </w:r>
          </w:p>
        </w:tc>
        <w:tc>
          <w:tcPr>
            <w:tcW w:w="1008" w:type="dxa"/>
            <w:noWrap/>
            <w:vAlign w:val="center"/>
          </w:tcPr>
          <w:p w14:paraId="20D77C6C"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19.3</w:t>
            </w:r>
          </w:p>
        </w:tc>
      </w:tr>
      <w:tr w:rsidR="004215DA" w:rsidRPr="005F3FE7" w14:paraId="4CDAFD44"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tcPr>
          <w:p w14:paraId="26C2962E" w14:textId="77777777" w:rsidR="004215DA" w:rsidRPr="005F3FE7" w:rsidRDefault="004215DA" w:rsidP="0079482A">
            <w:r w:rsidRPr="005F3FE7">
              <w:t>Certificate I</w:t>
            </w:r>
          </w:p>
        </w:tc>
        <w:tc>
          <w:tcPr>
            <w:tcW w:w="980" w:type="dxa"/>
            <w:noWrap/>
            <w:vAlign w:val="center"/>
          </w:tcPr>
          <w:p w14:paraId="120834C3"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12.5</w:t>
            </w:r>
          </w:p>
        </w:tc>
        <w:tc>
          <w:tcPr>
            <w:tcW w:w="1288" w:type="dxa"/>
            <w:noWrap/>
            <w:vAlign w:val="center"/>
          </w:tcPr>
          <w:p w14:paraId="5FDCCC58"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8.7</w:t>
            </w:r>
          </w:p>
        </w:tc>
        <w:tc>
          <w:tcPr>
            <w:tcW w:w="1008" w:type="dxa"/>
            <w:noWrap/>
            <w:vAlign w:val="center"/>
          </w:tcPr>
          <w:p w14:paraId="34982BF4"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pPr>
            <w:r w:rsidRPr="00BE0917">
              <w:t>5.5</w:t>
            </w:r>
          </w:p>
        </w:tc>
      </w:tr>
      <w:tr w:rsidR="004215DA" w:rsidRPr="005F3FE7" w14:paraId="72977620" w14:textId="77777777" w:rsidTr="00F44DEC">
        <w:trPr>
          <w:trHeight w:val="255"/>
        </w:trPr>
        <w:tc>
          <w:tcPr>
            <w:cnfStyle w:val="001000000000" w:firstRow="0" w:lastRow="0" w:firstColumn="1" w:lastColumn="0" w:oddVBand="0" w:evenVBand="0" w:oddHBand="0" w:evenHBand="0" w:firstRowFirstColumn="0" w:firstRowLastColumn="0" w:lastRowFirstColumn="0" w:lastRowLastColumn="0"/>
            <w:tcW w:w="4560" w:type="dxa"/>
          </w:tcPr>
          <w:p w14:paraId="0832FA70" w14:textId="77777777" w:rsidR="004215DA" w:rsidRPr="005F3FE7" w:rsidRDefault="004215DA" w:rsidP="0079482A">
            <w:r w:rsidRPr="005F3FE7">
              <w:t>Statement of attainment</w:t>
            </w:r>
          </w:p>
        </w:tc>
        <w:tc>
          <w:tcPr>
            <w:tcW w:w="980" w:type="dxa"/>
            <w:noWrap/>
            <w:vAlign w:val="center"/>
          </w:tcPr>
          <w:p w14:paraId="26BE6146"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15.5</w:t>
            </w:r>
          </w:p>
        </w:tc>
        <w:tc>
          <w:tcPr>
            <w:tcW w:w="1288" w:type="dxa"/>
            <w:noWrap/>
            <w:vAlign w:val="center"/>
          </w:tcPr>
          <w:p w14:paraId="70A671F3"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13.1</w:t>
            </w:r>
          </w:p>
        </w:tc>
        <w:tc>
          <w:tcPr>
            <w:tcW w:w="1008" w:type="dxa"/>
            <w:noWrap/>
            <w:vAlign w:val="center"/>
          </w:tcPr>
          <w:p w14:paraId="3C6E67F8" w14:textId="77777777" w:rsidR="004215DA" w:rsidRPr="00BE0917" w:rsidRDefault="004215DA" w:rsidP="00BE0917">
            <w:pPr>
              <w:jc w:val="right"/>
              <w:cnfStyle w:val="000000000000" w:firstRow="0" w:lastRow="0" w:firstColumn="0" w:lastColumn="0" w:oddVBand="0" w:evenVBand="0" w:oddHBand="0" w:evenHBand="0" w:firstRowFirstColumn="0" w:firstRowLastColumn="0" w:lastRowFirstColumn="0" w:lastRowLastColumn="0"/>
            </w:pPr>
            <w:r w:rsidRPr="00BE0917">
              <w:t>10.8</w:t>
            </w:r>
          </w:p>
        </w:tc>
      </w:tr>
      <w:tr w:rsidR="004215DA" w:rsidRPr="005F3FE7" w14:paraId="6B68E3B0"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379B8C15" w14:textId="77777777" w:rsidR="004215DA" w:rsidRPr="005F3FE7" w:rsidRDefault="004215DA" w:rsidP="0079482A">
            <w:r w:rsidRPr="005F3FE7">
              <w:t>Total</w:t>
            </w:r>
          </w:p>
        </w:tc>
        <w:tc>
          <w:tcPr>
            <w:tcW w:w="980" w:type="dxa"/>
            <w:noWrap/>
            <w:vAlign w:val="center"/>
            <w:hideMark/>
          </w:tcPr>
          <w:p w14:paraId="6559CF2E"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rPr>
                <w:b/>
              </w:rPr>
            </w:pPr>
            <w:r w:rsidRPr="00BE0917">
              <w:rPr>
                <w:b/>
              </w:rPr>
              <w:t>100.0</w:t>
            </w:r>
          </w:p>
        </w:tc>
        <w:tc>
          <w:tcPr>
            <w:tcW w:w="1288" w:type="dxa"/>
            <w:noWrap/>
            <w:vAlign w:val="center"/>
            <w:hideMark/>
          </w:tcPr>
          <w:p w14:paraId="416DF17A"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rPr>
                <w:b/>
              </w:rPr>
            </w:pPr>
            <w:r w:rsidRPr="00BE0917">
              <w:rPr>
                <w:b/>
              </w:rPr>
              <w:t>100.0</w:t>
            </w:r>
          </w:p>
        </w:tc>
        <w:tc>
          <w:tcPr>
            <w:tcW w:w="1008" w:type="dxa"/>
            <w:noWrap/>
            <w:vAlign w:val="center"/>
            <w:hideMark/>
          </w:tcPr>
          <w:p w14:paraId="31D5A006" w14:textId="77777777" w:rsidR="004215DA" w:rsidRPr="00BE0917" w:rsidRDefault="004215DA" w:rsidP="00BE0917">
            <w:pPr>
              <w:jc w:val="right"/>
              <w:cnfStyle w:val="000000100000" w:firstRow="0" w:lastRow="0" w:firstColumn="0" w:lastColumn="0" w:oddVBand="0" w:evenVBand="0" w:oddHBand="1" w:evenHBand="0" w:firstRowFirstColumn="0" w:firstRowLastColumn="0" w:lastRowFirstColumn="0" w:lastRowLastColumn="0"/>
              <w:rPr>
                <w:b/>
              </w:rPr>
            </w:pPr>
            <w:r w:rsidRPr="00BE0917">
              <w:rPr>
                <w:b/>
              </w:rPr>
              <w:t>100.0</w:t>
            </w:r>
          </w:p>
        </w:tc>
      </w:tr>
    </w:tbl>
    <w:p w14:paraId="31F3CB27" w14:textId="77777777" w:rsidR="004215DA" w:rsidRPr="00BE0917" w:rsidRDefault="004215DA" w:rsidP="00BE0917">
      <w:pPr>
        <w:spacing w:after="0"/>
        <w:rPr>
          <w:i/>
          <w:sz w:val="18"/>
          <w:szCs w:val="18"/>
        </w:rPr>
      </w:pPr>
      <w:r w:rsidRPr="00BE0917">
        <w:rPr>
          <w:i/>
          <w:sz w:val="18"/>
          <w:szCs w:val="18"/>
        </w:rPr>
        <w:t xml:space="preserve">Source: </w:t>
      </w:r>
      <w:r w:rsidR="003F788C">
        <w:rPr>
          <w:i/>
          <w:sz w:val="18"/>
          <w:szCs w:val="18"/>
        </w:rPr>
        <w:t xml:space="preserve">NCVER </w:t>
      </w:r>
      <w:r w:rsidRPr="00BE0917">
        <w:rPr>
          <w:i/>
          <w:sz w:val="18"/>
          <w:szCs w:val="18"/>
        </w:rPr>
        <w:t xml:space="preserve">Total VET activity (TVA), </w:t>
      </w:r>
      <w:proofErr w:type="spellStart"/>
      <w:r w:rsidRPr="00BE0917">
        <w:rPr>
          <w:i/>
          <w:sz w:val="18"/>
          <w:szCs w:val="18"/>
        </w:rPr>
        <w:t>TableBuilder</w:t>
      </w:r>
      <w:proofErr w:type="spellEnd"/>
      <w:r w:rsidRPr="00BE0917">
        <w:rPr>
          <w:i/>
          <w:sz w:val="18"/>
          <w:szCs w:val="18"/>
        </w:rPr>
        <w:t>.</w:t>
      </w:r>
    </w:p>
    <w:p w14:paraId="70C56684" w14:textId="77777777" w:rsidR="004215DA" w:rsidRPr="00BE0917" w:rsidRDefault="004215DA" w:rsidP="00A4064D">
      <w:pPr>
        <w:spacing w:after="360"/>
        <w:rPr>
          <w:i/>
          <w:sz w:val="18"/>
          <w:szCs w:val="18"/>
        </w:rPr>
      </w:pPr>
      <w:r w:rsidRPr="00BE0917">
        <w:rPr>
          <w:i/>
          <w:sz w:val="18"/>
          <w:szCs w:val="18"/>
        </w:rPr>
        <w:t>Note</w:t>
      </w:r>
      <w:r w:rsidR="006E2F26">
        <w:rPr>
          <w:i/>
          <w:sz w:val="18"/>
          <w:szCs w:val="18"/>
        </w:rPr>
        <w:t>s</w:t>
      </w:r>
      <w:r w:rsidRPr="00BE0917">
        <w:rPr>
          <w:i/>
          <w:sz w:val="18"/>
          <w:szCs w:val="18"/>
        </w:rPr>
        <w:t xml:space="preserve">: </w:t>
      </w:r>
      <w:r w:rsidR="00542981">
        <w:rPr>
          <w:i/>
          <w:sz w:val="18"/>
          <w:szCs w:val="18"/>
        </w:rPr>
        <w:t>‘</w:t>
      </w:r>
      <w:r w:rsidRPr="00BE0917">
        <w:rPr>
          <w:i/>
          <w:sz w:val="18"/>
          <w:szCs w:val="18"/>
        </w:rPr>
        <w:t>BHB</w:t>
      </w:r>
      <w:r w:rsidR="00542981">
        <w:rPr>
          <w:i/>
          <w:sz w:val="18"/>
          <w:szCs w:val="18"/>
        </w:rPr>
        <w:t>’</w:t>
      </w:r>
      <w:r w:rsidRPr="00BE0917">
        <w:rPr>
          <w:i/>
          <w:sz w:val="18"/>
          <w:szCs w:val="18"/>
        </w:rPr>
        <w:t xml:space="preserve"> </w:t>
      </w:r>
      <w:r w:rsidR="007B7DDF">
        <w:rPr>
          <w:i/>
          <w:sz w:val="18"/>
          <w:szCs w:val="18"/>
        </w:rPr>
        <w:t>refers to Bundaberg and Hervey Bay</w:t>
      </w:r>
      <w:r w:rsidR="00A02CC1">
        <w:rPr>
          <w:i/>
          <w:sz w:val="18"/>
          <w:szCs w:val="18"/>
        </w:rPr>
        <w:t xml:space="preserve"> added</w:t>
      </w:r>
      <w:r w:rsidR="007B7DDF">
        <w:rPr>
          <w:i/>
          <w:sz w:val="18"/>
          <w:szCs w:val="18"/>
        </w:rPr>
        <w:t xml:space="preserve"> together, which is</w:t>
      </w:r>
      <w:r w:rsidRPr="00BE0917">
        <w:rPr>
          <w:i/>
          <w:sz w:val="18"/>
          <w:szCs w:val="18"/>
        </w:rPr>
        <w:t xml:space="preserve"> identified using the </w:t>
      </w:r>
      <w:r w:rsidR="00870E6D" w:rsidRPr="00870E6D">
        <w:rPr>
          <w:i/>
          <w:iCs/>
          <w:sz w:val="18"/>
          <w:szCs w:val="18"/>
        </w:rPr>
        <w:t>ABS Main Area Structure</w:t>
      </w:r>
      <w:r w:rsidRPr="00BE0917">
        <w:rPr>
          <w:i/>
          <w:sz w:val="18"/>
          <w:szCs w:val="18"/>
        </w:rPr>
        <w:t xml:space="preserve"> information</w:t>
      </w:r>
      <w:r w:rsidR="007B7DDF">
        <w:rPr>
          <w:i/>
          <w:sz w:val="18"/>
          <w:szCs w:val="18"/>
        </w:rPr>
        <w:t xml:space="preserve"> at the SA3 level</w:t>
      </w:r>
      <w:r w:rsidRPr="00BE0917">
        <w:rPr>
          <w:i/>
          <w:sz w:val="18"/>
          <w:szCs w:val="18"/>
        </w:rPr>
        <w:t>.</w:t>
      </w:r>
      <w:r w:rsidR="004B3EDD">
        <w:rPr>
          <w:i/>
          <w:sz w:val="18"/>
          <w:szCs w:val="18"/>
        </w:rPr>
        <w:t xml:space="preserve"> Statement of attainment is a certificate that is issued when an individual has completed one or more accredi</w:t>
      </w:r>
      <w:r w:rsidR="003F788C">
        <w:rPr>
          <w:i/>
          <w:sz w:val="18"/>
          <w:szCs w:val="18"/>
        </w:rPr>
        <w:t>ted units and exit from a training program.</w:t>
      </w:r>
      <w:r w:rsidR="006E2F26">
        <w:rPr>
          <w:i/>
          <w:sz w:val="18"/>
          <w:szCs w:val="18"/>
        </w:rPr>
        <w:t xml:space="preserve"> </w:t>
      </w:r>
      <w:r w:rsidR="006E2F26" w:rsidRPr="006E2F26">
        <w:rPr>
          <w:i/>
          <w:sz w:val="18"/>
          <w:szCs w:val="18"/>
        </w:rPr>
        <w:t>Due to rounding, the total percentages may not sum up</w:t>
      </w:r>
      <w:r w:rsidR="00173597">
        <w:rPr>
          <w:i/>
          <w:sz w:val="18"/>
          <w:szCs w:val="18"/>
        </w:rPr>
        <w:t xml:space="preserve"> exactly</w:t>
      </w:r>
      <w:r w:rsidR="006E2F26" w:rsidRPr="006E2F26">
        <w:rPr>
          <w:i/>
          <w:sz w:val="18"/>
          <w:szCs w:val="18"/>
        </w:rPr>
        <w:t xml:space="preserve"> to 100.</w:t>
      </w:r>
    </w:p>
    <w:p w14:paraId="3144D8E7" w14:textId="2072B90D" w:rsidR="00AD3A80" w:rsidRPr="0048042E" w:rsidRDefault="00BE0917" w:rsidP="00AD3A80">
      <w:r>
        <w:t>The following two tables (</w:t>
      </w:r>
      <w:r w:rsidR="000264E8">
        <w:fldChar w:fldCharType="begin"/>
      </w:r>
      <w:r w:rsidR="000264E8">
        <w:instrText xml:space="preserve"> REF _Ref34909752 \h </w:instrText>
      </w:r>
      <w:r w:rsidR="000264E8">
        <w:fldChar w:fldCharType="separate"/>
      </w:r>
      <w:r w:rsidR="008E2086">
        <w:t xml:space="preserve">Table </w:t>
      </w:r>
      <w:r w:rsidR="008E2086">
        <w:rPr>
          <w:noProof/>
        </w:rPr>
        <w:t>2</w:t>
      </w:r>
      <w:r w:rsidR="008E2086">
        <w:noBreakHyphen/>
      </w:r>
      <w:r w:rsidR="008E2086">
        <w:rPr>
          <w:noProof/>
        </w:rPr>
        <w:t>21</w:t>
      </w:r>
      <w:r w:rsidR="000264E8">
        <w:fldChar w:fldCharType="end"/>
      </w:r>
      <w:r w:rsidR="00AD3A80">
        <w:t xml:space="preserve"> and </w:t>
      </w:r>
      <w:r w:rsidR="00DA4B4C">
        <w:fldChar w:fldCharType="begin"/>
      </w:r>
      <w:r w:rsidR="00DA4B4C">
        <w:instrText xml:space="preserve"> REF _Ref37264865 \h </w:instrText>
      </w:r>
      <w:r w:rsidR="00DA4B4C">
        <w:fldChar w:fldCharType="separate"/>
      </w:r>
      <w:r w:rsidR="008E2086">
        <w:t xml:space="preserve">Table </w:t>
      </w:r>
      <w:r w:rsidR="008E2086">
        <w:rPr>
          <w:noProof/>
        </w:rPr>
        <w:t>2</w:t>
      </w:r>
      <w:r w:rsidR="008E2086">
        <w:noBreakHyphen/>
      </w:r>
      <w:r w:rsidR="008E2086">
        <w:rPr>
          <w:noProof/>
        </w:rPr>
        <w:t>22</w:t>
      </w:r>
      <w:r w:rsidR="00DA4B4C">
        <w:fldChar w:fldCharType="end"/>
      </w:r>
      <w:r>
        <w:t>) look at the fields of study in VET</w:t>
      </w:r>
      <w:r w:rsidR="00AD3A80">
        <w:t xml:space="preserve"> both </w:t>
      </w:r>
      <w:r w:rsidR="00041F2B">
        <w:t>in relation</w:t>
      </w:r>
      <w:r w:rsidR="00AD3A80">
        <w:t xml:space="preserve"> to enrolments and completions.</w:t>
      </w:r>
      <w:r>
        <w:t xml:space="preserve"> </w:t>
      </w:r>
      <w:r w:rsidR="00AD3A80" w:rsidRPr="0048042E">
        <w:t>The distribution of the field</w:t>
      </w:r>
      <w:r w:rsidR="003A639E">
        <w:t>s</w:t>
      </w:r>
      <w:r w:rsidR="00AD3A80" w:rsidRPr="0048042E">
        <w:t xml:space="preserve"> of VET training undertaken and completed appears similar between students from </w:t>
      </w:r>
      <w:r w:rsidR="00AD3A80">
        <w:t xml:space="preserve">the </w:t>
      </w:r>
      <w:r w:rsidR="007B7DDF">
        <w:t>Bundaberg and Hervey Bay region</w:t>
      </w:r>
      <w:r w:rsidR="00AD3A80" w:rsidRPr="0048042E">
        <w:t xml:space="preserve">, </w:t>
      </w:r>
      <w:r w:rsidR="003A639E">
        <w:t xml:space="preserve">the state of </w:t>
      </w:r>
      <w:r w:rsidR="00AD3A80" w:rsidRPr="0048042E">
        <w:t>Queensland</w:t>
      </w:r>
      <w:r w:rsidR="003A639E">
        <w:t xml:space="preserve"> as a whole</w:t>
      </w:r>
      <w:r w:rsidR="00AD3A80" w:rsidRPr="0048042E">
        <w:t xml:space="preserve"> and Australia. The three </w:t>
      </w:r>
      <w:r w:rsidR="00AD3A80">
        <w:t>most prevalent fields are ‘management and commerce’, ‘e</w:t>
      </w:r>
      <w:r w:rsidR="00AD3A80" w:rsidRPr="0048042E">
        <w:t xml:space="preserve">ngineering </w:t>
      </w:r>
      <w:r w:rsidR="00AD3A80">
        <w:t>and related technologies’ and ‘s</w:t>
      </w:r>
      <w:r w:rsidR="00AD3A80" w:rsidRPr="0048042E">
        <w:t>ociety and culture’.</w:t>
      </w:r>
      <w:r w:rsidR="00AD3A80">
        <w:t xml:space="preserve"> In addition, we see a substantially larger proportion of students in </w:t>
      </w:r>
      <w:r w:rsidR="00DD43FE">
        <w:t xml:space="preserve">the </w:t>
      </w:r>
      <w:r w:rsidR="00FB3080">
        <w:t xml:space="preserve">Bundaberg and Hervey Bay region </w:t>
      </w:r>
      <w:r w:rsidR="00AD3A80">
        <w:t>undertaking training in ‘information technology’</w:t>
      </w:r>
      <w:r w:rsidR="003A639E">
        <w:t>, compared with the state of Queensland as a whole and Australia</w:t>
      </w:r>
      <w:r w:rsidR="00AD3A80">
        <w:t>.</w:t>
      </w:r>
    </w:p>
    <w:p w14:paraId="3941E3FE" w14:textId="766C2C3B" w:rsidR="004215DA" w:rsidRPr="005F3FE7" w:rsidRDefault="000851DE" w:rsidP="00AD3A80">
      <w:pPr>
        <w:pStyle w:val="Caption"/>
      </w:pPr>
      <w:bookmarkStart w:id="126" w:name="_Ref34909752"/>
      <w:bookmarkStart w:id="127" w:name="_Toc34935549"/>
      <w:bookmarkStart w:id="128" w:name="_Toc37263584"/>
      <w:r>
        <w:t>Table</w:t>
      </w:r>
      <w:r w:rsidR="00AD3A8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21</w:t>
      </w:r>
      <w:r w:rsidR="006C0554">
        <w:rPr>
          <w:noProof/>
        </w:rPr>
        <w:fldChar w:fldCharType="end"/>
      </w:r>
      <w:bookmarkEnd w:id="126"/>
      <w:r w:rsidR="00AD3A80">
        <w:t xml:space="preserve">: </w:t>
      </w:r>
      <w:r w:rsidR="004215DA" w:rsidRPr="005F3FE7">
        <w:t>Enrolment field of VET training in 2016</w:t>
      </w:r>
      <w:bookmarkEnd w:id="127"/>
      <w:r w:rsidR="003F788C">
        <w:t xml:space="preserve"> (percentage of total vet enrolments)</w:t>
      </w:r>
      <w:bookmarkEnd w:id="128"/>
    </w:p>
    <w:tbl>
      <w:tblPr>
        <w:tblStyle w:val="ListTable3-Accent1"/>
        <w:tblW w:w="0" w:type="auto"/>
        <w:tblLook w:val="04A0" w:firstRow="1" w:lastRow="0" w:firstColumn="1" w:lastColumn="0" w:noHBand="0" w:noVBand="1"/>
      </w:tblPr>
      <w:tblGrid>
        <w:gridCol w:w="4560"/>
        <w:gridCol w:w="980"/>
        <w:gridCol w:w="1312"/>
        <w:gridCol w:w="1035"/>
      </w:tblGrid>
      <w:tr w:rsidR="004215DA" w:rsidRPr="003542F0" w14:paraId="1C9E724D" w14:textId="77777777" w:rsidTr="00A4064D">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2FD46B74" w14:textId="77777777" w:rsidR="004215DA" w:rsidRPr="003542F0" w:rsidRDefault="004215DA" w:rsidP="0079482A"/>
        </w:tc>
        <w:tc>
          <w:tcPr>
            <w:tcW w:w="0" w:type="dxa"/>
            <w:shd w:val="clear" w:color="auto" w:fill="2F5496" w:themeFill="accent5" w:themeFillShade="BF"/>
            <w:noWrap/>
            <w:vAlign w:val="center"/>
            <w:hideMark/>
          </w:tcPr>
          <w:p w14:paraId="032B155D" w14:textId="77777777" w:rsidR="004215DA" w:rsidRPr="003542F0" w:rsidRDefault="007B7DDF" w:rsidP="000613C9">
            <w:pPr>
              <w:jc w:val="center"/>
              <w:cnfStyle w:val="100000000000" w:firstRow="1" w:lastRow="0" w:firstColumn="0" w:lastColumn="0" w:oddVBand="0" w:evenVBand="0" w:oddHBand="0" w:evenHBand="0" w:firstRowFirstColumn="0" w:firstRowLastColumn="0" w:lastRowFirstColumn="0" w:lastRowLastColumn="0"/>
            </w:pPr>
            <w:r w:rsidRPr="003542F0">
              <w:t>BHB</w:t>
            </w:r>
          </w:p>
        </w:tc>
        <w:tc>
          <w:tcPr>
            <w:tcW w:w="0" w:type="dxa"/>
            <w:shd w:val="clear" w:color="auto" w:fill="2F5496" w:themeFill="accent5" w:themeFillShade="BF"/>
            <w:noWrap/>
            <w:vAlign w:val="center"/>
            <w:hideMark/>
          </w:tcPr>
          <w:p w14:paraId="26DF4A8F"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vAlign w:val="center"/>
            <w:hideMark/>
          </w:tcPr>
          <w:p w14:paraId="5F3C0526"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40986DB8"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0593B23E" w14:textId="77777777" w:rsidR="004215DA" w:rsidRPr="005F3FE7" w:rsidRDefault="004215DA" w:rsidP="0079482A">
            <w:r w:rsidRPr="005F3FE7">
              <w:t>Natural and physical sciences</w:t>
            </w:r>
          </w:p>
        </w:tc>
        <w:tc>
          <w:tcPr>
            <w:tcW w:w="980" w:type="dxa"/>
            <w:noWrap/>
            <w:vAlign w:val="center"/>
            <w:hideMark/>
          </w:tcPr>
          <w:p w14:paraId="0E29A5D4"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0.6</w:t>
            </w:r>
          </w:p>
        </w:tc>
        <w:tc>
          <w:tcPr>
            <w:tcW w:w="1288" w:type="dxa"/>
            <w:noWrap/>
            <w:vAlign w:val="center"/>
            <w:hideMark/>
          </w:tcPr>
          <w:p w14:paraId="6ECB7D6B"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0.5</w:t>
            </w:r>
          </w:p>
        </w:tc>
        <w:tc>
          <w:tcPr>
            <w:tcW w:w="1008" w:type="dxa"/>
            <w:noWrap/>
            <w:vAlign w:val="center"/>
            <w:hideMark/>
          </w:tcPr>
          <w:p w14:paraId="0F97760C"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0.5</w:t>
            </w:r>
          </w:p>
        </w:tc>
      </w:tr>
      <w:tr w:rsidR="004215DA" w:rsidRPr="005F3FE7" w14:paraId="2177644A" w14:textId="77777777" w:rsidTr="00F44DEC">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32B61100" w14:textId="77777777" w:rsidR="004215DA" w:rsidRPr="005F3FE7" w:rsidRDefault="004215DA" w:rsidP="0079482A">
            <w:r w:rsidRPr="005F3FE7">
              <w:t>Information technology</w:t>
            </w:r>
          </w:p>
        </w:tc>
        <w:tc>
          <w:tcPr>
            <w:tcW w:w="980" w:type="dxa"/>
            <w:noWrap/>
            <w:vAlign w:val="center"/>
            <w:hideMark/>
          </w:tcPr>
          <w:p w14:paraId="0DB6E8B9"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8.0</w:t>
            </w:r>
          </w:p>
        </w:tc>
        <w:tc>
          <w:tcPr>
            <w:tcW w:w="1288" w:type="dxa"/>
            <w:noWrap/>
            <w:vAlign w:val="center"/>
            <w:hideMark/>
          </w:tcPr>
          <w:p w14:paraId="3D0AABC4"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3.6</w:t>
            </w:r>
          </w:p>
        </w:tc>
        <w:tc>
          <w:tcPr>
            <w:tcW w:w="1008" w:type="dxa"/>
            <w:noWrap/>
            <w:vAlign w:val="center"/>
            <w:hideMark/>
          </w:tcPr>
          <w:p w14:paraId="5D6C5EA2"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2.8</w:t>
            </w:r>
          </w:p>
        </w:tc>
      </w:tr>
      <w:tr w:rsidR="004215DA" w:rsidRPr="005F3FE7" w14:paraId="23C99EEA"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7C4F32E3" w14:textId="77777777" w:rsidR="004215DA" w:rsidRPr="005F3FE7" w:rsidRDefault="004215DA" w:rsidP="0079482A">
            <w:r w:rsidRPr="005F3FE7">
              <w:t>Engineering and related technologies</w:t>
            </w:r>
          </w:p>
        </w:tc>
        <w:tc>
          <w:tcPr>
            <w:tcW w:w="980" w:type="dxa"/>
            <w:noWrap/>
            <w:vAlign w:val="center"/>
            <w:hideMark/>
          </w:tcPr>
          <w:p w14:paraId="05601DAA"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17.1</w:t>
            </w:r>
          </w:p>
        </w:tc>
        <w:tc>
          <w:tcPr>
            <w:tcW w:w="1288" w:type="dxa"/>
            <w:noWrap/>
            <w:vAlign w:val="center"/>
            <w:hideMark/>
          </w:tcPr>
          <w:p w14:paraId="535EA526"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19.4</w:t>
            </w:r>
          </w:p>
        </w:tc>
        <w:tc>
          <w:tcPr>
            <w:tcW w:w="1008" w:type="dxa"/>
            <w:noWrap/>
            <w:vAlign w:val="center"/>
            <w:hideMark/>
          </w:tcPr>
          <w:p w14:paraId="70F28AF4"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15.0</w:t>
            </w:r>
          </w:p>
        </w:tc>
      </w:tr>
      <w:tr w:rsidR="004215DA" w:rsidRPr="005F3FE7" w14:paraId="519C793A" w14:textId="77777777" w:rsidTr="00F44DEC">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08E23C9F" w14:textId="77777777" w:rsidR="004215DA" w:rsidRPr="005F3FE7" w:rsidRDefault="004215DA" w:rsidP="0079482A">
            <w:r w:rsidRPr="005F3FE7">
              <w:t>Architecture and building</w:t>
            </w:r>
          </w:p>
        </w:tc>
        <w:tc>
          <w:tcPr>
            <w:tcW w:w="980" w:type="dxa"/>
            <w:noWrap/>
            <w:vAlign w:val="center"/>
            <w:hideMark/>
          </w:tcPr>
          <w:p w14:paraId="6A3C496B"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5.5</w:t>
            </w:r>
          </w:p>
        </w:tc>
        <w:tc>
          <w:tcPr>
            <w:tcW w:w="1288" w:type="dxa"/>
            <w:noWrap/>
            <w:vAlign w:val="center"/>
            <w:hideMark/>
          </w:tcPr>
          <w:p w14:paraId="25D98DC7"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8.3</w:t>
            </w:r>
          </w:p>
        </w:tc>
        <w:tc>
          <w:tcPr>
            <w:tcW w:w="1008" w:type="dxa"/>
            <w:noWrap/>
            <w:vAlign w:val="center"/>
            <w:hideMark/>
          </w:tcPr>
          <w:p w14:paraId="2620C118"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7.9</w:t>
            </w:r>
          </w:p>
        </w:tc>
      </w:tr>
      <w:tr w:rsidR="004215DA" w:rsidRPr="005F3FE7" w14:paraId="6E28684F"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7AE39928" w14:textId="77777777" w:rsidR="004215DA" w:rsidRPr="005F3FE7" w:rsidRDefault="004215DA" w:rsidP="0079482A">
            <w:r w:rsidRPr="005F3FE7">
              <w:t>Agriculture, environmental and related studies</w:t>
            </w:r>
          </w:p>
        </w:tc>
        <w:tc>
          <w:tcPr>
            <w:tcW w:w="980" w:type="dxa"/>
            <w:noWrap/>
            <w:vAlign w:val="center"/>
            <w:hideMark/>
          </w:tcPr>
          <w:p w14:paraId="087793BD"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4.3</w:t>
            </w:r>
          </w:p>
        </w:tc>
        <w:tc>
          <w:tcPr>
            <w:tcW w:w="1288" w:type="dxa"/>
            <w:noWrap/>
            <w:vAlign w:val="center"/>
            <w:hideMark/>
          </w:tcPr>
          <w:p w14:paraId="6E6B650B"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2.9</w:t>
            </w:r>
          </w:p>
        </w:tc>
        <w:tc>
          <w:tcPr>
            <w:tcW w:w="1008" w:type="dxa"/>
            <w:noWrap/>
            <w:vAlign w:val="center"/>
            <w:hideMark/>
          </w:tcPr>
          <w:p w14:paraId="2910375B"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2.8</w:t>
            </w:r>
          </w:p>
        </w:tc>
      </w:tr>
      <w:tr w:rsidR="004215DA" w:rsidRPr="005F3FE7" w14:paraId="28B620CD" w14:textId="77777777" w:rsidTr="00F44DEC">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1F369F21" w14:textId="77777777" w:rsidR="004215DA" w:rsidRPr="005F3FE7" w:rsidRDefault="004215DA" w:rsidP="0079482A">
            <w:r w:rsidRPr="005F3FE7">
              <w:t>Health</w:t>
            </w:r>
          </w:p>
        </w:tc>
        <w:tc>
          <w:tcPr>
            <w:tcW w:w="980" w:type="dxa"/>
            <w:noWrap/>
            <w:vAlign w:val="center"/>
            <w:hideMark/>
          </w:tcPr>
          <w:p w14:paraId="0D83755B"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7.1</w:t>
            </w:r>
          </w:p>
        </w:tc>
        <w:tc>
          <w:tcPr>
            <w:tcW w:w="1288" w:type="dxa"/>
            <w:noWrap/>
            <w:vAlign w:val="center"/>
            <w:hideMark/>
          </w:tcPr>
          <w:p w14:paraId="0739D8A9"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7.0</w:t>
            </w:r>
          </w:p>
        </w:tc>
        <w:tc>
          <w:tcPr>
            <w:tcW w:w="1008" w:type="dxa"/>
            <w:noWrap/>
            <w:vAlign w:val="center"/>
            <w:hideMark/>
          </w:tcPr>
          <w:p w14:paraId="51399280"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7.0</w:t>
            </w:r>
          </w:p>
        </w:tc>
      </w:tr>
      <w:tr w:rsidR="004215DA" w:rsidRPr="005F3FE7" w14:paraId="432A1846"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6E152C51" w14:textId="77777777" w:rsidR="004215DA" w:rsidRPr="005F3FE7" w:rsidRDefault="004215DA" w:rsidP="0079482A">
            <w:r w:rsidRPr="005F3FE7">
              <w:t>Education</w:t>
            </w:r>
          </w:p>
        </w:tc>
        <w:tc>
          <w:tcPr>
            <w:tcW w:w="980" w:type="dxa"/>
            <w:noWrap/>
            <w:vAlign w:val="center"/>
            <w:hideMark/>
          </w:tcPr>
          <w:p w14:paraId="3D520315"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4.2</w:t>
            </w:r>
          </w:p>
        </w:tc>
        <w:tc>
          <w:tcPr>
            <w:tcW w:w="1288" w:type="dxa"/>
            <w:noWrap/>
            <w:vAlign w:val="center"/>
            <w:hideMark/>
          </w:tcPr>
          <w:p w14:paraId="0E4D0696"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5.1</w:t>
            </w:r>
          </w:p>
        </w:tc>
        <w:tc>
          <w:tcPr>
            <w:tcW w:w="1008" w:type="dxa"/>
            <w:noWrap/>
            <w:vAlign w:val="center"/>
            <w:hideMark/>
          </w:tcPr>
          <w:p w14:paraId="3C0266AF"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5.6</w:t>
            </w:r>
          </w:p>
        </w:tc>
      </w:tr>
      <w:tr w:rsidR="004215DA" w:rsidRPr="005F3FE7" w14:paraId="1B36D98E" w14:textId="77777777" w:rsidTr="00F44DEC">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40F200F5" w14:textId="77777777" w:rsidR="004215DA" w:rsidRPr="005F3FE7" w:rsidRDefault="004215DA" w:rsidP="0079482A">
            <w:r w:rsidRPr="005F3FE7">
              <w:t>Management and commerce</w:t>
            </w:r>
          </w:p>
        </w:tc>
        <w:tc>
          <w:tcPr>
            <w:tcW w:w="980" w:type="dxa"/>
            <w:noWrap/>
            <w:vAlign w:val="center"/>
            <w:hideMark/>
          </w:tcPr>
          <w:p w14:paraId="1F1B9471"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20.5</w:t>
            </w:r>
          </w:p>
        </w:tc>
        <w:tc>
          <w:tcPr>
            <w:tcW w:w="1288" w:type="dxa"/>
            <w:noWrap/>
            <w:vAlign w:val="center"/>
            <w:hideMark/>
          </w:tcPr>
          <w:p w14:paraId="001A79F0"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20.4</w:t>
            </w:r>
          </w:p>
        </w:tc>
        <w:tc>
          <w:tcPr>
            <w:tcW w:w="1008" w:type="dxa"/>
            <w:noWrap/>
            <w:vAlign w:val="center"/>
            <w:hideMark/>
          </w:tcPr>
          <w:p w14:paraId="12C49939"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23.6</w:t>
            </w:r>
          </w:p>
        </w:tc>
      </w:tr>
      <w:tr w:rsidR="004215DA" w:rsidRPr="005F3FE7" w14:paraId="2CE6979F"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2244E71F" w14:textId="77777777" w:rsidR="004215DA" w:rsidRPr="005F3FE7" w:rsidRDefault="004215DA" w:rsidP="0079482A">
            <w:r w:rsidRPr="005F3FE7">
              <w:t>Society and culture</w:t>
            </w:r>
          </w:p>
        </w:tc>
        <w:tc>
          <w:tcPr>
            <w:tcW w:w="980" w:type="dxa"/>
            <w:noWrap/>
            <w:vAlign w:val="center"/>
            <w:hideMark/>
          </w:tcPr>
          <w:p w14:paraId="486367B4"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19.2</w:t>
            </w:r>
          </w:p>
        </w:tc>
        <w:tc>
          <w:tcPr>
            <w:tcW w:w="1288" w:type="dxa"/>
            <w:noWrap/>
            <w:vAlign w:val="center"/>
            <w:hideMark/>
          </w:tcPr>
          <w:p w14:paraId="288E3D42"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15.4</w:t>
            </w:r>
          </w:p>
        </w:tc>
        <w:tc>
          <w:tcPr>
            <w:tcW w:w="1008" w:type="dxa"/>
            <w:noWrap/>
            <w:vAlign w:val="center"/>
            <w:hideMark/>
          </w:tcPr>
          <w:p w14:paraId="73D0D0C9"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16.1</w:t>
            </w:r>
          </w:p>
        </w:tc>
      </w:tr>
      <w:tr w:rsidR="004215DA" w:rsidRPr="005F3FE7" w14:paraId="5383B53F" w14:textId="77777777" w:rsidTr="00F44DEC">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2553781E" w14:textId="77777777" w:rsidR="004215DA" w:rsidRPr="005F3FE7" w:rsidRDefault="004215DA" w:rsidP="0079482A">
            <w:r w:rsidRPr="005F3FE7">
              <w:t>Creative arts</w:t>
            </w:r>
          </w:p>
        </w:tc>
        <w:tc>
          <w:tcPr>
            <w:tcW w:w="980" w:type="dxa"/>
            <w:noWrap/>
            <w:vAlign w:val="center"/>
            <w:hideMark/>
          </w:tcPr>
          <w:p w14:paraId="0E33EA12"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1.0</w:t>
            </w:r>
          </w:p>
        </w:tc>
        <w:tc>
          <w:tcPr>
            <w:tcW w:w="1288" w:type="dxa"/>
            <w:noWrap/>
            <w:vAlign w:val="center"/>
            <w:hideMark/>
          </w:tcPr>
          <w:p w14:paraId="78A77FD7"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1.8</w:t>
            </w:r>
          </w:p>
        </w:tc>
        <w:tc>
          <w:tcPr>
            <w:tcW w:w="1008" w:type="dxa"/>
            <w:noWrap/>
            <w:vAlign w:val="center"/>
            <w:hideMark/>
          </w:tcPr>
          <w:p w14:paraId="4CE04A00"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2.7</w:t>
            </w:r>
          </w:p>
        </w:tc>
      </w:tr>
      <w:tr w:rsidR="004215DA" w:rsidRPr="005F3FE7" w14:paraId="3A84292C"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7ECD0428" w14:textId="77777777" w:rsidR="004215DA" w:rsidRPr="005F3FE7" w:rsidRDefault="004215DA" w:rsidP="0079482A">
            <w:r w:rsidRPr="005F3FE7">
              <w:t>Food, hospitality and personal services</w:t>
            </w:r>
          </w:p>
        </w:tc>
        <w:tc>
          <w:tcPr>
            <w:tcW w:w="980" w:type="dxa"/>
            <w:noWrap/>
            <w:vAlign w:val="center"/>
            <w:hideMark/>
          </w:tcPr>
          <w:p w14:paraId="1A255D4F"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7.3</w:t>
            </w:r>
          </w:p>
        </w:tc>
        <w:tc>
          <w:tcPr>
            <w:tcW w:w="1288" w:type="dxa"/>
            <w:noWrap/>
            <w:vAlign w:val="center"/>
            <w:hideMark/>
          </w:tcPr>
          <w:p w14:paraId="26794D08"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7.5</w:t>
            </w:r>
          </w:p>
        </w:tc>
        <w:tc>
          <w:tcPr>
            <w:tcW w:w="1008" w:type="dxa"/>
            <w:noWrap/>
            <w:vAlign w:val="center"/>
            <w:hideMark/>
          </w:tcPr>
          <w:p w14:paraId="168D01A1"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8.4</w:t>
            </w:r>
          </w:p>
        </w:tc>
      </w:tr>
      <w:tr w:rsidR="004215DA" w:rsidRPr="005F3FE7" w14:paraId="2152C92B" w14:textId="77777777" w:rsidTr="00F44DEC">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7B2C52D9" w14:textId="77777777" w:rsidR="004215DA" w:rsidRPr="005F3FE7" w:rsidRDefault="004215DA" w:rsidP="0079482A">
            <w:r w:rsidRPr="005F3FE7">
              <w:t>Mixed field programmes</w:t>
            </w:r>
          </w:p>
        </w:tc>
        <w:tc>
          <w:tcPr>
            <w:tcW w:w="980" w:type="dxa"/>
            <w:noWrap/>
            <w:vAlign w:val="center"/>
            <w:hideMark/>
          </w:tcPr>
          <w:p w14:paraId="6E73552D"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5.4</w:t>
            </w:r>
          </w:p>
        </w:tc>
        <w:tc>
          <w:tcPr>
            <w:tcW w:w="1288" w:type="dxa"/>
            <w:noWrap/>
            <w:vAlign w:val="center"/>
            <w:hideMark/>
          </w:tcPr>
          <w:p w14:paraId="59979369"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8.2</w:t>
            </w:r>
          </w:p>
        </w:tc>
        <w:tc>
          <w:tcPr>
            <w:tcW w:w="1008" w:type="dxa"/>
            <w:noWrap/>
            <w:vAlign w:val="center"/>
            <w:hideMark/>
          </w:tcPr>
          <w:p w14:paraId="26FF0AEC"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7.7</w:t>
            </w:r>
          </w:p>
        </w:tc>
      </w:tr>
      <w:tr w:rsidR="004215DA" w:rsidRPr="005F3FE7" w14:paraId="30D2ED5E" w14:textId="77777777" w:rsidTr="00F44D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7FFC2A65" w14:textId="77777777" w:rsidR="004215DA" w:rsidRPr="005F3FE7" w:rsidRDefault="004215DA" w:rsidP="0079482A">
            <w:r w:rsidRPr="005F3FE7">
              <w:t>Total</w:t>
            </w:r>
          </w:p>
        </w:tc>
        <w:tc>
          <w:tcPr>
            <w:tcW w:w="980" w:type="dxa"/>
            <w:noWrap/>
            <w:vAlign w:val="center"/>
            <w:hideMark/>
          </w:tcPr>
          <w:p w14:paraId="07F3523E"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rPr>
                <w:b/>
              </w:rPr>
            </w:pPr>
            <w:r w:rsidRPr="00AD3A80">
              <w:rPr>
                <w:b/>
              </w:rPr>
              <w:t>100.0</w:t>
            </w:r>
          </w:p>
        </w:tc>
        <w:tc>
          <w:tcPr>
            <w:tcW w:w="1288" w:type="dxa"/>
            <w:noWrap/>
            <w:vAlign w:val="center"/>
            <w:hideMark/>
          </w:tcPr>
          <w:p w14:paraId="1CA6B738"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rPr>
                <w:b/>
              </w:rPr>
            </w:pPr>
            <w:r w:rsidRPr="00AD3A80">
              <w:rPr>
                <w:b/>
              </w:rPr>
              <w:t>100.0</w:t>
            </w:r>
          </w:p>
        </w:tc>
        <w:tc>
          <w:tcPr>
            <w:tcW w:w="1008" w:type="dxa"/>
            <w:noWrap/>
            <w:vAlign w:val="center"/>
            <w:hideMark/>
          </w:tcPr>
          <w:p w14:paraId="42CF96A4"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rPr>
                <w:b/>
              </w:rPr>
            </w:pPr>
            <w:r w:rsidRPr="00AD3A80">
              <w:rPr>
                <w:b/>
              </w:rPr>
              <w:t>100.0</w:t>
            </w:r>
          </w:p>
        </w:tc>
      </w:tr>
    </w:tbl>
    <w:p w14:paraId="26E8F62F" w14:textId="77777777" w:rsidR="004215DA" w:rsidRPr="00AD3A80" w:rsidRDefault="004215DA" w:rsidP="00AD3A80">
      <w:pPr>
        <w:spacing w:after="0"/>
        <w:rPr>
          <w:i/>
          <w:sz w:val="18"/>
          <w:szCs w:val="18"/>
        </w:rPr>
      </w:pPr>
      <w:r w:rsidRPr="00AD3A80">
        <w:rPr>
          <w:i/>
          <w:sz w:val="18"/>
          <w:szCs w:val="18"/>
        </w:rPr>
        <w:t>Source:</w:t>
      </w:r>
      <w:r w:rsidR="003F788C">
        <w:rPr>
          <w:i/>
          <w:sz w:val="18"/>
          <w:szCs w:val="18"/>
        </w:rPr>
        <w:t xml:space="preserve"> NCVER</w:t>
      </w:r>
      <w:r w:rsidRPr="00AD3A80">
        <w:rPr>
          <w:i/>
          <w:sz w:val="18"/>
          <w:szCs w:val="18"/>
        </w:rPr>
        <w:t xml:space="preserve"> Total VET activity (TVA), Table</w:t>
      </w:r>
      <w:r w:rsidR="00D062A7">
        <w:rPr>
          <w:i/>
          <w:sz w:val="18"/>
          <w:szCs w:val="18"/>
        </w:rPr>
        <w:t xml:space="preserve"> </w:t>
      </w:r>
      <w:r w:rsidRPr="00AD3A80">
        <w:rPr>
          <w:i/>
          <w:sz w:val="18"/>
          <w:szCs w:val="18"/>
        </w:rPr>
        <w:t>Builder.</w:t>
      </w:r>
    </w:p>
    <w:p w14:paraId="5239240B" w14:textId="77777777" w:rsidR="004215DA" w:rsidRPr="00AD3A80" w:rsidRDefault="004215DA" w:rsidP="00AD3A80">
      <w:pPr>
        <w:spacing w:after="0"/>
        <w:rPr>
          <w:i/>
          <w:sz w:val="18"/>
          <w:szCs w:val="18"/>
        </w:rPr>
      </w:pPr>
      <w:r w:rsidRPr="00AD3A80">
        <w:rPr>
          <w:i/>
          <w:sz w:val="18"/>
          <w:szCs w:val="18"/>
        </w:rPr>
        <w:t>Note</w:t>
      </w:r>
      <w:r w:rsidR="006E2F26">
        <w:rPr>
          <w:i/>
          <w:sz w:val="18"/>
          <w:szCs w:val="18"/>
        </w:rPr>
        <w:t>s</w:t>
      </w:r>
      <w:r w:rsidRPr="00AD3A80">
        <w:rPr>
          <w:i/>
          <w:sz w:val="18"/>
          <w:szCs w:val="18"/>
        </w:rPr>
        <w:t xml:space="preserve">: </w:t>
      </w:r>
      <w:r w:rsidR="00EB2772">
        <w:rPr>
          <w:i/>
          <w:sz w:val="18"/>
          <w:szCs w:val="18"/>
        </w:rPr>
        <w:t>‘</w:t>
      </w:r>
      <w:r w:rsidRPr="00AD3A80">
        <w:rPr>
          <w:i/>
          <w:sz w:val="18"/>
          <w:szCs w:val="18"/>
        </w:rPr>
        <w:t>BHB</w:t>
      </w:r>
      <w:r w:rsidR="00EB2772">
        <w:rPr>
          <w:i/>
          <w:sz w:val="18"/>
          <w:szCs w:val="18"/>
        </w:rPr>
        <w:t>’</w:t>
      </w:r>
      <w:r w:rsidR="007B7DDF">
        <w:rPr>
          <w:i/>
          <w:sz w:val="18"/>
          <w:szCs w:val="18"/>
        </w:rPr>
        <w:t xml:space="preserve"> </w:t>
      </w:r>
      <w:bookmarkStart w:id="129" w:name="_Hlk36157257"/>
      <w:r w:rsidR="007B7DDF">
        <w:rPr>
          <w:i/>
          <w:sz w:val="18"/>
          <w:szCs w:val="18"/>
        </w:rPr>
        <w:t>refers to</w:t>
      </w:r>
      <w:r w:rsidRPr="00AD3A80">
        <w:rPr>
          <w:i/>
          <w:sz w:val="18"/>
          <w:szCs w:val="18"/>
        </w:rPr>
        <w:t xml:space="preserve"> </w:t>
      </w:r>
      <w:r w:rsidR="007B7DDF">
        <w:rPr>
          <w:i/>
          <w:sz w:val="18"/>
          <w:szCs w:val="18"/>
        </w:rPr>
        <w:t>Bundaberg and Hervey Bay</w:t>
      </w:r>
      <w:r w:rsidR="00A02CC1">
        <w:rPr>
          <w:i/>
          <w:sz w:val="18"/>
          <w:szCs w:val="18"/>
        </w:rPr>
        <w:t xml:space="preserve"> added</w:t>
      </w:r>
      <w:r w:rsidR="007B7DDF">
        <w:rPr>
          <w:i/>
          <w:sz w:val="18"/>
          <w:szCs w:val="18"/>
        </w:rPr>
        <w:t xml:space="preserve"> together, which</w:t>
      </w:r>
      <w:r w:rsidRPr="00AD3A80">
        <w:rPr>
          <w:i/>
          <w:sz w:val="18"/>
          <w:szCs w:val="18"/>
        </w:rPr>
        <w:t xml:space="preserve"> </w:t>
      </w:r>
      <w:bookmarkEnd w:id="129"/>
      <w:r w:rsidRPr="00AD3A80">
        <w:rPr>
          <w:i/>
          <w:sz w:val="18"/>
          <w:szCs w:val="18"/>
        </w:rPr>
        <w:t xml:space="preserve">is identified using the </w:t>
      </w:r>
      <w:r w:rsidR="00870E6D" w:rsidRPr="00870E6D">
        <w:rPr>
          <w:i/>
          <w:iCs/>
          <w:sz w:val="18"/>
          <w:szCs w:val="18"/>
        </w:rPr>
        <w:t>ABS Main Area Structure</w:t>
      </w:r>
      <w:r w:rsidRPr="00AD3A80">
        <w:rPr>
          <w:i/>
          <w:sz w:val="18"/>
          <w:szCs w:val="18"/>
        </w:rPr>
        <w:t xml:space="preserve"> information</w:t>
      </w:r>
      <w:r w:rsidR="007B7DDF">
        <w:rPr>
          <w:i/>
          <w:sz w:val="18"/>
          <w:szCs w:val="18"/>
        </w:rPr>
        <w:t xml:space="preserve"> at the SA3 level</w:t>
      </w:r>
      <w:r w:rsidRPr="00AD3A80">
        <w:rPr>
          <w:i/>
          <w:sz w:val="18"/>
          <w:szCs w:val="18"/>
        </w:rPr>
        <w:t>.</w:t>
      </w:r>
      <w:r w:rsidR="006E2F26">
        <w:rPr>
          <w:i/>
          <w:sz w:val="18"/>
          <w:szCs w:val="18"/>
        </w:rPr>
        <w:t xml:space="preserve"> </w:t>
      </w:r>
      <w:r w:rsidR="006E2F26" w:rsidRPr="006E2F26">
        <w:rPr>
          <w:i/>
          <w:sz w:val="18"/>
          <w:szCs w:val="18"/>
        </w:rPr>
        <w:t>Due to rounding, the total percentages may not sum up</w:t>
      </w:r>
      <w:r w:rsidR="00173597">
        <w:rPr>
          <w:i/>
          <w:sz w:val="18"/>
          <w:szCs w:val="18"/>
        </w:rPr>
        <w:t xml:space="preserve"> exactly</w:t>
      </w:r>
      <w:r w:rsidR="006E2F26" w:rsidRPr="006E2F26">
        <w:rPr>
          <w:i/>
          <w:sz w:val="18"/>
          <w:szCs w:val="18"/>
        </w:rPr>
        <w:t xml:space="preserve"> to 100.</w:t>
      </w:r>
    </w:p>
    <w:p w14:paraId="30746DA6" w14:textId="77777777" w:rsidR="004B2C90" w:rsidRDefault="004B2C90">
      <w:pPr>
        <w:jc w:val="left"/>
        <w:rPr>
          <w:rFonts w:cstheme="minorHAnsi"/>
          <w:b/>
          <w:bCs/>
          <w:caps/>
          <w:sz w:val="20"/>
          <w:szCs w:val="18"/>
        </w:rPr>
      </w:pPr>
      <w:bookmarkStart w:id="130" w:name="_Ref34909767"/>
      <w:bookmarkStart w:id="131" w:name="_Toc34935550"/>
      <w:r>
        <w:br w:type="page"/>
      </w:r>
    </w:p>
    <w:p w14:paraId="7D9F46B4" w14:textId="3BD0B06F" w:rsidR="004215DA" w:rsidRPr="005F3FE7" w:rsidRDefault="000851DE" w:rsidP="00AD3A80">
      <w:pPr>
        <w:pStyle w:val="Caption"/>
      </w:pPr>
      <w:bookmarkStart w:id="132" w:name="_Ref37264865"/>
      <w:bookmarkStart w:id="133" w:name="_Toc37263585"/>
      <w:r>
        <w:lastRenderedPageBreak/>
        <w:t>Table</w:t>
      </w:r>
      <w:r w:rsidR="00AD3A80">
        <w:t xml:space="preserv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22</w:t>
      </w:r>
      <w:r w:rsidR="006C0554">
        <w:rPr>
          <w:noProof/>
        </w:rPr>
        <w:fldChar w:fldCharType="end"/>
      </w:r>
      <w:bookmarkEnd w:id="130"/>
      <w:bookmarkEnd w:id="132"/>
      <w:r w:rsidR="00AD3A80">
        <w:t xml:space="preserve">: </w:t>
      </w:r>
      <w:r w:rsidR="004215DA" w:rsidRPr="005F3FE7">
        <w:t>Completion field of VET training in 2016</w:t>
      </w:r>
      <w:bookmarkEnd w:id="131"/>
      <w:r w:rsidR="003F788C">
        <w:t xml:space="preserve"> (percentage of total vet completions)</w:t>
      </w:r>
      <w:bookmarkEnd w:id="133"/>
    </w:p>
    <w:tbl>
      <w:tblPr>
        <w:tblStyle w:val="ListTable3-Accent1"/>
        <w:tblW w:w="0" w:type="auto"/>
        <w:tblLook w:val="04A0" w:firstRow="1" w:lastRow="0" w:firstColumn="1" w:lastColumn="0" w:noHBand="0" w:noVBand="1"/>
      </w:tblPr>
      <w:tblGrid>
        <w:gridCol w:w="4560"/>
        <w:gridCol w:w="980"/>
        <w:gridCol w:w="1312"/>
        <w:gridCol w:w="1035"/>
      </w:tblGrid>
      <w:tr w:rsidR="004215DA" w:rsidRPr="003542F0" w14:paraId="20C1B7CB" w14:textId="77777777" w:rsidTr="00A4064D">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62685994" w14:textId="77777777" w:rsidR="004215DA" w:rsidRPr="003542F0" w:rsidRDefault="004215DA" w:rsidP="0079482A"/>
        </w:tc>
        <w:tc>
          <w:tcPr>
            <w:tcW w:w="0" w:type="dxa"/>
            <w:shd w:val="clear" w:color="auto" w:fill="2F5496" w:themeFill="accent5" w:themeFillShade="BF"/>
            <w:noWrap/>
            <w:vAlign w:val="center"/>
            <w:hideMark/>
          </w:tcPr>
          <w:p w14:paraId="58417C13"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BHB</w:t>
            </w:r>
          </w:p>
        </w:tc>
        <w:tc>
          <w:tcPr>
            <w:tcW w:w="0" w:type="dxa"/>
            <w:shd w:val="clear" w:color="auto" w:fill="2F5496" w:themeFill="accent5" w:themeFillShade="BF"/>
            <w:noWrap/>
            <w:vAlign w:val="center"/>
            <w:hideMark/>
          </w:tcPr>
          <w:p w14:paraId="6341C1A9"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Queensland</w:t>
            </w:r>
          </w:p>
        </w:tc>
        <w:tc>
          <w:tcPr>
            <w:tcW w:w="0" w:type="dxa"/>
            <w:shd w:val="clear" w:color="auto" w:fill="2F5496" w:themeFill="accent5" w:themeFillShade="BF"/>
            <w:noWrap/>
            <w:vAlign w:val="center"/>
            <w:hideMark/>
          </w:tcPr>
          <w:p w14:paraId="6CAF6BA6" w14:textId="77777777" w:rsidR="004215DA" w:rsidRPr="003542F0" w:rsidRDefault="004215DA" w:rsidP="000613C9">
            <w:pPr>
              <w:jc w:val="center"/>
              <w:cnfStyle w:val="100000000000" w:firstRow="1" w:lastRow="0" w:firstColumn="0" w:lastColumn="0" w:oddVBand="0" w:evenVBand="0" w:oddHBand="0" w:evenHBand="0" w:firstRowFirstColumn="0" w:firstRowLastColumn="0" w:lastRowFirstColumn="0" w:lastRowLastColumn="0"/>
            </w:pPr>
            <w:r w:rsidRPr="003542F0">
              <w:t>Australia</w:t>
            </w:r>
          </w:p>
        </w:tc>
      </w:tr>
      <w:tr w:rsidR="004215DA" w:rsidRPr="005F3FE7" w14:paraId="0494CCFF" w14:textId="77777777" w:rsidTr="004B2C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42B49D38" w14:textId="77777777" w:rsidR="004215DA" w:rsidRPr="005F3FE7" w:rsidRDefault="004215DA" w:rsidP="0079482A">
            <w:r w:rsidRPr="005F3FE7">
              <w:t>Natural and physical sciences</w:t>
            </w:r>
          </w:p>
        </w:tc>
        <w:tc>
          <w:tcPr>
            <w:tcW w:w="980" w:type="dxa"/>
            <w:noWrap/>
            <w:vAlign w:val="center"/>
          </w:tcPr>
          <w:p w14:paraId="26004935"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1.4</w:t>
            </w:r>
          </w:p>
        </w:tc>
        <w:tc>
          <w:tcPr>
            <w:tcW w:w="1312" w:type="dxa"/>
            <w:noWrap/>
            <w:vAlign w:val="center"/>
          </w:tcPr>
          <w:p w14:paraId="74054440"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0.9</w:t>
            </w:r>
          </w:p>
        </w:tc>
        <w:tc>
          <w:tcPr>
            <w:tcW w:w="1035" w:type="dxa"/>
            <w:noWrap/>
            <w:vAlign w:val="center"/>
          </w:tcPr>
          <w:p w14:paraId="09184ED4"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0.7</w:t>
            </w:r>
          </w:p>
        </w:tc>
      </w:tr>
      <w:tr w:rsidR="004215DA" w:rsidRPr="005F3FE7" w14:paraId="126A6D87" w14:textId="77777777" w:rsidTr="004B2C90">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5B890C08" w14:textId="77777777" w:rsidR="004215DA" w:rsidRPr="005F3FE7" w:rsidRDefault="004215DA" w:rsidP="0079482A">
            <w:r w:rsidRPr="005F3FE7">
              <w:t>Information technology</w:t>
            </w:r>
          </w:p>
        </w:tc>
        <w:tc>
          <w:tcPr>
            <w:tcW w:w="980" w:type="dxa"/>
            <w:noWrap/>
            <w:vAlign w:val="center"/>
          </w:tcPr>
          <w:p w14:paraId="339F6DFE"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9.7</w:t>
            </w:r>
          </w:p>
        </w:tc>
        <w:tc>
          <w:tcPr>
            <w:tcW w:w="1312" w:type="dxa"/>
            <w:noWrap/>
            <w:vAlign w:val="center"/>
          </w:tcPr>
          <w:p w14:paraId="064B7002"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3.6</w:t>
            </w:r>
          </w:p>
        </w:tc>
        <w:tc>
          <w:tcPr>
            <w:tcW w:w="1035" w:type="dxa"/>
            <w:noWrap/>
            <w:vAlign w:val="center"/>
          </w:tcPr>
          <w:p w14:paraId="1714C230"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2.5</w:t>
            </w:r>
          </w:p>
        </w:tc>
      </w:tr>
      <w:tr w:rsidR="004215DA" w:rsidRPr="005F3FE7" w14:paraId="1A7AA266" w14:textId="77777777" w:rsidTr="004B2C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17F88F77" w14:textId="77777777" w:rsidR="004215DA" w:rsidRPr="005F3FE7" w:rsidRDefault="004215DA" w:rsidP="0079482A">
            <w:r w:rsidRPr="005F3FE7">
              <w:t>Engineering and related technologies</w:t>
            </w:r>
          </w:p>
        </w:tc>
        <w:tc>
          <w:tcPr>
            <w:tcW w:w="980" w:type="dxa"/>
            <w:noWrap/>
            <w:vAlign w:val="center"/>
          </w:tcPr>
          <w:p w14:paraId="35A47D48"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19.3</w:t>
            </w:r>
          </w:p>
        </w:tc>
        <w:tc>
          <w:tcPr>
            <w:tcW w:w="1312" w:type="dxa"/>
            <w:noWrap/>
            <w:vAlign w:val="center"/>
          </w:tcPr>
          <w:p w14:paraId="0266FDB7"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19.0</w:t>
            </w:r>
          </w:p>
        </w:tc>
        <w:tc>
          <w:tcPr>
            <w:tcW w:w="1035" w:type="dxa"/>
            <w:noWrap/>
            <w:vAlign w:val="center"/>
          </w:tcPr>
          <w:p w14:paraId="441FFEB1"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13.5</w:t>
            </w:r>
          </w:p>
        </w:tc>
      </w:tr>
      <w:tr w:rsidR="004215DA" w:rsidRPr="005F3FE7" w14:paraId="2ED83D13" w14:textId="77777777" w:rsidTr="004B2C90">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6DB4E237" w14:textId="77777777" w:rsidR="004215DA" w:rsidRPr="005F3FE7" w:rsidRDefault="004215DA" w:rsidP="0079482A">
            <w:r w:rsidRPr="005F3FE7">
              <w:t>Architecture and building</w:t>
            </w:r>
          </w:p>
        </w:tc>
        <w:tc>
          <w:tcPr>
            <w:tcW w:w="980" w:type="dxa"/>
            <w:noWrap/>
            <w:vAlign w:val="center"/>
          </w:tcPr>
          <w:p w14:paraId="4F575CE7"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5.2</w:t>
            </w:r>
          </w:p>
        </w:tc>
        <w:tc>
          <w:tcPr>
            <w:tcW w:w="1312" w:type="dxa"/>
            <w:noWrap/>
            <w:vAlign w:val="center"/>
          </w:tcPr>
          <w:p w14:paraId="6593ECBF"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5.6</w:t>
            </w:r>
          </w:p>
        </w:tc>
        <w:tc>
          <w:tcPr>
            <w:tcW w:w="1035" w:type="dxa"/>
            <w:noWrap/>
            <w:vAlign w:val="center"/>
          </w:tcPr>
          <w:p w14:paraId="76EE4BA0"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5.4</w:t>
            </w:r>
          </w:p>
        </w:tc>
      </w:tr>
      <w:tr w:rsidR="004215DA" w:rsidRPr="005F3FE7" w14:paraId="7B54A09C" w14:textId="77777777" w:rsidTr="004B2C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38ABD6CC" w14:textId="77777777" w:rsidR="004215DA" w:rsidRPr="005F3FE7" w:rsidRDefault="004215DA" w:rsidP="0079482A">
            <w:r w:rsidRPr="005F3FE7">
              <w:t>Agriculture, environmental and related studies</w:t>
            </w:r>
          </w:p>
        </w:tc>
        <w:tc>
          <w:tcPr>
            <w:tcW w:w="980" w:type="dxa"/>
            <w:noWrap/>
            <w:vAlign w:val="center"/>
          </w:tcPr>
          <w:p w14:paraId="335C223B"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3.1</w:t>
            </w:r>
          </w:p>
        </w:tc>
        <w:tc>
          <w:tcPr>
            <w:tcW w:w="1312" w:type="dxa"/>
            <w:noWrap/>
            <w:vAlign w:val="center"/>
          </w:tcPr>
          <w:p w14:paraId="709A0E44"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2.9</w:t>
            </w:r>
          </w:p>
        </w:tc>
        <w:tc>
          <w:tcPr>
            <w:tcW w:w="1035" w:type="dxa"/>
            <w:noWrap/>
            <w:vAlign w:val="center"/>
          </w:tcPr>
          <w:p w14:paraId="612248ED"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2.3</w:t>
            </w:r>
          </w:p>
        </w:tc>
      </w:tr>
      <w:tr w:rsidR="004215DA" w:rsidRPr="005F3FE7" w14:paraId="392C492F" w14:textId="77777777" w:rsidTr="004B2C90">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78A26BD1" w14:textId="77777777" w:rsidR="004215DA" w:rsidRPr="005F3FE7" w:rsidRDefault="004215DA" w:rsidP="0079482A">
            <w:r w:rsidRPr="005F3FE7">
              <w:t>Health</w:t>
            </w:r>
          </w:p>
        </w:tc>
        <w:tc>
          <w:tcPr>
            <w:tcW w:w="980" w:type="dxa"/>
            <w:noWrap/>
            <w:vAlign w:val="center"/>
          </w:tcPr>
          <w:p w14:paraId="0A0F278A"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7.8</w:t>
            </w:r>
          </w:p>
        </w:tc>
        <w:tc>
          <w:tcPr>
            <w:tcW w:w="1312" w:type="dxa"/>
            <w:noWrap/>
            <w:vAlign w:val="center"/>
          </w:tcPr>
          <w:p w14:paraId="026CA14B"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9.7</w:t>
            </w:r>
          </w:p>
        </w:tc>
        <w:tc>
          <w:tcPr>
            <w:tcW w:w="1035" w:type="dxa"/>
            <w:noWrap/>
            <w:vAlign w:val="center"/>
          </w:tcPr>
          <w:p w14:paraId="1C746AA7"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9.2</w:t>
            </w:r>
          </w:p>
        </w:tc>
      </w:tr>
      <w:tr w:rsidR="004215DA" w:rsidRPr="005F3FE7" w14:paraId="129442EA" w14:textId="77777777" w:rsidTr="004B2C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7300699C" w14:textId="77777777" w:rsidR="004215DA" w:rsidRPr="005F3FE7" w:rsidRDefault="004215DA" w:rsidP="0079482A">
            <w:r w:rsidRPr="005F3FE7">
              <w:t>Education</w:t>
            </w:r>
          </w:p>
        </w:tc>
        <w:tc>
          <w:tcPr>
            <w:tcW w:w="980" w:type="dxa"/>
            <w:noWrap/>
            <w:vAlign w:val="center"/>
          </w:tcPr>
          <w:p w14:paraId="71E08832"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3.1</w:t>
            </w:r>
          </w:p>
        </w:tc>
        <w:tc>
          <w:tcPr>
            <w:tcW w:w="1312" w:type="dxa"/>
            <w:noWrap/>
            <w:vAlign w:val="center"/>
          </w:tcPr>
          <w:p w14:paraId="4DD5D030"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4.2</w:t>
            </w:r>
          </w:p>
        </w:tc>
        <w:tc>
          <w:tcPr>
            <w:tcW w:w="1035" w:type="dxa"/>
            <w:noWrap/>
            <w:vAlign w:val="center"/>
          </w:tcPr>
          <w:p w14:paraId="1EA09C2E"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5.6</w:t>
            </w:r>
          </w:p>
        </w:tc>
      </w:tr>
      <w:tr w:rsidR="004215DA" w:rsidRPr="005F3FE7" w14:paraId="2C87E409" w14:textId="77777777" w:rsidTr="004B2C90">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5CD7D94E" w14:textId="77777777" w:rsidR="004215DA" w:rsidRPr="005F3FE7" w:rsidRDefault="004215DA" w:rsidP="0079482A">
            <w:r w:rsidRPr="005F3FE7">
              <w:t>Management and commerce</w:t>
            </w:r>
          </w:p>
        </w:tc>
        <w:tc>
          <w:tcPr>
            <w:tcW w:w="980" w:type="dxa"/>
            <w:noWrap/>
            <w:vAlign w:val="center"/>
          </w:tcPr>
          <w:p w14:paraId="5FB87E6B"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14.9</w:t>
            </w:r>
          </w:p>
        </w:tc>
        <w:tc>
          <w:tcPr>
            <w:tcW w:w="1312" w:type="dxa"/>
            <w:noWrap/>
            <w:vAlign w:val="center"/>
          </w:tcPr>
          <w:p w14:paraId="43D6BD17"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18.5</w:t>
            </w:r>
          </w:p>
        </w:tc>
        <w:tc>
          <w:tcPr>
            <w:tcW w:w="1035" w:type="dxa"/>
            <w:noWrap/>
            <w:vAlign w:val="center"/>
          </w:tcPr>
          <w:p w14:paraId="2020FC9D"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23.2</w:t>
            </w:r>
          </w:p>
        </w:tc>
      </w:tr>
      <w:tr w:rsidR="004215DA" w:rsidRPr="005F3FE7" w14:paraId="588D332E" w14:textId="77777777" w:rsidTr="004B2C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7443EE4E" w14:textId="77777777" w:rsidR="004215DA" w:rsidRPr="005F3FE7" w:rsidRDefault="004215DA" w:rsidP="0079482A">
            <w:r w:rsidRPr="005F3FE7">
              <w:t>Society and culture</w:t>
            </w:r>
          </w:p>
        </w:tc>
        <w:tc>
          <w:tcPr>
            <w:tcW w:w="980" w:type="dxa"/>
            <w:noWrap/>
            <w:vAlign w:val="center"/>
          </w:tcPr>
          <w:p w14:paraId="6D1A19A6"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21.7</w:t>
            </w:r>
          </w:p>
        </w:tc>
        <w:tc>
          <w:tcPr>
            <w:tcW w:w="1312" w:type="dxa"/>
            <w:noWrap/>
            <w:vAlign w:val="center"/>
          </w:tcPr>
          <w:p w14:paraId="1D56E420"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18.5</w:t>
            </w:r>
          </w:p>
        </w:tc>
        <w:tc>
          <w:tcPr>
            <w:tcW w:w="1035" w:type="dxa"/>
            <w:noWrap/>
            <w:vAlign w:val="center"/>
          </w:tcPr>
          <w:p w14:paraId="297A6BFB"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19.5</w:t>
            </w:r>
          </w:p>
        </w:tc>
      </w:tr>
      <w:tr w:rsidR="004215DA" w:rsidRPr="005F3FE7" w14:paraId="1FB57911" w14:textId="77777777" w:rsidTr="004B2C90">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3BF151FD" w14:textId="77777777" w:rsidR="004215DA" w:rsidRPr="005F3FE7" w:rsidRDefault="004215DA" w:rsidP="0079482A">
            <w:r w:rsidRPr="005F3FE7">
              <w:t>Creative arts</w:t>
            </w:r>
          </w:p>
        </w:tc>
        <w:tc>
          <w:tcPr>
            <w:tcW w:w="980" w:type="dxa"/>
            <w:noWrap/>
            <w:vAlign w:val="center"/>
          </w:tcPr>
          <w:p w14:paraId="33E32E6D"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0.8</w:t>
            </w:r>
          </w:p>
        </w:tc>
        <w:tc>
          <w:tcPr>
            <w:tcW w:w="1312" w:type="dxa"/>
            <w:noWrap/>
            <w:vAlign w:val="center"/>
          </w:tcPr>
          <w:p w14:paraId="2D78EB6F"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2.1</w:t>
            </w:r>
          </w:p>
        </w:tc>
        <w:tc>
          <w:tcPr>
            <w:tcW w:w="1035" w:type="dxa"/>
            <w:noWrap/>
            <w:vAlign w:val="center"/>
          </w:tcPr>
          <w:p w14:paraId="12ECC104"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3.1</w:t>
            </w:r>
          </w:p>
        </w:tc>
      </w:tr>
      <w:tr w:rsidR="004215DA" w:rsidRPr="005F3FE7" w14:paraId="008E9972" w14:textId="77777777" w:rsidTr="004B2C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0FF24703" w14:textId="77777777" w:rsidR="004215DA" w:rsidRPr="005F3FE7" w:rsidRDefault="004215DA" w:rsidP="0079482A">
            <w:r w:rsidRPr="005F3FE7">
              <w:t>Food, hospitality and personal services</w:t>
            </w:r>
          </w:p>
        </w:tc>
        <w:tc>
          <w:tcPr>
            <w:tcW w:w="980" w:type="dxa"/>
            <w:noWrap/>
            <w:vAlign w:val="center"/>
          </w:tcPr>
          <w:p w14:paraId="5C9AFCA7"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8.0</w:t>
            </w:r>
          </w:p>
        </w:tc>
        <w:tc>
          <w:tcPr>
            <w:tcW w:w="1312" w:type="dxa"/>
            <w:noWrap/>
            <w:vAlign w:val="center"/>
          </w:tcPr>
          <w:p w14:paraId="40DB8635"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8.2</w:t>
            </w:r>
          </w:p>
        </w:tc>
        <w:tc>
          <w:tcPr>
            <w:tcW w:w="1035" w:type="dxa"/>
            <w:noWrap/>
            <w:vAlign w:val="center"/>
          </w:tcPr>
          <w:p w14:paraId="40B87C8A"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pPr>
            <w:r w:rsidRPr="00AD3A80">
              <w:t>7.9</w:t>
            </w:r>
          </w:p>
        </w:tc>
      </w:tr>
      <w:tr w:rsidR="004215DA" w:rsidRPr="005F3FE7" w14:paraId="5DC895DB" w14:textId="77777777" w:rsidTr="004B2C90">
        <w:trPr>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79A15FAF" w14:textId="77777777" w:rsidR="004215DA" w:rsidRPr="005F3FE7" w:rsidRDefault="004215DA" w:rsidP="0079482A">
            <w:r w:rsidRPr="005F3FE7">
              <w:t>Mixed field programmes</w:t>
            </w:r>
          </w:p>
        </w:tc>
        <w:tc>
          <w:tcPr>
            <w:tcW w:w="980" w:type="dxa"/>
            <w:noWrap/>
            <w:vAlign w:val="center"/>
          </w:tcPr>
          <w:p w14:paraId="3EE0C266"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4.9</w:t>
            </w:r>
          </w:p>
        </w:tc>
        <w:tc>
          <w:tcPr>
            <w:tcW w:w="1312" w:type="dxa"/>
            <w:noWrap/>
            <w:vAlign w:val="center"/>
          </w:tcPr>
          <w:p w14:paraId="4F8E91CE"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6.9</w:t>
            </w:r>
          </w:p>
        </w:tc>
        <w:tc>
          <w:tcPr>
            <w:tcW w:w="1035" w:type="dxa"/>
            <w:noWrap/>
            <w:vAlign w:val="center"/>
          </w:tcPr>
          <w:p w14:paraId="2B7C6201" w14:textId="77777777" w:rsidR="004215DA" w:rsidRPr="00AD3A80" w:rsidRDefault="004215DA" w:rsidP="00AD3A80">
            <w:pPr>
              <w:jc w:val="right"/>
              <w:cnfStyle w:val="000000000000" w:firstRow="0" w:lastRow="0" w:firstColumn="0" w:lastColumn="0" w:oddVBand="0" w:evenVBand="0" w:oddHBand="0" w:evenHBand="0" w:firstRowFirstColumn="0" w:firstRowLastColumn="0" w:lastRowFirstColumn="0" w:lastRowLastColumn="0"/>
            </w:pPr>
            <w:r w:rsidRPr="00AD3A80">
              <w:t>7.2</w:t>
            </w:r>
          </w:p>
        </w:tc>
      </w:tr>
      <w:tr w:rsidR="004215DA" w:rsidRPr="005F3FE7" w14:paraId="0BC42877" w14:textId="77777777" w:rsidTr="004B2C9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60" w:type="dxa"/>
            <w:hideMark/>
          </w:tcPr>
          <w:p w14:paraId="7329D610" w14:textId="77777777" w:rsidR="004215DA" w:rsidRPr="005F3FE7" w:rsidRDefault="004215DA" w:rsidP="0079482A">
            <w:r w:rsidRPr="005F3FE7">
              <w:t>Total</w:t>
            </w:r>
          </w:p>
        </w:tc>
        <w:tc>
          <w:tcPr>
            <w:tcW w:w="980" w:type="dxa"/>
            <w:noWrap/>
            <w:vAlign w:val="center"/>
            <w:hideMark/>
          </w:tcPr>
          <w:p w14:paraId="2706060C"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rPr>
                <w:b/>
              </w:rPr>
            </w:pPr>
            <w:r w:rsidRPr="00AD3A80">
              <w:rPr>
                <w:b/>
              </w:rPr>
              <w:t>100.0</w:t>
            </w:r>
          </w:p>
        </w:tc>
        <w:tc>
          <w:tcPr>
            <w:tcW w:w="1312" w:type="dxa"/>
            <w:noWrap/>
            <w:vAlign w:val="center"/>
            <w:hideMark/>
          </w:tcPr>
          <w:p w14:paraId="2D22B2EF"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rPr>
                <w:b/>
              </w:rPr>
            </w:pPr>
            <w:r w:rsidRPr="00AD3A80">
              <w:rPr>
                <w:b/>
              </w:rPr>
              <w:t>100.0</w:t>
            </w:r>
          </w:p>
        </w:tc>
        <w:tc>
          <w:tcPr>
            <w:tcW w:w="1035" w:type="dxa"/>
            <w:noWrap/>
            <w:vAlign w:val="center"/>
            <w:hideMark/>
          </w:tcPr>
          <w:p w14:paraId="2737339F" w14:textId="77777777" w:rsidR="004215DA" w:rsidRPr="00AD3A80" w:rsidRDefault="004215DA" w:rsidP="00AD3A80">
            <w:pPr>
              <w:jc w:val="right"/>
              <w:cnfStyle w:val="000000100000" w:firstRow="0" w:lastRow="0" w:firstColumn="0" w:lastColumn="0" w:oddVBand="0" w:evenVBand="0" w:oddHBand="1" w:evenHBand="0" w:firstRowFirstColumn="0" w:firstRowLastColumn="0" w:lastRowFirstColumn="0" w:lastRowLastColumn="0"/>
              <w:rPr>
                <w:b/>
              </w:rPr>
            </w:pPr>
            <w:r w:rsidRPr="00AD3A80">
              <w:rPr>
                <w:b/>
              </w:rPr>
              <w:t>100.0</w:t>
            </w:r>
          </w:p>
        </w:tc>
      </w:tr>
    </w:tbl>
    <w:p w14:paraId="7F511E90" w14:textId="77777777" w:rsidR="004215DA" w:rsidRPr="00AD3A80" w:rsidRDefault="004215DA" w:rsidP="00AD3A80">
      <w:pPr>
        <w:spacing w:after="0"/>
        <w:rPr>
          <w:i/>
          <w:sz w:val="18"/>
          <w:szCs w:val="18"/>
        </w:rPr>
      </w:pPr>
      <w:r w:rsidRPr="00AD3A80">
        <w:rPr>
          <w:i/>
          <w:sz w:val="18"/>
          <w:szCs w:val="18"/>
        </w:rPr>
        <w:t xml:space="preserve">Source: </w:t>
      </w:r>
      <w:r w:rsidR="003169FD">
        <w:rPr>
          <w:i/>
          <w:sz w:val="18"/>
          <w:szCs w:val="18"/>
        </w:rPr>
        <w:t xml:space="preserve">NCVER </w:t>
      </w:r>
      <w:r w:rsidRPr="00AD3A80">
        <w:rPr>
          <w:i/>
          <w:sz w:val="18"/>
          <w:szCs w:val="18"/>
        </w:rPr>
        <w:t>Total VET activity (TVA), Table</w:t>
      </w:r>
      <w:r w:rsidR="00D062A7">
        <w:rPr>
          <w:i/>
          <w:sz w:val="18"/>
          <w:szCs w:val="18"/>
        </w:rPr>
        <w:t xml:space="preserve"> </w:t>
      </w:r>
      <w:r w:rsidRPr="00AD3A80">
        <w:rPr>
          <w:i/>
          <w:sz w:val="18"/>
          <w:szCs w:val="18"/>
        </w:rPr>
        <w:t>Builder.</w:t>
      </w:r>
    </w:p>
    <w:p w14:paraId="660E8980" w14:textId="77777777" w:rsidR="004215DA" w:rsidRPr="00AD3A80" w:rsidRDefault="004215DA" w:rsidP="00AD3A80">
      <w:pPr>
        <w:spacing w:after="0"/>
        <w:rPr>
          <w:i/>
          <w:sz w:val="18"/>
          <w:szCs w:val="18"/>
        </w:rPr>
      </w:pPr>
      <w:r w:rsidRPr="00AD3A80">
        <w:rPr>
          <w:i/>
          <w:sz w:val="18"/>
          <w:szCs w:val="18"/>
        </w:rPr>
        <w:t>Note</w:t>
      </w:r>
      <w:r w:rsidR="006E2F26">
        <w:rPr>
          <w:i/>
          <w:sz w:val="18"/>
          <w:szCs w:val="18"/>
        </w:rPr>
        <w:t>s</w:t>
      </w:r>
      <w:r w:rsidRPr="00AD3A80">
        <w:rPr>
          <w:i/>
          <w:sz w:val="18"/>
          <w:szCs w:val="18"/>
        </w:rPr>
        <w:t xml:space="preserve">: </w:t>
      </w:r>
      <w:r w:rsidR="00EB2772">
        <w:rPr>
          <w:i/>
          <w:sz w:val="18"/>
          <w:szCs w:val="18"/>
        </w:rPr>
        <w:t>‘</w:t>
      </w:r>
      <w:r w:rsidRPr="00AD3A80">
        <w:rPr>
          <w:i/>
          <w:sz w:val="18"/>
          <w:szCs w:val="18"/>
        </w:rPr>
        <w:t>BHB</w:t>
      </w:r>
      <w:r w:rsidR="00EB2772">
        <w:rPr>
          <w:i/>
          <w:sz w:val="18"/>
          <w:szCs w:val="18"/>
        </w:rPr>
        <w:t>’</w:t>
      </w:r>
      <w:r w:rsidR="00A02CC1">
        <w:rPr>
          <w:i/>
          <w:sz w:val="18"/>
          <w:szCs w:val="18"/>
        </w:rPr>
        <w:t xml:space="preserve"> refers to</w:t>
      </w:r>
      <w:r w:rsidR="00A02CC1" w:rsidRPr="00AD3A80">
        <w:rPr>
          <w:i/>
          <w:sz w:val="18"/>
          <w:szCs w:val="18"/>
        </w:rPr>
        <w:t xml:space="preserve"> </w:t>
      </w:r>
      <w:r w:rsidR="00A02CC1">
        <w:rPr>
          <w:i/>
          <w:sz w:val="18"/>
          <w:szCs w:val="18"/>
        </w:rPr>
        <w:t xml:space="preserve">Bundaberg and Hervey Bay added together, which </w:t>
      </w:r>
      <w:r w:rsidRPr="00AD3A80">
        <w:rPr>
          <w:i/>
          <w:sz w:val="18"/>
          <w:szCs w:val="18"/>
        </w:rPr>
        <w:t xml:space="preserve">is identified using the </w:t>
      </w:r>
      <w:r w:rsidR="00870E6D" w:rsidRPr="00870E6D">
        <w:rPr>
          <w:i/>
          <w:iCs/>
          <w:sz w:val="18"/>
          <w:szCs w:val="18"/>
        </w:rPr>
        <w:t>ABS Main Area Structure</w:t>
      </w:r>
      <w:r w:rsidRPr="00AD3A80">
        <w:rPr>
          <w:i/>
          <w:sz w:val="18"/>
          <w:szCs w:val="18"/>
        </w:rPr>
        <w:t xml:space="preserve"> information</w:t>
      </w:r>
      <w:r w:rsidR="00A02CC1">
        <w:rPr>
          <w:i/>
          <w:sz w:val="18"/>
          <w:szCs w:val="18"/>
        </w:rPr>
        <w:t xml:space="preserve"> at the SA3 level</w:t>
      </w:r>
      <w:r w:rsidRPr="00AD3A80">
        <w:rPr>
          <w:i/>
          <w:sz w:val="18"/>
          <w:szCs w:val="18"/>
        </w:rPr>
        <w:t>.</w:t>
      </w:r>
      <w:r w:rsidR="006E2F26">
        <w:rPr>
          <w:i/>
          <w:sz w:val="18"/>
          <w:szCs w:val="18"/>
        </w:rPr>
        <w:t xml:space="preserve"> </w:t>
      </w:r>
      <w:r w:rsidR="006E2F26" w:rsidRPr="006E2F26">
        <w:rPr>
          <w:i/>
          <w:sz w:val="18"/>
          <w:szCs w:val="18"/>
        </w:rPr>
        <w:t xml:space="preserve">Due to rounding, the total percentages may not sum up </w:t>
      </w:r>
      <w:r w:rsidR="00173597">
        <w:rPr>
          <w:i/>
          <w:sz w:val="18"/>
          <w:szCs w:val="18"/>
        </w:rPr>
        <w:t xml:space="preserve">exactly </w:t>
      </w:r>
      <w:r w:rsidR="006E2F26" w:rsidRPr="006E2F26">
        <w:rPr>
          <w:i/>
          <w:sz w:val="18"/>
          <w:szCs w:val="18"/>
        </w:rPr>
        <w:t>to 100.</w:t>
      </w:r>
    </w:p>
    <w:p w14:paraId="56BDD1D5" w14:textId="77777777" w:rsidR="00C52E1F" w:rsidRDefault="00C52E1F">
      <w:pPr>
        <w:jc w:val="left"/>
      </w:pPr>
      <w:r>
        <w:br w:type="page"/>
      </w:r>
    </w:p>
    <w:p w14:paraId="4B27CC84" w14:textId="77777777" w:rsidR="00D062A7" w:rsidRDefault="00D062A7">
      <w:pPr>
        <w:pStyle w:val="Heading2"/>
      </w:pPr>
      <w:bookmarkStart w:id="134" w:name="_Toc36211979"/>
      <w:bookmarkStart w:id="135" w:name="_Toc36213118"/>
      <w:bookmarkStart w:id="136" w:name="_Toc36211980"/>
      <w:bookmarkStart w:id="137" w:name="_Toc36213119"/>
      <w:bookmarkStart w:id="138" w:name="_Toc36211981"/>
      <w:bookmarkStart w:id="139" w:name="_Toc36213120"/>
      <w:bookmarkStart w:id="140" w:name="_Toc36211982"/>
      <w:bookmarkStart w:id="141" w:name="_Toc36213121"/>
      <w:bookmarkStart w:id="142" w:name="_Toc36211983"/>
      <w:bookmarkStart w:id="143" w:name="_Toc36213122"/>
      <w:bookmarkStart w:id="144" w:name="_Toc34935583"/>
      <w:bookmarkStart w:id="145" w:name="_Toc37258353"/>
      <w:bookmarkEnd w:id="134"/>
      <w:bookmarkEnd w:id="135"/>
      <w:bookmarkEnd w:id="136"/>
      <w:bookmarkEnd w:id="137"/>
      <w:bookmarkEnd w:id="138"/>
      <w:bookmarkEnd w:id="139"/>
      <w:bookmarkEnd w:id="140"/>
      <w:bookmarkEnd w:id="141"/>
      <w:bookmarkEnd w:id="142"/>
      <w:bookmarkEnd w:id="143"/>
      <w:r>
        <w:lastRenderedPageBreak/>
        <w:t>Child development outcomes</w:t>
      </w:r>
      <w:bookmarkEnd w:id="144"/>
      <w:bookmarkEnd w:id="145"/>
    </w:p>
    <w:p w14:paraId="68E60277" w14:textId="77777777" w:rsidR="003A7FE6" w:rsidRDefault="000D3CEC" w:rsidP="0079482A">
      <w:r>
        <w:t xml:space="preserve">In this section, </w:t>
      </w:r>
      <w:r w:rsidR="00730093" w:rsidRPr="00730093">
        <w:t xml:space="preserve">we use data from the </w:t>
      </w:r>
      <w:r w:rsidR="00D54EEC">
        <w:t>Australian Early Development Census (</w:t>
      </w:r>
      <w:r>
        <w:t>AEDC</w:t>
      </w:r>
      <w:r w:rsidR="00D54EEC">
        <w:t>)</w:t>
      </w:r>
      <w:r w:rsidR="00730093" w:rsidRPr="00730093">
        <w:t xml:space="preserve"> </w:t>
      </w:r>
      <w:r>
        <w:t>(</w:t>
      </w:r>
      <w:r w:rsidR="00730093" w:rsidRPr="00730093">
        <w:t>2012, 2015 and 2018</w:t>
      </w:r>
      <w:r>
        <w:t>) to compare several key</w:t>
      </w:r>
      <w:r w:rsidR="00730093">
        <w:t xml:space="preserve"> child development outcomes. </w:t>
      </w:r>
      <w:r w:rsidR="00264C76" w:rsidRPr="00264C76">
        <w:t xml:space="preserve">The AEDC is a national measure of children’s development, as they enter their first year of full-time school. The data for the AEDC is collected every three years using the Australian version of the Early Development Instrument, adapted from Canada. Participation is voluntary with data collected through </w:t>
      </w:r>
      <w:r w:rsidR="00864BB3" w:rsidRPr="00264C76">
        <w:t>t</w:t>
      </w:r>
      <w:r w:rsidR="00864BB3">
        <w:t>h</w:t>
      </w:r>
      <w:r w:rsidR="00864BB3" w:rsidRPr="00264C76">
        <w:t>e</w:t>
      </w:r>
      <w:r w:rsidR="00264C76" w:rsidRPr="00264C76">
        <w:t xml:space="preserve"> cooperation of parents and the active involvement of government, Catholic and independent schools across Australia. </w:t>
      </w:r>
      <w:r w:rsidR="00730093" w:rsidRPr="00730093">
        <w:t>In 2009, Australia became the first country in the world to collect national data on the developmental health and wellbeing of all children as they start their first year of full-time school.</w:t>
      </w:r>
      <w:r w:rsidR="00730093">
        <w:t xml:space="preserve"> This </w:t>
      </w:r>
      <w:r w:rsidR="002405AE">
        <w:t>wa</w:t>
      </w:r>
      <w:r w:rsidR="00730093">
        <w:t xml:space="preserve">s followed by three more collections in 2012, 2015 and </w:t>
      </w:r>
      <w:r w:rsidR="00730093" w:rsidRPr="00730093">
        <w:t>2018.</w:t>
      </w:r>
      <w:r w:rsidR="00730093">
        <w:t xml:space="preserve"> </w:t>
      </w:r>
      <w:r w:rsidR="00730093" w:rsidRPr="00730093">
        <w:t>The AEDC provides evidence to guide planning and service-provision to ensure children are supported through their early years, school years and beyond.</w:t>
      </w:r>
      <w:r w:rsidR="00730093">
        <w:t xml:space="preserve"> </w:t>
      </w:r>
      <w:r w:rsidR="00264C76" w:rsidRPr="00264C76">
        <w:t>The Australian version of the Early Development Instrument consists of approximately 100 questions across five key domains, which are closely linked to child health, education and social outcomes.</w:t>
      </w:r>
      <w:r w:rsidR="00D54EEC">
        <w:rPr>
          <w:rStyle w:val="FootnoteReference"/>
        </w:rPr>
        <w:footnoteReference w:id="20"/>
      </w:r>
      <w:r w:rsidR="00264C76" w:rsidRPr="00264C76">
        <w:t xml:space="preserve"> </w:t>
      </w:r>
    </w:p>
    <w:p w14:paraId="5AF96DDD" w14:textId="77777777" w:rsidR="005F483C" w:rsidRDefault="00264C76" w:rsidP="0079482A">
      <w:r w:rsidRPr="00264C76">
        <w:t xml:space="preserve">The domains are: </w:t>
      </w:r>
    </w:p>
    <w:p w14:paraId="2DF8A0EF" w14:textId="77777777" w:rsidR="005F483C" w:rsidRDefault="00264C76" w:rsidP="005F483C">
      <w:pPr>
        <w:pStyle w:val="ListParagraph"/>
        <w:numPr>
          <w:ilvl w:val="0"/>
          <w:numId w:val="37"/>
        </w:numPr>
      </w:pPr>
      <w:r w:rsidRPr="00264C76">
        <w:t xml:space="preserve">physical health and wellbeing; </w:t>
      </w:r>
    </w:p>
    <w:p w14:paraId="3642CF03" w14:textId="77777777" w:rsidR="005F483C" w:rsidRDefault="00264C76" w:rsidP="005F483C">
      <w:pPr>
        <w:pStyle w:val="ListParagraph"/>
        <w:numPr>
          <w:ilvl w:val="0"/>
          <w:numId w:val="37"/>
        </w:numPr>
      </w:pPr>
      <w:r w:rsidRPr="00264C76">
        <w:t xml:space="preserve">social competence; </w:t>
      </w:r>
    </w:p>
    <w:p w14:paraId="3C0C65EE" w14:textId="77777777" w:rsidR="005F483C" w:rsidRDefault="00264C76" w:rsidP="005F483C">
      <w:pPr>
        <w:pStyle w:val="ListParagraph"/>
        <w:numPr>
          <w:ilvl w:val="0"/>
          <w:numId w:val="37"/>
        </w:numPr>
      </w:pPr>
      <w:r w:rsidRPr="00264C76">
        <w:t xml:space="preserve">emotional maturity; </w:t>
      </w:r>
    </w:p>
    <w:p w14:paraId="42AF2C02" w14:textId="77777777" w:rsidR="005F483C" w:rsidRDefault="00264C76" w:rsidP="005F483C">
      <w:pPr>
        <w:pStyle w:val="ListParagraph"/>
        <w:numPr>
          <w:ilvl w:val="0"/>
          <w:numId w:val="37"/>
        </w:numPr>
      </w:pPr>
      <w:r w:rsidRPr="00264C76">
        <w:t xml:space="preserve">language and cognitive skills (school-based); </w:t>
      </w:r>
    </w:p>
    <w:p w14:paraId="55382CAE" w14:textId="77777777" w:rsidR="00264C76" w:rsidRDefault="00264C76" w:rsidP="005F483C">
      <w:pPr>
        <w:pStyle w:val="ListParagraph"/>
        <w:numPr>
          <w:ilvl w:val="0"/>
          <w:numId w:val="37"/>
        </w:numPr>
      </w:pPr>
      <w:proofErr w:type="gramStart"/>
      <w:r w:rsidRPr="00264C76">
        <w:t>communication</w:t>
      </w:r>
      <w:proofErr w:type="gramEnd"/>
      <w:r w:rsidRPr="00264C76">
        <w:t xml:space="preserve"> skills and general knowledge.</w:t>
      </w:r>
    </w:p>
    <w:p w14:paraId="6716F4E3" w14:textId="77777777" w:rsidR="005F483C" w:rsidRDefault="005F483C" w:rsidP="00F70AC8">
      <w:r>
        <w:t>For each domain</w:t>
      </w:r>
      <w:r w:rsidR="00380083">
        <w:t>,</w:t>
      </w:r>
      <w:r>
        <w:t xml:space="preserve"> there is a description of how being in the category of children </w:t>
      </w:r>
      <w:r w:rsidRPr="005F483C">
        <w:rPr>
          <w:i/>
        </w:rPr>
        <w:t>at risk</w:t>
      </w:r>
      <w:r>
        <w:t xml:space="preserve"> or in the more concerning category of children that are </w:t>
      </w:r>
      <w:r w:rsidRPr="005F483C">
        <w:rPr>
          <w:i/>
        </w:rPr>
        <w:t>vulnerable</w:t>
      </w:r>
      <w:r>
        <w:t xml:space="preserve"> may be manifested and measured. These are listed below as we present the relevant statistics.</w:t>
      </w:r>
    </w:p>
    <w:p w14:paraId="76BD94F5" w14:textId="77777777" w:rsidR="00761B50" w:rsidRPr="00380083" w:rsidRDefault="00761B50" w:rsidP="00F70AC8">
      <w:pPr>
        <w:rPr>
          <w:b/>
        </w:rPr>
      </w:pPr>
      <w:r w:rsidRPr="00380083">
        <w:rPr>
          <w:b/>
        </w:rPr>
        <w:t xml:space="preserve">Physical </w:t>
      </w:r>
      <w:r w:rsidR="00E67A35">
        <w:rPr>
          <w:b/>
        </w:rPr>
        <w:t>h</w:t>
      </w:r>
      <w:r w:rsidRPr="00380083">
        <w:rPr>
          <w:b/>
        </w:rPr>
        <w:t xml:space="preserve">ealth and </w:t>
      </w:r>
      <w:r w:rsidR="00E67A35">
        <w:rPr>
          <w:b/>
        </w:rPr>
        <w:t>w</w:t>
      </w:r>
      <w:r w:rsidRPr="00380083">
        <w:rPr>
          <w:b/>
        </w:rPr>
        <w:t>ell-being</w:t>
      </w:r>
    </w:p>
    <w:p w14:paraId="62087BCE" w14:textId="4A264A75" w:rsidR="00F70AC8" w:rsidRDefault="0020184F" w:rsidP="00F70AC8">
      <w:r>
        <w:t xml:space="preserve">The </w:t>
      </w:r>
      <w:r w:rsidR="005F483C">
        <w:t xml:space="preserve">first </w:t>
      </w:r>
      <w:r w:rsidR="004215DA">
        <w:t>domain</w:t>
      </w:r>
      <w:r>
        <w:t xml:space="preserve"> </w:t>
      </w:r>
      <w:r w:rsidR="005F483C">
        <w:t xml:space="preserve">is </w:t>
      </w:r>
      <w:r>
        <w:t xml:space="preserve">represented in </w:t>
      </w:r>
      <w:r w:rsidR="003E18E6">
        <w:fldChar w:fldCharType="begin"/>
      </w:r>
      <w:r w:rsidR="003E18E6">
        <w:instrText xml:space="preserve"> REF _Ref36653945 \h </w:instrText>
      </w:r>
      <w:r w:rsidR="003E18E6">
        <w:fldChar w:fldCharType="separate"/>
      </w:r>
      <w:r w:rsidR="008E2086">
        <w:t xml:space="preserve">Figure </w:t>
      </w:r>
      <w:r w:rsidR="008E2086">
        <w:rPr>
          <w:noProof/>
        </w:rPr>
        <w:t>2</w:t>
      </w:r>
      <w:r w:rsidR="008E2086">
        <w:noBreakHyphen/>
      </w:r>
      <w:r w:rsidR="008E2086">
        <w:rPr>
          <w:noProof/>
        </w:rPr>
        <w:t>8</w:t>
      </w:r>
      <w:r w:rsidR="003E18E6">
        <w:fldChar w:fldCharType="end"/>
      </w:r>
      <w:r w:rsidR="00F76909">
        <w:t xml:space="preserve"> </w:t>
      </w:r>
      <w:r w:rsidR="005F483C">
        <w:t xml:space="preserve">and </w:t>
      </w:r>
      <w:r w:rsidR="004215DA">
        <w:t>measures children’s physical readiness for the school day, physical independence, and gross and fine motor s</w:t>
      </w:r>
      <w:r w:rsidR="00C053C9">
        <w:t xml:space="preserve">kills. </w:t>
      </w:r>
      <w:r w:rsidR="00F70AC8">
        <w:t>The characteris</w:t>
      </w:r>
      <w:r w:rsidR="002405AE">
        <w:t>ation</w:t>
      </w:r>
      <w:r w:rsidR="00F70AC8">
        <w:t xml:space="preserve"> of </w:t>
      </w:r>
      <w:r w:rsidR="002405AE">
        <w:t xml:space="preserve">a child </w:t>
      </w:r>
      <w:r w:rsidR="00F70AC8">
        <w:t xml:space="preserve">being </w:t>
      </w:r>
      <w:r w:rsidR="002405AE">
        <w:t xml:space="preserve">either </w:t>
      </w:r>
      <w:r w:rsidR="00F70AC8" w:rsidRPr="002405AE">
        <w:rPr>
          <w:i/>
        </w:rPr>
        <w:t>at risk</w:t>
      </w:r>
      <w:r w:rsidR="00F70AC8">
        <w:t xml:space="preserve"> </w:t>
      </w:r>
      <w:r w:rsidR="002405AE">
        <w:t xml:space="preserve">or </w:t>
      </w:r>
      <w:r w:rsidR="00F70AC8" w:rsidRPr="002405AE">
        <w:rPr>
          <w:i/>
        </w:rPr>
        <w:t>vulnerable</w:t>
      </w:r>
      <w:r w:rsidR="00F70AC8">
        <w:t xml:space="preserve"> on this domain </w:t>
      </w:r>
      <w:r w:rsidR="002405AE">
        <w:t>is</w:t>
      </w:r>
      <w:r w:rsidR="00F70AC8">
        <w:t xml:space="preserve"> as follow</w:t>
      </w:r>
      <w:r w:rsidR="00296F6C">
        <w:t>s</w:t>
      </w:r>
      <w:r w:rsidR="00F70AC8">
        <w:t xml:space="preserve">: </w:t>
      </w:r>
    </w:p>
    <w:p w14:paraId="7A8270F6" w14:textId="77777777" w:rsidR="004B2198" w:rsidRDefault="00F70AC8" w:rsidP="00F70AC8">
      <w:pPr>
        <w:pStyle w:val="ListParagraph"/>
        <w:numPr>
          <w:ilvl w:val="0"/>
          <w:numId w:val="36"/>
        </w:numPr>
      </w:pPr>
      <w:r>
        <w:t xml:space="preserve">At risk: Experience some challenges that interfere with their ability to physically cope with the school day. These may include being dressed inappropriately, </w:t>
      </w:r>
      <w:r w:rsidR="002405AE">
        <w:t xml:space="preserve">being </w:t>
      </w:r>
      <w:r>
        <w:t>frequently late, hungry or tired. Children may also show poor coordination skills, have poor fine and gross motor skills, or show poor to average energy levels during the school day.</w:t>
      </w:r>
    </w:p>
    <w:p w14:paraId="7934997B" w14:textId="77777777" w:rsidR="00F70AC8" w:rsidRDefault="00F70AC8" w:rsidP="00F70AC8">
      <w:pPr>
        <w:pStyle w:val="ListParagraph"/>
        <w:numPr>
          <w:ilvl w:val="0"/>
          <w:numId w:val="36"/>
        </w:numPr>
      </w:pPr>
      <w:r>
        <w:t>Vulnerable: Experience a number of challenges that interfere with their ability to physically cope with the school day. These may include being dressed inappropriately, frequently late, hungry or tired. Children are usually clumsy and may have fading energy levels.</w:t>
      </w:r>
      <w:r w:rsidR="00052FFA">
        <w:rPr>
          <w:rStyle w:val="FootnoteReference"/>
        </w:rPr>
        <w:footnoteReference w:id="21"/>
      </w:r>
    </w:p>
    <w:p w14:paraId="71F0F74C" w14:textId="77777777" w:rsidR="004215DA" w:rsidRDefault="004215DA" w:rsidP="00F84480">
      <w:r w:rsidRPr="00380083">
        <w:t xml:space="preserve">A larger proportion of children in the </w:t>
      </w:r>
      <w:r w:rsidR="00FE7B5B" w:rsidRPr="00380083">
        <w:t>Bundaberg and Hervey Bay</w:t>
      </w:r>
      <w:r w:rsidRPr="00380083">
        <w:t xml:space="preserve"> region are vulnerable</w:t>
      </w:r>
      <w:r w:rsidR="0070617A" w:rsidRPr="00380083">
        <w:t xml:space="preserve"> or at risk</w:t>
      </w:r>
      <w:r w:rsidRPr="00380083">
        <w:t xml:space="preserve"> on this domain</w:t>
      </w:r>
      <w:r w:rsidR="0020184F" w:rsidRPr="00380083">
        <w:t xml:space="preserve">, compared with the state of Queensland as a whole and Australia. </w:t>
      </w:r>
      <w:r w:rsidRPr="00380083">
        <w:t>The gap in vulnerability</w:t>
      </w:r>
      <w:r w:rsidR="0070617A" w:rsidRPr="00380083">
        <w:t xml:space="preserve"> and </w:t>
      </w:r>
      <w:r w:rsidR="00D202E1" w:rsidRPr="00380083">
        <w:t xml:space="preserve">being at </w:t>
      </w:r>
      <w:r w:rsidR="0070617A" w:rsidRPr="00380083">
        <w:t>risk</w:t>
      </w:r>
      <w:r w:rsidRPr="00380083">
        <w:t xml:space="preserve"> between children in the </w:t>
      </w:r>
      <w:r w:rsidR="00FE7B5B" w:rsidRPr="00380083">
        <w:t>Bundaberg and Hervey Bay</w:t>
      </w:r>
      <w:r w:rsidRPr="00380083">
        <w:t xml:space="preserve"> region and </w:t>
      </w:r>
      <w:r w:rsidR="002405AE" w:rsidRPr="00380083">
        <w:t>comparator populations</w:t>
      </w:r>
      <w:r w:rsidR="00CE1F98">
        <w:t xml:space="preserve"> of the state of Queensland as a whole and Australia</w:t>
      </w:r>
      <w:r w:rsidRPr="00380083">
        <w:t xml:space="preserve"> has been widening over time, especially since 2015.</w:t>
      </w:r>
    </w:p>
    <w:p w14:paraId="444C02F0" w14:textId="77777777" w:rsidR="00A97DDC" w:rsidRDefault="004215DA" w:rsidP="00F84480">
      <w:r>
        <w:lastRenderedPageBreak/>
        <w:t xml:space="preserve">The proportion of vulnerable children on this domain in both Bundaberg and Hervey Bay has increased over time, and the growth in </w:t>
      </w:r>
      <w:r w:rsidR="00052FFA">
        <w:t>Hervey Bay</w:t>
      </w:r>
      <w:r w:rsidR="00BA2ED9">
        <w:t xml:space="preserve"> is relatively faster, </w:t>
      </w:r>
      <w:r w:rsidR="0020184F">
        <w:t xml:space="preserve">resulting in </w:t>
      </w:r>
      <w:r>
        <w:t xml:space="preserve">the proportion of vulnerable children in Hervey Bay </w:t>
      </w:r>
      <w:r w:rsidR="0020184F">
        <w:t xml:space="preserve">in 2018 being </w:t>
      </w:r>
      <w:r>
        <w:t xml:space="preserve">much higher than </w:t>
      </w:r>
      <w:r w:rsidR="006C0545">
        <w:t>Bundaberg</w:t>
      </w:r>
      <w:r>
        <w:t xml:space="preserve">. </w:t>
      </w:r>
      <w:r w:rsidR="00D202E1">
        <w:t>In contrast</w:t>
      </w:r>
      <w:r w:rsidR="003849B5">
        <w:t>, an ongoing growth in the proportion of children at risk is only observed in Hervey Bay.</w:t>
      </w:r>
    </w:p>
    <w:p w14:paraId="3319936B" w14:textId="22DFA3A5" w:rsidR="00941FFD" w:rsidRDefault="00941FFD" w:rsidP="00941FFD">
      <w:pPr>
        <w:pStyle w:val="Caption"/>
      </w:pPr>
      <w:bookmarkStart w:id="146" w:name="_Ref36653945"/>
      <w:bookmarkStart w:id="147" w:name="_Toc34935505"/>
      <w:bookmarkStart w:id="148" w:name="_Toc37263832"/>
      <w:r>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6B022F">
        <w:noBreakHyphen/>
      </w:r>
      <w:r w:rsidR="006C0554">
        <w:fldChar w:fldCharType="begin"/>
      </w:r>
      <w:r w:rsidR="006C0554">
        <w:instrText xml:space="preserve"> SEQ Figure \* ARABIC \s 1 </w:instrText>
      </w:r>
      <w:r w:rsidR="006C0554">
        <w:fldChar w:fldCharType="separate"/>
      </w:r>
      <w:r w:rsidR="008E2086">
        <w:rPr>
          <w:noProof/>
        </w:rPr>
        <w:t>8</w:t>
      </w:r>
      <w:r w:rsidR="006C0554">
        <w:rPr>
          <w:noProof/>
        </w:rPr>
        <w:fldChar w:fldCharType="end"/>
      </w:r>
      <w:bookmarkEnd w:id="146"/>
      <w:r>
        <w:t>: Child development outcomes: physical health and wellbeing</w:t>
      </w:r>
      <w:bookmarkEnd w:id="147"/>
      <w:bookmarkEnd w:id="148"/>
      <w:r>
        <w:t xml:space="preserve"> </w:t>
      </w:r>
    </w:p>
    <w:p w14:paraId="77394EBA" w14:textId="77777777" w:rsidR="004215DA" w:rsidRDefault="00A97DDC" w:rsidP="00A97DDC">
      <w:pPr>
        <w:jc w:val="center"/>
      </w:pPr>
      <w:r w:rsidRPr="00A97DDC">
        <w:rPr>
          <w:noProof/>
          <w:lang w:eastAsia="en-AU"/>
        </w:rPr>
        <w:drawing>
          <wp:inline distT="0" distB="0" distL="0" distR="0" wp14:anchorId="562FD2D5" wp14:editId="20DB253C">
            <wp:extent cx="5421600" cy="2926800"/>
            <wp:effectExtent l="57150" t="19050" r="65405" b="102235"/>
            <wp:docPr id="68" name="Picture 68" descr="Children’s physical readiness for school in the Bundaberg and Hervey Bay region, compared with the state of Queensland as a whole and Australia in 2012, 2015 and 2018.&#10;2012 Bundaberg: on track 70.5%, at risk 16.3%, vulnerable 13.2% &#10;2012 Hervey Bay: on track 72.1%, at risk 16.4%, vulnerable 11.5% &#10;2012 BHB region: on track 71.1%, at risk 16.3%, vulnerable 12.6% &#10;2012 Queensland: on track 72.9%, at risk 15.5%, vulnerable 11.6% &#10;2012 Australia: on track 77.3%, at risk 13.4%, vulnerable 9.3% &#10;2015 Bundaberg: on track 73.0%, at risk 13.5%, vulnerable 13.6% &#10;2015 Hervey Bay: on track 66.6%, at risk 18.3%, vulnerable 15.1% &#10;2015 BHB region: on track 70.6%, at risk 15.3%, vulnerable 14.1% &#10;2015 Queensland: on track 73.0%, at risk 14.6%, vulnerable 12.4% &#10;2015 Australia: on track 77.3%, at risk 13.0%, vulnerable 9.7% &#10;2018 Bundaberg: on track 66.0%, at risk 16.2%, vulnerable 17.8% &#10;2018 Hervey Bay: on track 53.9%, at risk 19.4%, vulnerable 26.7% &#10;2018 BHB region: on track 61.7%, at risk 17.3%, vulnerable 20.9% &#10;2018 Queensland: on track 74.1%, at risk 13.7%, vulnerable 12.3% &#10;2018 Australia: on track 78.1%, at risk 12.3%, vulnerable 9.6%&#10;" title="Figure 2 8: Child development outcomes: physical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1600" cy="29268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6C8E341F" w14:textId="77777777" w:rsidR="00F76909" w:rsidRPr="00461021" w:rsidRDefault="00F76909" w:rsidP="00F76909">
      <w:pPr>
        <w:spacing w:after="0"/>
        <w:ind w:left="284"/>
        <w:rPr>
          <w:i/>
          <w:sz w:val="18"/>
          <w:szCs w:val="18"/>
        </w:rPr>
      </w:pPr>
      <w:r w:rsidRPr="00461021">
        <w:rPr>
          <w:i/>
          <w:sz w:val="18"/>
          <w:szCs w:val="18"/>
        </w:rPr>
        <w:t xml:space="preserve">Source: </w:t>
      </w:r>
      <w:r w:rsidRPr="00461021">
        <w:rPr>
          <w:i/>
          <w:sz w:val="18"/>
          <w:szCs w:val="18"/>
          <w:lang w:val="en"/>
        </w:rPr>
        <w:t>AEDC (2012, 2015, 2018).</w:t>
      </w:r>
    </w:p>
    <w:p w14:paraId="26728186" w14:textId="77777777" w:rsidR="00F76909" w:rsidRPr="00461021" w:rsidRDefault="00F76909" w:rsidP="00A4064D">
      <w:pPr>
        <w:spacing w:after="360"/>
        <w:ind w:left="284"/>
        <w:rPr>
          <w:i/>
          <w:sz w:val="18"/>
          <w:szCs w:val="18"/>
        </w:rPr>
      </w:pPr>
      <w:r w:rsidRPr="00461021">
        <w:rPr>
          <w:i/>
          <w:sz w:val="18"/>
          <w:szCs w:val="18"/>
        </w:rPr>
        <w:t>Note</w:t>
      </w:r>
      <w:r w:rsidR="00A02CC1">
        <w:rPr>
          <w:i/>
          <w:sz w:val="18"/>
          <w:szCs w:val="18"/>
        </w:rPr>
        <w:t>s</w:t>
      </w:r>
      <w:r w:rsidRPr="00461021">
        <w:rPr>
          <w:i/>
          <w:sz w:val="18"/>
          <w:szCs w:val="18"/>
        </w:rPr>
        <w:t xml:space="preserve">: </w:t>
      </w:r>
      <w:r w:rsidR="00630CFA">
        <w:rPr>
          <w:i/>
          <w:sz w:val="18"/>
          <w:szCs w:val="18"/>
        </w:rPr>
        <w:t>‘</w:t>
      </w:r>
      <w:r w:rsidRPr="00461021">
        <w:rPr>
          <w:i/>
          <w:sz w:val="18"/>
          <w:szCs w:val="18"/>
        </w:rPr>
        <w:t>BHB region</w:t>
      </w:r>
      <w:r w:rsidR="00630CFA">
        <w:rPr>
          <w:i/>
          <w:sz w:val="18"/>
          <w:szCs w:val="18"/>
        </w:rPr>
        <w:t>’</w:t>
      </w:r>
      <w:r w:rsidR="00A02CC1" w:rsidRPr="00A02CC1">
        <w:rPr>
          <w:i/>
          <w:sz w:val="18"/>
          <w:szCs w:val="18"/>
        </w:rPr>
        <w:t xml:space="preserve"> </w:t>
      </w:r>
      <w:r w:rsidR="00A02CC1">
        <w:rPr>
          <w:i/>
          <w:sz w:val="18"/>
          <w:szCs w:val="18"/>
        </w:rPr>
        <w:t>refers to</w:t>
      </w:r>
      <w:r w:rsidR="00A02CC1" w:rsidRPr="00AD3A80">
        <w:rPr>
          <w:i/>
          <w:sz w:val="18"/>
          <w:szCs w:val="18"/>
        </w:rPr>
        <w:t xml:space="preserve"> </w:t>
      </w:r>
      <w:r w:rsidR="00A02CC1">
        <w:rPr>
          <w:i/>
          <w:sz w:val="18"/>
          <w:szCs w:val="18"/>
        </w:rPr>
        <w:t>Bundaberg and Hervey Bay added together, which</w:t>
      </w:r>
      <w:r w:rsidRPr="00461021">
        <w:rPr>
          <w:i/>
          <w:sz w:val="18"/>
          <w:szCs w:val="18"/>
        </w:rPr>
        <w:t xml:space="preserve"> </w:t>
      </w:r>
      <w:r w:rsidR="00630CFA">
        <w:rPr>
          <w:i/>
          <w:sz w:val="18"/>
          <w:szCs w:val="18"/>
        </w:rPr>
        <w:t>was</w:t>
      </w:r>
      <w:r w:rsidRPr="00461021">
        <w:rPr>
          <w:i/>
          <w:sz w:val="18"/>
          <w:szCs w:val="18"/>
        </w:rPr>
        <w:t xml:space="preserve"> identified using the </w:t>
      </w:r>
      <w:r w:rsidR="00870E6D" w:rsidRPr="00870E6D">
        <w:rPr>
          <w:i/>
          <w:iCs/>
          <w:sz w:val="18"/>
          <w:szCs w:val="18"/>
        </w:rPr>
        <w:t>ABS Main Area Structure</w:t>
      </w:r>
      <w:r w:rsidRPr="00461021">
        <w:rPr>
          <w:i/>
          <w:sz w:val="18"/>
          <w:szCs w:val="18"/>
        </w:rPr>
        <w:t xml:space="preserve"> information</w:t>
      </w:r>
      <w:r w:rsidR="00A02CC1">
        <w:rPr>
          <w:i/>
          <w:sz w:val="18"/>
          <w:szCs w:val="18"/>
        </w:rPr>
        <w:t xml:space="preserve"> at the SA3 level</w:t>
      </w:r>
      <w:r w:rsidRPr="00461021">
        <w:rPr>
          <w:i/>
          <w:sz w:val="18"/>
          <w:szCs w:val="18"/>
        </w:rPr>
        <w:t>.</w:t>
      </w:r>
      <w:r w:rsidR="00DF5B7D">
        <w:rPr>
          <w:i/>
          <w:sz w:val="18"/>
          <w:szCs w:val="18"/>
        </w:rPr>
        <w:t xml:space="preserve"> </w:t>
      </w:r>
      <w:r w:rsidR="00DF5B7D" w:rsidRPr="00DF5B7D">
        <w:rPr>
          <w:i/>
          <w:sz w:val="18"/>
          <w:szCs w:val="18"/>
        </w:rPr>
        <w:t xml:space="preserve">Due to rounding, the total percentages may not sum up </w:t>
      </w:r>
      <w:r w:rsidR="00173597">
        <w:rPr>
          <w:i/>
          <w:sz w:val="18"/>
          <w:szCs w:val="18"/>
        </w:rPr>
        <w:t xml:space="preserve">exactly </w:t>
      </w:r>
      <w:r w:rsidR="00DF5B7D" w:rsidRPr="00DF5B7D">
        <w:rPr>
          <w:i/>
          <w:sz w:val="18"/>
          <w:szCs w:val="18"/>
        </w:rPr>
        <w:t>to 100.</w:t>
      </w:r>
    </w:p>
    <w:p w14:paraId="4EE35DC4" w14:textId="77777777" w:rsidR="00761B50" w:rsidRPr="00C54195" w:rsidRDefault="00761B50" w:rsidP="00052FFA">
      <w:pPr>
        <w:rPr>
          <w:b/>
        </w:rPr>
      </w:pPr>
      <w:r w:rsidRPr="00C54195">
        <w:rPr>
          <w:b/>
        </w:rPr>
        <w:t xml:space="preserve">Social </w:t>
      </w:r>
      <w:r w:rsidR="00E67A35">
        <w:rPr>
          <w:b/>
        </w:rPr>
        <w:t>c</w:t>
      </w:r>
      <w:r w:rsidRPr="00C54195">
        <w:rPr>
          <w:b/>
        </w:rPr>
        <w:t>ompetence</w:t>
      </w:r>
    </w:p>
    <w:p w14:paraId="03911753" w14:textId="71B3BE70" w:rsidR="00052FFA" w:rsidRDefault="0020184F" w:rsidP="00052FFA">
      <w:r>
        <w:t xml:space="preserve">The </w:t>
      </w:r>
      <w:r w:rsidR="005F483C">
        <w:t xml:space="preserve">second </w:t>
      </w:r>
      <w:r w:rsidR="004215DA">
        <w:t xml:space="preserve">domain </w:t>
      </w:r>
      <w:r w:rsidR="005F483C">
        <w:t xml:space="preserve">is </w:t>
      </w:r>
      <w:r>
        <w:t xml:space="preserve">represented in </w:t>
      </w:r>
      <w:r w:rsidR="006536D5">
        <w:fldChar w:fldCharType="begin"/>
      </w:r>
      <w:r w:rsidR="006536D5">
        <w:instrText xml:space="preserve"> REF _Ref36212398 \h </w:instrText>
      </w:r>
      <w:r w:rsidR="006536D5">
        <w:fldChar w:fldCharType="separate"/>
      </w:r>
      <w:r w:rsidR="008E2086">
        <w:t xml:space="preserve">Figure </w:t>
      </w:r>
      <w:r w:rsidR="008E2086">
        <w:rPr>
          <w:noProof/>
        </w:rPr>
        <w:t>2</w:t>
      </w:r>
      <w:r w:rsidR="008E2086">
        <w:noBreakHyphen/>
      </w:r>
      <w:r w:rsidR="008E2086">
        <w:rPr>
          <w:noProof/>
        </w:rPr>
        <w:t>9</w:t>
      </w:r>
      <w:r w:rsidR="006536D5">
        <w:fldChar w:fldCharType="end"/>
      </w:r>
      <w:r w:rsidR="00F76909">
        <w:t xml:space="preserve"> </w:t>
      </w:r>
      <w:r w:rsidR="005F483C">
        <w:t xml:space="preserve">and </w:t>
      </w:r>
      <w:r w:rsidR="004215DA">
        <w:t>measures children’s overall social competence, responsibility and respect, approaches to learning, and re</w:t>
      </w:r>
      <w:r w:rsidR="00BA2ED9">
        <w:t xml:space="preserve">adiness to explore new things. </w:t>
      </w:r>
      <w:r w:rsidR="00052FFA">
        <w:t>The characteris</w:t>
      </w:r>
      <w:r w:rsidR="005F483C">
        <w:t>ation</w:t>
      </w:r>
      <w:r w:rsidR="00052FFA">
        <w:t xml:space="preserve"> of being </w:t>
      </w:r>
      <w:r w:rsidR="00052FFA" w:rsidRPr="005F483C">
        <w:rPr>
          <w:i/>
        </w:rPr>
        <w:t>at risk</w:t>
      </w:r>
      <w:r w:rsidR="00052FFA">
        <w:t xml:space="preserve"> </w:t>
      </w:r>
      <w:r w:rsidR="005F483C">
        <w:t>or</w:t>
      </w:r>
      <w:r w:rsidR="00052FFA">
        <w:t xml:space="preserve"> </w:t>
      </w:r>
      <w:r w:rsidR="00052FFA" w:rsidRPr="005F483C">
        <w:rPr>
          <w:i/>
        </w:rPr>
        <w:t>vulnerable</w:t>
      </w:r>
      <w:r w:rsidR="00052FFA">
        <w:t xml:space="preserve"> on this domain </w:t>
      </w:r>
      <w:r w:rsidR="005F483C">
        <w:t>is</w:t>
      </w:r>
      <w:r w:rsidR="00052FFA">
        <w:t xml:space="preserve"> as follow</w:t>
      </w:r>
      <w:r w:rsidR="00296F6C">
        <w:t>s</w:t>
      </w:r>
      <w:r w:rsidR="00052FFA">
        <w:t xml:space="preserve">: </w:t>
      </w:r>
    </w:p>
    <w:p w14:paraId="70388CF0" w14:textId="77777777" w:rsidR="00052FFA" w:rsidRDefault="00052FFA" w:rsidP="00296F6C">
      <w:pPr>
        <w:pStyle w:val="ListParagraph"/>
        <w:numPr>
          <w:ilvl w:val="0"/>
          <w:numId w:val="36"/>
        </w:numPr>
      </w:pPr>
      <w:r>
        <w:t>At risk: Experience some challenges in the following areas: getting along</w:t>
      </w:r>
      <w:r w:rsidR="00296F6C">
        <w:t xml:space="preserve"> with other children </w:t>
      </w:r>
      <w:r>
        <w:t>and teachers, playing with a variety of children in</w:t>
      </w:r>
      <w:r w:rsidR="00296F6C">
        <w:t xml:space="preserve"> </w:t>
      </w:r>
      <w:r>
        <w:t>a cooperative manner, showing respect for others and for property,</w:t>
      </w:r>
      <w:r w:rsidR="00296F6C">
        <w:t xml:space="preserve"> </w:t>
      </w:r>
      <w:r>
        <w:t>following instructions and class rou</w:t>
      </w:r>
      <w:r w:rsidR="00296F6C">
        <w:t xml:space="preserve">tines, taking responsibility for </w:t>
      </w:r>
      <w:r>
        <w:t>their actions, working independently, and exhibiting self-control and</w:t>
      </w:r>
      <w:r w:rsidR="00296F6C">
        <w:t xml:space="preserve"> </w:t>
      </w:r>
      <w:r>
        <w:t>self-confidence.</w:t>
      </w:r>
    </w:p>
    <w:p w14:paraId="4483BF75" w14:textId="77777777" w:rsidR="00052FFA" w:rsidRDefault="00052FFA" w:rsidP="00296F6C">
      <w:pPr>
        <w:pStyle w:val="ListParagraph"/>
      </w:pPr>
    </w:p>
    <w:p w14:paraId="0D54D77B" w14:textId="77777777" w:rsidR="004B2198" w:rsidRDefault="00052FFA" w:rsidP="00B246E0">
      <w:pPr>
        <w:pStyle w:val="ListParagraph"/>
        <w:numPr>
          <w:ilvl w:val="0"/>
          <w:numId w:val="36"/>
        </w:numPr>
      </w:pPr>
      <w:r>
        <w:t xml:space="preserve">Vulnerable: </w:t>
      </w:r>
      <w:r w:rsidR="00296F6C">
        <w:t>Experience a number of challenges with poor overall social skills. For example</w:t>
      </w:r>
      <w:r w:rsidR="00AC1622">
        <w:t>,</w:t>
      </w:r>
      <w:r w:rsidR="00296F6C">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t>.</w:t>
      </w:r>
      <w:r>
        <w:rPr>
          <w:rStyle w:val="FootnoteReference"/>
        </w:rPr>
        <w:footnoteReference w:id="22"/>
      </w:r>
    </w:p>
    <w:p w14:paraId="0ADB3359" w14:textId="77777777" w:rsidR="0020184F" w:rsidRDefault="0020184F" w:rsidP="0079482A">
      <w:r>
        <w:t>A</w:t>
      </w:r>
      <w:r w:rsidR="004215DA">
        <w:t xml:space="preserve"> larger proportion of children in the </w:t>
      </w:r>
      <w:r w:rsidR="00FE7B5B">
        <w:t>Bundaberg and Hervey Bay</w:t>
      </w:r>
      <w:r w:rsidR="004215DA">
        <w:t xml:space="preserve"> region are vulnerable on this domain</w:t>
      </w:r>
      <w:r w:rsidR="00296F6C">
        <w:t xml:space="preserve"> in all the three years</w:t>
      </w:r>
      <w:r>
        <w:t>, compared with</w:t>
      </w:r>
      <w:r w:rsidR="004215DA">
        <w:t xml:space="preserve"> the state</w:t>
      </w:r>
      <w:r>
        <w:t xml:space="preserve"> of Queensland as a whole and Australia.</w:t>
      </w:r>
      <w:r w:rsidDel="0020184F">
        <w:t xml:space="preserve"> </w:t>
      </w:r>
      <w:r w:rsidR="00296F6C">
        <w:t xml:space="preserve"> Also, a</w:t>
      </w:r>
      <w:r w:rsidR="00296F6C" w:rsidRPr="00296F6C">
        <w:t xml:space="preserve"> larger </w:t>
      </w:r>
      <w:r w:rsidR="00296F6C" w:rsidRPr="00296F6C">
        <w:lastRenderedPageBreak/>
        <w:t>proportion of children in the Bundaberg and Hervey Bay</w:t>
      </w:r>
      <w:r w:rsidR="00296F6C">
        <w:t xml:space="preserve"> region are at risk</w:t>
      </w:r>
      <w:r w:rsidR="00296F6C" w:rsidRPr="00296F6C">
        <w:t xml:space="preserve"> on this domain</w:t>
      </w:r>
      <w:r w:rsidR="00296F6C">
        <w:t>, but only in 2015 and 2018.</w:t>
      </w:r>
    </w:p>
    <w:p w14:paraId="164D9083" w14:textId="77777777" w:rsidR="00D202E1" w:rsidRDefault="004215DA" w:rsidP="00D202E1">
      <w:r>
        <w:t xml:space="preserve">The gap in vulnerability between children in the </w:t>
      </w:r>
      <w:r w:rsidR="00FE7B5B">
        <w:t>Bundaberg and Hervey Bay</w:t>
      </w:r>
      <w:r>
        <w:t xml:space="preserve"> region and the </w:t>
      </w:r>
      <w:r w:rsidR="00732F2A">
        <w:t>state of Queensland as a whole and Australia as a whole</w:t>
      </w:r>
      <w:r>
        <w:t xml:space="preserve"> has also been widening over time</w:t>
      </w:r>
      <w:r w:rsidR="00732F2A">
        <w:t xml:space="preserve"> on this domain</w:t>
      </w:r>
      <w:r>
        <w:t>, especially since 2015, but the gap</w:t>
      </w:r>
      <w:r w:rsidR="00732F2A">
        <w:t xml:space="preserve"> on this domain</w:t>
      </w:r>
      <w:r>
        <w:t xml:space="preserve"> in 2018 is smaller than </w:t>
      </w:r>
      <w:r w:rsidR="00732F2A">
        <w:t xml:space="preserve">the gap </w:t>
      </w:r>
      <w:r>
        <w:t xml:space="preserve">on the </w:t>
      </w:r>
      <w:r w:rsidRPr="000C4529">
        <w:t>physical health and wellbeing</w:t>
      </w:r>
      <w:r>
        <w:t xml:space="preserve"> domain. </w:t>
      </w:r>
      <w:r w:rsidR="001D5F6E">
        <w:t xml:space="preserve">In contrast, the </w:t>
      </w:r>
      <w:r w:rsidR="00D202E1">
        <w:t>gap in the proportion of the children at risk has modestly widened from 2012 to 2015 and narrowed from 2015 to 2018.</w:t>
      </w:r>
    </w:p>
    <w:p w14:paraId="38ADA764" w14:textId="77777777" w:rsidR="00290F96" w:rsidRDefault="004215DA" w:rsidP="00B246E0">
      <w:pPr>
        <w:rPr>
          <w:rFonts w:cstheme="minorHAnsi"/>
          <w:b/>
          <w:bCs/>
          <w:caps/>
          <w:sz w:val="20"/>
          <w:szCs w:val="18"/>
        </w:rPr>
      </w:pPr>
      <w:r>
        <w:t>The proportion of vulnerable children</w:t>
      </w:r>
      <w:r w:rsidR="001D5F6E">
        <w:t xml:space="preserve"> or at risk</w:t>
      </w:r>
      <w:r>
        <w:t xml:space="preserve"> </w:t>
      </w:r>
      <w:r w:rsidR="000962F2">
        <w:t xml:space="preserve">children </w:t>
      </w:r>
      <w:r>
        <w:t>on this domain is similar between Bundaberg and Hervey Bay.</w:t>
      </w:r>
    </w:p>
    <w:p w14:paraId="78FB6AD6" w14:textId="0980D72A" w:rsidR="00941FFD" w:rsidRDefault="00941FFD" w:rsidP="00941FFD">
      <w:pPr>
        <w:pStyle w:val="Caption"/>
      </w:pPr>
      <w:bookmarkStart w:id="149" w:name="_Ref36212398"/>
      <w:bookmarkStart w:id="150" w:name="_Toc34935506"/>
      <w:bookmarkStart w:id="151" w:name="_Toc37263833"/>
      <w:r>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6B022F">
        <w:noBreakHyphen/>
      </w:r>
      <w:r w:rsidR="006C0554">
        <w:fldChar w:fldCharType="begin"/>
      </w:r>
      <w:r w:rsidR="006C0554">
        <w:instrText xml:space="preserve"> SEQ Figure \* ARABIC \s 1 </w:instrText>
      </w:r>
      <w:r w:rsidR="006C0554">
        <w:fldChar w:fldCharType="separate"/>
      </w:r>
      <w:r w:rsidR="008E2086">
        <w:rPr>
          <w:noProof/>
        </w:rPr>
        <w:t>9</w:t>
      </w:r>
      <w:r w:rsidR="006C0554">
        <w:rPr>
          <w:noProof/>
        </w:rPr>
        <w:fldChar w:fldCharType="end"/>
      </w:r>
      <w:bookmarkEnd w:id="149"/>
      <w:r>
        <w:t>: Child development outcomes: Social competence</w:t>
      </w:r>
      <w:bookmarkEnd w:id="150"/>
      <w:bookmarkEnd w:id="151"/>
    </w:p>
    <w:p w14:paraId="603E86D5" w14:textId="77777777" w:rsidR="00A97DDC" w:rsidRDefault="00A97DDC" w:rsidP="00A97DDC">
      <w:pPr>
        <w:jc w:val="center"/>
      </w:pPr>
      <w:r w:rsidRPr="00A97DDC">
        <w:rPr>
          <w:noProof/>
          <w:lang w:eastAsia="en-AU"/>
        </w:rPr>
        <w:drawing>
          <wp:inline distT="0" distB="0" distL="0" distR="0" wp14:anchorId="466931CF" wp14:editId="6F7C5D12">
            <wp:extent cx="5349600" cy="2980800"/>
            <wp:effectExtent l="57150" t="19050" r="60960" b="86360"/>
            <wp:docPr id="69" name="Picture 69" descr="Children’s social competence in the Bundaberg and Hervey Bay region, compared with the state of Queensland as a whole and Australia in 2012, 2015 and 2018.&#10;2012 Bundaberg: on track 72.3%, at risk 15.9%, vulnerable 11.8% &#10;2012 Hervey Bay: on track 74.1%, at risk 12.7%, vulnerable 13.2% &#10;2012 BHB region: on track 73.0%, at risk 14.6%, vulnerable 12.4% &#10;2012 Queensland: on track 72.9%, at risk 15.6%, vulnerable 11.5% &#10;2012 Australia: on track 76.5%, at risk 14.3%, vulnerable 9.3% &#10;2015 Bundaberg: on track 67.8%, at risk 17.4%, vulnerable 14.8% &#10;2015 Hervey Bay: on track 68.0%, at risk 19.2%, vulnerable 12.8% &#10;2015 BHB region: on track 67.9%, at risk 18.1%, vulnerable 14.0% &#10;2015 Queensland: on track 71.2%, at risk 16.4%, vulnerable 12.4% &#10;2015 Australia: on track 75.2%, at risk 15.0%, vulnerable 9.9% &#10;2018 Bundaberg: on track 67.9%, at risk 16.4%, vulnerable 15.7% &#10;2018 Hervey Bay: on track 64.8%, at risk 17.3%, vulnerable 17.9% &#10;2018 BHB region: on track 66.8%, at risk 16.7%, vulnerable 16.5% &#10;2018 Queensland: on track 71.9%, at risk 16.2%, vulnerable 11.9% &#10;2018 Australia: on track 75.8%, at risk 14.4%, vulnerable 9.8%" title="Figure 2 9: Child development outcomes: Social compe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9600" cy="29808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59C77337" w14:textId="77777777" w:rsidR="00F76909" w:rsidRPr="00461021" w:rsidRDefault="00F76909" w:rsidP="00F76909">
      <w:pPr>
        <w:spacing w:after="0"/>
        <w:ind w:left="284"/>
        <w:rPr>
          <w:i/>
          <w:sz w:val="18"/>
          <w:szCs w:val="18"/>
        </w:rPr>
      </w:pPr>
      <w:r w:rsidRPr="00461021">
        <w:rPr>
          <w:i/>
          <w:sz w:val="18"/>
          <w:szCs w:val="18"/>
        </w:rPr>
        <w:t xml:space="preserve">Source: </w:t>
      </w:r>
      <w:r w:rsidRPr="00461021">
        <w:rPr>
          <w:i/>
          <w:sz w:val="18"/>
          <w:szCs w:val="18"/>
          <w:lang w:val="en"/>
        </w:rPr>
        <w:t>AEDC (2012, 2015, 2018).</w:t>
      </w:r>
    </w:p>
    <w:p w14:paraId="539BFD04" w14:textId="77777777" w:rsidR="00F76909" w:rsidRPr="00461021" w:rsidRDefault="00F76909" w:rsidP="00A4064D">
      <w:pPr>
        <w:spacing w:after="360"/>
        <w:ind w:left="284"/>
        <w:rPr>
          <w:i/>
          <w:sz w:val="18"/>
          <w:szCs w:val="18"/>
        </w:rPr>
      </w:pPr>
      <w:r w:rsidRPr="00461021">
        <w:rPr>
          <w:i/>
          <w:sz w:val="18"/>
          <w:szCs w:val="18"/>
        </w:rPr>
        <w:t xml:space="preserve">Note: </w:t>
      </w:r>
      <w:r w:rsidR="000962F2">
        <w:rPr>
          <w:i/>
          <w:sz w:val="18"/>
          <w:szCs w:val="18"/>
        </w:rPr>
        <w:t>‘</w:t>
      </w:r>
      <w:r w:rsidRPr="00461021">
        <w:rPr>
          <w:i/>
          <w:sz w:val="18"/>
          <w:szCs w:val="18"/>
        </w:rPr>
        <w:t>BHB region</w:t>
      </w:r>
      <w:r w:rsidR="000962F2">
        <w:rPr>
          <w:i/>
          <w:sz w:val="18"/>
          <w:szCs w:val="18"/>
        </w:rPr>
        <w:t>’</w:t>
      </w:r>
      <w:r w:rsidR="00A02CC1" w:rsidRPr="00A02CC1">
        <w:rPr>
          <w:i/>
          <w:sz w:val="18"/>
          <w:szCs w:val="18"/>
        </w:rPr>
        <w:t xml:space="preserve"> refers to Bundaberg and Hervey Bay added together, which</w:t>
      </w:r>
      <w:r w:rsidRPr="00461021">
        <w:rPr>
          <w:i/>
          <w:sz w:val="18"/>
          <w:szCs w:val="18"/>
        </w:rPr>
        <w:t xml:space="preserve"> is identified using the </w:t>
      </w:r>
      <w:r w:rsidR="00870E6D" w:rsidRPr="00870E6D">
        <w:rPr>
          <w:i/>
          <w:iCs/>
          <w:sz w:val="18"/>
          <w:szCs w:val="18"/>
        </w:rPr>
        <w:t>ABS Main Area Structure</w:t>
      </w:r>
      <w:r w:rsidRPr="00461021">
        <w:rPr>
          <w:i/>
          <w:sz w:val="18"/>
          <w:szCs w:val="18"/>
        </w:rPr>
        <w:t xml:space="preserve"> information</w:t>
      </w:r>
      <w:r w:rsidR="00A02CC1">
        <w:rPr>
          <w:i/>
          <w:sz w:val="18"/>
          <w:szCs w:val="18"/>
        </w:rPr>
        <w:t xml:space="preserve"> at the SA3 level</w:t>
      </w:r>
      <w:r w:rsidRPr="00461021">
        <w:rPr>
          <w:i/>
          <w:sz w:val="18"/>
          <w:szCs w:val="18"/>
        </w:rPr>
        <w:t>.</w:t>
      </w:r>
      <w:r w:rsidR="00DF5B7D">
        <w:rPr>
          <w:i/>
          <w:sz w:val="18"/>
          <w:szCs w:val="18"/>
        </w:rPr>
        <w:t xml:space="preserve"> </w:t>
      </w:r>
      <w:r w:rsidR="00DF5B7D" w:rsidRPr="00DF5B7D">
        <w:rPr>
          <w:i/>
          <w:sz w:val="18"/>
          <w:szCs w:val="18"/>
        </w:rPr>
        <w:t xml:space="preserve">Due to rounding, the total percentages may not sum up </w:t>
      </w:r>
      <w:r w:rsidR="00173597">
        <w:rPr>
          <w:i/>
          <w:sz w:val="18"/>
          <w:szCs w:val="18"/>
        </w:rPr>
        <w:t>e</w:t>
      </w:r>
      <w:r w:rsidR="004A69B2">
        <w:rPr>
          <w:i/>
          <w:sz w:val="18"/>
          <w:szCs w:val="18"/>
        </w:rPr>
        <w:t xml:space="preserve">xactly </w:t>
      </w:r>
      <w:r w:rsidR="00DF5B7D" w:rsidRPr="00DF5B7D">
        <w:rPr>
          <w:i/>
          <w:sz w:val="18"/>
          <w:szCs w:val="18"/>
        </w:rPr>
        <w:t>to 100.</w:t>
      </w:r>
    </w:p>
    <w:p w14:paraId="6E84E76A" w14:textId="77777777" w:rsidR="00761B50" w:rsidRPr="00690E59" w:rsidRDefault="00761B50" w:rsidP="00A4064D">
      <w:pPr>
        <w:jc w:val="left"/>
        <w:rPr>
          <w:b/>
        </w:rPr>
      </w:pPr>
      <w:r w:rsidRPr="00690E59">
        <w:rPr>
          <w:b/>
        </w:rPr>
        <w:t xml:space="preserve">Emotional </w:t>
      </w:r>
      <w:r w:rsidR="00E67A35">
        <w:rPr>
          <w:b/>
        </w:rPr>
        <w:t>m</w:t>
      </w:r>
      <w:r w:rsidRPr="00690E59">
        <w:rPr>
          <w:b/>
        </w:rPr>
        <w:t>aturity</w:t>
      </w:r>
    </w:p>
    <w:p w14:paraId="7BAEBFD9" w14:textId="7E58F3FE" w:rsidR="00283BDA" w:rsidRPr="00283BDA" w:rsidRDefault="007E5890" w:rsidP="00283BDA">
      <w:pPr>
        <w:spacing w:after="120"/>
      </w:pPr>
      <w:r>
        <w:t xml:space="preserve">The </w:t>
      </w:r>
      <w:r w:rsidR="005F483C">
        <w:t xml:space="preserve">third </w:t>
      </w:r>
      <w:r w:rsidR="004215DA">
        <w:t xml:space="preserve">domain </w:t>
      </w:r>
      <w:r w:rsidR="005F483C">
        <w:t xml:space="preserve">is </w:t>
      </w:r>
      <w:r>
        <w:t xml:space="preserve">represented in </w:t>
      </w:r>
      <w:r w:rsidR="003E18E6">
        <w:fldChar w:fldCharType="begin"/>
      </w:r>
      <w:r w:rsidR="003E18E6">
        <w:instrText xml:space="preserve"> REF _Ref36654036 \h </w:instrText>
      </w:r>
      <w:r w:rsidR="003E18E6">
        <w:fldChar w:fldCharType="separate"/>
      </w:r>
      <w:r w:rsidR="008E2086">
        <w:t xml:space="preserve">Figure </w:t>
      </w:r>
      <w:r w:rsidR="008E2086">
        <w:rPr>
          <w:noProof/>
        </w:rPr>
        <w:t>2</w:t>
      </w:r>
      <w:r w:rsidR="008E2086">
        <w:noBreakHyphen/>
      </w:r>
      <w:r w:rsidR="008E2086">
        <w:rPr>
          <w:noProof/>
        </w:rPr>
        <w:t>10</w:t>
      </w:r>
      <w:r w:rsidR="003E18E6">
        <w:fldChar w:fldCharType="end"/>
      </w:r>
      <w:r w:rsidR="00F76909">
        <w:t xml:space="preserve"> </w:t>
      </w:r>
      <w:r w:rsidR="005F483C">
        <w:t xml:space="preserve">and </w:t>
      </w:r>
      <w:r w:rsidR="004215DA">
        <w:t xml:space="preserve">measures children’s pro-social and helping behaviour, </w:t>
      </w:r>
      <w:r w:rsidR="00FA54E2">
        <w:t xml:space="preserve">anxious and fearful behaviour, </w:t>
      </w:r>
      <w:r w:rsidR="004215DA">
        <w:t>aggressive behaviour and hyperactivity and inattention.</w:t>
      </w:r>
      <w:r w:rsidR="00283BDA">
        <w:t xml:space="preserve"> </w:t>
      </w:r>
      <w:r w:rsidR="00283BDA" w:rsidRPr="00283BDA">
        <w:t xml:space="preserve">The </w:t>
      </w:r>
      <w:r w:rsidR="005F483C">
        <w:t xml:space="preserve">characterisation of being </w:t>
      </w:r>
      <w:r w:rsidR="005F483C" w:rsidRPr="005F483C">
        <w:rPr>
          <w:i/>
        </w:rPr>
        <w:t>at risk</w:t>
      </w:r>
      <w:r w:rsidR="005F483C">
        <w:t xml:space="preserve"> or </w:t>
      </w:r>
      <w:r w:rsidR="005F483C" w:rsidRPr="005F483C">
        <w:rPr>
          <w:i/>
        </w:rPr>
        <w:t>vulnerable</w:t>
      </w:r>
      <w:r w:rsidR="005F483C">
        <w:t xml:space="preserve"> on this domain is as follows</w:t>
      </w:r>
      <w:r w:rsidR="00283BDA" w:rsidRPr="00283BDA">
        <w:t xml:space="preserve">: </w:t>
      </w:r>
    </w:p>
    <w:p w14:paraId="7A02D719" w14:textId="77777777" w:rsidR="00052FFA" w:rsidRPr="00283BDA" w:rsidRDefault="00283BDA" w:rsidP="00FA54E2">
      <w:pPr>
        <w:numPr>
          <w:ilvl w:val="0"/>
          <w:numId w:val="36"/>
        </w:numPr>
        <w:spacing w:after="120"/>
      </w:pPr>
      <w:r w:rsidRPr="00283BDA">
        <w:t xml:space="preserve">At risk: </w:t>
      </w:r>
      <w:r w:rsidR="00FA54E2">
        <w:t>Experience some challenges in the following areas: helping other children who are hurt, sick or upset, inviting other children to join in activities, being kind to other children, and waiting their turn in activities. They will sometimes experience problems with anxious behaviours, aggressive behaviour, temper tantrums, or problems with inattention or hyperactivity.</w:t>
      </w:r>
    </w:p>
    <w:p w14:paraId="5A02D03E" w14:textId="77777777" w:rsidR="004B2198" w:rsidRPr="00283BDA" w:rsidRDefault="00052FFA" w:rsidP="00FA54E2">
      <w:pPr>
        <w:numPr>
          <w:ilvl w:val="0"/>
          <w:numId w:val="36"/>
        </w:numPr>
        <w:spacing w:after="120"/>
      </w:pPr>
      <w:r w:rsidRPr="00283BDA">
        <w:t xml:space="preserve">Vulnerable: </w:t>
      </w:r>
      <w:r w:rsidR="00FA54E2">
        <w:t>Experience a number of challenges related to emotional regulation. For example</w:t>
      </w:r>
      <w:r w:rsidR="004913F7">
        <w:t>,</w:t>
      </w:r>
      <w:r w:rsidR="00FA54E2">
        <w:t xml:space="preserve"> problems managing aggressive behaviour, being prone to disobedience and/or easily </w:t>
      </w:r>
      <w:r w:rsidR="00FA54E2">
        <w:lastRenderedPageBreak/>
        <w:t>distracted, inattentive, and impulsive. Children will usually not help others and are sometimes upset when left by their caregiver.</w:t>
      </w:r>
      <w:r w:rsidRPr="00283BDA">
        <w:rPr>
          <w:vertAlign w:val="superscript"/>
        </w:rPr>
        <w:footnoteReference w:id="23"/>
      </w:r>
    </w:p>
    <w:p w14:paraId="38FBC599" w14:textId="77777777" w:rsidR="00470582" w:rsidRDefault="004B2198" w:rsidP="00470582">
      <w:pPr>
        <w:spacing w:after="120"/>
      </w:pPr>
      <w:r>
        <w:t>A slightly</w:t>
      </w:r>
      <w:r w:rsidR="004215DA">
        <w:t xml:space="preserve"> larger proportion of children in the </w:t>
      </w:r>
      <w:r w:rsidR="00FE7B5B">
        <w:t>Bundaberg and Hervey Bay</w:t>
      </w:r>
      <w:r w:rsidR="004215DA">
        <w:t xml:space="preserve"> region are vulnerable on this domain</w:t>
      </w:r>
      <w:r w:rsidR="007E5890">
        <w:t>, compared with the state of Queensland as a whole and Australia as a whole</w:t>
      </w:r>
      <w:r w:rsidR="004215DA">
        <w:t xml:space="preserve">. </w:t>
      </w:r>
      <w:r w:rsidR="00470582">
        <w:t xml:space="preserve">In contrast, the proportion of children at risk on this domain is similar between the </w:t>
      </w:r>
      <w:r w:rsidR="00470582" w:rsidRPr="0044157B">
        <w:t>Bundaberg and Hervey Bay region</w:t>
      </w:r>
      <w:r w:rsidR="00470582">
        <w:t xml:space="preserve">, </w:t>
      </w:r>
      <w:r w:rsidR="00690E59">
        <w:t xml:space="preserve">the state of Queensland as a whole </w:t>
      </w:r>
      <w:r w:rsidR="00470582">
        <w:t>and Australia.</w:t>
      </w:r>
    </w:p>
    <w:p w14:paraId="2DD847B7" w14:textId="77777777" w:rsidR="00F76909" w:rsidRDefault="004215DA" w:rsidP="00F76909">
      <w:pPr>
        <w:spacing w:after="120"/>
      </w:pPr>
      <w:r>
        <w:t>The gap in vulnerability</w:t>
      </w:r>
      <w:r w:rsidR="00470582">
        <w:t xml:space="preserve"> and being at risk</w:t>
      </w:r>
      <w:r>
        <w:t xml:space="preserve"> between children in the </w:t>
      </w:r>
      <w:r w:rsidR="00FE7B5B">
        <w:t>Bundaberg and Hervey Bay</w:t>
      </w:r>
      <w:r>
        <w:t xml:space="preserve"> region and the </w:t>
      </w:r>
      <w:r w:rsidR="007E5890">
        <w:t>state of Queensland as a whole and Australia as a whole</w:t>
      </w:r>
      <w:r w:rsidR="007E5890" w:rsidDel="007E5890">
        <w:t xml:space="preserve"> </w:t>
      </w:r>
      <w:r w:rsidR="00BA2ED9">
        <w:t>has been relatively stable</w:t>
      </w:r>
      <w:r w:rsidR="00D54EEC">
        <w:t xml:space="preserve"> between 2012 and 2018</w:t>
      </w:r>
      <w:r w:rsidR="00BA2ED9">
        <w:t xml:space="preserve">. </w:t>
      </w:r>
      <w:r>
        <w:t xml:space="preserve">The proportion of vulnerable children </w:t>
      </w:r>
      <w:r w:rsidR="00470582">
        <w:t xml:space="preserve">and the proportion of children at risk </w:t>
      </w:r>
      <w:r>
        <w:t xml:space="preserve">on this domain </w:t>
      </w:r>
      <w:r w:rsidR="00470582">
        <w:t xml:space="preserve">are </w:t>
      </w:r>
      <w:r>
        <w:t>similar between Bundaberg and Hervey Bay.</w:t>
      </w:r>
    </w:p>
    <w:p w14:paraId="5D43F5BF" w14:textId="481E0BE8" w:rsidR="00941FFD" w:rsidRDefault="00941FFD" w:rsidP="00941FFD">
      <w:pPr>
        <w:pStyle w:val="Caption"/>
      </w:pPr>
      <w:bookmarkStart w:id="152" w:name="_Ref36654036"/>
      <w:bookmarkStart w:id="153" w:name="_Toc34935507"/>
      <w:bookmarkStart w:id="154" w:name="_Toc37263834"/>
      <w:r>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6B022F">
        <w:noBreakHyphen/>
      </w:r>
      <w:r w:rsidR="006C0554">
        <w:fldChar w:fldCharType="begin"/>
      </w:r>
      <w:r w:rsidR="006C0554">
        <w:instrText xml:space="preserve"> SEQ Figure \* ARABIC \s 1 </w:instrText>
      </w:r>
      <w:r w:rsidR="006C0554">
        <w:fldChar w:fldCharType="separate"/>
      </w:r>
      <w:r w:rsidR="008E2086">
        <w:rPr>
          <w:noProof/>
        </w:rPr>
        <w:t>10</w:t>
      </w:r>
      <w:r w:rsidR="006C0554">
        <w:rPr>
          <w:noProof/>
        </w:rPr>
        <w:fldChar w:fldCharType="end"/>
      </w:r>
      <w:bookmarkEnd w:id="152"/>
      <w:r>
        <w:t>: Child development outcomes: Emotional maturity</w:t>
      </w:r>
      <w:bookmarkEnd w:id="153"/>
      <w:bookmarkEnd w:id="154"/>
    </w:p>
    <w:p w14:paraId="1337780E" w14:textId="77777777" w:rsidR="004215DA" w:rsidRDefault="00C03218" w:rsidP="00C03218">
      <w:pPr>
        <w:jc w:val="center"/>
      </w:pPr>
      <w:r w:rsidRPr="00C03218">
        <w:rPr>
          <w:noProof/>
          <w:lang w:eastAsia="en-AU"/>
        </w:rPr>
        <w:drawing>
          <wp:inline distT="0" distB="0" distL="0" distR="0" wp14:anchorId="7F8BF9E7" wp14:editId="0A3478DF">
            <wp:extent cx="5349600" cy="2980800"/>
            <wp:effectExtent l="57150" t="19050" r="60960" b="86360"/>
            <wp:docPr id="70" name="Picture 70" descr="Children’s emotional maturity in the Bundaberg and Hervey Bay region, compared with the state of Queensland as a whole and Australia in 2012, 2015 and 2018.&#10;2012 Bundaberg: on track 71.3%, at risk 15.0%, vulnerable 13.7% &#10;2012 Hervey Bay: on track 75.4%, at risk 13.7%, vulnerable 10.9% &#10;2012 BHB region: on track 72.9%, at risk 14.5%, vulnerable 12.6% &#10;2012 Queensland: on track 74.9%, at risk 15.8%, vulnerable 9.3% &#10;2012 Australia: on track 78.1%, at risk 14.2%, vulnerable 7.6% &#10;2015 Bundaberg: on track 71.8%, at risk 16.0%, vulnerable 12.3% &#10;2015 Hervey Bay: on track 72.4%, at risk 17.1%, vulnerable 10.5% &#10;2015 BHB region: on track 72.0%, at risk 16.4%, vulnerable 11.6% &#10;2015 Queensland: on track 73.5%, at risk 16.4%, vulnerable 10.1% &#10;2015 Australia: on track 76.4%, at risk 15.3%, vulnerable 8.4% &#10;2018 Bundaberg: on track 69.8%, at risk 16.2%, vulnerable 14.0% &#10;2018 Hervey Bay: on track 69.4%, at risk 16.8%, vulnerable 13.8% &#10;2018 BHB region: on track 69.6%, at risk 16.4%, vulnerable 13.9% &#10;2018 Queensland: on track 73.3%, at risk 16.2%, vulnerable 10.5% &#10;2018 Australia: on track 77.1%, at risk 14.5%, vulnerable 8.4%" title="Figure 2 10: Child development outcomes: Emotional mat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9600" cy="29808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5205787E" w14:textId="77777777" w:rsidR="00F76909" w:rsidRPr="00461021" w:rsidRDefault="00F76909" w:rsidP="00F76909">
      <w:pPr>
        <w:spacing w:after="0"/>
        <w:ind w:left="284"/>
        <w:rPr>
          <w:i/>
          <w:sz w:val="18"/>
          <w:szCs w:val="18"/>
        </w:rPr>
      </w:pPr>
      <w:r w:rsidRPr="00461021">
        <w:rPr>
          <w:i/>
          <w:sz w:val="18"/>
          <w:szCs w:val="18"/>
        </w:rPr>
        <w:t xml:space="preserve">Source: </w:t>
      </w:r>
      <w:r w:rsidRPr="00461021">
        <w:rPr>
          <w:i/>
          <w:sz w:val="18"/>
          <w:szCs w:val="18"/>
          <w:lang w:val="en"/>
        </w:rPr>
        <w:t>AEDC (2012, 2015, 2018).</w:t>
      </w:r>
    </w:p>
    <w:p w14:paraId="36EC5796" w14:textId="77777777" w:rsidR="00F76909" w:rsidRPr="00461021" w:rsidRDefault="00F76909" w:rsidP="00A4064D">
      <w:pPr>
        <w:spacing w:after="360"/>
        <w:ind w:left="284"/>
        <w:rPr>
          <w:i/>
          <w:sz w:val="18"/>
          <w:szCs w:val="18"/>
        </w:rPr>
      </w:pPr>
      <w:r w:rsidRPr="00461021">
        <w:rPr>
          <w:i/>
          <w:sz w:val="18"/>
          <w:szCs w:val="18"/>
        </w:rPr>
        <w:t xml:space="preserve">Note: </w:t>
      </w:r>
      <w:r w:rsidR="002447BA">
        <w:rPr>
          <w:i/>
          <w:sz w:val="18"/>
          <w:szCs w:val="18"/>
        </w:rPr>
        <w:t>‘</w:t>
      </w:r>
      <w:r w:rsidRPr="00461021">
        <w:rPr>
          <w:i/>
          <w:sz w:val="18"/>
          <w:szCs w:val="18"/>
        </w:rPr>
        <w:t>BHB region</w:t>
      </w:r>
      <w:r w:rsidR="002447BA">
        <w:rPr>
          <w:i/>
          <w:sz w:val="18"/>
          <w:szCs w:val="18"/>
        </w:rPr>
        <w:t>’</w:t>
      </w:r>
      <w:r w:rsidR="00E8435D" w:rsidRPr="00E8435D">
        <w:rPr>
          <w:i/>
          <w:sz w:val="18"/>
          <w:szCs w:val="18"/>
        </w:rPr>
        <w:t xml:space="preserve"> </w:t>
      </w:r>
      <w:r w:rsidR="00E8435D">
        <w:rPr>
          <w:i/>
          <w:sz w:val="18"/>
          <w:szCs w:val="18"/>
        </w:rPr>
        <w:t>refers to</w:t>
      </w:r>
      <w:r w:rsidR="00E8435D" w:rsidRPr="00AD3A80">
        <w:rPr>
          <w:i/>
          <w:sz w:val="18"/>
          <w:szCs w:val="18"/>
        </w:rPr>
        <w:t xml:space="preserve"> </w:t>
      </w:r>
      <w:r w:rsidR="00E8435D">
        <w:rPr>
          <w:i/>
          <w:sz w:val="18"/>
          <w:szCs w:val="18"/>
        </w:rPr>
        <w:t>Bundaberg and Hervey Bay added together, which</w:t>
      </w:r>
      <w:r w:rsidRPr="00461021">
        <w:rPr>
          <w:i/>
          <w:sz w:val="18"/>
          <w:szCs w:val="18"/>
        </w:rPr>
        <w:t xml:space="preserve"> is identified using the </w:t>
      </w:r>
      <w:r w:rsidR="00870E6D" w:rsidRPr="00870E6D">
        <w:rPr>
          <w:i/>
          <w:iCs/>
          <w:sz w:val="18"/>
          <w:szCs w:val="18"/>
        </w:rPr>
        <w:t>ABS Main Area Structure</w:t>
      </w:r>
      <w:r w:rsidRPr="00461021">
        <w:rPr>
          <w:i/>
          <w:sz w:val="18"/>
          <w:szCs w:val="18"/>
        </w:rPr>
        <w:t xml:space="preserve"> information</w:t>
      </w:r>
      <w:r w:rsidR="00E8435D">
        <w:rPr>
          <w:i/>
          <w:sz w:val="18"/>
          <w:szCs w:val="18"/>
        </w:rPr>
        <w:t xml:space="preserve"> at the SA3 level</w:t>
      </w:r>
      <w:r w:rsidRPr="00461021">
        <w:rPr>
          <w:i/>
          <w:sz w:val="18"/>
          <w:szCs w:val="18"/>
        </w:rPr>
        <w:t>.</w:t>
      </w:r>
      <w:r w:rsidR="00DF5B7D">
        <w:rPr>
          <w:i/>
          <w:sz w:val="18"/>
          <w:szCs w:val="18"/>
        </w:rPr>
        <w:t xml:space="preserve"> </w:t>
      </w:r>
      <w:r w:rsidR="00DF5B7D" w:rsidRPr="00DF5B7D">
        <w:rPr>
          <w:i/>
          <w:sz w:val="18"/>
          <w:szCs w:val="18"/>
        </w:rPr>
        <w:t>Due to rounding, the total percentages may not sum up</w:t>
      </w:r>
      <w:r w:rsidR="004A69B2">
        <w:rPr>
          <w:i/>
          <w:sz w:val="18"/>
          <w:szCs w:val="18"/>
        </w:rPr>
        <w:t xml:space="preserve"> exactly</w:t>
      </w:r>
      <w:r w:rsidR="00DF5B7D" w:rsidRPr="00DF5B7D">
        <w:rPr>
          <w:i/>
          <w:sz w:val="18"/>
          <w:szCs w:val="18"/>
        </w:rPr>
        <w:t xml:space="preserve"> to 100.</w:t>
      </w:r>
    </w:p>
    <w:p w14:paraId="36D40859" w14:textId="0D63E648" w:rsidR="00761B50" w:rsidRPr="00FB03AE" w:rsidRDefault="00761B50" w:rsidP="00FB03AE">
      <w:pPr>
        <w:spacing w:after="120"/>
        <w:rPr>
          <w:b/>
        </w:rPr>
      </w:pPr>
      <w:r w:rsidRPr="00FB03AE">
        <w:rPr>
          <w:b/>
        </w:rPr>
        <w:t xml:space="preserve">Language and </w:t>
      </w:r>
      <w:r w:rsidR="00E67A35">
        <w:rPr>
          <w:b/>
        </w:rPr>
        <w:t>c</w:t>
      </w:r>
      <w:r w:rsidRPr="00FB03AE">
        <w:rPr>
          <w:b/>
        </w:rPr>
        <w:t xml:space="preserve">ognitive </w:t>
      </w:r>
      <w:r w:rsidR="00E67A35">
        <w:rPr>
          <w:b/>
        </w:rPr>
        <w:t>s</w:t>
      </w:r>
      <w:r w:rsidRPr="00FB03AE">
        <w:rPr>
          <w:b/>
        </w:rPr>
        <w:t>kills</w:t>
      </w:r>
    </w:p>
    <w:p w14:paraId="7F512069" w14:textId="44149ECD" w:rsidR="00FA54E2" w:rsidRPr="00FA54E2" w:rsidRDefault="008012A2" w:rsidP="00A4064D">
      <w:pPr>
        <w:jc w:val="left"/>
      </w:pPr>
      <w:r>
        <w:t xml:space="preserve">The </w:t>
      </w:r>
      <w:r w:rsidR="005F483C">
        <w:t xml:space="preserve">fourth </w:t>
      </w:r>
      <w:r w:rsidR="004215DA">
        <w:t xml:space="preserve">domain </w:t>
      </w:r>
      <w:r w:rsidR="005F483C">
        <w:t xml:space="preserve">is </w:t>
      </w:r>
      <w:r>
        <w:t xml:space="preserve">represented in </w:t>
      </w:r>
      <w:r w:rsidR="003E18E6">
        <w:fldChar w:fldCharType="begin"/>
      </w:r>
      <w:r w:rsidR="003E18E6">
        <w:instrText xml:space="preserve"> REF _Ref36654073 \h </w:instrText>
      </w:r>
      <w:r w:rsidR="003E18E6">
        <w:fldChar w:fldCharType="separate"/>
      </w:r>
      <w:r w:rsidR="008E2086">
        <w:t xml:space="preserve">Figure </w:t>
      </w:r>
      <w:r w:rsidR="008E2086">
        <w:rPr>
          <w:noProof/>
        </w:rPr>
        <w:t>2</w:t>
      </w:r>
      <w:r w:rsidR="008E2086">
        <w:noBreakHyphen/>
      </w:r>
      <w:r w:rsidR="008E2086">
        <w:rPr>
          <w:noProof/>
        </w:rPr>
        <w:t>11</w:t>
      </w:r>
      <w:r w:rsidR="003E18E6">
        <w:fldChar w:fldCharType="end"/>
      </w:r>
      <w:r w:rsidR="00F76909">
        <w:t xml:space="preserve"> </w:t>
      </w:r>
      <w:r w:rsidR="005F483C">
        <w:t xml:space="preserve">and </w:t>
      </w:r>
      <w:r w:rsidR="004215DA">
        <w:t>measures children’s basic literacy,</w:t>
      </w:r>
      <w:r w:rsidR="00FA54E2">
        <w:t xml:space="preserve"> advanced literacy,</w:t>
      </w:r>
      <w:r w:rsidR="004215DA">
        <w:t xml:space="preserve"> basic numeracy, and interest in </w:t>
      </w:r>
      <w:r w:rsidR="00BA2ED9">
        <w:t xml:space="preserve">literacy, numeracy and memory. </w:t>
      </w:r>
      <w:r w:rsidR="00FA54E2" w:rsidRPr="00FA54E2">
        <w:t xml:space="preserve">The </w:t>
      </w:r>
      <w:r w:rsidR="005F483C">
        <w:t xml:space="preserve">characterisation of being </w:t>
      </w:r>
      <w:r w:rsidR="005F483C" w:rsidRPr="005F483C">
        <w:rPr>
          <w:i/>
        </w:rPr>
        <w:t>at risk</w:t>
      </w:r>
      <w:r w:rsidR="005F483C">
        <w:t xml:space="preserve"> or </w:t>
      </w:r>
      <w:r w:rsidR="005F483C" w:rsidRPr="005F483C">
        <w:rPr>
          <w:i/>
        </w:rPr>
        <w:t>vulnerable</w:t>
      </w:r>
      <w:r w:rsidR="005F483C">
        <w:t xml:space="preserve"> on this domain is as follows</w:t>
      </w:r>
      <w:r w:rsidR="00FA54E2" w:rsidRPr="00FA54E2">
        <w:t xml:space="preserve">: </w:t>
      </w:r>
    </w:p>
    <w:p w14:paraId="6655536E" w14:textId="77777777" w:rsidR="00FA54E2" w:rsidRPr="00FA54E2" w:rsidRDefault="00FA54E2" w:rsidP="00B246E0">
      <w:pPr>
        <w:numPr>
          <w:ilvl w:val="0"/>
          <w:numId w:val="36"/>
        </w:numPr>
      </w:pPr>
      <w:r w:rsidRPr="00FA54E2">
        <w:t xml:space="preserve">At risk: </w:t>
      </w:r>
      <w:r>
        <w:t>Have mastered some but not all of the following literacy and numeracy skills: being able to identify some letters and attach sounds to some letters, show awareness of rhyming words, know writing directions, being able to write their own name, count to 20, recognise shapes and numbers, compare numbers, sort and classify, and understand simple time concepts. Children may have difficulty remembering things, and show a lack of interest in books, reading, maths and numbers, and may not have mastered more advanced literacy skills such as reading and writing simple words or sentences.</w:t>
      </w:r>
    </w:p>
    <w:p w14:paraId="726E8364" w14:textId="77777777" w:rsidR="00FA54E2" w:rsidRPr="00FA54E2" w:rsidRDefault="00FA54E2" w:rsidP="00FA54E2">
      <w:pPr>
        <w:numPr>
          <w:ilvl w:val="0"/>
          <w:numId w:val="36"/>
        </w:numPr>
      </w:pPr>
      <w:r w:rsidRPr="00FA54E2">
        <w:lastRenderedPageBreak/>
        <w:t xml:space="preserve">Vulnerable: </w:t>
      </w:r>
      <w:r>
        <w:t>Experience a number of challenges in reading/writing and with numbers; unable to read and write simple words, will be uninterested in trying, and often unable to attach sounds to letters. Children will have difficulty remembering things, counting to 20, and recognising and comparing numbers; and are usually not interested in numbers.</w:t>
      </w:r>
      <w:r w:rsidRPr="00FA54E2">
        <w:rPr>
          <w:vertAlign w:val="superscript"/>
        </w:rPr>
        <w:footnoteReference w:id="24"/>
      </w:r>
    </w:p>
    <w:p w14:paraId="14B38AC4" w14:textId="77777777" w:rsidR="00CC07F8" w:rsidRDefault="004215DA" w:rsidP="00941FFD">
      <w:r w:rsidRPr="005F45F6">
        <w:t xml:space="preserve">A larger proportion of children in the </w:t>
      </w:r>
      <w:r w:rsidR="00FE7B5B" w:rsidRPr="005F45F6">
        <w:t>Bundaberg and Hervey Bay</w:t>
      </w:r>
      <w:r w:rsidRPr="005F45F6">
        <w:t xml:space="preserve"> region are vulnerable </w:t>
      </w:r>
      <w:r w:rsidR="003F60E3" w:rsidRPr="005F45F6">
        <w:t xml:space="preserve">or at risk </w:t>
      </w:r>
      <w:r w:rsidRPr="005F45F6">
        <w:t>on this domain</w:t>
      </w:r>
      <w:r w:rsidR="008012A2" w:rsidRPr="005F45F6">
        <w:t xml:space="preserve">, compared with </w:t>
      </w:r>
      <w:r w:rsidR="004F11A4" w:rsidRPr="005F45F6">
        <w:t xml:space="preserve">the </w:t>
      </w:r>
      <w:r w:rsidR="008012A2" w:rsidRPr="005F45F6">
        <w:t>state of Queensland as a whole and Australia as a whole</w:t>
      </w:r>
      <w:r w:rsidRPr="005F45F6">
        <w:t xml:space="preserve">. The gap in vulnerability </w:t>
      </w:r>
      <w:r w:rsidR="003F60E3" w:rsidRPr="005F45F6">
        <w:t xml:space="preserve">and being at risk </w:t>
      </w:r>
      <w:r w:rsidRPr="005F45F6">
        <w:t xml:space="preserve">between children in the </w:t>
      </w:r>
      <w:r w:rsidR="00FE7B5B" w:rsidRPr="005F45F6">
        <w:t>Bundaberg and Hervey Bay</w:t>
      </w:r>
      <w:r w:rsidRPr="005F45F6">
        <w:t xml:space="preserve"> region and the </w:t>
      </w:r>
      <w:r w:rsidR="008012A2" w:rsidRPr="005F45F6">
        <w:t>state of Queensland as a whole and Australia as a whole</w:t>
      </w:r>
      <w:r w:rsidRPr="005F45F6">
        <w:t xml:space="preserve"> has b</w:t>
      </w:r>
      <w:r w:rsidR="00CC07F8" w:rsidRPr="005F45F6">
        <w:t>een</w:t>
      </w:r>
      <w:r w:rsidRPr="005F45F6">
        <w:t xml:space="preserve"> widening</w:t>
      </w:r>
      <w:r w:rsidR="00CC07F8" w:rsidRPr="005F45F6">
        <w:t xml:space="preserve"> </w:t>
      </w:r>
      <w:r w:rsidR="003F60E3" w:rsidRPr="005F45F6">
        <w:t>between 2012 and 2018</w:t>
      </w:r>
      <w:r w:rsidRPr="005F45F6">
        <w:t>.</w:t>
      </w:r>
    </w:p>
    <w:p w14:paraId="46DF495C" w14:textId="77777777" w:rsidR="003F60E3" w:rsidRDefault="004215DA" w:rsidP="003F60E3">
      <w:r w:rsidRPr="004126AE">
        <w:t xml:space="preserve">The proportion of vulnerable children </w:t>
      </w:r>
      <w:r w:rsidR="003F60E3">
        <w:t>and the proportion of children at risk</w:t>
      </w:r>
      <w:r w:rsidR="003F60E3" w:rsidRPr="004126AE">
        <w:t xml:space="preserve"> </w:t>
      </w:r>
      <w:r w:rsidRPr="004126AE">
        <w:t xml:space="preserve">on this domain </w:t>
      </w:r>
      <w:r w:rsidR="003F60E3">
        <w:t>were</w:t>
      </w:r>
      <w:r w:rsidR="008012A2" w:rsidRPr="004126AE">
        <w:t xml:space="preserve"> </w:t>
      </w:r>
      <w:r w:rsidRPr="004126AE">
        <w:t>similar between Bundaberg and Hervey Bay</w:t>
      </w:r>
      <w:r>
        <w:t xml:space="preserve"> in 2012 and 2015</w:t>
      </w:r>
      <w:r w:rsidRPr="004126AE">
        <w:t>.</w:t>
      </w:r>
      <w:r>
        <w:t xml:space="preserve"> Since then, the proportion</w:t>
      </w:r>
      <w:r w:rsidR="008012A2">
        <w:t xml:space="preserve"> of vulnerable children on this domain</w:t>
      </w:r>
      <w:r>
        <w:t xml:space="preserve"> in Bundaberg has increased, while there </w:t>
      </w:r>
      <w:r w:rsidR="008012A2">
        <w:t xml:space="preserve">was </w:t>
      </w:r>
      <w:r>
        <w:t>a modest drop in Hervey Bay.</w:t>
      </w:r>
      <w:r w:rsidR="003F60E3">
        <w:t xml:space="preserve"> Since 2015, the proportion of children at risk has increased both in Bundaberg and Hervey Bay, though the growth is relatively faster in Bundaberg.</w:t>
      </w:r>
    </w:p>
    <w:p w14:paraId="5CB58950" w14:textId="5BF93454" w:rsidR="00941FFD" w:rsidRDefault="00941FFD" w:rsidP="00941FFD">
      <w:pPr>
        <w:pStyle w:val="Caption"/>
      </w:pPr>
      <w:bookmarkStart w:id="155" w:name="_Ref36654073"/>
      <w:bookmarkStart w:id="156" w:name="_Toc34935508"/>
      <w:bookmarkStart w:id="157" w:name="_Toc37263835"/>
      <w:r>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rsidR="006B022F">
        <w:noBreakHyphen/>
      </w:r>
      <w:r w:rsidR="006C0554">
        <w:fldChar w:fldCharType="begin"/>
      </w:r>
      <w:r w:rsidR="006C0554">
        <w:instrText xml:space="preserve"> SEQ Figure \* ARABIC \s 1 </w:instrText>
      </w:r>
      <w:r w:rsidR="006C0554">
        <w:fldChar w:fldCharType="separate"/>
      </w:r>
      <w:r w:rsidR="008E2086">
        <w:rPr>
          <w:noProof/>
        </w:rPr>
        <w:t>11</w:t>
      </w:r>
      <w:r w:rsidR="006C0554">
        <w:rPr>
          <w:noProof/>
        </w:rPr>
        <w:fldChar w:fldCharType="end"/>
      </w:r>
      <w:bookmarkEnd w:id="155"/>
      <w:r>
        <w:t>: Child development outcomes: Language and cognitive skills</w:t>
      </w:r>
      <w:bookmarkEnd w:id="156"/>
      <w:bookmarkEnd w:id="157"/>
    </w:p>
    <w:p w14:paraId="3B61AB0A" w14:textId="77777777" w:rsidR="00C03218" w:rsidRDefault="00C03218" w:rsidP="00C03218">
      <w:pPr>
        <w:jc w:val="center"/>
      </w:pPr>
      <w:r w:rsidRPr="00C03218">
        <w:rPr>
          <w:noProof/>
          <w:lang w:eastAsia="en-AU"/>
        </w:rPr>
        <w:drawing>
          <wp:inline distT="0" distB="0" distL="0" distR="0" wp14:anchorId="4ED56649" wp14:editId="4EC04554">
            <wp:extent cx="5349600" cy="2980800"/>
            <wp:effectExtent l="57150" t="19050" r="60960" b="86360"/>
            <wp:docPr id="71" name="Picture 71" descr="Children’s language and cognitive skills in the Bundaberg and Hervey Bay region, compared with the state of Queensland as a whole and Australia in 2012, 2015 and 2018.&#10;2012 Bundaberg: on track 77.8%, at risk 12.0%, vulnerable 10.2% &#10;2012 Hervey Bay: on track 75.5%, at risk 13.1%, vulnerable 11.4% &#10;2012 BHB region: on track 76.9%, at risk 12.4%, vulnerable 10.7% &#10;2012 Queensland: on track 78.5%, at risk 12.4%, vulnerable 9.1% &#10;2012 Australia: on track 82.6%, at risk 10.6%, vulnerable 6.8% &#10;2015 Bundaberg: on track 79.1%, at risk 9.5%, vulnerable 11.4% &#10;2015 Hervey Bay: on track 77.7%, at risk 11.1%, vulnerable 11.2% &#10;2015 BHB region: on track 78.6%, at risk 10.1%, vulnerable 11.3% &#10;2015 Queensland: on track 82.3%, at risk 9.7%, vulnerable 8.0% &#10;2015 Australia: on track 84.6%, at risk 8.9%, vulnerable 6.5% &#10;2018 Bundaberg: on track 68.5%, at risk 16.6%, vulnerable 14.9% &#10;2018 Hervey Bay: on track 76.0%, at risk 13.6%, vulnerable 10.4% &#10;2018 BHB region: on track 71.2%, at risk 15.5%, vulnerable 13.3% &#10;2018 Queensland: on track 82.4%, at risk 9.6%, vulnerable 8.0% &#10;2018 Australia: on track 84.4%, at risk 9.0%, vulnerable 6.6%" title="Figure 2 11: Child development outcomes: Language and cognitive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9600" cy="29808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2CEB6478" w14:textId="77777777" w:rsidR="00F76909" w:rsidRPr="00461021" w:rsidRDefault="00F76909" w:rsidP="00F76909">
      <w:pPr>
        <w:spacing w:after="0"/>
        <w:ind w:left="284"/>
        <w:rPr>
          <w:i/>
          <w:sz w:val="18"/>
          <w:szCs w:val="18"/>
        </w:rPr>
      </w:pPr>
      <w:r w:rsidRPr="00461021">
        <w:rPr>
          <w:i/>
          <w:sz w:val="18"/>
          <w:szCs w:val="18"/>
        </w:rPr>
        <w:t xml:space="preserve">Source: </w:t>
      </w:r>
      <w:r w:rsidRPr="00461021">
        <w:rPr>
          <w:i/>
          <w:sz w:val="18"/>
          <w:szCs w:val="18"/>
          <w:lang w:val="en"/>
        </w:rPr>
        <w:t>AEDC (2012, 2015, 2018).</w:t>
      </w:r>
    </w:p>
    <w:p w14:paraId="5D7A0E28" w14:textId="77777777" w:rsidR="00F76909" w:rsidRPr="00461021" w:rsidRDefault="00F76909" w:rsidP="00A4064D">
      <w:pPr>
        <w:spacing w:after="360"/>
        <w:ind w:left="284"/>
        <w:rPr>
          <w:i/>
          <w:sz w:val="18"/>
          <w:szCs w:val="18"/>
        </w:rPr>
      </w:pPr>
      <w:r w:rsidRPr="00461021">
        <w:rPr>
          <w:i/>
          <w:sz w:val="18"/>
          <w:szCs w:val="18"/>
        </w:rPr>
        <w:t xml:space="preserve">Note: </w:t>
      </w:r>
      <w:r w:rsidR="001E4961">
        <w:rPr>
          <w:i/>
          <w:sz w:val="18"/>
          <w:szCs w:val="18"/>
        </w:rPr>
        <w:t>‘</w:t>
      </w:r>
      <w:r w:rsidRPr="00461021">
        <w:rPr>
          <w:i/>
          <w:sz w:val="18"/>
          <w:szCs w:val="18"/>
        </w:rPr>
        <w:t>BHB region</w:t>
      </w:r>
      <w:r w:rsidR="001E4961">
        <w:rPr>
          <w:i/>
          <w:sz w:val="18"/>
          <w:szCs w:val="18"/>
        </w:rPr>
        <w:t>’</w:t>
      </w:r>
      <w:r w:rsidR="00A02CC1" w:rsidRPr="00A02CC1">
        <w:rPr>
          <w:i/>
          <w:sz w:val="18"/>
          <w:szCs w:val="18"/>
        </w:rPr>
        <w:t xml:space="preserve"> refers to Bundaberg and Hervey Bay added together, which</w:t>
      </w:r>
      <w:r w:rsidRPr="00461021">
        <w:rPr>
          <w:i/>
          <w:sz w:val="18"/>
          <w:szCs w:val="18"/>
        </w:rPr>
        <w:t xml:space="preserve"> </w:t>
      </w:r>
      <w:r w:rsidR="001E4961">
        <w:rPr>
          <w:i/>
          <w:sz w:val="18"/>
          <w:szCs w:val="18"/>
        </w:rPr>
        <w:t>was</w:t>
      </w:r>
      <w:r w:rsidRPr="00461021">
        <w:rPr>
          <w:i/>
          <w:sz w:val="18"/>
          <w:szCs w:val="18"/>
        </w:rPr>
        <w:t xml:space="preserve"> identified using the </w:t>
      </w:r>
      <w:r w:rsidR="00870E6D" w:rsidRPr="00870E6D">
        <w:rPr>
          <w:i/>
          <w:iCs/>
          <w:sz w:val="18"/>
          <w:szCs w:val="18"/>
        </w:rPr>
        <w:t>ABS Main Area Structure</w:t>
      </w:r>
      <w:r w:rsidRPr="00461021">
        <w:rPr>
          <w:i/>
          <w:sz w:val="18"/>
          <w:szCs w:val="18"/>
        </w:rPr>
        <w:t xml:space="preserve"> information</w:t>
      </w:r>
      <w:r w:rsidR="00A02CC1">
        <w:rPr>
          <w:i/>
          <w:sz w:val="18"/>
          <w:szCs w:val="18"/>
        </w:rPr>
        <w:t xml:space="preserve"> at the SA3 level</w:t>
      </w:r>
      <w:r w:rsidRPr="00461021">
        <w:rPr>
          <w:i/>
          <w:sz w:val="18"/>
          <w:szCs w:val="18"/>
        </w:rPr>
        <w:t>.</w:t>
      </w:r>
      <w:r w:rsidR="00DF5B7D">
        <w:rPr>
          <w:i/>
          <w:sz w:val="18"/>
          <w:szCs w:val="18"/>
        </w:rPr>
        <w:t xml:space="preserve"> </w:t>
      </w:r>
      <w:r w:rsidR="00DF5B7D" w:rsidRPr="00DF5B7D">
        <w:rPr>
          <w:i/>
          <w:sz w:val="18"/>
          <w:szCs w:val="18"/>
        </w:rPr>
        <w:t xml:space="preserve">Due to rounding, the total percentages may not sum up </w:t>
      </w:r>
      <w:r w:rsidR="00DF5B7D">
        <w:rPr>
          <w:i/>
          <w:sz w:val="18"/>
          <w:szCs w:val="18"/>
        </w:rPr>
        <w:t xml:space="preserve">exactly </w:t>
      </w:r>
      <w:r w:rsidR="00DF5B7D" w:rsidRPr="00DF5B7D">
        <w:rPr>
          <w:i/>
          <w:sz w:val="18"/>
          <w:szCs w:val="18"/>
        </w:rPr>
        <w:t>to 100.</w:t>
      </w:r>
    </w:p>
    <w:p w14:paraId="340877D3" w14:textId="77777777" w:rsidR="002A72A4" w:rsidRPr="001E4961" w:rsidRDefault="002A72A4" w:rsidP="00DC7F94">
      <w:pPr>
        <w:rPr>
          <w:b/>
        </w:rPr>
      </w:pPr>
      <w:r w:rsidRPr="001E4961">
        <w:rPr>
          <w:b/>
        </w:rPr>
        <w:t xml:space="preserve">Communication </w:t>
      </w:r>
      <w:r w:rsidR="00E67A35">
        <w:rPr>
          <w:b/>
        </w:rPr>
        <w:t>s</w:t>
      </w:r>
      <w:r w:rsidRPr="001E4961">
        <w:rPr>
          <w:b/>
        </w:rPr>
        <w:t xml:space="preserve">kills and </w:t>
      </w:r>
      <w:r w:rsidR="00E67A35">
        <w:rPr>
          <w:b/>
        </w:rPr>
        <w:t>g</w:t>
      </w:r>
      <w:r w:rsidRPr="001E4961">
        <w:rPr>
          <w:b/>
        </w:rPr>
        <w:t xml:space="preserve">eneral </w:t>
      </w:r>
      <w:r w:rsidR="00E67A35">
        <w:rPr>
          <w:b/>
        </w:rPr>
        <w:t>k</w:t>
      </w:r>
      <w:r w:rsidRPr="001E4961">
        <w:rPr>
          <w:b/>
        </w:rPr>
        <w:t>nowledge</w:t>
      </w:r>
    </w:p>
    <w:p w14:paraId="43E9B8F6" w14:textId="21500F53" w:rsidR="00DC7F94" w:rsidRPr="00DC7F94" w:rsidRDefault="00A02543" w:rsidP="00DC7F94">
      <w:r>
        <w:t xml:space="preserve">The </w:t>
      </w:r>
      <w:r w:rsidR="004215DA">
        <w:t>domain</w:t>
      </w:r>
      <w:r>
        <w:t xml:space="preserve"> represented in</w:t>
      </w:r>
      <w:r w:rsidR="004215DA">
        <w:t xml:space="preserve"> </w:t>
      </w:r>
      <w:r w:rsidR="003E18E6">
        <w:fldChar w:fldCharType="begin"/>
      </w:r>
      <w:r w:rsidR="003E18E6">
        <w:instrText xml:space="preserve"> REF _Ref36654084 \h </w:instrText>
      </w:r>
      <w:r w:rsidR="003E18E6">
        <w:fldChar w:fldCharType="separate"/>
      </w:r>
      <w:r w:rsidR="008E2086">
        <w:t xml:space="preserve">Figure </w:t>
      </w:r>
      <w:r w:rsidR="008E2086">
        <w:rPr>
          <w:noProof/>
        </w:rPr>
        <w:t>2</w:t>
      </w:r>
      <w:r w:rsidR="008E2086">
        <w:noBreakHyphen/>
      </w:r>
      <w:r w:rsidR="008E2086">
        <w:rPr>
          <w:noProof/>
        </w:rPr>
        <w:t>12</w:t>
      </w:r>
      <w:r w:rsidR="003E18E6">
        <w:fldChar w:fldCharType="end"/>
      </w:r>
      <w:r w:rsidR="00F76909">
        <w:t xml:space="preserve"> </w:t>
      </w:r>
      <w:r w:rsidR="004215DA">
        <w:t xml:space="preserve">measures children’s communication skills and general knowledge based on broad developmental competencies and skills </w:t>
      </w:r>
      <w:r w:rsidR="00BA2ED9">
        <w:t xml:space="preserve">measured in the school context. </w:t>
      </w:r>
      <w:r w:rsidR="00DC7F94" w:rsidRPr="00DC7F94">
        <w:t xml:space="preserve">The </w:t>
      </w:r>
      <w:r w:rsidR="005F483C">
        <w:t xml:space="preserve">characterisation of being </w:t>
      </w:r>
      <w:r w:rsidR="005F483C" w:rsidRPr="005F483C">
        <w:rPr>
          <w:i/>
        </w:rPr>
        <w:t>at risk</w:t>
      </w:r>
      <w:r w:rsidR="005F483C">
        <w:t xml:space="preserve"> or </w:t>
      </w:r>
      <w:r w:rsidR="005F483C" w:rsidRPr="005F483C">
        <w:rPr>
          <w:i/>
        </w:rPr>
        <w:t>vulnerable</w:t>
      </w:r>
      <w:r w:rsidR="005F483C">
        <w:t xml:space="preserve"> on this domain is as follows</w:t>
      </w:r>
      <w:r w:rsidR="00DC7F94" w:rsidRPr="00DC7F94">
        <w:t xml:space="preserve">: </w:t>
      </w:r>
    </w:p>
    <w:p w14:paraId="78699100" w14:textId="77777777" w:rsidR="00DC7F94" w:rsidRPr="00DC7F94" w:rsidRDefault="00DC7F94" w:rsidP="00DC7F94">
      <w:pPr>
        <w:numPr>
          <w:ilvl w:val="0"/>
          <w:numId w:val="36"/>
        </w:numPr>
      </w:pPr>
      <w:r w:rsidRPr="00DC7F94">
        <w:t xml:space="preserve">At risk: </w:t>
      </w:r>
      <w:r>
        <w:t xml:space="preserve">Have mastered some but not all of the following communication skills: listening, understanding and speaking effectively in English, being able to articulate clearly, being able to tell a story and to take part in imaginative play. Children may not know some basic general </w:t>
      </w:r>
      <w:r>
        <w:lastRenderedPageBreak/>
        <w:t>knowledge about the world such as knowing that leaves fall in autumn, apple is fruit, and dogs bark.</w:t>
      </w:r>
    </w:p>
    <w:p w14:paraId="04ECB2D3" w14:textId="77777777" w:rsidR="00DC7F94" w:rsidRPr="00DC7F94" w:rsidRDefault="00DC7F94" w:rsidP="00DC7F94">
      <w:pPr>
        <w:numPr>
          <w:ilvl w:val="0"/>
          <w:numId w:val="36"/>
        </w:numPr>
      </w:pPr>
      <w:r w:rsidRPr="00DC7F94">
        <w:t xml:space="preserve">Vulnerable: </w:t>
      </w:r>
      <w:r>
        <w:t>Children will have poor communication skills and articulation; have limited command of English (or the language of instruction), have difficulties talking to others, understanding, and being understood; and have poor general knowledge</w:t>
      </w:r>
      <w:r w:rsidRPr="00DC7F94">
        <w:t>.</w:t>
      </w:r>
      <w:r w:rsidRPr="00DC7F94">
        <w:rPr>
          <w:vertAlign w:val="superscript"/>
        </w:rPr>
        <w:footnoteReference w:id="25"/>
      </w:r>
    </w:p>
    <w:p w14:paraId="07950C04" w14:textId="77777777" w:rsidR="00545269" w:rsidRDefault="004215DA" w:rsidP="002B03B4">
      <w:r>
        <w:t>In 2012</w:t>
      </w:r>
      <w:r w:rsidR="00101D9F">
        <w:t xml:space="preserve"> and 2015</w:t>
      </w:r>
      <w:r>
        <w:t xml:space="preserve">, a similar proportion of children in the </w:t>
      </w:r>
      <w:r w:rsidR="00FE7B5B">
        <w:t>Bundaberg and Hervey Bay</w:t>
      </w:r>
      <w:r>
        <w:t xml:space="preserve"> region are vulnerable </w:t>
      </w:r>
      <w:r w:rsidR="003F60E3">
        <w:t xml:space="preserve">or at risk </w:t>
      </w:r>
      <w:r>
        <w:t>on this domain</w:t>
      </w:r>
      <w:r w:rsidR="00A02543">
        <w:t>,</w:t>
      </w:r>
      <w:r>
        <w:t xml:space="preserve"> </w:t>
      </w:r>
      <w:r w:rsidR="00A02543">
        <w:t xml:space="preserve">compared with the state of Queensland as a whole and Australia as a whole. However, </w:t>
      </w:r>
      <w:r w:rsidR="003F60E3">
        <w:t xml:space="preserve">both of these </w:t>
      </w:r>
      <w:r w:rsidR="00096731">
        <w:t xml:space="preserve">proportions </w:t>
      </w:r>
      <w:r w:rsidR="00E933FB">
        <w:t xml:space="preserve">were </w:t>
      </w:r>
      <w:r w:rsidR="00BA2ED9">
        <w:t>much higher</w:t>
      </w:r>
      <w:r w:rsidR="003F60E3">
        <w:t xml:space="preserve"> in the Bundaberg and Hervey Bay region</w:t>
      </w:r>
      <w:r w:rsidR="00101D9F">
        <w:t xml:space="preserve"> than</w:t>
      </w:r>
      <w:r w:rsidR="00B70F31">
        <w:t xml:space="preserve"> in</w:t>
      </w:r>
      <w:r w:rsidR="00101D9F">
        <w:t xml:space="preserve"> the </w:t>
      </w:r>
      <w:r w:rsidR="00A02543">
        <w:t>state of Queensland as a whole and Australia as a whole</w:t>
      </w:r>
      <w:r w:rsidR="00A02543" w:rsidDel="00A02543">
        <w:t xml:space="preserve"> </w:t>
      </w:r>
      <w:r w:rsidR="00BA2ED9">
        <w:t xml:space="preserve">in 2018. </w:t>
      </w:r>
      <w:r w:rsidR="003F60E3">
        <w:t>In other words, t</w:t>
      </w:r>
      <w:r>
        <w:t xml:space="preserve">he gap in vulnerability between children in the </w:t>
      </w:r>
      <w:r w:rsidR="00FE7B5B">
        <w:t>Bundaberg and Hervey Bay</w:t>
      </w:r>
      <w:r>
        <w:t xml:space="preserve"> region and the </w:t>
      </w:r>
      <w:r w:rsidR="00A02543">
        <w:t>state of Queensland as a whole and Australia as a whole</w:t>
      </w:r>
      <w:r w:rsidR="00A02543" w:rsidDel="00A02543">
        <w:t xml:space="preserve"> </w:t>
      </w:r>
      <w:r w:rsidR="00BA2ED9">
        <w:t xml:space="preserve">has been widening since 2015. </w:t>
      </w:r>
      <w:r>
        <w:t>The proportion of vulnerable children on this domain is similar between Bundaberg and Hervey Bay</w:t>
      </w:r>
      <w:r w:rsidR="003F60E3">
        <w:t xml:space="preserve"> in </w:t>
      </w:r>
      <w:r w:rsidR="00D54EEC">
        <w:t>2012 and 2018</w:t>
      </w:r>
      <w:r w:rsidR="00E310A7">
        <w:t xml:space="preserve"> </w:t>
      </w:r>
      <w:r w:rsidR="003F60E3">
        <w:t>while Bundaberg has a much lower proportion of children at risk than Hervey Bay in 2018</w:t>
      </w:r>
      <w:r>
        <w:t>.</w:t>
      </w:r>
    </w:p>
    <w:p w14:paraId="7BFAB43D" w14:textId="7C44406F" w:rsidR="00941FFD" w:rsidRDefault="006B022F" w:rsidP="006B022F">
      <w:pPr>
        <w:pStyle w:val="Caption"/>
      </w:pPr>
      <w:bookmarkStart w:id="158" w:name="_Ref36654084"/>
      <w:bookmarkStart w:id="159" w:name="_Toc34935509"/>
      <w:bookmarkStart w:id="160" w:name="_Toc37263836"/>
      <w:r>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12</w:t>
      </w:r>
      <w:r w:rsidR="006C0554">
        <w:rPr>
          <w:noProof/>
        </w:rPr>
        <w:fldChar w:fldCharType="end"/>
      </w:r>
      <w:bookmarkEnd w:id="158"/>
      <w:r>
        <w:t xml:space="preserve">: </w:t>
      </w:r>
      <w:r w:rsidR="00941FFD">
        <w:t>Child development outcomes:</w:t>
      </w:r>
      <w:r>
        <w:t xml:space="preserve"> Communication skills and general knowledge</w:t>
      </w:r>
      <w:bookmarkEnd w:id="159"/>
      <w:bookmarkEnd w:id="160"/>
    </w:p>
    <w:p w14:paraId="5BE1909A" w14:textId="77777777" w:rsidR="002B03B4" w:rsidRDefault="002B03B4" w:rsidP="002B03B4">
      <w:pPr>
        <w:jc w:val="center"/>
      </w:pPr>
      <w:r w:rsidRPr="002B03B4">
        <w:rPr>
          <w:noProof/>
          <w:lang w:eastAsia="en-AU"/>
        </w:rPr>
        <w:drawing>
          <wp:inline distT="0" distB="0" distL="0" distR="0" wp14:anchorId="06D8301F" wp14:editId="32EB31CC">
            <wp:extent cx="5349600" cy="2980800"/>
            <wp:effectExtent l="57150" t="19050" r="60960" b="86360"/>
            <wp:docPr id="72" name="Picture 72" descr="Children’s communication skills and general knowledge in the Bundaberg and Hervey Bay region, compared with the state of Queensland as a whole and Australia in 2012, 2015 and 2018.&#10;2012 Bundaberg: on track 71.0%, at risk 18.7%, vulnerable 10.3% &#10;2012 Hervey Bay: on track 69.4%, at risk 19.2%, vulnerable 11.4% &#10;2012 BHB region: on track 70.4%, at risk 18.9%, vulnerable 10.7% &#10;2012 Queensland: on track 71.4%, at risk 17.9%, vulnerable 10.7% &#10;2012 Australia: on track 74.7%, at risk 16.3%, vulnerable 9.0% &#10;2015 Bundaberg: on track 71.5%, at risk 17.4%, vulnerable 11.1% &#10;2015 Hervey Bay: on track 71.2%, at risk 14.5%, vulnerable 14.3% &#10;2015 BHB region: on track 71.4%, at risk 16.3%, vulnerable 12.3% &#10;2015 Queensland: on track 72.8%, at risk 16.7%, vulnerable 10.5% &#10;2015 Australia: on track 76.3%, at risk 15.1%, vulnerable 8.5% &#10;2018 Bundaberg: on track 68.5%, at risk 16.8%, vulnerable 14.7% &#10;2018 Hervey Bay: on track 59.0%, at risk 24.1%, vulnerable 16.8% &#10;2018 BHB region: on track 65.2%, at risk 19.4%, vulnerable 15.5% &#10;2018 Queensland: on track 74.0%, at risk 15.9%, vulnerable 10.1% &#10;2018 Australia: on track 77.3%, at risk 14.5%, vulnerable 8.2%" title="Figure 2 12: Child development outcomes: Communication skills and general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9600" cy="29808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77755B4E" w14:textId="77777777" w:rsidR="00F76909" w:rsidRPr="00461021" w:rsidRDefault="00F76909" w:rsidP="00F76909">
      <w:pPr>
        <w:spacing w:after="0"/>
        <w:ind w:left="284"/>
        <w:rPr>
          <w:i/>
          <w:sz w:val="18"/>
          <w:szCs w:val="18"/>
        </w:rPr>
      </w:pPr>
      <w:r w:rsidRPr="00461021">
        <w:rPr>
          <w:i/>
          <w:sz w:val="18"/>
          <w:szCs w:val="18"/>
        </w:rPr>
        <w:t xml:space="preserve">Source: </w:t>
      </w:r>
      <w:r w:rsidRPr="00461021">
        <w:rPr>
          <w:i/>
          <w:sz w:val="18"/>
          <w:szCs w:val="18"/>
          <w:lang w:val="en"/>
        </w:rPr>
        <w:t>AEDC (2012, 2015, 2018).</w:t>
      </w:r>
    </w:p>
    <w:p w14:paraId="6C3CA6BC" w14:textId="77777777" w:rsidR="00F76909" w:rsidRPr="00461021" w:rsidRDefault="00F76909" w:rsidP="00A4064D">
      <w:pPr>
        <w:spacing w:after="360"/>
        <w:ind w:left="284"/>
        <w:rPr>
          <w:i/>
          <w:sz w:val="18"/>
          <w:szCs w:val="18"/>
        </w:rPr>
      </w:pPr>
      <w:r w:rsidRPr="00461021">
        <w:rPr>
          <w:i/>
          <w:sz w:val="18"/>
          <w:szCs w:val="18"/>
        </w:rPr>
        <w:t xml:space="preserve">Note: </w:t>
      </w:r>
      <w:r w:rsidR="00D71AC2">
        <w:rPr>
          <w:i/>
          <w:sz w:val="18"/>
          <w:szCs w:val="18"/>
        </w:rPr>
        <w:t>‘</w:t>
      </w:r>
      <w:r w:rsidRPr="00461021">
        <w:rPr>
          <w:i/>
          <w:sz w:val="18"/>
          <w:szCs w:val="18"/>
        </w:rPr>
        <w:t>BHB region</w:t>
      </w:r>
      <w:r w:rsidR="00D71AC2">
        <w:rPr>
          <w:i/>
          <w:sz w:val="18"/>
          <w:szCs w:val="18"/>
        </w:rPr>
        <w:t>’</w:t>
      </w:r>
      <w:r w:rsidR="00A02CC1" w:rsidRPr="00A02CC1">
        <w:rPr>
          <w:i/>
          <w:sz w:val="18"/>
          <w:szCs w:val="18"/>
        </w:rPr>
        <w:t xml:space="preserve"> refers to Bundaberg and Hervey Bay added together, which</w:t>
      </w:r>
      <w:r w:rsidRPr="00461021">
        <w:rPr>
          <w:i/>
          <w:sz w:val="18"/>
          <w:szCs w:val="18"/>
        </w:rPr>
        <w:t xml:space="preserve"> is identified using the ASG</w:t>
      </w:r>
      <w:r w:rsidR="003169FD">
        <w:rPr>
          <w:i/>
          <w:sz w:val="18"/>
          <w:szCs w:val="18"/>
        </w:rPr>
        <w:t>S</w:t>
      </w:r>
      <w:r w:rsidR="00870E6D" w:rsidRPr="00870E6D">
        <w:rPr>
          <w:i/>
          <w:iCs/>
          <w:sz w:val="18"/>
          <w:szCs w:val="18"/>
        </w:rPr>
        <w:t>ABS Main Area Structure</w:t>
      </w:r>
      <w:r w:rsidRPr="00461021">
        <w:rPr>
          <w:i/>
          <w:sz w:val="18"/>
          <w:szCs w:val="18"/>
        </w:rPr>
        <w:t xml:space="preserve"> information</w:t>
      </w:r>
      <w:r w:rsidR="00A02CC1">
        <w:rPr>
          <w:i/>
          <w:sz w:val="18"/>
          <w:szCs w:val="18"/>
        </w:rPr>
        <w:t xml:space="preserve"> at the SA3 level</w:t>
      </w:r>
      <w:r w:rsidRPr="00461021">
        <w:rPr>
          <w:i/>
          <w:sz w:val="18"/>
          <w:szCs w:val="18"/>
        </w:rPr>
        <w:t>.</w:t>
      </w:r>
      <w:r w:rsidR="00DF5B7D">
        <w:rPr>
          <w:i/>
          <w:sz w:val="18"/>
          <w:szCs w:val="18"/>
        </w:rPr>
        <w:t xml:space="preserve"> </w:t>
      </w:r>
      <w:r w:rsidR="00DF5B7D" w:rsidRPr="00DF5B7D">
        <w:rPr>
          <w:i/>
          <w:sz w:val="18"/>
          <w:szCs w:val="18"/>
        </w:rPr>
        <w:t>Due to rounding, the total percentages may not sum up to 100.</w:t>
      </w:r>
    </w:p>
    <w:p w14:paraId="2FDAE87E" w14:textId="77777777" w:rsidR="00CE1F98" w:rsidRPr="00CE1F98" w:rsidRDefault="001E7497" w:rsidP="00B246E0">
      <w:pPr>
        <w:rPr>
          <w:b/>
        </w:rPr>
      </w:pPr>
      <w:r>
        <w:rPr>
          <w:b/>
        </w:rPr>
        <w:t>Developmental Vulnerability on Multiple Domains</w:t>
      </w:r>
    </w:p>
    <w:p w14:paraId="7C15F61F" w14:textId="6C5A82E8" w:rsidR="006536D5" w:rsidRDefault="008F7638" w:rsidP="00B246E0">
      <w:r>
        <w:t xml:space="preserve">Children with developmental vulnerability in multiple domains are considered as being at particularly high risk. </w:t>
      </w:r>
      <w:r w:rsidR="005F21DE">
        <w:t>The next figure shows the</w:t>
      </w:r>
      <w:r w:rsidR="004215DA">
        <w:t xml:space="preserve"> proportion of children in the </w:t>
      </w:r>
      <w:r w:rsidR="00FE7B5B">
        <w:t>Bundaberg and Hervey Bay</w:t>
      </w:r>
      <w:r w:rsidR="004215DA">
        <w:t xml:space="preserve"> region </w:t>
      </w:r>
      <w:r w:rsidR="005F21DE">
        <w:t>who have been categorised as</w:t>
      </w:r>
      <w:r w:rsidR="004215DA">
        <w:t xml:space="preserve"> developmentally vulnerable on </w:t>
      </w:r>
      <w:r w:rsidR="004215DA" w:rsidRPr="005F21DE">
        <w:rPr>
          <w:i/>
        </w:rPr>
        <w:t>one or more</w:t>
      </w:r>
      <w:r w:rsidR="004215DA">
        <w:t xml:space="preserve"> domains and </w:t>
      </w:r>
      <w:r w:rsidR="005F21DE">
        <w:t xml:space="preserve">the proportion of those who have been categorised as developmentally vulnerable </w:t>
      </w:r>
      <w:r w:rsidR="004215DA">
        <w:t xml:space="preserve">on </w:t>
      </w:r>
      <w:r w:rsidR="004215DA" w:rsidRPr="005F21DE">
        <w:rPr>
          <w:i/>
        </w:rPr>
        <w:t>two or more</w:t>
      </w:r>
      <w:r w:rsidR="004215DA">
        <w:t xml:space="preserve"> domains</w:t>
      </w:r>
      <w:r w:rsidR="00F76909">
        <w:t xml:space="preserve"> (</w:t>
      </w:r>
      <w:r w:rsidR="00AC1622">
        <w:fldChar w:fldCharType="begin"/>
      </w:r>
      <w:r w:rsidR="00AC1622">
        <w:instrText xml:space="preserve"> REF _Ref37264975 \h </w:instrText>
      </w:r>
      <w:r w:rsidR="00AC1622">
        <w:fldChar w:fldCharType="separate"/>
      </w:r>
      <w:r w:rsidR="008E2086">
        <w:t xml:space="preserve">Figure </w:t>
      </w:r>
      <w:r w:rsidR="008E2086">
        <w:rPr>
          <w:noProof/>
        </w:rPr>
        <w:t>2</w:t>
      </w:r>
      <w:r w:rsidR="008E2086">
        <w:noBreakHyphen/>
      </w:r>
      <w:r w:rsidR="008E2086">
        <w:rPr>
          <w:noProof/>
        </w:rPr>
        <w:t>13</w:t>
      </w:r>
      <w:r w:rsidR="00AC1622">
        <w:fldChar w:fldCharType="end"/>
      </w:r>
      <w:r w:rsidR="00F76909">
        <w:t>)</w:t>
      </w:r>
      <w:r w:rsidR="004215DA">
        <w:t xml:space="preserve">. </w:t>
      </w:r>
      <w:r w:rsidR="00BC75B1">
        <w:t>We can see that a</w:t>
      </w:r>
      <w:r w:rsidR="006B4AA0">
        <w:t xml:space="preserve"> large proportion of children in the Bundaberg and Hervey Bay region are developmentally vulnerable on one or more domains and on two or more domains in all the three years, compared with the state of Queensland as a whole and Australia as a whole</w:t>
      </w:r>
      <w:r w:rsidR="005F21DE">
        <w:t xml:space="preserve">. </w:t>
      </w:r>
      <w:r w:rsidR="006B4AA0">
        <w:t xml:space="preserve">The </w:t>
      </w:r>
      <w:r w:rsidR="006B4AA0">
        <w:lastRenderedPageBreak/>
        <w:t>gap has widen</w:t>
      </w:r>
      <w:r w:rsidR="00CE7768">
        <w:t xml:space="preserve">ed </w:t>
      </w:r>
      <w:r w:rsidR="006B4AA0">
        <w:t xml:space="preserve">from 2015 to 2018 because the proportion in both Bundaberg and Hervey Bay has increased sharply </w:t>
      </w:r>
      <w:r w:rsidR="00CE7768">
        <w:t xml:space="preserve">(noting that </w:t>
      </w:r>
      <w:r w:rsidR="006B4AA0">
        <w:t xml:space="preserve">growth in Hervey Bay </w:t>
      </w:r>
      <w:r w:rsidR="00CE7768">
        <w:t xml:space="preserve">has been </w:t>
      </w:r>
      <w:r w:rsidR="006B4AA0">
        <w:t>relatively faster</w:t>
      </w:r>
      <w:r w:rsidR="00CE7768">
        <w:t>)</w:t>
      </w:r>
      <w:r w:rsidR="006B4AA0">
        <w:t xml:space="preserve">. </w:t>
      </w:r>
    </w:p>
    <w:p w14:paraId="3D68D7F9" w14:textId="78021A3A" w:rsidR="006B022F" w:rsidRDefault="006B022F" w:rsidP="006B022F">
      <w:pPr>
        <w:pStyle w:val="Caption"/>
      </w:pPr>
      <w:bookmarkStart w:id="161" w:name="_Ref36654106"/>
      <w:bookmarkStart w:id="162" w:name="_Ref37264975"/>
      <w:bookmarkStart w:id="163" w:name="_Toc34935510"/>
      <w:bookmarkStart w:id="164" w:name="_Toc37263837"/>
      <w:r>
        <w:t xml:space="preserve">Figure </w:t>
      </w:r>
      <w:r w:rsidR="006C0554">
        <w:fldChar w:fldCharType="begin"/>
      </w:r>
      <w:r w:rsidR="006C0554">
        <w:instrText xml:space="preserve"> STYLEREF 1 \s </w:instrText>
      </w:r>
      <w:r w:rsidR="006C0554">
        <w:fldChar w:fldCharType="separate"/>
      </w:r>
      <w:r w:rsidR="008E2086">
        <w:rPr>
          <w:noProof/>
        </w:rPr>
        <w:t>2</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13</w:t>
      </w:r>
      <w:r w:rsidR="006C0554">
        <w:rPr>
          <w:noProof/>
        </w:rPr>
        <w:fldChar w:fldCharType="end"/>
      </w:r>
      <w:bookmarkEnd w:id="161"/>
      <w:bookmarkEnd w:id="162"/>
      <w:r>
        <w:t xml:space="preserve">: Child development outcomes: </w:t>
      </w:r>
      <w:r w:rsidR="009630C1">
        <w:t xml:space="preserve">Vulnerability </w:t>
      </w:r>
      <w:r w:rsidR="009213CE">
        <w:t xml:space="preserve">on </w:t>
      </w:r>
      <w:r>
        <w:t>multiple domains</w:t>
      </w:r>
      <w:bookmarkEnd w:id="163"/>
      <w:bookmarkEnd w:id="164"/>
    </w:p>
    <w:p w14:paraId="7A3250FB" w14:textId="77777777" w:rsidR="00101D9F" w:rsidRDefault="005B7E73" w:rsidP="002B03B4">
      <w:pPr>
        <w:pStyle w:val="ListParagraph"/>
        <w:ind w:left="0"/>
      </w:pPr>
      <w:r w:rsidRPr="0085793E">
        <w:rPr>
          <w:noProof/>
          <w:lang w:eastAsia="en-AU"/>
        </w:rPr>
        <w:drawing>
          <wp:inline distT="0" distB="0" distL="0" distR="0" wp14:anchorId="51B069EE" wp14:editId="760FA282">
            <wp:extent cx="5731510" cy="3733800"/>
            <wp:effectExtent l="0" t="0" r="2540" b="0"/>
            <wp:docPr id="25" name="Picture 25" descr="Children’s developmental vulnerability on multiple domains in the Bundaberg and Hervey Bay region, compared with the state of Queensland as a whole and Australia in 2012, 2015 and 2018.&#10;2012 Bundaberg: one or more domains 28.3%, two or more domains 15.0% &#10;2012 Hervey Bay: one or more domains 28.1%, two or more domains 15.9% &#10;2012 BHB region: one or more domains 28.2%, two or more domains 15.3% &#10;2012 Queensland: one or more domains 26.2%, two or more domains 13.8% &#10;2012 Australia: one or more domains 22.0%, two or more domains 10.8% &#10;2015 Bundaberg: one or more domains 28.7%, two or more domains 16.0% &#10;2015 Hervey Bay: one or more domains 29.2%, two or more domains 16.5% &#10;2015 BHB region: one or more domains 28.9%, two or more domains 16.2% &#10;2015 Queensland: one or more domains 26.1%, two or more domains 14.0% &#10;2015 Australia: one or more domains 22.0%, two or more domains 11.1% &#10;2018 Bundaberg: one or more domains 33.8%, two or more domains 21.0% &#10;2018 Hervey Bay: one or more domains 38.6%, two or more domains 22.8% &#10;2018 BHB region: one or more domains 35.5%, two or more domains 21.7% &#10;2018 Queensland: one or more domains 25.9%, two or more domains 13.9% &#10;2018 Australia: one or more domains 21.7%, two or more domains 11.0%" title="Figure 2 13: Child development outcomes: Vulnerability on multiple 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3733800"/>
                    </a:xfrm>
                    <a:prstGeom prst="rect">
                      <a:avLst/>
                    </a:prstGeom>
                    <a:noFill/>
                    <a:ln>
                      <a:noFill/>
                    </a:ln>
                  </pic:spPr>
                </pic:pic>
              </a:graphicData>
            </a:graphic>
          </wp:inline>
        </w:drawing>
      </w:r>
    </w:p>
    <w:p w14:paraId="7759B21A" w14:textId="77777777" w:rsidR="00F76909" w:rsidRPr="00461021" w:rsidRDefault="00F76909" w:rsidP="00F76909">
      <w:pPr>
        <w:spacing w:after="0"/>
        <w:ind w:left="142"/>
        <w:rPr>
          <w:i/>
          <w:sz w:val="18"/>
          <w:szCs w:val="18"/>
        </w:rPr>
      </w:pPr>
      <w:r w:rsidRPr="00461021">
        <w:rPr>
          <w:i/>
          <w:sz w:val="18"/>
          <w:szCs w:val="18"/>
        </w:rPr>
        <w:t xml:space="preserve">Source: </w:t>
      </w:r>
      <w:r w:rsidRPr="00461021">
        <w:rPr>
          <w:i/>
          <w:sz w:val="18"/>
          <w:szCs w:val="18"/>
          <w:lang w:val="en"/>
        </w:rPr>
        <w:t>AEDC (2012, 2015, 2018).</w:t>
      </w:r>
    </w:p>
    <w:p w14:paraId="471298A4" w14:textId="77777777" w:rsidR="00CD154F" w:rsidRPr="00636070" w:rsidRDefault="00F76909" w:rsidP="00636070">
      <w:pPr>
        <w:spacing w:after="0"/>
        <w:ind w:left="142"/>
        <w:rPr>
          <w:i/>
          <w:sz w:val="18"/>
          <w:szCs w:val="18"/>
        </w:rPr>
      </w:pPr>
      <w:r w:rsidRPr="00461021">
        <w:rPr>
          <w:i/>
          <w:sz w:val="18"/>
          <w:szCs w:val="18"/>
        </w:rPr>
        <w:t xml:space="preserve">Note: </w:t>
      </w:r>
      <w:r w:rsidR="00E35197">
        <w:rPr>
          <w:i/>
          <w:sz w:val="18"/>
          <w:szCs w:val="18"/>
        </w:rPr>
        <w:t>‘</w:t>
      </w:r>
      <w:r w:rsidRPr="00461021">
        <w:rPr>
          <w:i/>
          <w:sz w:val="18"/>
          <w:szCs w:val="18"/>
        </w:rPr>
        <w:t>BHB region</w:t>
      </w:r>
      <w:r w:rsidR="00E35197">
        <w:rPr>
          <w:i/>
          <w:sz w:val="18"/>
          <w:szCs w:val="18"/>
        </w:rPr>
        <w:t>’</w:t>
      </w:r>
      <w:r w:rsidR="00A02CC1" w:rsidRPr="00A02CC1">
        <w:rPr>
          <w:i/>
          <w:sz w:val="18"/>
          <w:szCs w:val="18"/>
        </w:rPr>
        <w:t xml:space="preserve"> refers to Bundaberg and Hervey Bay added together, which</w:t>
      </w:r>
      <w:r w:rsidRPr="00461021">
        <w:rPr>
          <w:i/>
          <w:sz w:val="18"/>
          <w:szCs w:val="18"/>
        </w:rPr>
        <w:t xml:space="preserve"> is identified using the </w:t>
      </w:r>
      <w:r w:rsidR="00870E6D" w:rsidRPr="00870E6D">
        <w:rPr>
          <w:i/>
          <w:iCs/>
          <w:sz w:val="18"/>
          <w:szCs w:val="18"/>
        </w:rPr>
        <w:t>ABS Main Area Structure</w:t>
      </w:r>
      <w:r w:rsidRPr="00461021">
        <w:rPr>
          <w:i/>
          <w:sz w:val="18"/>
          <w:szCs w:val="18"/>
        </w:rPr>
        <w:t xml:space="preserve"> information</w:t>
      </w:r>
      <w:r w:rsidR="00A02CC1">
        <w:rPr>
          <w:i/>
          <w:sz w:val="18"/>
          <w:szCs w:val="18"/>
        </w:rPr>
        <w:t xml:space="preserve"> at the SA3 level</w:t>
      </w:r>
      <w:r w:rsidRPr="00461021">
        <w:rPr>
          <w:i/>
          <w:sz w:val="18"/>
          <w:szCs w:val="18"/>
        </w:rPr>
        <w:t>.</w:t>
      </w:r>
      <w:r w:rsidR="00DF5B7D">
        <w:rPr>
          <w:i/>
          <w:sz w:val="18"/>
          <w:szCs w:val="18"/>
        </w:rPr>
        <w:t xml:space="preserve"> </w:t>
      </w:r>
      <w:r w:rsidR="00CD154F">
        <w:br w:type="page"/>
      </w:r>
    </w:p>
    <w:p w14:paraId="2F769589" w14:textId="77777777" w:rsidR="002D33F2" w:rsidRPr="00636070" w:rsidRDefault="002D33F2">
      <w:pPr>
        <w:pStyle w:val="Heading1"/>
      </w:pPr>
      <w:bookmarkStart w:id="165" w:name="_Toc34818227"/>
      <w:bookmarkStart w:id="166" w:name="_Toc34935584"/>
      <w:bookmarkStart w:id="167" w:name="_Toc37258354"/>
      <w:r w:rsidRPr="00636070">
        <w:lastRenderedPageBreak/>
        <w:t xml:space="preserve">Descriptive Statistics on the </w:t>
      </w:r>
      <w:r w:rsidR="00E275A2">
        <w:t xml:space="preserve">Bundaberg and Hervey Bay Region </w:t>
      </w:r>
      <w:r w:rsidRPr="00636070">
        <w:t xml:space="preserve">Using </w:t>
      </w:r>
      <w:bookmarkEnd w:id="165"/>
      <w:bookmarkEnd w:id="166"/>
      <w:r>
        <w:t>Australian Government Administrative Data</w:t>
      </w:r>
      <w:bookmarkEnd w:id="167"/>
    </w:p>
    <w:p w14:paraId="61A1BC10" w14:textId="77777777" w:rsidR="002D33F2" w:rsidRPr="00AB23B8" w:rsidRDefault="002D33F2">
      <w:pPr>
        <w:pStyle w:val="Heading2"/>
      </w:pPr>
      <w:bookmarkStart w:id="168" w:name="_Toc34818228"/>
      <w:bookmarkStart w:id="169" w:name="_Toc34935585"/>
      <w:bookmarkStart w:id="170" w:name="_Toc37258355"/>
      <w:r w:rsidRPr="00AB23B8">
        <w:t>Demographics, location and type of benefit payment received</w:t>
      </w:r>
      <w:bookmarkEnd w:id="168"/>
      <w:bookmarkEnd w:id="169"/>
      <w:bookmarkEnd w:id="170"/>
    </w:p>
    <w:p w14:paraId="0A6FEDB3" w14:textId="77777777" w:rsidR="002D33F2" w:rsidRDefault="002D33F2" w:rsidP="002D33F2">
      <w:r w:rsidRPr="006F3FE3">
        <w:t>The stat</w:t>
      </w:r>
      <w:r>
        <w:t xml:space="preserve">istics included in </w:t>
      </w:r>
      <w:r w:rsidR="005D4EF2">
        <w:t>S</w:t>
      </w:r>
      <w:r>
        <w:t xml:space="preserve">ection </w:t>
      </w:r>
      <w:r w:rsidR="005D4EF2">
        <w:t xml:space="preserve">Three </w:t>
      </w:r>
      <w:r>
        <w:t xml:space="preserve">are based on a February 2020 release of relevant Australian Government administrative data and are restricted to CDC participants triggered onto the card while living in the </w:t>
      </w:r>
      <w:r w:rsidR="005D4EF2">
        <w:t>Bundaberg and Hervey Bay region</w:t>
      </w:r>
      <w:r>
        <w:t xml:space="preserve">. 8,061 individuals have been triggered onto the CDC in the </w:t>
      </w:r>
      <w:r w:rsidR="005D4EF2">
        <w:t xml:space="preserve">Bundaberg and Hervey Bay region </w:t>
      </w:r>
      <w:r>
        <w:t xml:space="preserve">since </w:t>
      </w:r>
      <w:r w:rsidR="005D4EF2">
        <w:t xml:space="preserve">the start of the rollout on </w:t>
      </w:r>
      <w:r>
        <w:t>29 January 2019. The information in the Australian Government administrative data</w:t>
      </w:r>
      <w:r w:rsidDel="009066C4">
        <w:t xml:space="preserve"> </w:t>
      </w:r>
      <w:r>
        <w:t xml:space="preserve">which allows us to determine who is currently </w:t>
      </w:r>
      <w:r w:rsidR="005D4EF2">
        <w:t>an ‘</w:t>
      </w:r>
      <w:r>
        <w:t>active</w:t>
      </w:r>
      <w:r w:rsidR="005D4EF2">
        <w:t>’</w:t>
      </w:r>
      <w:r>
        <w:t xml:space="preserve"> CDC participant shows that 6,183 individuals are currently active as of February 2020. The difference between these two figures (1,878) represents individuals who were active CDC participants but no longer are. Those who are no longer active may have found paid employment</w:t>
      </w:r>
      <w:r w:rsidR="005D4EF2">
        <w:t>,</w:t>
      </w:r>
      <w:r>
        <w:t xml:space="preserve"> become ineligible because they are now receiving another type of payment that is not eligible for the CDC</w:t>
      </w:r>
      <w:r w:rsidR="005D4EF2">
        <w:t>,</w:t>
      </w:r>
      <w:r>
        <w:t xml:space="preserve"> or are no longer eligible under the age criterion. In the remainder of</w:t>
      </w:r>
      <w:r w:rsidR="005D4EF2">
        <w:t xml:space="preserve"> Section Three</w:t>
      </w:r>
      <w:r>
        <w:t xml:space="preserve">, we display a number of tables comparing currently active CDC participants (6,183 individuals) with the total number of individuals recorded in the administrative data (8,061 individuals). In order to make the tables as concise as possible, we will refer to this latter group of 8,061 individuals as ‘All participants’, and the former group of 6,183 individuals as ‘Active participants’. The ‘All participants’ group consists of CDC participants (past and present) who were triggered in the Bundaberg and Hervey Bay </w:t>
      </w:r>
      <w:r w:rsidR="00AD5835">
        <w:t xml:space="preserve">region </w:t>
      </w:r>
      <w:r>
        <w:t xml:space="preserve">and who may still live within the trial area or </w:t>
      </w:r>
      <w:r w:rsidR="00AD5835">
        <w:t xml:space="preserve">have moved </w:t>
      </w:r>
      <w:r>
        <w:t>outside</w:t>
      </w:r>
      <w:r w:rsidR="00AD5835">
        <w:t xml:space="preserve"> the region</w:t>
      </w:r>
      <w:r>
        <w:t xml:space="preserve">. The ‘Active participants’ group consists of those CDC participants who </w:t>
      </w:r>
      <w:r w:rsidR="00AD5835">
        <w:t xml:space="preserve">have been </w:t>
      </w:r>
      <w:r>
        <w:t>triggered in the Bundaberg and Hervey Bay trial area</w:t>
      </w:r>
      <w:r w:rsidR="00AD5835">
        <w:t xml:space="preserve"> and are </w:t>
      </w:r>
      <w:r>
        <w:t>still active CDC participants as of mid-February 2020</w:t>
      </w:r>
      <w:r w:rsidR="00AD5835">
        <w:t>. These ‘Active participants’ may still live within the trial area or have moved outside the region (</w:t>
      </w:r>
      <w:r>
        <w:t>as of mid-February 2020</w:t>
      </w:r>
      <w:r w:rsidR="00AD5835">
        <w:t>)</w:t>
      </w:r>
      <w:r>
        <w:t xml:space="preserve">. </w:t>
      </w:r>
    </w:p>
    <w:p w14:paraId="02FEAECB" w14:textId="1D1991D3" w:rsidR="003263B0" w:rsidRDefault="002D33F2" w:rsidP="009A08BF">
      <w:r>
        <w:t xml:space="preserve">Of these 6,183 active participants, 5,204 (84 per cent) are still recorded as living within the </w:t>
      </w:r>
      <w:r w:rsidR="001F477D">
        <w:t>Bundaberg and Hervey Bay region</w:t>
      </w:r>
      <w:r>
        <w:t xml:space="preserve">. The remaining 979 (16 per cent) are currently recorded as living out of the </w:t>
      </w:r>
      <w:r w:rsidR="001F477D">
        <w:t>Bundaberg and Hervey Bay region</w:t>
      </w:r>
      <w:r>
        <w:t>. The following table (</w:t>
      </w:r>
      <w:r w:rsidR="007302DD">
        <w:fldChar w:fldCharType="begin"/>
      </w:r>
      <w:r w:rsidR="007302DD">
        <w:instrText xml:space="preserve"> REF _Ref36655481 \h </w:instrText>
      </w:r>
      <w:r w:rsidR="007302DD">
        <w:fldChar w:fldCharType="separate"/>
      </w:r>
      <w:r w:rsidR="008E2086">
        <w:t xml:space="preserve">Table </w:t>
      </w:r>
      <w:r w:rsidR="008E2086">
        <w:rPr>
          <w:noProof/>
        </w:rPr>
        <w:t>3</w:t>
      </w:r>
      <w:r w:rsidR="008E2086">
        <w:noBreakHyphen/>
      </w:r>
      <w:r w:rsidR="008E2086">
        <w:rPr>
          <w:noProof/>
        </w:rPr>
        <w:t>1</w:t>
      </w:r>
      <w:r w:rsidR="007302DD">
        <w:fldChar w:fldCharType="end"/>
      </w:r>
      <w:r>
        <w:t xml:space="preserve">) shows the current location of CDC participants who </w:t>
      </w:r>
      <w:r w:rsidR="00740AB5">
        <w:t xml:space="preserve">were triggered onto the CDC in the Bundaberg and Hervey Bay region and are now </w:t>
      </w:r>
      <w:r>
        <w:t xml:space="preserve">recorded as living outside the </w:t>
      </w:r>
      <w:r w:rsidR="00740AB5">
        <w:t xml:space="preserve">region </w:t>
      </w:r>
      <w:r>
        <w:t>(to avoid identif</w:t>
      </w:r>
      <w:r w:rsidR="00740AB5">
        <w:t>ying</w:t>
      </w:r>
      <w:r>
        <w:t xml:space="preserve"> areas with less than 10</w:t>
      </w:r>
      <w:r w:rsidR="00740AB5">
        <w:t>,</w:t>
      </w:r>
      <w:r>
        <w:t xml:space="preserve"> participants have been ‘top coded’). We see that 53 per cent of these ‘out of area’ participants live in ‘Rest of Queensland’</w:t>
      </w:r>
      <w:r w:rsidR="001769B9">
        <w:t xml:space="preserve"> (noting that</w:t>
      </w:r>
      <w:r>
        <w:t xml:space="preserve"> most locations </w:t>
      </w:r>
      <w:r w:rsidR="001769B9">
        <w:t xml:space="preserve">are </w:t>
      </w:r>
      <w:r>
        <w:t xml:space="preserve">near the </w:t>
      </w:r>
      <w:r w:rsidR="001769B9">
        <w:t>Bundaberg and Hervey Bay region)</w:t>
      </w:r>
      <w:r>
        <w:t xml:space="preserve">. </w:t>
      </w:r>
      <w:r w:rsidR="007302DD">
        <w:t xml:space="preserve">Twenty-five </w:t>
      </w:r>
      <w:r>
        <w:t xml:space="preserve">per cent of these ‘out of area’ participants currently live in the Brisbane suburbs. The rest are distributed throughout Australia as described in </w:t>
      </w:r>
      <w:r w:rsidR="003A0EAD">
        <w:fldChar w:fldCharType="begin"/>
      </w:r>
      <w:r w:rsidR="003A0EAD">
        <w:instrText xml:space="preserve"> REF _Ref36655481 \h </w:instrText>
      </w:r>
      <w:r w:rsidR="003A0EAD">
        <w:fldChar w:fldCharType="separate"/>
      </w:r>
      <w:r w:rsidR="008E2086">
        <w:t xml:space="preserve">Table </w:t>
      </w:r>
      <w:r w:rsidR="008E2086">
        <w:rPr>
          <w:noProof/>
        </w:rPr>
        <w:t>3</w:t>
      </w:r>
      <w:r w:rsidR="008E2086">
        <w:noBreakHyphen/>
      </w:r>
      <w:r w:rsidR="008E2086">
        <w:rPr>
          <w:noProof/>
        </w:rPr>
        <w:t>1</w:t>
      </w:r>
      <w:r w:rsidR="003A0EAD">
        <w:fldChar w:fldCharType="end"/>
      </w:r>
      <w:r>
        <w:t>.</w:t>
      </w:r>
    </w:p>
    <w:p w14:paraId="7F844F26" w14:textId="77777777" w:rsidR="003263B0" w:rsidRDefault="003263B0">
      <w:pPr>
        <w:jc w:val="left"/>
      </w:pPr>
      <w:r>
        <w:br w:type="page"/>
      </w:r>
    </w:p>
    <w:p w14:paraId="11DD67DC" w14:textId="3DCEFD3A" w:rsidR="002D33F2" w:rsidRDefault="002D33F2" w:rsidP="002D33F2">
      <w:pPr>
        <w:pStyle w:val="Caption"/>
      </w:pPr>
      <w:bookmarkStart w:id="171" w:name="_Ref36655481"/>
      <w:bookmarkStart w:id="172" w:name="_Toc34935551"/>
      <w:bookmarkStart w:id="173" w:name="_Toc36632823"/>
      <w:bookmarkStart w:id="174" w:name="_Toc36637917"/>
      <w:bookmarkStart w:id="175" w:name="_Toc37263586"/>
      <w:bookmarkStart w:id="176" w:name="_Ref33092520"/>
      <w:bookmarkStart w:id="177" w:name="_Toc34304862"/>
      <w:r>
        <w:lastRenderedPageBreak/>
        <w:t xml:space="preserve">Table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1</w:t>
      </w:r>
      <w:r w:rsidR="006C0554">
        <w:rPr>
          <w:noProof/>
        </w:rPr>
        <w:fldChar w:fldCharType="end"/>
      </w:r>
      <w:bookmarkEnd w:id="171"/>
      <w:r>
        <w:t xml:space="preserve">: </w:t>
      </w:r>
      <w:bookmarkEnd w:id="172"/>
      <w:bookmarkEnd w:id="173"/>
      <w:bookmarkEnd w:id="174"/>
      <w:r w:rsidR="00B21556">
        <w:t>Geographical location of CDC participants triggered onto the CDC in the Bundaberg and Hervey Bay trial site</w:t>
      </w:r>
      <w:bookmarkEnd w:id="175"/>
    </w:p>
    <w:bookmarkEnd w:id="176"/>
    <w:bookmarkEnd w:id="177"/>
    <w:tbl>
      <w:tblPr>
        <w:tblStyle w:val="ListTable3-Accent1"/>
        <w:tblW w:w="5558" w:type="dxa"/>
        <w:tblLook w:val="04A0" w:firstRow="1" w:lastRow="0" w:firstColumn="1" w:lastColumn="0" w:noHBand="0" w:noVBand="1"/>
      </w:tblPr>
      <w:tblGrid>
        <w:gridCol w:w="1738"/>
        <w:gridCol w:w="1440"/>
        <w:gridCol w:w="2380"/>
      </w:tblGrid>
      <w:tr w:rsidR="002D33F2" w:rsidRPr="007417BE" w14:paraId="0B617959" w14:textId="77777777" w:rsidTr="00A4064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75E6217C" w14:textId="77777777" w:rsidR="002D33F2" w:rsidRPr="007417BE" w:rsidRDefault="002D33F2" w:rsidP="007B6616">
            <w:pPr>
              <w:rPr>
                <w:lang w:eastAsia="en-AU"/>
              </w:rPr>
            </w:pPr>
          </w:p>
        </w:tc>
        <w:tc>
          <w:tcPr>
            <w:tcW w:w="0" w:type="dxa"/>
            <w:shd w:val="clear" w:color="auto" w:fill="2F5496" w:themeFill="accent5" w:themeFillShade="BF"/>
            <w:noWrap/>
            <w:vAlign w:val="center"/>
            <w:hideMark/>
          </w:tcPr>
          <w:p w14:paraId="189F8597" w14:textId="77777777" w:rsidR="002D33F2" w:rsidRPr="00665933" w:rsidRDefault="002D33F2" w:rsidP="000613C9">
            <w:pPr>
              <w:jc w:val="center"/>
              <w:cnfStyle w:val="100000000000" w:firstRow="1" w:lastRow="0" w:firstColumn="0" w:lastColumn="0" w:oddVBand="0" w:evenVBand="0" w:oddHBand="0" w:evenHBand="0" w:firstRowFirstColumn="0" w:firstRowLastColumn="0" w:lastRowFirstColumn="0" w:lastRowLastColumn="0"/>
              <w:rPr>
                <w:color w:val="auto"/>
                <w:sz w:val="16"/>
                <w:szCs w:val="16"/>
                <w:lang w:eastAsia="en-AU"/>
              </w:rPr>
            </w:pPr>
            <w:r>
              <w:rPr>
                <w:sz w:val="16"/>
                <w:szCs w:val="16"/>
                <w:lang w:eastAsia="en-AU"/>
              </w:rPr>
              <w:t>N</w:t>
            </w:r>
            <w:r w:rsidRPr="00665933">
              <w:rPr>
                <w:sz w:val="16"/>
                <w:szCs w:val="16"/>
                <w:lang w:eastAsia="en-AU"/>
              </w:rPr>
              <w:t>umber of ‘out of area’ CDC participants</w:t>
            </w:r>
          </w:p>
        </w:tc>
        <w:tc>
          <w:tcPr>
            <w:tcW w:w="0" w:type="dxa"/>
            <w:shd w:val="clear" w:color="auto" w:fill="2F5496" w:themeFill="accent5" w:themeFillShade="BF"/>
            <w:noWrap/>
            <w:vAlign w:val="center"/>
            <w:hideMark/>
          </w:tcPr>
          <w:p w14:paraId="3AD4A8EE" w14:textId="77777777" w:rsidR="002D33F2" w:rsidRPr="00665933" w:rsidRDefault="002D33F2" w:rsidP="000613C9">
            <w:pPr>
              <w:jc w:val="center"/>
              <w:cnfStyle w:val="100000000000" w:firstRow="1" w:lastRow="0" w:firstColumn="0" w:lastColumn="0" w:oddVBand="0" w:evenVBand="0" w:oddHBand="0" w:evenHBand="0" w:firstRowFirstColumn="0" w:firstRowLastColumn="0" w:lastRowFirstColumn="0" w:lastRowLastColumn="0"/>
              <w:rPr>
                <w:color w:val="auto"/>
                <w:sz w:val="16"/>
                <w:szCs w:val="16"/>
                <w:lang w:eastAsia="en-AU"/>
              </w:rPr>
            </w:pPr>
            <w:r w:rsidRPr="00665933">
              <w:rPr>
                <w:sz w:val="16"/>
                <w:szCs w:val="16"/>
                <w:lang w:eastAsia="en-AU"/>
              </w:rPr>
              <w:t>% of the total ‘out of area’ CDC participants</w:t>
            </w:r>
          </w:p>
        </w:tc>
      </w:tr>
      <w:tr w:rsidR="002D33F2" w:rsidRPr="007417BE" w14:paraId="0595FC49" w14:textId="77777777" w:rsidTr="004B2C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3578F85D" w14:textId="77777777" w:rsidR="002D33F2" w:rsidRPr="00665933" w:rsidRDefault="002D33F2" w:rsidP="000613C9">
            <w:pPr>
              <w:jc w:val="left"/>
              <w:rPr>
                <w:sz w:val="20"/>
                <w:szCs w:val="20"/>
                <w:lang w:eastAsia="en-AU"/>
              </w:rPr>
            </w:pPr>
            <w:r w:rsidRPr="008750E6">
              <w:rPr>
                <w:sz w:val="20"/>
                <w:szCs w:val="20"/>
                <w:lang w:eastAsia="en-AU"/>
              </w:rPr>
              <w:t>A</w:t>
            </w:r>
            <w:r>
              <w:rPr>
                <w:sz w:val="20"/>
                <w:szCs w:val="20"/>
                <w:lang w:eastAsia="en-AU"/>
              </w:rPr>
              <w:t>ustralian Capital Territory</w:t>
            </w:r>
          </w:p>
        </w:tc>
        <w:tc>
          <w:tcPr>
            <w:tcW w:w="1440" w:type="dxa"/>
            <w:noWrap/>
            <w:vAlign w:val="center"/>
            <w:hideMark/>
          </w:tcPr>
          <w:p w14:paraId="7CDCE7FD"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41BCDDCE" w14:textId="77777777" w:rsidR="002D33F2" w:rsidRPr="002B03B4" w:rsidRDefault="0015167E"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r w:rsidR="00CF060B">
              <w:rPr>
                <w:lang w:eastAsia="en-AU"/>
              </w:rPr>
              <w:t>*</w:t>
            </w:r>
          </w:p>
        </w:tc>
      </w:tr>
      <w:tr w:rsidR="002D33F2" w:rsidRPr="007417BE" w14:paraId="715BB55E" w14:textId="77777777" w:rsidTr="004B2C90">
        <w:trPr>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65FC24D4" w14:textId="77777777" w:rsidR="002D33F2" w:rsidRPr="00665933" w:rsidRDefault="002D33F2" w:rsidP="000613C9">
            <w:pPr>
              <w:jc w:val="left"/>
              <w:rPr>
                <w:sz w:val="20"/>
                <w:szCs w:val="20"/>
                <w:lang w:eastAsia="en-AU"/>
              </w:rPr>
            </w:pPr>
            <w:r w:rsidRPr="00665933">
              <w:rPr>
                <w:sz w:val="20"/>
                <w:szCs w:val="20"/>
                <w:lang w:eastAsia="en-AU"/>
              </w:rPr>
              <w:t>Greater Adelaide</w:t>
            </w:r>
          </w:p>
        </w:tc>
        <w:tc>
          <w:tcPr>
            <w:tcW w:w="1440" w:type="dxa"/>
            <w:noWrap/>
            <w:vAlign w:val="center"/>
            <w:hideMark/>
          </w:tcPr>
          <w:p w14:paraId="151DCE95"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338ADD62" w14:textId="77777777" w:rsidR="002D33F2" w:rsidRPr="002B03B4" w:rsidRDefault="007821DA"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N/A*</w:t>
            </w:r>
          </w:p>
        </w:tc>
      </w:tr>
      <w:tr w:rsidR="002D33F2" w:rsidRPr="007417BE" w14:paraId="0D5CFC91" w14:textId="77777777" w:rsidTr="004B2C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6649BCE6" w14:textId="77777777" w:rsidR="002D33F2" w:rsidRPr="00665933" w:rsidRDefault="002D33F2" w:rsidP="000613C9">
            <w:pPr>
              <w:jc w:val="left"/>
              <w:rPr>
                <w:sz w:val="20"/>
                <w:szCs w:val="20"/>
                <w:lang w:eastAsia="en-AU"/>
              </w:rPr>
            </w:pPr>
            <w:r w:rsidRPr="00665933">
              <w:rPr>
                <w:sz w:val="20"/>
                <w:szCs w:val="20"/>
                <w:lang w:eastAsia="en-AU"/>
              </w:rPr>
              <w:t>Greater Brisbane</w:t>
            </w:r>
          </w:p>
        </w:tc>
        <w:tc>
          <w:tcPr>
            <w:tcW w:w="1440" w:type="dxa"/>
            <w:noWrap/>
            <w:vAlign w:val="center"/>
            <w:hideMark/>
          </w:tcPr>
          <w:p w14:paraId="35E0B72C"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sidRPr="002B03B4">
              <w:rPr>
                <w:lang w:eastAsia="en-AU"/>
              </w:rPr>
              <w:t>242</w:t>
            </w:r>
          </w:p>
        </w:tc>
        <w:tc>
          <w:tcPr>
            <w:tcW w:w="2380" w:type="dxa"/>
            <w:noWrap/>
            <w:vAlign w:val="center"/>
            <w:hideMark/>
          </w:tcPr>
          <w:p w14:paraId="08DFD0E1"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sidRPr="002B03B4">
              <w:rPr>
                <w:lang w:eastAsia="en-AU"/>
              </w:rPr>
              <w:t>25%</w:t>
            </w:r>
          </w:p>
        </w:tc>
      </w:tr>
      <w:tr w:rsidR="002D33F2" w:rsidRPr="007417BE" w14:paraId="13FFAC3F" w14:textId="77777777" w:rsidTr="004B2C90">
        <w:trPr>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4351FC53" w14:textId="77777777" w:rsidR="002D33F2" w:rsidRPr="00665933" w:rsidRDefault="002D33F2" w:rsidP="000613C9">
            <w:pPr>
              <w:jc w:val="left"/>
              <w:rPr>
                <w:sz w:val="20"/>
                <w:szCs w:val="20"/>
                <w:lang w:eastAsia="en-AU"/>
              </w:rPr>
            </w:pPr>
            <w:r w:rsidRPr="00665933">
              <w:rPr>
                <w:sz w:val="20"/>
                <w:szCs w:val="20"/>
                <w:lang w:eastAsia="en-AU"/>
              </w:rPr>
              <w:t>Greater Darwin</w:t>
            </w:r>
          </w:p>
        </w:tc>
        <w:tc>
          <w:tcPr>
            <w:tcW w:w="1440" w:type="dxa"/>
            <w:noWrap/>
            <w:vAlign w:val="center"/>
            <w:hideMark/>
          </w:tcPr>
          <w:p w14:paraId="3B49D817"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1AF3BF54" w14:textId="77777777" w:rsidR="002D33F2" w:rsidRPr="002B03B4" w:rsidRDefault="007821DA"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N/A*</w:t>
            </w:r>
          </w:p>
        </w:tc>
      </w:tr>
      <w:tr w:rsidR="002D33F2" w:rsidRPr="007417BE" w14:paraId="7F22525F" w14:textId="77777777" w:rsidTr="004B2C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527F9F3D" w14:textId="77777777" w:rsidR="002D33F2" w:rsidRPr="00665933" w:rsidRDefault="002D33F2" w:rsidP="000613C9">
            <w:pPr>
              <w:jc w:val="left"/>
              <w:rPr>
                <w:sz w:val="20"/>
                <w:szCs w:val="20"/>
                <w:lang w:eastAsia="en-AU"/>
              </w:rPr>
            </w:pPr>
            <w:r w:rsidRPr="00665933">
              <w:rPr>
                <w:sz w:val="20"/>
                <w:szCs w:val="20"/>
                <w:lang w:eastAsia="en-AU"/>
              </w:rPr>
              <w:t>Greater Hobart</w:t>
            </w:r>
          </w:p>
        </w:tc>
        <w:tc>
          <w:tcPr>
            <w:tcW w:w="1440" w:type="dxa"/>
            <w:noWrap/>
            <w:vAlign w:val="center"/>
            <w:hideMark/>
          </w:tcPr>
          <w:p w14:paraId="050CC367"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55B0EA88" w14:textId="77777777" w:rsidR="002D33F2" w:rsidRPr="002B03B4" w:rsidRDefault="007821DA"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p>
        </w:tc>
      </w:tr>
      <w:tr w:rsidR="002D33F2" w:rsidRPr="007417BE" w14:paraId="2E79E631" w14:textId="77777777" w:rsidTr="004B2C90">
        <w:trPr>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62BF0716" w14:textId="77777777" w:rsidR="002D33F2" w:rsidRPr="00665933" w:rsidRDefault="002D33F2" w:rsidP="000613C9">
            <w:pPr>
              <w:jc w:val="left"/>
              <w:rPr>
                <w:sz w:val="20"/>
                <w:szCs w:val="20"/>
                <w:lang w:eastAsia="en-AU"/>
              </w:rPr>
            </w:pPr>
            <w:r w:rsidRPr="00665933">
              <w:rPr>
                <w:sz w:val="20"/>
                <w:szCs w:val="20"/>
                <w:lang w:eastAsia="en-AU"/>
              </w:rPr>
              <w:t>Greater Melbourne</w:t>
            </w:r>
          </w:p>
        </w:tc>
        <w:tc>
          <w:tcPr>
            <w:tcW w:w="1440" w:type="dxa"/>
            <w:noWrap/>
            <w:vAlign w:val="center"/>
            <w:hideMark/>
          </w:tcPr>
          <w:p w14:paraId="557FCB81"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sidRPr="002B03B4">
              <w:rPr>
                <w:lang w:eastAsia="en-AU"/>
              </w:rPr>
              <w:t>21</w:t>
            </w:r>
          </w:p>
        </w:tc>
        <w:tc>
          <w:tcPr>
            <w:tcW w:w="2380" w:type="dxa"/>
            <w:noWrap/>
            <w:vAlign w:val="center"/>
            <w:hideMark/>
          </w:tcPr>
          <w:p w14:paraId="22AEFF03"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sidRPr="002B03B4">
              <w:rPr>
                <w:lang w:eastAsia="en-AU"/>
              </w:rPr>
              <w:t>2%</w:t>
            </w:r>
          </w:p>
        </w:tc>
      </w:tr>
      <w:tr w:rsidR="002D33F2" w:rsidRPr="007417BE" w14:paraId="087C940A" w14:textId="77777777" w:rsidTr="004B2C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15809FF3" w14:textId="77777777" w:rsidR="002D33F2" w:rsidRPr="00665933" w:rsidRDefault="002D33F2" w:rsidP="000613C9">
            <w:pPr>
              <w:jc w:val="left"/>
              <w:rPr>
                <w:sz w:val="20"/>
                <w:szCs w:val="20"/>
                <w:lang w:eastAsia="en-AU"/>
              </w:rPr>
            </w:pPr>
            <w:r w:rsidRPr="00665933">
              <w:rPr>
                <w:sz w:val="20"/>
                <w:szCs w:val="20"/>
                <w:lang w:eastAsia="en-AU"/>
              </w:rPr>
              <w:t>Greater Perth</w:t>
            </w:r>
          </w:p>
        </w:tc>
        <w:tc>
          <w:tcPr>
            <w:tcW w:w="1440" w:type="dxa"/>
            <w:noWrap/>
            <w:vAlign w:val="center"/>
            <w:hideMark/>
          </w:tcPr>
          <w:p w14:paraId="0284DEF5"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3E6A20E4" w14:textId="77777777" w:rsidR="002D33F2" w:rsidRPr="002B03B4" w:rsidRDefault="007821DA"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p>
        </w:tc>
      </w:tr>
      <w:tr w:rsidR="002D33F2" w:rsidRPr="007417BE" w14:paraId="5C40F5A2" w14:textId="77777777" w:rsidTr="004B2C90">
        <w:trPr>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2E47F982" w14:textId="77777777" w:rsidR="002D33F2" w:rsidRPr="00665933" w:rsidRDefault="002D33F2" w:rsidP="000613C9">
            <w:pPr>
              <w:jc w:val="left"/>
              <w:rPr>
                <w:sz w:val="20"/>
                <w:szCs w:val="20"/>
                <w:lang w:eastAsia="en-AU"/>
              </w:rPr>
            </w:pPr>
            <w:r w:rsidRPr="00665933">
              <w:rPr>
                <w:sz w:val="20"/>
                <w:szCs w:val="20"/>
                <w:lang w:eastAsia="en-AU"/>
              </w:rPr>
              <w:t>Greater Sydney</w:t>
            </w:r>
          </w:p>
        </w:tc>
        <w:tc>
          <w:tcPr>
            <w:tcW w:w="1440" w:type="dxa"/>
            <w:noWrap/>
            <w:vAlign w:val="center"/>
            <w:hideMark/>
          </w:tcPr>
          <w:p w14:paraId="1A3BBAB5"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sidRPr="002B03B4">
              <w:rPr>
                <w:lang w:eastAsia="en-AU"/>
              </w:rPr>
              <w:t>34</w:t>
            </w:r>
          </w:p>
        </w:tc>
        <w:tc>
          <w:tcPr>
            <w:tcW w:w="2380" w:type="dxa"/>
            <w:noWrap/>
            <w:vAlign w:val="center"/>
            <w:hideMark/>
          </w:tcPr>
          <w:p w14:paraId="00767A5D"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sidRPr="002B03B4">
              <w:rPr>
                <w:lang w:eastAsia="en-AU"/>
              </w:rPr>
              <w:t>3%</w:t>
            </w:r>
          </w:p>
        </w:tc>
      </w:tr>
      <w:tr w:rsidR="002D33F2" w:rsidRPr="007417BE" w14:paraId="2F23FD84" w14:textId="77777777" w:rsidTr="004B2C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431C3C5E" w14:textId="77777777" w:rsidR="002D33F2" w:rsidRPr="00665933" w:rsidRDefault="002D33F2" w:rsidP="000613C9">
            <w:pPr>
              <w:jc w:val="left"/>
              <w:rPr>
                <w:sz w:val="20"/>
                <w:szCs w:val="20"/>
                <w:lang w:eastAsia="en-AU"/>
              </w:rPr>
            </w:pPr>
            <w:r w:rsidRPr="00665933">
              <w:rPr>
                <w:sz w:val="20"/>
                <w:szCs w:val="20"/>
                <w:lang w:eastAsia="en-AU"/>
              </w:rPr>
              <w:t>Other Territories</w:t>
            </w:r>
          </w:p>
        </w:tc>
        <w:tc>
          <w:tcPr>
            <w:tcW w:w="1440" w:type="dxa"/>
            <w:noWrap/>
            <w:vAlign w:val="center"/>
            <w:hideMark/>
          </w:tcPr>
          <w:p w14:paraId="2D44B266"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3F7CBB23" w14:textId="77777777" w:rsidR="002D33F2" w:rsidRPr="002B03B4" w:rsidRDefault="007821DA"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p>
        </w:tc>
      </w:tr>
      <w:tr w:rsidR="002D33F2" w:rsidRPr="007417BE" w14:paraId="2C57E02F" w14:textId="77777777" w:rsidTr="004B2C90">
        <w:trPr>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12C17597" w14:textId="77777777" w:rsidR="002D33F2" w:rsidRPr="00665933" w:rsidRDefault="002D33F2" w:rsidP="000613C9">
            <w:pPr>
              <w:jc w:val="left"/>
              <w:rPr>
                <w:sz w:val="20"/>
                <w:szCs w:val="20"/>
                <w:lang w:eastAsia="en-AU"/>
              </w:rPr>
            </w:pPr>
            <w:r w:rsidRPr="00665933">
              <w:rPr>
                <w:sz w:val="20"/>
                <w:szCs w:val="20"/>
                <w:lang w:eastAsia="en-AU"/>
              </w:rPr>
              <w:t>Rest of N</w:t>
            </w:r>
            <w:r>
              <w:rPr>
                <w:sz w:val="20"/>
                <w:szCs w:val="20"/>
                <w:lang w:eastAsia="en-AU"/>
              </w:rPr>
              <w:t>ew South Wales</w:t>
            </w:r>
          </w:p>
        </w:tc>
        <w:tc>
          <w:tcPr>
            <w:tcW w:w="1440" w:type="dxa"/>
            <w:noWrap/>
            <w:vAlign w:val="center"/>
            <w:hideMark/>
          </w:tcPr>
          <w:p w14:paraId="22C8E405"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sidRPr="002B03B4">
              <w:rPr>
                <w:lang w:eastAsia="en-AU"/>
              </w:rPr>
              <w:t>81</w:t>
            </w:r>
          </w:p>
        </w:tc>
        <w:tc>
          <w:tcPr>
            <w:tcW w:w="2380" w:type="dxa"/>
            <w:noWrap/>
            <w:vAlign w:val="center"/>
            <w:hideMark/>
          </w:tcPr>
          <w:p w14:paraId="0FE05635"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sidRPr="002B03B4">
              <w:rPr>
                <w:lang w:eastAsia="en-AU"/>
              </w:rPr>
              <w:t>8%</w:t>
            </w:r>
          </w:p>
        </w:tc>
      </w:tr>
      <w:tr w:rsidR="002D33F2" w:rsidRPr="007417BE" w14:paraId="0BD10BD3" w14:textId="77777777" w:rsidTr="004B2C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42403601" w14:textId="77777777" w:rsidR="002D33F2" w:rsidRPr="00665933" w:rsidRDefault="002D33F2" w:rsidP="000613C9">
            <w:pPr>
              <w:jc w:val="left"/>
              <w:rPr>
                <w:sz w:val="20"/>
                <w:szCs w:val="20"/>
                <w:lang w:eastAsia="en-AU"/>
              </w:rPr>
            </w:pPr>
            <w:r w:rsidRPr="00665933">
              <w:rPr>
                <w:sz w:val="20"/>
                <w:szCs w:val="20"/>
                <w:lang w:eastAsia="en-AU"/>
              </w:rPr>
              <w:t xml:space="preserve">Rest of </w:t>
            </w:r>
            <w:r>
              <w:rPr>
                <w:sz w:val="20"/>
                <w:szCs w:val="20"/>
                <w:lang w:eastAsia="en-AU"/>
              </w:rPr>
              <w:t>Northern Territory</w:t>
            </w:r>
          </w:p>
        </w:tc>
        <w:tc>
          <w:tcPr>
            <w:tcW w:w="1440" w:type="dxa"/>
            <w:noWrap/>
            <w:vAlign w:val="center"/>
            <w:hideMark/>
          </w:tcPr>
          <w:p w14:paraId="3464906B"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11051A5D" w14:textId="77777777" w:rsidR="002D33F2" w:rsidRPr="002B03B4" w:rsidRDefault="007821DA"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p>
        </w:tc>
      </w:tr>
      <w:tr w:rsidR="002D33F2" w:rsidRPr="007417BE" w14:paraId="344D7EC6" w14:textId="77777777" w:rsidTr="004B2C90">
        <w:trPr>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6DBF4D4E" w14:textId="77777777" w:rsidR="002D33F2" w:rsidRPr="00665933" w:rsidRDefault="002D33F2" w:rsidP="009A08BF">
            <w:pPr>
              <w:jc w:val="left"/>
              <w:rPr>
                <w:sz w:val="20"/>
                <w:szCs w:val="20"/>
                <w:lang w:eastAsia="en-AU"/>
              </w:rPr>
            </w:pPr>
            <w:r w:rsidRPr="00665933">
              <w:rPr>
                <w:sz w:val="20"/>
                <w:szCs w:val="20"/>
                <w:lang w:eastAsia="en-AU"/>
              </w:rPr>
              <w:t xml:space="preserve">Rest of </w:t>
            </w:r>
            <w:r>
              <w:rPr>
                <w:sz w:val="20"/>
                <w:szCs w:val="20"/>
                <w:lang w:eastAsia="en-AU"/>
              </w:rPr>
              <w:t>Queensland</w:t>
            </w:r>
          </w:p>
        </w:tc>
        <w:tc>
          <w:tcPr>
            <w:tcW w:w="1440" w:type="dxa"/>
            <w:noWrap/>
            <w:vAlign w:val="center"/>
            <w:hideMark/>
          </w:tcPr>
          <w:p w14:paraId="5F059741"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sidRPr="002B03B4">
              <w:rPr>
                <w:lang w:eastAsia="en-AU"/>
              </w:rPr>
              <w:t>520</w:t>
            </w:r>
          </w:p>
        </w:tc>
        <w:tc>
          <w:tcPr>
            <w:tcW w:w="2380" w:type="dxa"/>
            <w:noWrap/>
            <w:vAlign w:val="center"/>
            <w:hideMark/>
          </w:tcPr>
          <w:p w14:paraId="7488846F"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sidRPr="002B03B4">
              <w:rPr>
                <w:lang w:eastAsia="en-AU"/>
              </w:rPr>
              <w:t>53%</w:t>
            </w:r>
          </w:p>
        </w:tc>
      </w:tr>
      <w:tr w:rsidR="002D33F2" w:rsidRPr="007417BE" w14:paraId="190A7459" w14:textId="77777777" w:rsidTr="004B2C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1C0553DD" w14:textId="77777777" w:rsidR="002D33F2" w:rsidRPr="00665933" w:rsidRDefault="002D33F2" w:rsidP="000613C9">
            <w:pPr>
              <w:jc w:val="left"/>
              <w:rPr>
                <w:sz w:val="20"/>
                <w:szCs w:val="20"/>
                <w:lang w:eastAsia="en-AU"/>
              </w:rPr>
            </w:pPr>
            <w:r w:rsidRPr="00665933">
              <w:rPr>
                <w:sz w:val="20"/>
                <w:szCs w:val="20"/>
                <w:lang w:eastAsia="en-AU"/>
              </w:rPr>
              <w:t>Rest of S</w:t>
            </w:r>
            <w:r>
              <w:rPr>
                <w:sz w:val="20"/>
                <w:szCs w:val="20"/>
                <w:lang w:eastAsia="en-AU"/>
              </w:rPr>
              <w:t>outh Australia</w:t>
            </w:r>
          </w:p>
        </w:tc>
        <w:tc>
          <w:tcPr>
            <w:tcW w:w="1440" w:type="dxa"/>
            <w:noWrap/>
            <w:vAlign w:val="center"/>
            <w:hideMark/>
          </w:tcPr>
          <w:p w14:paraId="136F0846"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259D27BE" w14:textId="77777777" w:rsidR="002D33F2" w:rsidRPr="002B03B4" w:rsidRDefault="007821DA"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p>
        </w:tc>
      </w:tr>
      <w:tr w:rsidR="002D33F2" w:rsidRPr="007417BE" w14:paraId="62DE2342" w14:textId="77777777" w:rsidTr="004B2C90">
        <w:trPr>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411E4962" w14:textId="77777777" w:rsidR="002D33F2" w:rsidRPr="00665933" w:rsidRDefault="002D33F2" w:rsidP="000613C9">
            <w:pPr>
              <w:jc w:val="left"/>
              <w:rPr>
                <w:sz w:val="20"/>
                <w:szCs w:val="20"/>
                <w:lang w:eastAsia="en-AU"/>
              </w:rPr>
            </w:pPr>
            <w:r w:rsidRPr="00665933">
              <w:rPr>
                <w:sz w:val="20"/>
                <w:szCs w:val="20"/>
                <w:lang w:eastAsia="en-AU"/>
              </w:rPr>
              <w:t>Rest of Tas</w:t>
            </w:r>
            <w:r>
              <w:rPr>
                <w:sz w:val="20"/>
                <w:szCs w:val="20"/>
                <w:lang w:eastAsia="en-AU"/>
              </w:rPr>
              <w:t>mania</w:t>
            </w:r>
          </w:p>
        </w:tc>
        <w:tc>
          <w:tcPr>
            <w:tcW w:w="1440" w:type="dxa"/>
            <w:noWrap/>
            <w:vAlign w:val="center"/>
            <w:hideMark/>
          </w:tcPr>
          <w:p w14:paraId="41F20048"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7C018F29" w14:textId="77777777" w:rsidR="002D33F2" w:rsidRPr="002B03B4" w:rsidRDefault="007821DA"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N/A*</w:t>
            </w:r>
          </w:p>
        </w:tc>
      </w:tr>
      <w:tr w:rsidR="002D33F2" w:rsidRPr="007417BE" w14:paraId="769B23D4" w14:textId="77777777" w:rsidTr="004B2C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7EFB957B" w14:textId="77777777" w:rsidR="002D33F2" w:rsidRPr="00665933" w:rsidRDefault="002D33F2" w:rsidP="000613C9">
            <w:pPr>
              <w:jc w:val="left"/>
              <w:rPr>
                <w:sz w:val="20"/>
                <w:szCs w:val="20"/>
                <w:lang w:eastAsia="en-AU"/>
              </w:rPr>
            </w:pPr>
            <w:r w:rsidRPr="00665933">
              <w:rPr>
                <w:sz w:val="20"/>
                <w:szCs w:val="20"/>
                <w:lang w:eastAsia="en-AU"/>
              </w:rPr>
              <w:t>Rest of Vic</w:t>
            </w:r>
            <w:r>
              <w:rPr>
                <w:sz w:val="20"/>
                <w:szCs w:val="20"/>
                <w:lang w:eastAsia="en-AU"/>
              </w:rPr>
              <w:t>toria</w:t>
            </w:r>
          </w:p>
        </w:tc>
        <w:tc>
          <w:tcPr>
            <w:tcW w:w="1440" w:type="dxa"/>
            <w:noWrap/>
            <w:vAlign w:val="center"/>
            <w:hideMark/>
          </w:tcPr>
          <w:p w14:paraId="14A28F37"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sidRPr="002B03B4">
              <w:rPr>
                <w:lang w:eastAsia="en-AU"/>
              </w:rPr>
              <w:t>31</w:t>
            </w:r>
          </w:p>
        </w:tc>
        <w:tc>
          <w:tcPr>
            <w:tcW w:w="2380" w:type="dxa"/>
            <w:noWrap/>
            <w:vAlign w:val="center"/>
            <w:hideMark/>
          </w:tcPr>
          <w:p w14:paraId="3B5CEA73"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sidRPr="002B03B4">
              <w:rPr>
                <w:lang w:eastAsia="en-AU"/>
              </w:rPr>
              <w:t>3%</w:t>
            </w:r>
          </w:p>
        </w:tc>
      </w:tr>
      <w:tr w:rsidR="002D33F2" w:rsidRPr="007417BE" w14:paraId="14E2B3BB" w14:textId="77777777" w:rsidTr="004B2C90">
        <w:trPr>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38BA64FE" w14:textId="77777777" w:rsidR="002D33F2" w:rsidRPr="00665933" w:rsidRDefault="002D33F2" w:rsidP="000613C9">
            <w:pPr>
              <w:jc w:val="left"/>
              <w:rPr>
                <w:sz w:val="20"/>
                <w:szCs w:val="20"/>
                <w:lang w:eastAsia="en-AU"/>
              </w:rPr>
            </w:pPr>
            <w:r w:rsidRPr="00665933">
              <w:rPr>
                <w:sz w:val="20"/>
                <w:szCs w:val="20"/>
                <w:lang w:eastAsia="en-AU"/>
              </w:rPr>
              <w:t>Rest of W</w:t>
            </w:r>
            <w:r>
              <w:rPr>
                <w:sz w:val="20"/>
                <w:szCs w:val="20"/>
                <w:lang w:eastAsia="en-AU"/>
              </w:rPr>
              <w:t>estern Australia</w:t>
            </w:r>
          </w:p>
        </w:tc>
        <w:tc>
          <w:tcPr>
            <w:tcW w:w="1440" w:type="dxa"/>
            <w:noWrap/>
            <w:vAlign w:val="center"/>
            <w:hideMark/>
          </w:tcPr>
          <w:p w14:paraId="61C12A2E"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4A7C129B" w14:textId="77777777" w:rsidR="002D33F2" w:rsidRPr="002B03B4" w:rsidRDefault="007821DA"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N/A*</w:t>
            </w:r>
          </w:p>
        </w:tc>
      </w:tr>
      <w:tr w:rsidR="002D33F2" w:rsidRPr="007417BE" w14:paraId="37AAFFFE" w14:textId="77777777" w:rsidTr="004B2C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5815C43B" w14:textId="77777777" w:rsidR="002D33F2" w:rsidRPr="00665933" w:rsidRDefault="007302DD" w:rsidP="000613C9">
            <w:pPr>
              <w:jc w:val="left"/>
              <w:rPr>
                <w:sz w:val="20"/>
                <w:szCs w:val="20"/>
                <w:lang w:eastAsia="en-AU"/>
              </w:rPr>
            </w:pPr>
            <w:r>
              <w:rPr>
                <w:sz w:val="20"/>
                <w:szCs w:val="20"/>
                <w:lang w:eastAsia="en-AU"/>
              </w:rPr>
              <w:t>M</w:t>
            </w:r>
            <w:r w:rsidRPr="00665933">
              <w:rPr>
                <w:sz w:val="20"/>
                <w:szCs w:val="20"/>
                <w:lang w:eastAsia="en-AU"/>
              </w:rPr>
              <w:t xml:space="preserve">issing </w:t>
            </w:r>
            <w:r w:rsidR="002D33F2" w:rsidRPr="00665933">
              <w:rPr>
                <w:sz w:val="20"/>
                <w:szCs w:val="20"/>
                <w:lang w:eastAsia="en-AU"/>
              </w:rPr>
              <w:t>information</w:t>
            </w:r>
          </w:p>
        </w:tc>
        <w:tc>
          <w:tcPr>
            <w:tcW w:w="1440" w:type="dxa"/>
            <w:noWrap/>
            <w:vAlign w:val="center"/>
            <w:hideMark/>
          </w:tcPr>
          <w:p w14:paraId="5615E738"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665933">
              <w:rPr>
                <w:i/>
                <w:sz w:val="20"/>
                <w:szCs w:val="20"/>
                <w:lang w:eastAsia="en-AU"/>
              </w:rPr>
              <w:t>&lt;10</w:t>
            </w:r>
          </w:p>
        </w:tc>
        <w:tc>
          <w:tcPr>
            <w:tcW w:w="2380" w:type="dxa"/>
            <w:noWrap/>
            <w:vAlign w:val="center"/>
            <w:hideMark/>
          </w:tcPr>
          <w:p w14:paraId="21543CBE" w14:textId="77777777" w:rsidR="002D33F2" w:rsidRPr="002B03B4" w:rsidRDefault="007821DA"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p>
        </w:tc>
      </w:tr>
      <w:tr w:rsidR="002D33F2" w:rsidRPr="007417BE" w14:paraId="43B8D019" w14:textId="77777777" w:rsidTr="004B2C90">
        <w:trPr>
          <w:trHeight w:val="300"/>
        </w:trPr>
        <w:tc>
          <w:tcPr>
            <w:cnfStyle w:val="001000000000" w:firstRow="0" w:lastRow="0" w:firstColumn="1" w:lastColumn="0" w:oddVBand="0" w:evenVBand="0" w:oddHBand="0" w:evenHBand="0" w:firstRowFirstColumn="0" w:firstRowLastColumn="0" w:lastRowFirstColumn="0" w:lastRowLastColumn="0"/>
            <w:tcW w:w="1738" w:type="dxa"/>
            <w:noWrap/>
            <w:hideMark/>
          </w:tcPr>
          <w:p w14:paraId="362B8B3D" w14:textId="77777777" w:rsidR="002D33F2" w:rsidRPr="00665933" w:rsidRDefault="002D33F2" w:rsidP="000613C9">
            <w:pPr>
              <w:jc w:val="left"/>
              <w:rPr>
                <w:sz w:val="20"/>
                <w:szCs w:val="20"/>
                <w:lang w:eastAsia="en-AU"/>
              </w:rPr>
            </w:pPr>
            <w:r w:rsidRPr="00665933">
              <w:rPr>
                <w:sz w:val="20"/>
                <w:szCs w:val="20"/>
                <w:lang w:eastAsia="en-AU"/>
              </w:rPr>
              <w:t>Total</w:t>
            </w:r>
          </w:p>
        </w:tc>
        <w:tc>
          <w:tcPr>
            <w:tcW w:w="1440" w:type="dxa"/>
            <w:noWrap/>
            <w:vAlign w:val="center"/>
            <w:hideMark/>
          </w:tcPr>
          <w:p w14:paraId="3F898671" w14:textId="77777777" w:rsidR="002D33F2" w:rsidRPr="001179F7" w:rsidRDefault="002D33F2" w:rsidP="007B6616">
            <w:pPr>
              <w:jc w:val="right"/>
              <w:cnfStyle w:val="000000000000" w:firstRow="0" w:lastRow="0" w:firstColumn="0" w:lastColumn="0" w:oddVBand="0" w:evenVBand="0" w:oddHBand="0" w:evenHBand="0" w:firstRowFirstColumn="0" w:firstRowLastColumn="0" w:lastRowFirstColumn="0" w:lastRowLastColumn="0"/>
              <w:rPr>
                <w:b/>
                <w:lang w:eastAsia="en-AU"/>
              </w:rPr>
            </w:pPr>
            <w:r w:rsidRPr="001179F7">
              <w:rPr>
                <w:b/>
                <w:lang w:eastAsia="en-AU"/>
              </w:rPr>
              <w:t>979</w:t>
            </w:r>
          </w:p>
        </w:tc>
        <w:tc>
          <w:tcPr>
            <w:tcW w:w="2380" w:type="dxa"/>
            <w:noWrap/>
            <w:vAlign w:val="center"/>
            <w:hideMark/>
          </w:tcPr>
          <w:p w14:paraId="19F76A61" w14:textId="77777777" w:rsidR="002D33F2" w:rsidRPr="001179F7" w:rsidRDefault="002D33F2" w:rsidP="007B6616">
            <w:pPr>
              <w:jc w:val="right"/>
              <w:cnfStyle w:val="000000000000" w:firstRow="0" w:lastRow="0" w:firstColumn="0" w:lastColumn="0" w:oddVBand="0" w:evenVBand="0" w:oddHBand="0" w:evenHBand="0" w:firstRowFirstColumn="0" w:firstRowLastColumn="0" w:lastRowFirstColumn="0" w:lastRowLastColumn="0"/>
              <w:rPr>
                <w:b/>
                <w:lang w:eastAsia="en-AU"/>
              </w:rPr>
            </w:pPr>
            <w:r w:rsidRPr="001179F7">
              <w:rPr>
                <w:b/>
                <w:lang w:eastAsia="en-AU"/>
              </w:rPr>
              <w:t>100%</w:t>
            </w:r>
          </w:p>
        </w:tc>
      </w:tr>
    </w:tbl>
    <w:p w14:paraId="24142627" w14:textId="77777777" w:rsidR="002D33F2" w:rsidRPr="007821DA" w:rsidRDefault="007821DA" w:rsidP="002D33F2">
      <w:pPr>
        <w:rPr>
          <w:i/>
          <w:iCs/>
          <w:sz w:val="18"/>
          <w:szCs w:val="18"/>
        </w:rPr>
      </w:pPr>
      <w:r w:rsidRPr="007821DA">
        <w:rPr>
          <w:i/>
          <w:iCs/>
          <w:sz w:val="18"/>
          <w:szCs w:val="18"/>
        </w:rPr>
        <w:t xml:space="preserve">*: </w:t>
      </w:r>
      <w:r w:rsidR="004B2C90">
        <w:rPr>
          <w:i/>
          <w:iCs/>
          <w:sz w:val="18"/>
          <w:szCs w:val="18"/>
        </w:rPr>
        <w:t>T</w:t>
      </w:r>
      <w:r>
        <w:rPr>
          <w:i/>
          <w:iCs/>
          <w:sz w:val="18"/>
          <w:szCs w:val="18"/>
        </w:rPr>
        <w:t xml:space="preserve">he percentage is not made available because the corresponding number of CDC participants has been ‘top coded’ in the previous column in order to prevent possible identification of individuals. The percentage is replaced by ‘N/A’. </w:t>
      </w:r>
    </w:p>
    <w:p w14:paraId="34085C31" w14:textId="2F87E356" w:rsidR="003263B0" w:rsidRDefault="003A0EAD" w:rsidP="002D33F2">
      <w:r>
        <w:t>The following table (</w:t>
      </w:r>
      <w:r>
        <w:fldChar w:fldCharType="begin"/>
      </w:r>
      <w:r>
        <w:instrText xml:space="preserve"> REF _Ref36655513 \h </w:instrText>
      </w:r>
      <w:r>
        <w:fldChar w:fldCharType="separate"/>
      </w:r>
      <w:r w:rsidR="008E2086">
        <w:t xml:space="preserve">Table </w:t>
      </w:r>
      <w:r w:rsidR="008E2086">
        <w:rPr>
          <w:noProof/>
        </w:rPr>
        <w:t>3</w:t>
      </w:r>
      <w:r w:rsidR="008E2086">
        <w:noBreakHyphen/>
      </w:r>
      <w:r w:rsidR="008E2086">
        <w:rPr>
          <w:noProof/>
        </w:rPr>
        <w:t>2</w:t>
      </w:r>
      <w:r>
        <w:fldChar w:fldCharType="end"/>
      </w:r>
      <w:r w:rsidR="002D33F2">
        <w:t xml:space="preserve">) provides further detail on the current location of CDC participants, highlighting the suburbs/areas where we observe the largest number of CDC participants who were triggered on the card while living in the </w:t>
      </w:r>
      <w:r w:rsidR="005065FA">
        <w:t>Bundaberg and Hervey Bay region</w:t>
      </w:r>
      <w:r w:rsidR="002D33F2">
        <w:t xml:space="preserve">. We group all those (304 of them) who no longer live within Queensland into a single category </w:t>
      </w:r>
      <w:r w:rsidR="007736F2">
        <w:t>‘</w:t>
      </w:r>
      <w:r w:rsidR="002D33F2">
        <w:t>Outside Queensland</w:t>
      </w:r>
      <w:r w:rsidR="007736F2">
        <w:t>’</w:t>
      </w:r>
      <w:r w:rsidR="002D33F2">
        <w:t>, which represents about 4 per cent of the total number of CDC participants ever triggered onto the CDC in the Bundaberg and Hervey Bay trial site. Forty-seven</w:t>
      </w:r>
      <w:r w:rsidR="002D33F2" w:rsidRPr="00191C48">
        <w:t xml:space="preserve"> </w:t>
      </w:r>
      <w:r w:rsidR="002D33F2">
        <w:t>per cent</w:t>
      </w:r>
      <w:r w:rsidR="002D33F2" w:rsidDel="00191C48">
        <w:t xml:space="preserve"> </w:t>
      </w:r>
      <w:r w:rsidR="002D33F2">
        <w:t>of the CDC participants currently live in Bundaberg and 31</w:t>
      </w:r>
      <w:r w:rsidR="002D33F2" w:rsidRPr="00774052">
        <w:t xml:space="preserve"> </w:t>
      </w:r>
      <w:r w:rsidR="002D33F2">
        <w:t xml:space="preserve">per cent in Hervey Bay. </w:t>
      </w:r>
      <w:r w:rsidR="0015167E" w:rsidRPr="00A1774E">
        <w:rPr>
          <w:rFonts w:cstheme="minorHAnsi"/>
        </w:rPr>
        <w:t xml:space="preserve">The five suburbs </w:t>
      </w:r>
      <w:r w:rsidR="0015167E">
        <w:rPr>
          <w:rFonts w:cstheme="minorHAnsi"/>
        </w:rPr>
        <w:t>listed in the table (</w:t>
      </w:r>
      <w:r w:rsidR="0015167E" w:rsidRPr="00A1774E">
        <w:rPr>
          <w:rFonts w:cstheme="minorHAnsi"/>
        </w:rPr>
        <w:t>Bundaberg, Hervey Bay, Maryborough, Wide Bay</w:t>
      </w:r>
      <w:r w:rsidR="0015167E">
        <w:rPr>
          <w:rFonts w:cstheme="minorHAnsi"/>
        </w:rPr>
        <w:t xml:space="preserve"> and </w:t>
      </w:r>
      <w:r w:rsidR="0015167E" w:rsidRPr="00A1774E">
        <w:rPr>
          <w:rFonts w:cstheme="minorHAnsi"/>
        </w:rPr>
        <w:t>Flynn</w:t>
      </w:r>
      <w:r w:rsidR="0015167E">
        <w:rPr>
          <w:rFonts w:cstheme="minorHAnsi"/>
        </w:rPr>
        <w:t xml:space="preserve">) taken together account for </w:t>
      </w:r>
      <w:r w:rsidR="0015167E" w:rsidRPr="00A1774E">
        <w:rPr>
          <w:rFonts w:cstheme="minorHAnsi"/>
        </w:rPr>
        <w:t>88 per cent of the CDC participants. The proportions remain the same</w:t>
      </w:r>
      <w:r w:rsidR="0015167E">
        <w:rPr>
          <w:rFonts w:cstheme="minorHAnsi"/>
        </w:rPr>
        <w:t xml:space="preserve"> for these five suburbs</w:t>
      </w:r>
      <w:r w:rsidR="0015167E" w:rsidRPr="00A1774E">
        <w:rPr>
          <w:rFonts w:cstheme="minorHAnsi"/>
        </w:rPr>
        <w:t>, whether one looks at all CDC participants or at those who are currently active</w:t>
      </w:r>
      <w:r w:rsidR="002D33F2">
        <w:t xml:space="preserve">. Unless otherwise specified, the remainder of </w:t>
      </w:r>
      <w:r w:rsidR="00EE78C7">
        <w:t>Section Three</w:t>
      </w:r>
      <w:r w:rsidR="002D33F2">
        <w:t xml:space="preserve"> displays descriptions of the CDC participants who were triggered in the Bundaberg and Hervey Bay </w:t>
      </w:r>
      <w:r w:rsidR="00EE78C7">
        <w:t xml:space="preserve">region </w:t>
      </w:r>
      <w:r w:rsidR="002D33F2">
        <w:t>regardless of whether they now live in the area or not (for the two broad populations of ‘</w:t>
      </w:r>
      <w:r w:rsidR="00EE78C7">
        <w:t>A</w:t>
      </w:r>
      <w:r w:rsidR="002D33F2">
        <w:t>ll participants’ and ‘</w:t>
      </w:r>
      <w:r w:rsidR="00EE78C7">
        <w:t>A</w:t>
      </w:r>
      <w:r w:rsidR="002D33F2">
        <w:t>ctive participants’).</w:t>
      </w:r>
    </w:p>
    <w:p w14:paraId="3FC59C37" w14:textId="77777777" w:rsidR="003263B0" w:rsidRDefault="003263B0">
      <w:pPr>
        <w:jc w:val="left"/>
      </w:pPr>
      <w:r>
        <w:br w:type="page"/>
      </w:r>
    </w:p>
    <w:p w14:paraId="1B06D0B6" w14:textId="260398C1" w:rsidR="002D33F2" w:rsidRPr="0041381F" w:rsidRDefault="002D33F2" w:rsidP="002D33F2">
      <w:pPr>
        <w:pStyle w:val="Caption"/>
      </w:pPr>
      <w:bookmarkStart w:id="178" w:name="_Ref36655513"/>
      <w:bookmarkStart w:id="179" w:name="_Toc34935552"/>
      <w:bookmarkStart w:id="180" w:name="_Toc36632824"/>
      <w:bookmarkStart w:id="181" w:name="_Toc36637918"/>
      <w:bookmarkStart w:id="182" w:name="_Toc37263587"/>
      <w:bookmarkStart w:id="183" w:name="_Ref34252258"/>
      <w:bookmarkStart w:id="184" w:name="_Toc34304863"/>
      <w:r>
        <w:lastRenderedPageBreak/>
        <w:t xml:space="preserve">Table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2</w:t>
      </w:r>
      <w:r w:rsidR="006C0554">
        <w:rPr>
          <w:noProof/>
        </w:rPr>
        <w:fldChar w:fldCharType="end"/>
      </w:r>
      <w:bookmarkEnd w:id="178"/>
      <w:r>
        <w:t xml:space="preserve">: Current location of </w:t>
      </w:r>
      <w:bookmarkEnd w:id="179"/>
      <w:r>
        <w:t>CDC participants triggered onto the CDC in the Bundaberg and Hervey Bay trial site</w:t>
      </w:r>
      <w:bookmarkEnd w:id="180"/>
      <w:bookmarkEnd w:id="181"/>
      <w:bookmarkEnd w:id="182"/>
      <w:r w:rsidDel="009F7173">
        <w:t xml:space="preserve"> </w:t>
      </w:r>
    </w:p>
    <w:bookmarkEnd w:id="183"/>
    <w:bookmarkEnd w:id="184"/>
    <w:tbl>
      <w:tblPr>
        <w:tblStyle w:val="ListTable3-Accent1"/>
        <w:tblW w:w="8490" w:type="dxa"/>
        <w:tblLook w:val="04A0" w:firstRow="1" w:lastRow="0" w:firstColumn="1" w:lastColumn="0" w:noHBand="0" w:noVBand="1"/>
      </w:tblPr>
      <w:tblGrid>
        <w:gridCol w:w="2730"/>
        <w:gridCol w:w="1577"/>
        <w:gridCol w:w="1081"/>
        <w:gridCol w:w="1577"/>
        <w:gridCol w:w="1525"/>
      </w:tblGrid>
      <w:tr w:rsidR="002D33F2" w:rsidRPr="00665933" w14:paraId="70F73E7A"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6F818AB7" w14:textId="77777777" w:rsidR="002D33F2" w:rsidRPr="00665933" w:rsidRDefault="002D33F2" w:rsidP="007B6616">
            <w:pPr>
              <w:rPr>
                <w:lang w:eastAsia="en-AU"/>
              </w:rPr>
            </w:pPr>
          </w:p>
        </w:tc>
        <w:tc>
          <w:tcPr>
            <w:tcW w:w="0" w:type="dxa"/>
            <w:gridSpan w:val="2"/>
            <w:shd w:val="clear" w:color="auto" w:fill="2F5496" w:themeFill="accent5" w:themeFillShade="BF"/>
            <w:noWrap/>
            <w:vAlign w:val="center"/>
            <w:hideMark/>
          </w:tcPr>
          <w:p w14:paraId="57B37BF3" w14:textId="77777777" w:rsidR="002D33F2" w:rsidRPr="00665933" w:rsidRDefault="002D33F2"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665933">
              <w:rPr>
                <w:lang w:eastAsia="en-AU"/>
              </w:rPr>
              <w:t>All participants</w:t>
            </w:r>
          </w:p>
        </w:tc>
        <w:tc>
          <w:tcPr>
            <w:tcW w:w="0" w:type="dxa"/>
            <w:gridSpan w:val="2"/>
            <w:shd w:val="clear" w:color="auto" w:fill="2F5496" w:themeFill="accent5" w:themeFillShade="BF"/>
            <w:noWrap/>
            <w:vAlign w:val="center"/>
            <w:hideMark/>
          </w:tcPr>
          <w:p w14:paraId="1BA701A8" w14:textId="77777777" w:rsidR="002D33F2" w:rsidRPr="00665933" w:rsidRDefault="002D33F2" w:rsidP="000613C9">
            <w:pPr>
              <w:jc w:val="center"/>
              <w:cnfStyle w:val="100000000000" w:firstRow="1" w:lastRow="0" w:firstColumn="0" w:lastColumn="0" w:oddVBand="0" w:evenVBand="0" w:oddHBand="0" w:evenHBand="0" w:firstRowFirstColumn="0" w:firstRowLastColumn="0" w:lastRowFirstColumn="0" w:lastRowLastColumn="0"/>
              <w:rPr>
                <w:lang w:eastAsia="en-AU"/>
              </w:rPr>
            </w:pPr>
            <w:r w:rsidRPr="00665933">
              <w:rPr>
                <w:lang w:eastAsia="en-AU"/>
              </w:rPr>
              <w:t>Active participants</w:t>
            </w:r>
          </w:p>
        </w:tc>
      </w:tr>
      <w:tr w:rsidR="002D33F2" w:rsidRPr="0041381F" w14:paraId="692A4351"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0" w:type="dxa"/>
            <w:noWrap/>
            <w:hideMark/>
          </w:tcPr>
          <w:p w14:paraId="5824D437" w14:textId="77777777" w:rsidR="002D33F2" w:rsidRPr="0041381F" w:rsidRDefault="002D33F2" w:rsidP="007B6616">
            <w:pPr>
              <w:rPr>
                <w:lang w:eastAsia="en-AU"/>
              </w:rPr>
            </w:pPr>
            <w:r w:rsidRPr="0041381F">
              <w:rPr>
                <w:lang w:eastAsia="en-AU"/>
              </w:rPr>
              <w:t>Location</w:t>
            </w:r>
          </w:p>
        </w:tc>
        <w:tc>
          <w:tcPr>
            <w:tcW w:w="1577" w:type="dxa"/>
            <w:noWrap/>
            <w:vAlign w:val="center"/>
            <w:hideMark/>
          </w:tcPr>
          <w:p w14:paraId="17EE329A" w14:textId="77777777" w:rsidR="002D33F2" w:rsidRPr="000613C9" w:rsidRDefault="002D33F2" w:rsidP="007B6616">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Frequency</w:t>
            </w:r>
          </w:p>
        </w:tc>
        <w:tc>
          <w:tcPr>
            <w:tcW w:w="1081" w:type="dxa"/>
            <w:noWrap/>
            <w:vAlign w:val="center"/>
            <w:hideMark/>
          </w:tcPr>
          <w:p w14:paraId="2817F1A6" w14:textId="77777777" w:rsidR="002D33F2" w:rsidRPr="00665933" w:rsidRDefault="00EC3EE2" w:rsidP="007B6616">
            <w:pPr>
              <w:jc w:val="right"/>
              <w:cnfStyle w:val="000000100000" w:firstRow="0" w:lastRow="0" w:firstColumn="0" w:lastColumn="0" w:oddVBand="0" w:evenVBand="0" w:oddHBand="1" w:evenHBand="0" w:firstRowFirstColumn="0" w:firstRowLastColumn="0" w:lastRowFirstColumn="0" w:lastRowLastColumn="0"/>
              <w:rPr>
                <w:b/>
                <w:bCs/>
                <w:lang w:eastAsia="en-AU"/>
              </w:rPr>
            </w:pPr>
            <w:r>
              <w:rPr>
                <w:b/>
                <w:bCs/>
                <w:lang w:eastAsia="en-AU"/>
              </w:rPr>
              <w:t xml:space="preserve">Per </w:t>
            </w:r>
            <w:r w:rsidR="002D33F2">
              <w:rPr>
                <w:b/>
                <w:bCs/>
                <w:lang w:eastAsia="en-AU"/>
              </w:rPr>
              <w:t>cent</w:t>
            </w:r>
          </w:p>
        </w:tc>
        <w:tc>
          <w:tcPr>
            <w:tcW w:w="1577" w:type="dxa"/>
            <w:noWrap/>
            <w:vAlign w:val="center"/>
            <w:hideMark/>
          </w:tcPr>
          <w:p w14:paraId="399E2D85" w14:textId="77777777" w:rsidR="002D33F2" w:rsidRPr="000613C9" w:rsidRDefault="002D33F2" w:rsidP="007B6616">
            <w:pPr>
              <w:jc w:val="right"/>
              <w:cnfStyle w:val="000000100000" w:firstRow="0" w:lastRow="0" w:firstColumn="0" w:lastColumn="0" w:oddVBand="0" w:evenVBand="0" w:oddHBand="1" w:evenHBand="0" w:firstRowFirstColumn="0" w:firstRowLastColumn="0" w:lastRowFirstColumn="0" w:lastRowLastColumn="0"/>
              <w:rPr>
                <w:b/>
                <w:lang w:eastAsia="en-AU"/>
              </w:rPr>
            </w:pPr>
            <w:r w:rsidRPr="000613C9">
              <w:rPr>
                <w:b/>
                <w:lang w:eastAsia="en-AU"/>
              </w:rPr>
              <w:t>Frequency</w:t>
            </w:r>
          </w:p>
        </w:tc>
        <w:tc>
          <w:tcPr>
            <w:tcW w:w="1525" w:type="dxa"/>
            <w:noWrap/>
            <w:vAlign w:val="center"/>
            <w:hideMark/>
          </w:tcPr>
          <w:p w14:paraId="04451459" w14:textId="77777777" w:rsidR="002D33F2" w:rsidRPr="00665933" w:rsidRDefault="00EC3EE2" w:rsidP="007B6616">
            <w:pPr>
              <w:jc w:val="right"/>
              <w:cnfStyle w:val="000000100000" w:firstRow="0" w:lastRow="0" w:firstColumn="0" w:lastColumn="0" w:oddVBand="0" w:evenVBand="0" w:oddHBand="1" w:evenHBand="0" w:firstRowFirstColumn="0" w:firstRowLastColumn="0" w:lastRowFirstColumn="0" w:lastRowLastColumn="0"/>
              <w:rPr>
                <w:b/>
                <w:bCs/>
                <w:lang w:eastAsia="en-AU"/>
              </w:rPr>
            </w:pPr>
            <w:r>
              <w:rPr>
                <w:b/>
                <w:bCs/>
                <w:lang w:eastAsia="en-AU"/>
              </w:rPr>
              <w:t>P</w:t>
            </w:r>
            <w:r w:rsidR="002D33F2">
              <w:rPr>
                <w:b/>
                <w:bCs/>
                <w:lang w:eastAsia="en-AU"/>
              </w:rPr>
              <w:t>er</w:t>
            </w:r>
            <w:r>
              <w:rPr>
                <w:b/>
                <w:bCs/>
                <w:lang w:eastAsia="en-AU"/>
              </w:rPr>
              <w:t xml:space="preserve"> </w:t>
            </w:r>
            <w:r w:rsidR="002D33F2">
              <w:rPr>
                <w:b/>
                <w:bCs/>
                <w:lang w:eastAsia="en-AU"/>
              </w:rPr>
              <w:t>cent</w:t>
            </w:r>
          </w:p>
        </w:tc>
      </w:tr>
      <w:tr w:rsidR="002D33F2" w:rsidRPr="0041381F" w14:paraId="61619BB5"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156561FB" w14:textId="77777777" w:rsidR="002D33F2" w:rsidRPr="00F33C39" w:rsidRDefault="002D33F2" w:rsidP="007B6616">
            <w:pPr>
              <w:rPr>
                <w:lang w:eastAsia="en-AU"/>
              </w:rPr>
            </w:pPr>
            <w:r w:rsidRPr="00F33C39">
              <w:rPr>
                <w:rFonts w:ascii="Calibri" w:hAnsi="Calibri" w:cs="Calibri"/>
              </w:rPr>
              <w:t>Bundaberg</w:t>
            </w:r>
          </w:p>
        </w:tc>
        <w:tc>
          <w:tcPr>
            <w:tcW w:w="1577" w:type="dxa"/>
            <w:noWrap/>
            <w:vAlign w:val="center"/>
            <w:hideMark/>
          </w:tcPr>
          <w:p w14:paraId="6D6C8EB5"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s="Calibri"/>
                <w:color w:val="000000"/>
              </w:rPr>
              <w:t>3,765</w:t>
            </w:r>
          </w:p>
        </w:tc>
        <w:tc>
          <w:tcPr>
            <w:tcW w:w="1081" w:type="dxa"/>
            <w:noWrap/>
            <w:vAlign w:val="center"/>
            <w:hideMark/>
          </w:tcPr>
          <w:p w14:paraId="78AB9C41"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lang w:eastAsia="en-AU"/>
              </w:rPr>
            </w:pPr>
            <w:r w:rsidRPr="00665933">
              <w:rPr>
                <w:rFonts w:ascii="Calibri" w:hAnsi="Calibri" w:cs="Calibri"/>
                <w:b/>
                <w:bCs/>
                <w:color w:val="000000"/>
              </w:rPr>
              <w:t>47%</w:t>
            </w:r>
          </w:p>
        </w:tc>
        <w:tc>
          <w:tcPr>
            <w:tcW w:w="1577" w:type="dxa"/>
            <w:noWrap/>
            <w:vAlign w:val="center"/>
            <w:hideMark/>
          </w:tcPr>
          <w:p w14:paraId="6A965608"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s="Calibri"/>
                <w:color w:val="000000"/>
              </w:rPr>
              <w:t>2,925</w:t>
            </w:r>
          </w:p>
        </w:tc>
        <w:tc>
          <w:tcPr>
            <w:tcW w:w="1525" w:type="dxa"/>
            <w:noWrap/>
            <w:vAlign w:val="center"/>
            <w:hideMark/>
          </w:tcPr>
          <w:p w14:paraId="246F6AD1"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lang w:eastAsia="en-AU"/>
              </w:rPr>
            </w:pPr>
            <w:r w:rsidRPr="00665933">
              <w:rPr>
                <w:rFonts w:ascii="Calibri" w:hAnsi="Calibri" w:cs="Calibri"/>
                <w:b/>
                <w:bCs/>
                <w:color w:val="000000"/>
              </w:rPr>
              <w:t>47%</w:t>
            </w:r>
          </w:p>
        </w:tc>
      </w:tr>
      <w:tr w:rsidR="002D33F2" w:rsidRPr="0041381F" w14:paraId="23D75B2A"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789F490A" w14:textId="77777777" w:rsidR="002D33F2" w:rsidRPr="00F33C39" w:rsidRDefault="002D33F2" w:rsidP="007B6616">
            <w:pPr>
              <w:rPr>
                <w:lang w:eastAsia="en-AU"/>
              </w:rPr>
            </w:pPr>
            <w:r w:rsidRPr="00F33C39">
              <w:rPr>
                <w:rFonts w:ascii="Calibri" w:hAnsi="Calibri" w:cs="Calibri"/>
              </w:rPr>
              <w:t>Hervey Bay</w:t>
            </w:r>
          </w:p>
        </w:tc>
        <w:tc>
          <w:tcPr>
            <w:tcW w:w="1577" w:type="dxa"/>
            <w:noWrap/>
            <w:vAlign w:val="center"/>
            <w:hideMark/>
          </w:tcPr>
          <w:p w14:paraId="11C2001E"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rFonts w:ascii="Calibri" w:hAnsi="Calibri" w:cs="Calibri"/>
                <w:color w:val="000000"/>
              </w:rPr>
              <w:t>2,476</w:t>
            </w:r>
          </w:p>
        </w:tc>
        <w:tc>
          <w:tcPr>
            <w:tcW w:w="1081" w:type="dxa"/>
            <w:noWrap/>
            <w:vAlign w:val="center"/>
            <w:hideMark/>
          </w:tcPr>
          <w:p w14:paraId="5A8B3F8F"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lang w:eastAsia="en-AU"/>
              </w:rPr>
            </w:pPr>
            <w:r w:rsidRPr="00665933">
              <w:rPr>
                <w:rFonts w:ascii="Calibri" w:hAnsi="Calibri" w:cs="Calibri"/>
                <w:b/>
                <w:bCs/>
                <w:color w:val="000000"/>
              </w:rPr>
              <w:t>31%</w:t>
            </w:r>
          </w:p>
        </w:tc>
        <w:tc>
          <w:tcPr>
            <w:tcW w:w="1577" w:type="dxa"/>
            <w:noWrap/>
            <w:vAlign w:val="center"/>
            <w:hideMark/>
          </w:tcPr>
          <w:p w14:paraId="2B1247C9"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rFonts w:ascii="Calibri" w:hAnsi="Calibri" w:cs="Calibri"/>
                <w:color w:val="000000"/>
              </w:rPr>
              <w:t>1,939</w:t>
            </w:r>
          </w:p>
        </w:tc>
        <w:tc>
          <w:tcPr>
            <w:tcW w:w="1525" w:type="dxa"/>
            <w:noWrap/>
            <w:vAlign w:val="center"/>
            <w:hideMark/>
          </w:tcPr>
          <w:p w14:paraId="7758C701"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lang w:eastAsia="en-AU"/>
              </w:rPr>
            </w:pPr>
            <w:r w:rsidRPr="00665933">
              <w:rPr>
                <w:rFonts w:ascii="Calibri" w:hAnsi="Calibri" w:cs="Calibri"/>
                <w:b/>
                <w:bCs/>
                <w:color w:val="000000"/>
              </w:rPr>
              <w:t>31%</w:t>
            </w:r>
          </w:p>
        </w:tc>
      </w:tr>
      <w:tr w:rsidR="002D33F2" w:rsidRPr="0041381F" w14:paraId="033B813A"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17D12005" w14:textId="77777777" w:rsidR="002D33F2" w:rsidRPr="00F33C39" w:rsidRDefault="002D33F2" w:rsidP="007B6616">
            <w:pPr>
              <w:rPr>
                <w:lang w:eastAsia="en-AU"/>
              </w:rPr>
            </w:pPr>
            <w:r w:rsidRPr="00F33C39">
              <w:rPr>
                <w:rFonts w:ascii="Calibri" w:hAnsi="Calibri" w:cs="Calibri"/>
              </w:rPr>
              <w:t xml:space="preserve">Rest of </w:t>
            </w:r>
            <w:r>
              <w:t>Queensland</w:t>
            </w:r>
            <w:r w:rsidRPr="00F33C39" w:rsidDel="008F20DF">
              <w:rPr>
                <w:rFonts w:ascii="Calibri" w:hAnsi="Calibri" w:cs="Calibri"/>
              </w:rPr>
              <w:t xml:space="preserve"> </w:t>
            </w:r>
          </w:p>
        </w:tc>
        <w:tc>
          <w:tcPr>
            <w:tcW w:w="1577" w:type="dxa"/>
            <w:noWrap/>
            <w:vAlign w:val="center"/>
            <w:hideMark/>
          </w:tcPr>
          <w:p w14:paraId="4CC6176A"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s="Calibri"/>
                <w:color w:val="000000"/>
              </w:rPr>
              <w:t>380</w:t>
            </w:r>
          </w:p>
        </w:tc>
        <w:tc>
          <w:tcPr>
            <w:tcW w:w="1081" w:type="dxa"/>
            <w:noWrap/>
            <w:vAlign w:val="center"/>
            <w:hideMark/>
          </w:tcPr>
          <w:p w14:paraId="667D0ECE"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lang w:eastAsia="en-AU"/>
              </w:rPr>
            </w:pPr>
            <w:r w:rsidRPr="00665933">
              <w:rPr>
                <w:rFonts w:ascii="Calibri" w:hAnsi="Calibri" w:cs="Calibri"/>
                <w:b/>
                <w:bCs/>
                <w:color w:val="000000"/>
              </w:rPr>
              <w:t>5%</w:t>
            </w:r>
          </w:p>
        </w:tc>
        <w:tc>
          <w:tcPr>
            <w:tcW w:w="1577" w:type="dxa"/>
            <w:noWrap/>
            <w:vAlign w:val="center"/>
            <w:hideMark/>
          </w:tcPr>
          <w:p w14:paraId="66ADD1BF"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s="Calibri"/>
                <w:color w:val="000000"/>
              </w:rPr>
              <w:t>261</w:t>
            </w:r>
          </w:p>
        </w:tc>
        <w:tc>
          <w:tcPr>
            <w:tcW w:w="1525" w:type="dxa"/>
            <w:noWrap/>
            <w:vAlign w:val="center"/>
            <w:hideMark/>
          </w:tcPr>
          <w:p w14:paraId="35546F38"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lang w:eastAsia="en-AU"/>
              </w:rPr>
            </w:pPr>
            <w:r w:rsidRPr="00665933">
              <w:rPr>
                <w:rFonts w:ascii="Calibri" w:hAnsi="Calibri" w:cs="Calibri"/>
                <w:b/>
                <w:bCs/>
                <w:color w:val="000000"/>
              </w:rPr>
              <w:t>4%</w:t>
            </w:r>
          </w:p>
        </w:tc>
      </w:tr>
      <w:tr w:rsidR="002D33F2" w:rsidRPr="0041381F" w14:paraId="5045B32F"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1CD9454C" w14:textId="77777777" w:rsidR="002D33F2" w:rsidRPr="00F33C39" w:rsidRDefault="002D33F2" w:rsidP="007B6616">
            <w:pPr>
              <w:rPr>
                <w:lang w:eastAsia="en-AU"/>
              </w:rPr>
            </w:pPr>
            <w:r w:rsidRPr="00F33C39">
              <w:rPr>
                <w:rFonts w:ascii="Calibri" w:hAnsi="Calibri" w:cs="Calibri"/>
              </w:rPr>
              <w:t>Greater Brisbane</w:t>
            </w:r>
          </w:p>
        </w:tc>
        <w:tc>
          <w:tcPr>
            <w:tcW w:w="1577" w:type="dxa"/>
            <w:noWrap/>
            <w:vAlign w:val="center"/>
            <w:hideMark/>
          </w:tcPr>
          <w:p w14:paraId="56442311"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rFonts w:ascii="Calibri" w:hAnsi="Calibri" w:cs="Calibri"/>
                <w:color w:val="000000"/>
              </w:rPr>
              <w:t>357</w:t>
            </w:r>
          </w:p>
        </w:tc>
        <w:tc>
          <w:tcPr>
            <w:tcW w:w="1081" w:type="dxa"/>
            <w:noWrap/>
            <w:vAlign w:val="center"/>
            <w:hideMark/>
          </w:tcPr>
          <w:p w14:paraId="0F022556"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lang w:eastAsia="en-AU"/>
              </w:rPr>
            </w:pPr>
            <w:r w:rsidRPr="00665933">
              <w:rPr>
                <w:rFonts w:ascii="Calibri" w:hAnsi="Calibri" w:cs="Calibri"/>
                <w:b/>
                <w:bCs/>
                <w:color w:val="000000"/>
              </w:rPr>
              <w:t>4%</w:t>
            </w:r>
          </w:p>
        </w:tc>
        <w:tc>
          <w:tcPr>
            <w:tcW w:w="1577" w:type="dxa"/>
            <w:noWrap/>
            <w:vAlign w:val="center"/>
            <w:hideMark/>
          </w:tcPr>
          <w:p w14:paraId="605F05C5"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rFonts w:ascii="Calibri" w:hAnsi="Calibri" w:cs="Calibri"/>
                <w:color w:val="000000"/>
              </w:rPr>
              <w:t>242</w:t>
            </w:r>
          </w:p>
        </w:tc>
        <w:tc>
          <w:tcPr>
            <w:tcW w:w="1525" w:type="dxa"/>
            <w:noWrap/>
            <w:vAlign w:val="center"/>
            <w:hideMark/>
          </w:tcPr>
          <w:p w14:paraId="386D32E1"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lang w:eastAsia="en-AU"/>
              </w:rPr>
            </w:pPr>
            <w:r w:rsidRPr="00665933">
              <w:rPr>
                <w:rFonts w:ascii="Calibri" w:hAnsi="Calibri" w:cs="Calibri"/>
                <w:b/>
                <w:bCs/>
                <w:color w:val="000000"/>
              </w:rPr>
              <w:t>4%</w:t>
            </w:r>
          </w:p>
        </w:tc>
      </w:tr>
      <w:tr w:rsidR="002D33F2" w:rsidRPr="0041381F" w14:paraId="35DD6859"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1CF7FCED" w14:textId="77777777" w:rsidR="002D33F2" w:rsidRPr="00F33C39" w:rsidRDefault="002D33F2" w:rsidP="007B6616">
            <w:pPr>
              <w:rPr>
                <w:lang w:eastAsia="en-AU"/>
              </w:rPr>
            </w:pPr>
            <w:r w:rsidRPr="00F33C39">
              <w:rPr>
                <w:rFonts w:ascii="Calibri" w:hAnsi="Calibri" w:cs="Calibri"/>
              </w:rPr>
              <w:t>Maryborough</w:t>
            </w:r>
          </w:p>
        </w:tc>
        <w:tc>
          <w:tcPr>
            <w:tcW w:w="1577" w:type="dxa"/>
            <w:noWrap/>
            <w:vAlign w:val="center"/>
            <w:hideMark/>
          </w:tcPr>
          <w:p w14:paraId="70AEC452"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s="Calibri"/>
                <w:color w:val="000000"/>
              </w:rPr>
              <w:t>330</w:t>
            </w:r>
          </w:p>
        </w:tc>
        <w:tc>
          <w:tcPr>
            <w:tcW w:w="1081" w:type="dxa"/>
            <w:noWrap/>
            <w:vAlign w:val="center"/>
            <w:hideMark/>
          </w:tcPr>
          <w:p w14:paraId="7BAE6EC7"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lang w:eastAsia="en-AU"/>
              </w:rPr>
            </w:pPr>
            <w:r w:rsidRPr="00665933">
              <w:rPr>
                <w:rFonts w:ascii="Calibri" w:hAnsi="Calibri" w:cs="Calibri"/>
                <w:b/>
                <w:bCs/>
                <w:color w:val="000000"/>
              </w:rPr>
              <w:t>4%</w:t>
            </w:r>
          </w:p>
        </w:tc>
        <w:tc>
          <w:tcPr>
            <w:tcW w:w="1577" w:type="dxa"/>
            <w:noWrap/>
            <w:vAlign w:val="center"/>
            <w:hideMark/>
          </w:tcPr>
          <w:p w14:paraId="6DDCC532"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s="Calibri"/>
                <w:color w:val="000000"/>
              </w:rPr>
              <w:t>266</w:t>
            </w:r>
          </w:p>
        </w:tc>
        <w:tc>
          <w:tcPr>
            <w:tcW w:w="1525" w:type="dxa"/>
            <w:noWrap/>
            <w:vAlign w:val="center"/>
            <w:hideMark/>
          </w:tcPr>
          <w:p w14:paraId="49860793"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lang w:eastAsia="en-AU"/>
              </w:rPr>
            </w:pPr>
            <w:r w:rsidRPr="00665933">
              <w:rPr>
                <w:rFonts w:ascii="Calibri" w:hAnsi="Calibri" w:cs="Calibri"/>
                <w:b/>
                <w:bCs/>
                <w:color w:val="000000"/>
              </w:rPr>
              <w:t>4%</w:t>
            </w:r>
          </w:p>
        </w:tc>
      </w:tr>
      <w:tr w:rsidR="002D33F2" w:rsidRPr="0041381F" w14:paraId="7A63F244"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09F8DEED" w14:textId="77777777" w:rsidR="002D33F2" w:rsidRPr="00F33C39" w:rsidRDefault="002D33F2" w:rsidP="007B6616">
            <w:pPr>
              <w:rPr>
                <w:lang w:eastAsia="en-AU"/>
              </w:rPr>
            </w:pPr>
            <w:r w:rsidRPr="00F33C39">
              <w:rPr>
                <w:rFonts w:ascii="Calibri" w:hAnsi="Calibri" w:cs="Calibri"/>
              </w:rPr>
              <w:t>Wide Bay</w:t>
            </w:r>
          </w:p>
        </w:tc>
        <w:tc>
          <w:tcPr>
            <w:tcW w:w="1577" w:type="dxa"/>
            <w:noWrap/>
            <w:vAlign w:val="center"/>
            <w:hideMark/>
          </w:tcPr>
          <w:p w14:paraId="2B8CCD3E"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rFonts w:ascii="Calibri" w:hAnsi="Calibri" w:cs="Calibri"/>
                <w:color w:val="000000"/>
              </w:rPr>
              <w:t>228</w:t>
            </w:r>
          </w:p>
        </w:tc>
        <w:tc>
          <w:tcPr>
            <w:tcW w:w="1081" w:type="dxa"/>
            <w:noWrap/>
            <w:vAlign w:val="center"/>
            <w:hideMark/>
          </w:tcPr>
          <w:p w14:paraId="53AA7E44"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lang w:eastAsia="en-AU"/>
              </w:rPr>
            </w:pPr>
            <w:r w:rsidRPr="00665933">
              <w:rPr>
                <w:rFonts w:ascii="Calibri" w:hAnsi="Calibri" w:cs="Calibri"/>
                <w:b/>
                <w:bCs/>
                <w:color w:val="000000"/>
              </w:rPr>
              <w:t>3%</w:t>
            </w:r>
          </w:p>
        </w:tc>
        <w:tc>
          <w:tcPr>
            <w:tcW w:w="1577" w:type="dxa"/>
            <w:noWrap/>
            <w:vAlign w:val="center"/>
            <w:hideMark/>
          </w:tcPr>
          <w:p w14:paraId="4EBAE020"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rFonts w:ascii="Calibri" w:hAnsi="Calibri" w:cs="Calibri"/>
                <w:color w:val="000000"/>
              </w:rPr>
              <w:t>174</w:t>
            </w:r>
          </w:p>
        </w:tc>
        <w:tc>
          <w:tcPr>
            <w:tcW w:w="1525" w:type="dxa"/>
            <w:noWrap/>
            <w:vAlign w:val="center"/>
            <w:hideMark/>
          </w:tcPr>
          <w:p w14:paraId="72351B44"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lang w:eastAsia="en-AU"/>
              </w:rPr>
            </w:pPr>
            <w:r w:rsidRPr="00665933">
              <w:rPr>
                <w:rFonts w:ascii="Calibri" w:hAnsi="Calibri" w:cs="Calibri"/>
                <w:b/>
                <w:bCs/>
                <w:color w:val="000000"/>
              </w:rPr>
              <w:t>3%</w:t>
            </w:r>
          </w:p>
        </w:tc>
      </w:tr>
      <w:tr w:rsidR="002D33F2" w:rsidRPr="0041381F" w14:paraId="01520412"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67521090" w14:textId="77777777" w:rsidR="002D33F2" w:rsidRPr="00F33C39" w:rsidRDefault="002D33F2" w:rsidP="007B6616">
            <w:pPr>
              <w:rPr>
                <w:lang w:eastAsia="en-AU"/>
              </w:rPr>
            </w:pPr>
            <w:r w:rsidRPr="00F33C39">
              <w:rPr>
                <w:rFonts w:ascii="Calibri" w:hAnsi="Calibri" w:cs="Calibri"/>
              </w:rPr>
              <w:t>Flynn</w:t>
            </w:r>
          </w:p>
        </w:tc>
        <w:tc>
          <w:tcPr>
            <w:tcW w:w="1577" w:type="dxa"/>
            <w:noWrap/>
            <w:vAlign w:val="center"/>
            <w:hideMark/>
          </w:tcPr>
          <w:p w14:paraId="525259E0"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s="Calibri"/>
                <w:color w:val="000000"/>
              </w:rPr>
              <w:t>221</w:t>
            </w:r>
          </w:p>
        </w:tc>
        <w:tc>
          <w:tcPr>
            <w:tcW w:w="1081" w:type="dxa"/>
            <w:noWrap/>
            <w:vAlign w:val="center"/>
            <w:hideMark/>
          </w:tcPr>
          <w:p w14:paraId="3C4EBFFD"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lang w:eastAsia="en-AU"/>
              </w:rPr>
            </w:pPr>
            <w:r w:rsidRPr="00665933">
              <w:rPr>
                <w:rFonts w:ascii="Calibri" w:hAnsi="Calibri" w:cs="Calibri"/>
                <w:b/>
                <w:bCs/>
                <w:color w:val="000000"/>
              </w:rPr>
              <w:t>3%</w:t>
            </w:r>
          </w:p>
        </w:tc>
        <w:tc>
          <w:tcPr>
            <w:tcW w:w="1577" w:type="dxa"/>
            <w:noWrap/>
            <w:vAlign w:val="center"/>
            <w:hideMark/>
          </w:tcPr>
          <w:p w14:paraId="3428300B" w14:textId="77777777" w:rsidR="002D33F2" w:rsidRPr="002B03B4" w:rsidRDefault="002D33F2" w:rsidP="007B6616">
            <w:pPr>
              <w:jc w:val="right"/>
              <w:cnfStyle w:val="000000000000" w:firstRow="0" w:lastRow="0" w:firstColumn="0" w:lastColumn="0" w:oddVBand="0" w:evenVBand="0" w:oddHBand="0" w:evenHBand="0" w:firstRowFirstColumn="0" w:firstRowLastColumn="0" w:lastRowFirstColumn="0" w:lastRowLastColumn="0"/>
              <w:rPr>
                <w:lang w:eastAsia="en-AU"/>
              </w:rPr>
            </w:pPr>
            <w:r>
              <w:rPr>
                <w:rFonts w:ascii="Calibri" w:hAnsi="Calibri" w:cs="Calibri"/>
                <w:color w:val="000000"/>
              </w:rPr>
              <w:t>159</w:t>
            </w:r>
          </w:p>
        </w:tc>
        <w:tc>
          <w:tcPr>
            <w:tcW w:w="1525" w:type="dxa"/>
            <w:noWrap/>
            <w:vAlign w:val="center"/>
            <w:hideMark/>
          </w:tcPr>
          <w:p w14:paraId="04C7D564"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lang w:eastAsia="en-AU"/>
              </w:rPr>
            </w:pPr>
            <w:r w:rsidRPr="00665933">
              <w:rPr>
                <w:rFonts w:ascii="Calibri" w:hAnsi="Calibri" w:cs="Calibri"/>
                <w:b/>
                <w:bCs/>
                <w:color w:val="000000"/>
              </w:rPr>
              <w:t>3%</w:t>
            </w:r>
          </w:p>
        </w:tc>
      </w:tr>
      <w:tr w:rsidR="002D33F2" w:rsidRPr="0041381F" w14:paraId="1A586122"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0" w:type="dxa"/>
            <w:noWrap/>
            <w:vAlign w:val="center"/>
            <w:hideMark/>
          </w:tcPr>
          <w:p w14:paraId="4272D67E" w14:textId="77777777" w:rsidR="002D33F2" w:rsidRPr="00F33C39" w:rsidRDefault="002D33F2" w:rsidP="007B6616">
            <w:pPr>
              <w:rPr>
                <w:lang w:eastAsia="en-AU"/>
              </w:rPr>
            </w:pPr>
            <w:r w:rsidRPr="00F33C39">
              <w:rPr>
                <w:rFonts w:ascii="Calibri" w:hAnsi="Calibri" w:cs="Calibri"/>
              </w:rPr>
              <w:t xml:space="preserve">Outside </w:t>
            </w:r>
            <w:r>
              <w:t>Queensland</w:t>
            </w:r>
            <w:r w:rsidRPr="00F33C39" w:rsidDel="008F20DF">
              <w:rPr>
                <w:rFonts w:ascii="Calibri" w:hAnsi="Calibri" w:cs="Calibri"/>
              </w:rPr>
              <w:t xml:space="preserve"> </w:t>
            </w:r>
          </w:p>
        </w:tc>
        <w:tc>
          <w:tcPr>
            <w:tcW w:w="1577" w:type="dxa"/>
            <w:noWrap/>
            <w:vAlign w:val="center"/>
            <w:hideMark/>
          </w:tcPr>
          <w:p w14:paraId="4A9B8334"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rFonts w:ascii="Calibri" w:hAnsi="Calibri" w:cs="Calibri"/>
                <w:color w:val="000000"/>
              </w:rPr>
              <w:t>304</w:t>
            </w:r>
          </w:p>
        </w:tc>
        <w:tc>
          <w:tcPr>
            <w:tcW w:w="1081" w:type="dxa"/>
            <w:noWrap/>
            <w:vAlign w:val="center"/>
            <w:hideMark/>
          </w:tcPr>
          <w:p w14:paraId="4B05489E"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lang w:eastAsia="en-AU"/>
              </w:rPr>
            </w:pPr>
            <w:r w:rsidRPr="00665933">
              <w:rPr>
                <w:rFonts w:ascii="Calibri" w:hAnsi="Calibri" w:cs="Calibri"/>
                <w:b/>
                <w:bCs/>
                <w:color w:val="000000"/>
              </w:rPr>
              <w:t>4%</w:t>
            </w:r>
          </w:p>
        </w:tc>
        <w:tc>
          <w:tcPr>
            <w:tcW w:w="1577" w:type="dxa"/>
            <w:noWrap/>
            <w:vAlign w:val="center"/>
            <w:hideMark/>
          </w:tcPr>
          <w:p w14:paraId="24BFB05D" w14:textId="77777777" w:rsidR="002D33F2" w:rsidRPr="002B03B4" w:rsidRDefault="002D33F2" w:rsidP="007B6616">
            <w:pPr>
              <w:jc w:val="right"/>
              <w:cnfStyle w:val="000000100000" w:firstRow="0" w:lastRow="0" w:firstColumn="0" w:lastColumn="0" w:oddVBand="0" w:evenVBand="0" w:oddHBand="1" w:evenHBand="0" w:firstRowFirstColumn="0" w:firstRowLastColumn="0" w:lastRowFirstColumn="0" w:lastRowLastColumn="0"/>
              <w:rPr>
                <w:lang w:eastAsia="en-AU"/>
              </w:rPr>
            </w:pPr>
            <w:r>
              <w:rPr>
                <w:rFonts w:ascii="Calibri" w:hAnsi="Calibri" w:cs="Calibri"/>
                <w:color w:val="000000"/>
              </w:rPr>
              <w:t>217</w:t>
            </w:r>
          </w:p>
        </w:tc>
        <w:tc>
          <w:tcPr>
            <w:tcW w:w="1525" w:type="dxa"/>
            <w:noWrap/>
            <w:vAlign w:val="center"/>
            <w:hideMark/>
          </w:tcPr>
          <w:p w14:paraId="68DDA6E4"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lang w:eastAsia="en-AU"/>
              </w:rPr>
            </w:pPr>
            <w:r w:rsidRPr="00665933">
              <w:rPr>
                <w:rFonts w:ascii="Calibri" w:hAnsi="Calibri" w:cs="Calibri"/>
                <w:b/>
                <w:bCs/>
                <w:color w:val="000000"/>
              </w:rPr>
              <w:t>4%</w:t>
            </w:r>
          </w:p>
        </w:tc>
      </w:tr>
      <w:tr w:rsidR="002D33F2" w:rsidRPr="0041381F" w14:paraId="0319E8C2"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730" w:type="dxa"/>
            <w:noWrap/>
            <w:hideMark/>
          </w:tcPr>
          <w:p w14:paraId="4B9302D5" w14:textId="77777777" w:rsidR="002D33F2" w:rsidRPr="0041381F" w:rsidRDefault="002D33F2" w:rsidP="007B6616">
            <w:pPr>
              <w:rPr>
                <w:lang w:eastAsia="en-AU"/>
              </w:rPr>
            </w:pPr>
            <w:r w:rsidRPr="0041381F">
              <w:rPr>
                <w:lang w:eastAsia="en-AU"/>
              </w:rPr>
              <w:t>Total</w:t>
            </w:r>
          </w:p>
        </w:tc>
        <w:tc>
          <w:tcPr>
            <w:tcW w:w="1577" w:type="dxa"/>
            <w:noWrap/>
            <w:vAlign w:val="center"/>
            <w:hideMark/>
          </w:tcPr>
          <w:p w14:paraId="61E08908"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b/>
                <w:lang w:eastAsia="en-AU"/>
              </w:rPr>
            </w:pPr>
            <w:r w:rsidRPr="00F84480">
              <w:rPr>
                <w:b/>
                <w:lang w:eastAsia="en-AU"/>
              </w:rPr>
              <w:t xml:space="preserve">8,061 </w:t>
            </w:r>
          </w:p>
        </w:tc>
        <w:tc>
          <w:tcPr>
            <w:tcW w:w="1081" w:type="dxa"/>
            <w:noWrap/>
            <w:vAlign w:val="center"/>
            <w:hideMark/>
          </w:tcPr>
          <w:p w14:paraId="7DF5E812"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b/>
                <w:lang w:eastAsia="en-AU"/>
              </w:rPr>
            </w:pPr>
            <w:r w:rsidRPr="00F84480">
              <w:rPr>
                <w:b/>
                <w:lang w:eastAsia="en-AU"/>
              </w:rPr>
              <w:t>100%</w:t>
            </w:r>
          </w:p>
        </w:tc>
        <w:tc>
          <w:tcPr>
            <w:tcW w:w="1577" w:type="dxa"/>
            <w:noWrap/>
            <w:vAlign w:val="center"/>
            <w:hideMark/>
          </w:tcPr>
          <w:p w14:paraId="5DD4F785"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b/>
                <w:lang w:eastAsia="en-AU"/>
              </w:rPr>
            </w:pPr>
            <w:r w:rsidRPr="00F84480">
              <w:rPr>
                <w:b/>
                <w:lang w:eastAsia="en-AU"/>
              </w:rPr>
              <w:t xml:space="preserve">6,183 </w:t>
            </w:r>
          </w:p>
        </w:tc>
        <w:tc>
          <w:tcPr>
            <w:tcW w:w="1525" w:type="dxa"/>
            <w:noWrap/>
            <w:vAlign w:val="center"/>
            <w:hideMark/>
          </w:tcPr>
          <w:p w14:paraId="4E288241"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b/>
                <w:lang w:eastAsia="en-AU"/>
              </w:rPr>
            </w:pPr>
            <w:r w:rsidRPr="00F84480">
              <w:rPr>
                <w:b/>
                <w:lang w:eastAsia="en-AU"/>
              </w:rPr>
              <w:t>100%</w:t>
            </w:r>
          </w:p>
        </w:tc>
      </w:tr>
    </w:tbl>
    <w:p w14:paraId="14031898" w14:textId="77777777" w:rsidR="002D33F2" w:rsidRDefault="002D33F2" w:rsidP="002D33F2"/>
    <w:p w14:paraId="55D348F3" w14:textId="04FDA907" w:rsidR="002D33F2" w:rsidRDefault="003A0EAD" w:rsidP="002D33F2">
      <w:r>
        <w:t>The following figure (</w:t>
      </w:r>
      <w:r>
        <w:fldChar w:fldCharType="begin"/>
      </w:r>
      <w:r>
        <w:instrText xml:space="preserve"> REF _Ref36655675 \h </w:instrText>
      </w:r>
      <w:r>
        <w:fldChar w:fldCharType="separate"/>
      </w:r>
      <w:r w:rsidR="008E2086">
        <w:t xml:space="preserve">Figure </w:t>
      </w:r>
      <w:r w:rsidR="008E2086">
        <w:rPr>
          <w:noProof/>
        </w:rPr>
        <w:t>3</w:t>
      </w:r>
      <w:r w:rsidR="008E2086">
        <w:noBreakHyphen/>
      </w:r>
      <w:r w:rsidR="008E2086">
        <w:rPr>
          <w:noProof/>
        </w:rPr>
        <w:t>1</w:t>
      </w:r>
      <w:r>
        <w:fldChar w:fldCharType="end"/>
      </w:r>
      <w:r>
        <w:t>)</w:t>
      </w:r>
      <w:r w:rsidR="00562973">
        <w:t xml:space="preserve"> </w:t>
      </w:r>
      <w:r w:rsidR="002D33F2">
        <w:t xml:space="preserve">shows the gender distribution of CDC participants who </w:t>
      </w:r>
      <w:r w:rsidR="00562973">
        <w:t xml:space="preserve">have been </w:t>
      </w:r>
      <w:r w:rsidR="002D33F2">
        <w:t xml:space="preserve">triggered </w:t>
      </w:r>
      <w:r w:rsidR="00C06C09">
        <w:t xml:space="preserve">onto the CDC </w:t>
      </w:r>
      <w:r w:rsidR="002D33F2">
        <w:t>in the Bundaberg and Hervey Bay</w:t>
      </w:r>
      <w:r w:rsidR="00562973">
        <w:t xml:space="preserve"> region</w:t>
      </w:r>
      <w:r w:rsidR="002D33F2">
        <w:t>. The proportion of female CDC participants is roughly the same between the group of currently active CDC participants</w:t>
      </w:r>
      <w:r w:rsidR="002D33F2" w:rsidDel="005E7CEB">
        <w:t xml:space="preserve"> </w:t>
      </w:r>
      <w:r w:rsidR="002D33F2">
        <w:t>(right hand side of the figure) and the broader group of CDC participants who were triggered in the Bundaberg and Hervey Bay</w:t>
      </w:r>
      <w:r w:rsidR="00EA3163">
        <w:t xml:space="preserve"> </w:t>
      </w:r>
      <w:r w:rsidR="00C06C09">
        <w:t>region</w:t>
      </w:r>
      <w:r w:rsidR="002D33F2">
        <w:t xml:space="preserve">. The proportion of females is about 57 per cent. Note that this proportion is slightly larger than that observed for the other three trial sites of Ceduna, East Kimberley and the Goldfields (around 52 per cent of all people triggered in these three sites). A possible explanation for this difference may be </w:t>
      </w:r>
      <w:r w:rsidR="00C06C09">
        <w:t xml:space="preserve">because </w:t>
      </w:r>
      <w:r w:rsidR="002D33F2">
        <w:t>the eligibility criteria for the CDC are different in the Bundaberg and Hervey Bay trial site</w:t>
      </w:r>
      <w:r w:rsidR="00C06C09">
        <w:t>,</w:t>
      </w:r>
      <w:r w:rsidR="002D33F2">
        <w:t xml:space="preserve"> compared to the </w:t>
      </w:r>
      <w:r w:rsidR="00C06C09">
        <w:t>other three</w:t>
      </w:r>
      <w:r w:rsidR="002D33F2">
        <w:t xml:space="preserve"> trial sites, notably with respect to age and type of payments. The Bundaberg and Hervey Bay trial site includes CDC participants who are younger (35 years old</w:t>
      </w:r>
      <w:r w:rsidR="00C06C09">
        <w:t xml:space="preserve"> or younger</w:t>
      </w:r>
      <w:r w:rsidR="002D33F2">
        <w:t>) and a larger proportion of people on parenting payments</w:t>
      </w:r>
      <w:r w:rsidR="008D74B1">
        <w:t xml:space="preserve"> (</w:t>
      </w:r>
      <w:r w:rsidR="002D33F2">
        <w:t>where females are over-represented</w:t>
      </w:r>
      <w:r w:rsidR="008D74B1">
        <w:t>)</w:t>
      </w:r>
      <w:r w:rsidR="002D33F2">
        <w:t>.</w:t>
      </w:r>
    </w:p>
    <w:p w14:paraId="25A278EE" w14:textId="6E78A44D" w:rsidR="002D33F2" w:rsidRDefault="002D33F2" w:rsidP="002D33F2">
      <w:pPr>
        <w:pStyle w:val="Caption"/>
      </w:pPr>
      <w:bookmarkStart w:id="185" w:name="_Ref36655675"/>
      <w:bookmarkStart w:id="186" w:name="_Toc36631786"/>
      <w:bookmarkStart w:id="187" w:name="_Toc36637990"/>
      <w:bookmarkStart w:id="188" w:name="_Toc34935511"/>
      <w:bookmarkStart w:id="189" w:name="_Toc37263838"/>
      <w:bookmarkStart w:id="190" w:name="_Ref34915507"/>
      <w:bookmarkStart w:id="191" w:name="_Toc34304870"/>
      <w:r>
        <w:t xml:space="preserve">Figure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1</w:t>
      </w:r>
      <w:r w:rsidR="006C0554">
        <w:rPr>
          <w:noProof/>
        </w:rPr>
        <w:fldChar w:fldCharType="end"/>
      </w:r>
      <w:bookmarkEnd w:id="185"/>
      <w:r>
        <w:t xml:space="preserve">: Bundaberg and Hervey Bay CDC </w:t>
      </w:r>
      <w:r w:rsidR="0056594A">
        <w:t>p</w:t>
      </w:r>
      <w:r>
        <w:t xml:space="preserve">articipants’ </w:t>
      </w:r>
      <w:r w:rsidR="0056594A">
        <w:t>g</w:t>
      </w:r>
      <w:r>
        <w:t>ender distribution, all participants vs. currently active</w:t>
      </w:r>
      <w:bookmarkEnd w:id="186"/>
      <w:bookmarkEnd w:id="187"/>
      <w:bookmarkEnd w:id="188"/>
      <w:bookmarkEnd w:id="189"/>
    </w:p>
    <w:bookmarkEnd w:id="190"/>
    <w:bookmarkEnd w:id="191"/>
    <w:p w14:paraId="65061674" w14:textId="77777777" w:rsidR="002D33F2" w:rsidRDefault="002D33F2" w:rsidP="002D33F2">
      <w:pPr>
        <w:jc w:val="center"/>
      </w:pPr>
      <w:r w:rsidRPr="00BB5EB2">
        <w:rPr>
          <w:noProof/>
          <w:lang w:eastAsia="en-AU"/>
        </w:rPr>
        <w:drawing>
          <wp:inline distT="0" distB="0" distL="0" distR="0" wp14:anchorId="69B9253A" wp14:editId="0F2DD9F4">
            <wp:extent cx="3484800" cy="2142000"/>
            <wp:effectExtent l="0" t="0" r="1905" b="0"/>
            <wp:docPr id="4" name="Picture 4" descr="Gender distribution of CDC participants triggered onto the CDC in the Bundaberg and Hervey Bay region.&#10;All participants: male 43%, female 57% &#10;Active participants: male 40%, female 60%" title="Figure 3 1: Bundaberg and Hervey Bay CDC participants’ gender distribution, all participants vs. currently 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84800" cy="2142000"/>
                    </a:xfrm>
                    <a:prstGeom prst="rect">
                      <a:avLst/>
                    </a:prstGeom>
                    <a:noFill/>
                    <a:ln>
                      <a:noFill/>
                    </a:ln>
                  </pic:spPr>
                </pic:pic>
              </a:graphicData>
            </a:graphic>
          </wp:inline>
        </w:drawing>
      </w:r>
    </w:p>
    <w:p w14:paraId="359851BC" w14:textId="074FE9BF" w:rsidR="002D33F2" w:rsidRDefault="003A0EAD" w:rsidP="002D33F2">
      <w:r w:rsidRPr="003A0EAD">
        <w:t xml:space="preserve">The </w:t>
      </w:r>
      <w:r>
        <w:t>A</w:t>
      </w:r>
      <w:r w:rsidRPr="003A0EAD">
        <w:t xml:space="preserve">ustralian </w:t>
      </w:r>
      <w:r>
        <w:t>G</w:t>
      </w:r>
      <w:r w:rsidRPr="003A0EAD">
        <w:t xml:space="preserve">overnment administrative data includes information on the highest level of education/qualification achieved by </w:t>
      </w:r>
      <w:r>
        <w:t xml:space="preserve">CDC </w:t>
      </w:r>
      <w:r w:rsidRPr="003A0EAD">
        <w:t>participants</w:t>
      </w:r>
      <w:r w:rsidR="00D94307">
        <w:t xml:space="preserve"> triggered onto the card in the Bundaberg and Hervey Bay region</w:t>
      </w:r>
      <w:r>
        <w:t>. The next table (</w:t>
      </w:r>
      <w:r>
        <w:fldChar w:fldCharType="begin"/>
      </w:r>
      <w:r>
        <w:instrText xml:space="preserve"> REF _Ref36655825 \h </w:instrText>
      </w:r>
      <w:r>
        <w:fldChar w:fldCharType="separate"/>
      </w:r>
      <w:r w:rsidR="008E2086">
        <w:t xml:space="preserve">Table </w:t>
      </w:r>
      <w:r w:rsidR="008E2086">
        <w:rPr>
          <w:noProof/>
        </w:rPr>
        <w:t>3</w:t>
      </w:r>
      <w:r w:rsidR="008E2086">
        <w:noBreakHyphen/>
      </w:r>
      <w:r w:rsidR="008E2086">
        <w:rPr>
          <w:noProof/>
        </w:rPr>
        <w:t>3</w:t>
      </w:r>
      <w:r>
        <w:fldChar w:fldCharType="end"/>
      </w:r>
      <w:r>
        <w:t>)</w:t>
      </w:r>
      <w:r w:rsidR="002D33F2">
        <w:t xml:space="preserve"> shows the distribution of the</w:t>
      </w:r>
      <w:r w:rsidR="00332EBF">
        <w:t>se</w:t>
      </w:r>
      <w:r w:rsidR="002D33F2">
        <w:t xml:space="preserve"> CDC participants </w:t>
      </w:r>
      <w:r w:rsidR="002D33F2">
        <w:lastRenderedPageBreak/>
        <w:t>according to their highest level of education</w:t>
      </w:r>
      <w:r w:rsidR="002D33F2">
        <w:rPr>
          <w:rStyle w:val="FootnoteReference"/>
        </w:rPr>
        <w:footnoteReference w:id="26"/>
      </w:r>
      <w:r w:rsidR="002D33F2">
        <w:t xml:space="preserve"> (as reported to Centrelink). As a</w:t>
      </w:r>
      <w:r w:rsidR="00332EBF">
        <w:t xml:space="preserve"> comparison</w:t>
      </w:r>
      <w:r w:rsidR="002D33F2">
        <w:t xml:space="preserve">, we include the distribution of the highest </w:t>
      </w:r>
      <w:r w:rsidR="00332EBF">
        <w:t xml:space="preserve">level of </w:t>
      </w:r>
      <w:r w:rsidR="002D33F2">
        <w:t>education</w:t>
      </w:r>
      <w:r w:rsidR="00332EBF">
        <w:t>al attainment</w:t>
      </w:r>
      <w:r w:rsidR="002D33F2">
        <w:t xml:space="preserve"> for the broader population</w:t>
      </w:r>
      <w:r w:rsidR="00DD43FE">
        <w:t xml:space="preserve"> of the</w:t>
      </w:r>
      <w:r w:rsidR="002D33F2">
        <w:t xml:space="preserve"> </w:t>
      </w:r>
      <w:r w:rsidR="00DD43FE">
        <w:t>F</w:t>
      </w:r>
      <w:r w:rsidR="00DD43FE" w:rsidRPr="007A58F7">
        <w:t>ederal electorate</w:t>
      </w:r>
      <w:r w:rsidR="00DD43FE" w:rsidRPr="0079482A">
        <w:t xml:space="preserve"> </w:t>
      </w:r>
      <w:r w:rsidR="00DD43FE">
        <w:t xml:space="preserve">of </w:t>
      </w:r>
      <w:r w:rsidR="00DD43FE" w:rsidRPr="0079482A">
        <w:t>Hinkler</w:t>
      </w:r>
      <w:r w:rsidR="00DD43FE">
        <w:t xml:space="preserve"> </w:t>
      </w:r>
      <w:r w:rsidR="002D33F2">
        <w:t xml:space="preserve">as given by the Census data (Census of Population and Housing, 2016) for people aged 15 and over. </w:t>
      </w:r>
      <w:r w:rsidR="00332EBF">
        <w:t xml:space="preserve">This data </w:t>
      </w:r>
      <w:r w:rsidR="002D33F2">
        <w:t>represents the distribution of education/qualification</w:t>
      </w:r>
      <w:r w:rsidR="00332EBF">
        <w:t>s</w:t>
      </w:r>
      <w:r w:rsidR="002D33F2">
        <w:t xml:space="preserve"> available in the trial area’s local labour market (employed or not). Note that direct comparisons between these two statistics should be limited because</w:t>
      </w:r>
      <w:r w:rsidR="00332EBF">
        <w:t>,</w:t>
      </w:r>
      <w:r w:rsidR="002D33F2">
        <w:t xml:space="preserve"> on the one hand</w:t>
      </w:r>
      <w:r w:rsidR="00332EBF">
        <w:t>,</w:t>
      </w:r>
      <w:r w:rsidR="002D33F2">
        <w:t xml:space="preserve"> th</w:t>
      </w:r>
      <w:r w:rsidR="00332EBF">
        <w:t>is</w:t>
      </w:r>
      <w:r w:rsidR="002D33F2">
        <w:t xml:space="preserve"> </w:t>
      </w:r>
      <w:r w:rsidR="00332EBF">
        <w:t>Australian Government a</w:t>
      </w:r>
      <w:r w:rsidR="002D33F2">
        <w:t>dministrative data typically undercounts the proportion of people with tertiary education (see footnote</w:t>
      </w:r>
      <w:r w:rsidR="00332EBF">
        <w:t xml:space="preserve"> 18</w:t>
      </w:r>
      <w:r w:rsidR="002D33F2">
        <w:t xml:space="preserve">) and the CDC participants </w:t>
      </w:r>
      <w:r w:rsidR="00C64CE2">
        <w:t xml:space="preserve">triggered onto the card in the Bundaberg and Hervey Bay region consist of </w:t>
      </w:r>
      <w:r w:rsidR="002D33F2">
        <w:t>younger people who may not have yet completed all their qualifications</w:t>
      </w:r>
      <w:r w:rsidR="00C64CE2">
        <w:t xml:space="preserve">. </w:t>
      </w:r>
      <w:r w:rsidR="00340D1C">
        <w:t>O</w:t>
      </w:r>
      <w:r w:rsidR="002D33F2">
        <w:t>n the other hand</w:t>
      </w:r>
      <w:r w:rsidR="00340D1C">
        <w:t>,</w:t>
      </w:r>
      <w:r w:rsidR="002D33F2">
        <w:t xml:space="preserve"> the Census data </w:t>
      </w:r>
      <w:r w:rsidR="00340D1C">
        <w:t xml:space="preserve">may </w:t>
      </w:r>
      <w:r w:rsidR="002D33F2">
        <w:t xml:space="preserve">include older workers who have much work experience and fewer formal qualifications. Notwithstanding this lack of direct comparability, the Census distribution offers a useful snapshot of the make-up of the </w:t>
      </w:r>
      <w:r w:rsidR="00340D1C">
        <w:t xml:space="preserve">qualifications of the </w:t>
      </w:r>
      <w:r w:rsidR="002D33F2">
        <w:t>whole of the local population available (or potentially available) for work, which is a good indicator of the local labour market in which CDC participants compete for a job.</w:t>
      </w:r>
    </w:p>
    <w:p w14:paraId="2F845ADC" w14:textId="77777777" w:rsidR="002D33F2" w:rsidRDefault="002D33F2" w:rsidP="002D33F2">
      <w:r>
        <w:t>Compared with the total population</w:t>
      </w:r>
      <w:r w:rsidR="00DD43FE">
        <w:t xml:space="preserve"> of the F</w:t>
      </w:r>
      <w:r w:rsidR="00DD43FE" w:rsidRPr="007A58F7">
        <w:t>ederal electorate</w:t>
      </w:r>
      <w:r w:rsidR="00DD43FE" w:rsidRPr="0079482A">
        <w:t xml:space="preserve"> </w:t>
      </w:r>
      <w:r w:rsidR="00DD43FE">
        <w:t xml:space="preserve">of </w:t>
      </w:r>
      <w:r w:rsidR="00DD43FE" w:rsidRPr="0079482A">
        <w:t>Hinkler</w:t>
      </w:r>
      <w:r>
        <w:t>, CDC participants with tertiary education are underrepresented. Two per cent of the CDC participants</w:t>
      </w:r>
      <w:r w:rsidDel="00A720DA">
        <w:t xml:space="preserve"> </w:t>
      </w:r>
      <w:r>
        <w:t>have a Bachelor (or higher) degree, compared with 12 per cent in the broader population</w:t>
      </w:r>
      <w:r w:rsidR="00DD43FE">
        <w:t xml:space="preserve"> of the F</w:t>
      </w:r>
      <w:r w:rsidR="00DD43FE" w:rsidRPr="007A58F7">
        <w:t>ederal electorate</w:t>
      </w:r>
      <w:r w:rsidR="00DD43FE" w:rsidRPr="0079482A">
        <w:t xml:space="preserve"> </w:t>
      </w:r>
      <w:r w:rsidR="00DD43FE">
        <w:t xml:space="preserve">of </w:t>
      </w:r>
      <w:r w:rsidR="00DD43FE" w:rsidRPr="0079482A">
        <w:t>Hinkler</w:t>
      </w:r>
      <w:r>
        <w:t>. This leads to a larger proportion of people with a lower level of education within the CDC participant population</w:t>
      </w:r>
      <w:r w:rsidR="0045640B">
        <w:t>,</w:t>
      </w:r>
      <w:r>
        <w:t xml:space="preserve"> compared with the broader population</w:t>
      </w:r>
      <w:r w:rsidR="00DD43FE">
        <w:t xml:space="preserve"> of the F</w:t>
      </w:r>
      <w:r w:rsidR="00DD43FE" w:rsidRPr="007A58F7">
        <w:t>ederal electorate</w:t>
      </w:r>
      <w:r w:rsidR="00DD43FE" w:rsidRPr="0079482A">
        <w:t xml:space="preserve"> </w:t>
      </w:r>
      <w:r w:rsidR="00DD43FE">
        <w:t xml:space="preserve">of </w:t>
      </w:r>
      <w:r w:rsidR="00DD43FE" w:rsidRPr="0079482A">
        <w:t>Hinkler</w:t>
      </w:r>
      <w:r>
        <w:t>. Indeed, the proportion of CDC participants</w:t>
      </w:r>
      <w:r w:rsidDel="00A720DA">
        <w:t xml:space="preserve"> </w:t>
      </w:r>
      <w:r>
        <w:t xml:space="preserve">with Year 10/11 (incl. Cert I and II) </w:t>
      </w:r>
      <w:r w:rsidR="009113E0">
        <w:t xml:space="preserve">only </w:t>
      </w:r>
      <w:r>
        <w:t xml:space="preserve">is 35 per cent compared to 27 per cent in total population of </w:t>
      </w:r>
      <w:r w:rsidR="00DD43FE">
        <w:t>the F</w:t>
      </w:r>
      <w:r w:rsidR="00DD43FE" w:rsidRPr="007A58F7">
        <w:t>ederal electorate</w:t>
      </w:r>
      <w:r w:rsidR="00DD43FE" w:rsidRPr="0079482A">
        <w:t xml:space="preserve"> </w:t>
      </w:r>
      <w:r w:rsidR="00DD43FE">
        <w:t xml:space="preserve">of </w:t>
      </w:r>
      <w:r w:rsidR="00DD43FE" w:rsidRPr="0079482A">
        <w:t>Hinkler</w:t>
      </w:r>
      <w:r>
        <w:t xml:space="preserve">. Twenty-three per cent have completed Year 12 </w:t>
      </w:r>
      <w:r w:rsidR="009113E0">
        <w:t xml:space="preserve">only </w:t>
      </w:r>
      <w:r>
        <w:t xml:space="preserve">among the CDC participants. The proportion is only 15 per cent in the broader population. For Year 9 and below, we observe that the proportion is smaller among the CDC participants (4 per cent) compared with the </w:t>
      </w:r>
      <w:r w:rsidR="00DD43FE">
        <w:t>F</w:t>
      </w:r>
      <w:r w:rsidR="00DD43FE" w:rsidRPr="007A58F7">
        <w:t>ederal electorate</w:t>
      </w:r>
      <w:r w:rsidR="00DD43FE" w:rsidRPr="0079482A">
        <w:t xml:space="preserve"> </w:t>
      </w:r>
      <w:r w:rsidR="00DD43FE">
        <w:t xml:space="preserve">of </w:t>
      </w:r>
      <w:r w:rsidR="00DD43FE" w:rsidRPr="0079482A">
        <w:t>Hinkler</w:t>
      </w:r>
      <w:r>
        <w:t xml:space="preserve"> (14 per cent). As CDC participants are younger, most are/were subjected to the compulsory school age of 16 (or Year 10 completion, whichever comes first), which explains the lower proportion (and the inflated proportion of Year 10/11, Cert I/II).</w:t>
      </w:r>
    </w:p>
    <w:p w14:paraId="039E814B" w14:textId="5BB26CE3" w:rsidR="002D33F2" w:rsidRDefault="002D33F2" w:rsidP="002D33F2">
      <w:pPr>
        <w:pStyle w:val="Caption"/>
      </w:pPr>
      <w:bookmarkStart w:id="192" w:name="_Ref36655825"/>
      <w:bookmarkStart w:id="193" w:name="_Toc36632825"/>
      <w:bookmarkStart w:id="194" w:name="_Toc36637919"/>
      <w:bookmarkStart w:id="195" w:name="_Toc34935553"/>
      <w:bookmarkStart w:id="196" w:name="_Toc37263588"/>
      <w:bookmarkStart w:id="197" w:name="_Ref34254586"/>
      <w:bookmarkStart w:id="198" w:name="_Toc34304864"/>
      <w:r>
        <w:t xml:space="preserve">Table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3</w:t>
      </w:r>
      <w:r w:rsidR="006C0554">
        <w:rPr>
          <w:noProof/>
        </w:rPr>
        <w:fldChar w:fldCharType="end"/>
      </w:r>
      <w:bookmarkEnd w:id="192"/>
      <w:r>
        <w:t>: Highest reported level of education/qualification</w:t>
      </w:r>
      <w:bookmarkEnd w:id="193"/>
      <w:bookmarkEnd w:id="194"/>
      <w:bookmarkEnd w:id="195"/>
      <w:bookmarkEnd w:id="196"/>
    </w:p>
    <w:bookmarkEnd w:id="197"/>
    <w:bookmarkEnd w:id="198"/>
    <w:tbl>
      <w:tblPr>
        <w:tblStyle w:val="ListTable3-Accent1"/>
        <w:tblW w:w="6760" w:type="dxa"/>
        <w:tblLook w:val="04A0" w:firstRow="1" w:lastRow="0" w:firstColumn="1" w:lastColumn="0" w:noHBand="0" w:noVBand="1"/>
      </w:tblPr>
      <w:tblGrid>
        <w:gridCol w:w="2263"/>
        <w:gridCol w:w="1418"/>
        <w:gridCol w:w="1559"/>
        <w:gridCol w:w="1520"/>
      </w:tblGrid>
      <w:tr w:rsidR="002D33F2" w:rsidRPr="00665933" w14:paraId="22E592B9"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72D2C5C7" w14:textId="77777777" w:rsidR="002D33F2" w:rsidRPr="00665933" w:rsidRDefault="002D33F2" w:rsidP="000613C9">
            <w:pPr>
              <w:jc w:val="center"/>
              <w:rPr>
                <w:sz w:val="20"/>
                <w:szCs w:val="20"/>
                <w:lang w:eastAsia="en-AU"/>
              </w:rPr>
            </w:pPr>
          </w:p>
        </w:tc>
        <w:tc>
          <w:tcPr>
            <w:tcW w:w="0" w:type="dxa"/>
            <w:gridSpan w:val="2"/>
            <w:shd w:val="clear" w:color="auto" w:fill="2F5496" w:themeFill="accent5" w:themeFillShade="BF"/>
            <w:noWrap/>
          </w:tcPr>
          <w:p w14:paraId="1AFA5197" w14:textId="77777777" w:rsidR="002D33F2" w:rsidRPr="00665933" w:rsidRDefault="002D33F2"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665933">
              <w:rPr>
                <w:sz w:val="20"/>
                <w:szCs w:val="20"/>
                <w:lang w:eastAsia="en-AU"/>
              </w:rPr>
              <w:t>All participants</w:t>
            </w:r>
          </w:p>
        </w:tc>
        <w:tc>
          <w:tcPr>
            <w:tcW w:w="0" w:type="dxa"/>
            <w:shd w:val="clear" w:color="auto" w:fill="2F5496" w:themeFill="accent5" w:themeFillShade="BF"/>
            <w:noWrap/>
          </w:tcPr>
          <w:p w14:paraId="1018CFB8" w14:textId="77777777" w:rsidR="002D33F2" w:rsidRPr="00665933" w:rsidRDefault="002D33F2"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665933">
              <w:rPr>
                <w:sz w:val="20"/>
                <w:szCs w:val="20"/>
                <w:lang w:eastAsia="en-AU"/>
              </w:rPr>
              <w:t>Hinkler</w:t>
            </w:r>
          </w:p>
        </w:tc>
      </w:tr>
      <w:tr w:rsidR="002D33F2" w:rsidRPr="00F84480" w14:paraId="580C1734" w14:textId="77777777" w:rsidTr="00061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tcPr>
          <w:p w14:paraId="5C3A849E" w14:textId="77777777" w:rsidR="002D33F2" w:rsidRPr="00F84480" w:rsidRDefault="002D33F2" w:rsidP="007B6616">
            <w:pPr>
              <w:jc w:val="left"/>
              <w:rPr>
                <w:sz w:val="20"/>
                <w:szCs w:val="20"/>
                <w:lang w:eastAsia="en-AU"/>
              </w:rPr>
            </w:pPr>
          </w:p>
        </w:tc>
        <w:tc>
          <w:tcPr>
            <w:tcW w:w="1418" w:type="dxa"/>
            <w:noWrap/>
          </w:tcPr>
          <w:p w14:paraId="4BFE9131" w14:textId="77777777" w:rsidR="002D33F2" w:rsidRPr="000613C9" w:rsidRDefault="00EC3EE2" w:rsidP="007B6616">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Pr>
                <w:b/>
                <w:sz w:val="20"/>
                <w:szCs w:val="20"/>
                <w:lang w:eastAsia="en-AU"/>
              </w:rPr>
              <w:t>F</w:t>
            </w:r>
            <w:r w:rsidRPr="000613C9">
              <w:rPr>
                <w:b/>
                <w:sz w:val="20"/>
                <w:szCs w:val="20"/>
                <w:lang w:eastAsia="en-AU"/>
              </w:rPr>
              <w:t>requency</w:t>
            </w:r>
          </w:p>
        </w:tc>
        <w:tc>
          <w:tcPr>
            <w:tcW w:w="1559" w:type="dxa"/>
            <w:noWrap/>
          </w:tcPr>
          <w:p w14:paraId="0014DEF2" w14:textId="77777777" w:rsidR="002D33F2" w:rsidRPr="00665933" w:rsidRDefault="00EC3EE2"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Pr>
                <w:b/>
                <w:bCs/>
                <w:sz w:val="20"/>
                <w:szCs w:val="20"/>
                <w:lang w:eastAsia="en-AU"/>
              </w:rPr>
              <w:t>P</w:t>
            </w:r>
            <w:r w:rsidRPr="00665933">
              <w:rPr>
                <w:b/>
                <w:bCs/>
                <w:sz w:val="20"/>
                <w:szCs w:val="20"/>
                <w:lang w:eastAsia="en-AU"/>
              </w:rPr>
              <w:t>er</w:t>
            </w:r>
            <w:r>
              <w:rPr>
                <w:b/>
                <w:bCs/>
                <w:sz w:val="20"/>
                <w:szCs w:val="20"/>
                <w:lang w:eastAsia="en-AU"/>
              </w:rPr>
              <w:t xml:space="preserve"> </w:t>
            </w:r>
            <w:r w:rsidR="002D33F2" w:rsidRPr="00665933">
              <w:rPr>
                <w:b/>
                <w:bCs/>
                <w:sz w:val="20"/>
                <w:szCs w:val="20"/>
                <w:lang w:eastAsia="en-AU"/>
              </w:rPr>
              <w:t>cent</w:t>
            </w:r>
          </w:p>
        </w:tc>
        <w:tc>
          <w:tcPr>
            <w:tcW w:w="1520" w:type="dxa"/>
            <w:shd w:val="clear" w:color="auto" w:fill="auto"/>
            <w:noWrap/>
          </w:tcPr>
          <w:p w14:paraId="3BB98ABC" w14:textId="77777777" w:rsidR="002D33F2" w:rsidRPr="00665933" w:rsidRDefault="00EC3EE2"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Pr>
                <w:b/>
                <w:bCs/>
                <w:sz w:val="20"/>
                <w:szCs w:val="20"/>
                <w:lang w:eastAsia="en-AU"/>
              </w:rPr>
              <w:t>P</w:t>
            </w:r>
            <w:r w:rsidRPr="00665933">
              <w:rPr>
                <w:b/>
                <w:bCs/>
                <w:sz w:val="20"/>
                <w:szCs w:val="20"/>
                <w:lang w:eastAsia="en-AU"/>
              </w:rPr>
              <w:t>er</w:t>
            </w:r>
            <w:r>
              <w:rPr>
                <w:b/>
                <w:bCs/>
                <w:sz w:val="20"/>
                <w:szCs w:val="20"/>
                <w:lang w:eastAsia="en-AU"/>
              </w:rPr>
              <w:t xml:space="preserve"> </w:t>
            </w:r>
            <w:r w:rsidR="002D33F2" w:rsidRPr="00665933">
              <w:rPr>
                <w:b/>
                <w:bCs/>
                <w:sz w:val="20"/>
                <w:szCs w:val="20"/>
                <w:lang w:eastAsia="en-AU"/>
              </w:rPr>
              <w:t>cent</w:t>
            </w:r>
          </w:p>
        </w:tc>
      </w:tr>
      <w:tr w:rsidR="002D33F2" w:rsidRPr="00F84480" w14:paraId="44F2DDB5" w14:textId="77777777" w:rsidTr="000613C9">
        <w:trPr>
          <w:trHeight w:val="300"/>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62E30340" w14:textId="77777777" w:rsidR="002D33F2" w:rsidRPr="00F84480" w:rsidRDefault="002D33F2" w:rsidP="007B6616">
            <w:pPr>
              <w:jc w:val="left"/>
              <w:rPr>
                <w:sz w:val="20"/>
                <w:szCs w:val="20"/>
                <w:lang w:eastAsia="en-AU"/>
              </w:rPr>
            </w:pPr>
            <w:r w:rsidRPr="00F84480">
              <w:rPr>
                <w:sz w:val="20"/>
                <w:szCs w:val="20"/>
                <w:lang w:eastAsia="en-AU"/>
              </w:rPr>
              <w:t>Bachelor and above</w:t>
            </w:r>
          </w:p>
        </w:tc>
        <w:tc>
          <w:tcPr>
            <w:tcW w:w="1418" w:type="dxa"/>
            <w:noWrap/>
            <w:vAlign w:val="center"/>
            <w:hideMark/>
          </w:tcPr>
          <w:p w14:paraId="3A009487"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F84480">
              <w:rPr>
                <w:sz w:val="20"/>
                <w:szCs w:val="20"/>
                <w:lang w:eastAsia="en-AU"/>
              </w:rPr>
              <w:t>167</w:t>
            </w:r>
          </w:p>
        </w:tc>
        <w:tc>
          <w:tcPr>
            <w:tcW w:w="1559" w:type="dxa"/>
            <w:noWrap/>
            <w:vAlign w:val="center"/>
            <w:hideMark/>
          </w:tcPr>
          <w:p w14:paraId="434ED68F"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2%</w:t>
            </w:r>
          </w:p>
        </w:tc>
        <w:tc>
          <w:tcPr>
            <w:tcW w:w="1520" w:type="dxa"/>
            <w:shd w:val="clear" w:color="auto" w:fill="auto"/>
            <w:noWrap/>
            <w:vAlign w:val="center"/>
            <w:hideMark/>
          </w:tcPr>
          <w:p w14:paraId="428A0BC8"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12%</w:t>
            </w:r>
          </w:p>
        </w:tc>
      </w:tr>
      <w:tr w:rsidR="002D33F2" w:rsidRPr="00F84480" w14:paraId="406FC554" w14:textId="77777777" w:rsidTr="000613C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343051BB" w14:textId="77777777" w:rsidR="002D33F2" w:rsidRPr="00F84480" w:rsidRDefault="002D33F2" w:rsidP="007B6616">
            <w:pPr>
              <w:jc w:val="left"/>
              <w:rPr>
                <w:sz w:val="20"/>
                <w:szCs w:val="20"/>
                <w:lang w:eastAsia="en-AU"/>
              </w:rPr>
            </w:pPr>
            <w:r w:rsidRPr="00F84480">
              <w:rPr>
                <w:sz w:val="20"/>
                <w:szCs w:val="20"/>
                <w:lang w:eastAsia="en-AU"/>
              </w:rPr>
              <w:t>Diploma &amp; advanced diploma</w:t>
            </w:r>
          </w:p>
        </w:tc>
        <w:tc>
          <w:tcPr>
            <w:tcW w:w="1418" w:type="dxa"/>
            <w:noWrap/>
            <w:vAlign w:val="center"/>
            <w:hideMark/>
          </w:tcPr>
          <w:p w14:paraId="3CBC38C4"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F84480">
              <w:rPr>
                <w:sz w:val="20"/>
                <w:szCs w:val="20"/>
                <w:lang w:eastAsia="en-AU"/>
              </w:rPr>
              <w:t>285</w:t>
            </w:r>
          </w:p>
        </w:tc>
        <w:tc>
          <w:tcPr>
            <w:tcW w:w="1559" w:type="dxa"/>
            <w:noWrap/>
            <w:vAlign w:val="center"/>
            <w:hideMark/>
          </w:tcPr>
          <w:p w14:paraId="1BDA9C22"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665933">
              <w:rPr>
                <w:b/>
                <w:bCs/>
                <w:sz w:val="20"/>
                <w:szCs w:val="20"/>
                <w:lang w:eastAsia="en-AU"/>
              </w:rPr>
              <w:t>4%</w:t>
            </w:r>
          </w:p>
        </w:tc>
        <w:tc>
          <w:tcPr>
            <w:tcW w:w="1520" w:type="dxa"/>
            <w:shd w:val="clear" w:color="auto" w:fill="auto"/>
            <w:noWrap/>
            <w:vAlign w:val="center"/>
            <w:hideMark/>
          </w:tcPr>
          <w:p w14:paraId="2CA49187"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665933">
              <w:rPr>
                <w:b/>
                <w:bCs/>
                <w:sz w:val="20"/>
                <w:szCs w:val="20"/>
                <w:lang w:eastAsia="en-AU"/>
              </w:rPr>
              <w:t>8%</w:t>
            </w:r>
          </w:p>
        </w:tc>
      </w:tr>
      <w:tr w:rsidR="002D33F2" w:rsidRPr="00F84480" w14:paraId="433070ED" w14:textId="77777777" w:rsidTr="000613C9">
        <w:trPr>
          <w:trHeight w:val="300"/>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1AF206D4" w14:textId="77777777" w:rsidR="002D33F2" w:rsidRPr="00F84480" w:rsidRDefault="002D33F2" w:rsidP="007B6616">
            <w:pPr>
              <w:jc w:val="left"/>
              <w:rPr>
                <w:sz w:val="20"/>
                <w:szCs w:val="20"/>
                <w:lang w:eastAsia="en-AU"/>
              </w:rPr>
            </w:pPr>
            <w:r w:rsidRPr="00F84480">
              <w:rPr>
                <w:sz w:val="20"/>
                <w:szCs w:val="20"/>
                <w:lang w:eastAsia="en-AU"/>
              </w:rPr>
              <w:t>Cert III / IV</w:t>
            </w:r>
          </w:p>
        </w:tc>
        <w:tc>
          <w:tcPr>
            <w:tcW w:w="1418" w:type="dxa"/>
            <w:noWrap/>
            <w:vAlign w:val="center"/>
            <w:hideMark/>
          </w:tcPr>
          <w:p w14:paraId="51FCA84A"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F84480">
              <w:rPr>
                <w:sz w:val="20"/>
                <w:szCs w:val="20"/>
                <w:lang w:eastAsia="en-AU"/>
              </w:rPr>
              <w:t>2,339</w:t>
            </w:r>
          </w:p>
        </w:tc>
        <w:tc>
          <w:tcPr>
            <w:tcW w:w="1559" w:type="dxa"/>
            <w:noWrap/>
            <w:vAlign w:val="center"/>
            <w:hideMark/>
          </w:tcPr>
          <w:p w14:paraId="64D0FE57"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29%</w:t>
            </w:r>
          </w:p>
        </w:tc>
        <w:tc>
          <w:tcPr>
            <w:tcW w:w="1520" w:type="dxa"/>
            <w:shd w:val="clear" w:color="auto" w:fill="auto"/>
            <w:noWrap/>
            <w:vAlign w:val="center"/>
            <w:hideMark/>
          </w:tcPr>
          <w:p w14:paraId="40BA392E"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24%</w:t>
            </w:r>
          </w:p>
        </w:tc>
      </w:tr>
      <w:tr w:rsidR="002D33F2" w:rsidRPr="00F84480" w14:paraId="16ED54D1" w14:textId="77777777" w:rsidTr="00061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34691E6C" w14:textId="77777777" w:rsidR="002D33F2" w:rsidRPr="00F84480" w:rsidRDefault="002D33F2" w:rsidP="007B6616">
            <w:pPr>
              <w:jc w:val="left"/>
              <w:rPr>
                <w:sz w:val="20"/>
                <w:szCs w:val="20"/>
                <w:lang w:eastAsia="en-AU"/>
              </w:rPr>
            </w:pPr>
            <w:r w:rsidRPr="00F84480">
              <w:rPr>
                <w:sz w:val="20"/>
                <w:szCs w:val="20"/>
                <w:lang w:eastAsia="en-AU"/>
              </w:rPr>
              <w:t>Year 12</w:t>
            </w:r>
          </w:p>
        </w:tc>
        <w:tc>
          <w:tcPr>
            <w:tcW w:w="1418" w:type="dxa"/>
            <w:noWrap/>
            <w:vAlign w:val="center"/>
            <w:hideMark/>
          </w:tcPr>
          <w:p w14:paraId="3FC0E568"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F84480">
              <w:rPr>
                <w:sz w:val="20"/>
                <w:szCs w:val="20"/>
                <w:lang w:eastAsia="en-AU"/>
              </w:rPr>
              <w:t>1,851</w:t>
            </w:r>
          </w:p>
        </w:tc>
        <w:tc>
          <w:tcPr>
            <w:tcW w:w="1559" w:type="dxa"/>
            <w:noWrap/>
            <w:vAlign w:val="center"/>
            <w:hideMark/>
          </w:tcPr>
          <w:p w14:paraId="662DAE41"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665933">
              <w:rPr>
                <w:b/>
                <w:bCs/>
                <w:sz w:val="20"/>
                <w:szCs w:val="20"/>
                <w:lang w:eastAsia="en-AU"/>
              </w:rPr>
              <w:t>23%</w:t>
            </w:r>
          </w:p>
        </w:tc>
        <w:tc>
          <w:tcPr>
            <w:tcW w:w="1520" w:type="dxa"/>
            <w:shd w:val="clear" w:color="auto" w:fill="auto"/>
            <w:noWrap/>
            <w:vAlign w:val="center"/>
            <w:hideMark/>
          </w:tcPr>
          <w:p w14:paraId="0182EDE6"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665933">
              <w:rPr>
                <w:b/>
                <w:bCs/>
                <w:sz w:val="20"/>
                <w:szCs w:val="20"/>
                <w:lang w:eastAsia="en-AU"/>
              </w:rPr>
              <w:t>15%</w:t>
            </w:r>
          </w:p>
        </w:tc>
      </w:tr>
      <w:tr w:rsidR="002D33F2" w:rsidRPr="00F84480" w14:paraId="2E2502A5" w14:textId="77777777" w:rsidTr="000613C9">
        <w:trPr>
          <w:trHeight w:val="300"/>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29DB9B9D" w14:textId="77777777" w:rsidR="002D33F2" w:rsidRPr="00F84480" w:rsidRDefault="002D33F2" w:rsidP="007B6616">
            <w:pPr>
              <w:jc w:val="left"/>
              <w:rPr>
                <w:sz w:val="20"/>
                <w:szCs w:val="20"/>
                <w:lang w:eastAsia="en-AU"/>
              </w:rPr>
            </w:pPr>
            <w:r w:rsidRPr="00F84480">
              <w:rPr>
                <w:sz w:val="20"/>
                <w:szCs w:val="20"/>
                <w:lang w:eastAsia="en-AU"/>
              </w:rPr>
              <w:t>Year 10/11, Cert I/II</w:t>
            </w:r>
          </w:p>
        </w:tc>
        <w:tc>
          <w:tcPr>
            <w:tcW w:w="1418" w:type="dxa"/>
            <w:noWrap/>
            <w:vAlign w:val="center"/>
            <w:hideMark/>
          </w:tcPr>
          <w:p w14:paraId="68ED922A"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F84480">
              <w:rPr>
                <w:sz w:val="20"/>
                <w:szCs w:val="20"/>
                <w:lang w:eastAsia="en-AU"/>
              </w:rPr>
              <w:t>2,809</w:t>
            </w:r>
          </w:p>
        </w:tc>
        <w:tc>
          <w:tcPr>
            <w:tcW w:w="1559" w:type="dxa"/>
            <w:noWrap/>
            <w:vAlign w:val="center"/>
            <w:hideMark/>
          </w:tcPr>
          <w:p w14:paraId="7D0D3952"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35%</w:t>
            </w:r>
          </w:p>
        </w:tc>
        <w:tc>
          <w:tcPr>
            <w:tcW w:w="1520" w:type="dxa"/>
            <w:shd w:val="clear" w:color="auto" w:fill="auto"/>
            <w:noWrap/>
            <w:vAlign w:val="center"/>
            <w:hideMark/>
          </w:tcPr>
          <w:p w14:paraId="7F5D020F"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27%</w:t>
            </w:r>
          </w:p>
        </w:tc>
      </w:tr>
      <w:tr w:rsidR="002D33F2" w:rsidRPr="00F84480" w14:paraId="49FFECC0" w14:textId="77777777" w:rsidTr="00061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5CE33DE5" w14:textId="77777777" w:rsidR="002D33F2" w:rsidRPr="00F84480" w:rsidRDefault="002D33F2" w:rsidP="007B6616">
            <w:pPr>
              <w:jc w:val="left"/>
              <w:rPr>
                <w:sz w:val="20"/>
                <w:szCs w:val="20"/>
                <w:lang w:eastAsia="en-AU"/>
              </w:rPr>
            </w:pPr>
            <w:r w:rsidRPr="00F84480">
              <w:rPr>
                <w:sz w:val="20"/>
                <w:szCs w:val="20"/>
                <w:lang w:eastAsia="en-AU"/>
              </w:rPr>
              <w:t>Year 9 and below</w:t>
            </w:r>
          </w:p>
        </w:tc>
        <w:tc>
          <w:tcPr>
            <w:tcW w:w="1418" w:type="dxa"/>
            <w:noWrap/>
            <w:vAlign w:val="center"/>
            <w:hideMark/>
          </w:tcPr>
          <w:p w14:paraId="14CA5EC0"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F84480">
              <w:rPr>
                <w:sz w:val="20"/>
                <w:szCs w:val="20"/>
                <w:lang w:eastAsia="en-AU"/>
              </w:rPr>
              <w:t>359</w:t>
            </w:r>
          </w:p>
        </w:tc>
        <w:tc>
          <w:tcPr>
            <w:tcW w:w="1559" w:type="dxa"/>
            <w:noWrap/>
            <w:vAlign w:val="center"/>
            <w:hideMark/>
          </w:tcPr>
          <w:p w14:paraId="32A19616"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665933">
              <w:rPr>
                <w:b/>
                <w:bCs/>
                <w:sz w:val="20"/>
                <w:szCs w:val="20"/>
                <w:lang w:eastAsia="en-AU"/>
              </w:rPr>
              <w:t>4%</w:t>
            </w:r>
          </w:p>
        </w:tc>
        <w:tc>
          <w:tcPr>
            <w:tcW w:w="1520" w:type="dxa"/>
            <w:shd w:val="clear" w:color="auto" w:fill="auto"/>
            <w:noWrap/>
            <w:vAlign w:val="center"/>
            <w:hideMark/>
          </w:tcPr>
          <w:p w14:paraId="7C079584"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665933">
              <w:rPr>
                <w:b/>
                <w:bCs/>
                <w:sz w:val="20"/>
                <w:szCs w:val="20"/>
                <w:lang w:eastAsia="en-AU"/>
              </w:rPr>
              <w:t>14%</w:t>
            </w:r>
          </w:p>
        </w:tc>
      </w:tr>
      <w:tr w:rsidR="002D33F2" w:rsidRPr="00F84480" w14:paraId="660A65B2" w14:textId="77777777" w:rsidTr="000613C9">
        <w:trPr>
          <w:trHeight w:val="600"/>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7A2A6F11" w14:textId="77777777" w:rsidR="002D33F2" w:rsidRPr="00F84480" w:rsidRDefault="002D33F2" w:rsidP="007B6616">
            <w:pPr>
              <w:jc w:val="left"/>
              <w:rPr>
                <w:sz w:val="20"/>
                <w:szCs w:val="20"/>
                <w:lang w:eastAsia="en-AU"/>
              </w:rPr>
            </w:pPr>
            <w:r w:rsidRPr="00F84480">
              <w:rPr>
                <w:sz w:val="20"/>
                <w:szCs w:val="20"/>
                <w:lang w:eastAsia="en-AU"/>
              </w:rPr>
              <w:t>Other, missing information</w:t>
            </w:r>
          </w:p>
        </w:tc>
        <w:tc>
          <w:tcPr>
            <w:tcW w:w="1418" w:type="dxa"/>
            <w:noWrap/>
            <w:vAlign w:val="center"/>
            <w:hideMark/>
          </w:tcPr>
          <w:p w14:paraId="48F3DFE7"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F84480">
              <w:rPr>
                <w:sz w:val="20"/>
                <w:szCs w:val="20"/>
                <w:lang w:eastAsia="en-AU"/>
              </w:rPr>
              <w:t>251</w:t>
            </w:r>
          </w:p>
        </w:tc>
        <w:tc>
          <w:tcPr>
            <w:tcW w:w="1559" w:type="dxa"/>
            <w:noWrap/>
            <w:vAlign w:val="center"/>
            <w:hideMark/>
          </w:tcPr>
          <w:p w14:paraId="4EE17D27"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3%</w:t>
            </w:r>
          </w:p>
        </w:tc>
        <w:tc>
          <w:tcPr>
            <w:tcW w:w="1520" w:type="dxa"/>
            <w:shd w:val="clear" w:color="auto" w:fill="auto"/>
            <w:noWrap/>
            <w:vAlign w:val="center"/>
            <w:hideMark/>
          </w:tcPr>
          <w:p w14:paraId="3B8B3203"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0%</w:t>
            </w:r>
          </w:p>
        </w:tc>
      </w:tr>
      <w:tr w:rsidR="002D33F2" w:rsidRPr="00F84480" w14:paraId="3C4C7A9A" w14:textId="77777777" w:rsidTr="00061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37EC37E1" w14:textId="77777777" w:rsidR="002D33F2" w:rsidRPr="00F84480" w:rsidRDefault="002D33F2" w:rsidP="007B6616">
            <w:pPr>
              <w:jc w:val="left"/>
              <w:rPr>
                <w:sz w:val="20"/>
                <w:szCs w:val="20"/>
                <w:lang w:eastAsia="en-AU"/>
              </w:rPr>
            </w:pPr>
            <w:r w:rsidRPr="00F84480">
              <w:rPr>
                <w:sz w:val="20"/>
                <w:szCs w:val="20"/>
                <w:lang w:eastAsia="en-AU"/>
              </w:rPr>
              <w:t>Total</w:t>
            </w:r>
          </w:p>
        </w:tc>
        <w:tc>
          <w:tcPr>
            <w:tcW w:w="1418" w:type="dxa"/>
            <w:noWrap/>
            <w:vAlign w:val="center"/>
            <w:hideMark/>
          </w:tcPr>
          <w:p w14:paraId="7C2880E3"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F84480">
              <w:rPr>
                <w:b/>
                <w:sz w:val="20"/>
                <w:szCs w:val="20"/>
                <w:lang w:eastAsia="en-AU"/>
              </w:rPr>
              <w:t>8,061</w:t>
            </w:r>
          </w:p>
        </w:tc>
        <w:tc>
          <w:tcPr>
            <w:tcW w:w="1559" w:type="dxa"/>
            <w:noWrap/>
            <w:vAlign w:val="center"/>
            <w:hideMark/>
          </w:tcPr>
          <w:p w14:paraId="38E56F9D"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F84480">
              <w:rPr>
                <w:b/>
                <w:sz w:val="20"/>
                <w:szCs w:val="20"/>
                <w:lang w:eastAsia="en-AU"/>
              </w:rPr>
              <w:t>100%</w:t>
            </w:r>
          </w:p>
        </w:tc>
        <w:tc>
          <w:tcPr>
            <w:tcW w:w="1520" w:type="dxa"/>
            <w:shd w:val="clear" w:color="auto" w:fill="auto"/>
            <w:noWrap/>
            <w:vAlign w:val="center"/>
            <w:hideMark/>
          </w:tcPr>
          <w:p w14:paraId="54F7AA48"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F84480">
              <w:rPr>
                <w:b/>
                <w:sz w:val="20"/>
                <w:szCs w:val="20"/>
                <w:lang w:eastAsia="en-AU"/>
              </w:rPr>
              <w:t>100%</w:t>
            </w:r>
          </w:p>
        </w:tc>
      </w:tr>
    </w:tbl>
    <w:p w14:paraId="5D0835BE" w14:textId="77777777" w:rsidR="002D33F2" w:rsidRPr="00665933" w:rsidRDefault="002D33F2" w:rsidP="002D33F2">
      <w:pPr>
        <w:rPr>
          <w:i/>
          <w:iCs/>
        </w:rPr>
      </w:pPr>
      <w:r w:rsidRPr="00665933">
        <w:rPr>
          <w:i/>
          <w:iCs/>
          <w:sz w:val="18"/>
          <w:szCs w:val="18"/>
        </w:rPr>
        <w:t>Note:</w:t>
      </w:r>
      <w:r>
        <w:rPr>
          <w:i/>
          <w:iCs/>
          <w:sz w:val="18"/>
          <w:szCs w:val="18"/>
        </w:rPr>
        <w:t xml:space="preserve"> The last column of the table includes information from the Census of Population and Housing, 2016. </w:t>
      </w:r>
      <w:r w:rsidR="00A21A30">
        <w:rPr>
          <w:i/>
          <w:sz w:val="18"/>
          <w:szCs w:val="18"/>
        </w:rPr>
        <w:t xml:space="preserve">Hinkler refers to the </w:t>
      </w:r>
      <w:r w:rsidR="00A21A30" w:rsidRPr="00DD43FE">
        <w:rPr>
          <w:i/>
          <w:sz w:val="18"/>
          <w:szCs w:val="18"/>
        </w:rPr>
        <w:t>Federal electorate of Hinkler</w:t>
      </w:r>
      <w:r w:rsidR="00A21A30">
        <w:rPr>
          <w:i/>
          <w:sz w:val="18"/>
          <w:szCs w:val="18"/>
        </w:rPr>
        <w:t xml:space="preserve">. </w:t>
      </w:r>
      <w:r w:rsidR="00A21A30">
        <w:t xml:space="preserve"> </w:t>
      </w:r>
      <w:r w:rsidRPr="00665933">
        <w:rPr>
          <w:i/>
          <w:iCs/>
          <w:sz w:val="18"/>
          <w:szCs w:val="18"/>
        </w:rPr>
        <w:t xml:space="preserve"> </w:t>
      </w:r>
    </w:p>
    <w:p w14:paraId="1F02A506" w14:textId="0411160E" w:rsidR="003263B0" w:rsidRDefault="003A0EAD" w:rsidP="002D33F2">
      <w:r>
        <w:lastRenderedPageBreak/>
        <w:t>The following table (</w:t>
      </w:r>
      <w:r>
        <w:fldChar w:fldCharType="begin"/>
      </w:r>
      <w:r>
        <w:instrText xml:space="preserve"> REF _Ref36655891 \h </w:instrText>
      </w:r>
      <w:r>
        <w:fldChar w:fldCharType="separate"/>
      </w:r>
      <w:r w:rsidR="008E2086">
        <w:t xml:space="preserve">Table </w:t>
      </w:r>
      <w:r w:rsidR="008E2086">
        <w:rPr>
          <w:noProof/>
        </w:rPr>
        <w:t>3</w:t>
      </w:r>
      <w:r w:rsidR="008E2086">
        <w:noBreakHyphen/>
      </w:r>
      <w:r w:rsidR="008E2086">
        <w:rPr>
          <w:noProof/>
        </w:rPr>
        <w:t>4</w:t>
      </w:r>
      <w:r>
        <w:fldChar w:fldCharType="end"/>
      </w:r>
      <w:r w:rsidR="002D33F2">
        <w:t xml:space="preserve">) displays the age distribution of CDC participants triggered in the Bundaberg and Hervey Bay trial area. Given the eligibility criteria for the roll out in this trial site, the age distribution does not go beyond the 35 to 44 years old category and those who are recorded within this category are between 35 and 36 years old (no one is older than 36). The majority of participants are aged </w:t>
      </w:r>
      <w:proofErr w:type="gramStart"/>
      <w:r w:rsidR="002D33F2">
        <w:t>between 25 to 36</w:t>
      </w:r>
      <w:proofErr w:type="gramEnd"/>
      <w:r w:rsidR="002D33F2">
        <w:t xml:space="preserve"> (51.3 per cent + 4.6 per cent = 55.9 per cent). There is no notable difference between all CDC participants and those who are currently active.</w:t>
      </w:r>
    </w:p>
    <w:p w14:paraId="43819957" w14:textId="3AF9A70C" w:rsidR="002D33F2" w:rsidRDefault="002D33F2" w:rsidP="002D33F2">
      <w:pPr>
        <w:pStyle w:val="Caption"/>
      </w:pPr>
      <w:bookmarkStart w:id="199" w:name="_Ref36655891"/>
      <w:bookmarkStart w:id="200" w:name="_Toc37263589"/>
      <w:bookmarkStart w:id="201" w:name="_Toc36632826"/>
      <w:bookmarkStart w:id="202" w:name="_Toc36637920"/>
      <w:bookmarkStart w:id="203" w:name="_Toc34935554"/>
      <w:bookmarkStart w:id="204" w:name="_Ref34254625"/>
      <w:bookmarkStart w:id="205" w:name="_Toc34304865"/>
      <w:r>
        <w:t xml:space="preserve">Table </w:t>
      </w:r>
      <w:r w:rsidRPr="00A0158E">
        <w:fldChar w:fldCharType="begin"/>
      </w:r>
      <w:r>
        <w:instrText xml:space="preserve"> STYLEREF 1 \s </w:instrText>
      </w:r>
      <w:r w:rsidRPr="00A0158E">
        <w:fldChar w:fldCharType="separate"/>
      </w:r>
      <w:r w:rsidR="008E2086">
        <w:rPr>
          <w:noProof/>
        </w:rPr>
        <w:t>3</w:t>
      </w:r>
      <w:r w:rsidRPr="00A0158E">
        <w:fldChar w:fldCharType="end"/>
      </w:r>
      <w:r>
        <w:noBreakHyphen/>
      </w:r>
      <w:r w:rsidRPr="00A0158E">
        <w:fldChar w:fldCharType="begin"/>
      </w:r>
      <w:r>
        <w:instrText xml:space="preserve"> SEQ Table \* ARABIC \s 1 </w:instrText>
      </w:r>
      <w:r w:rsidRPr="00A0158E">
        <w:fldChar w:fldCharType="separate"/>
      </w:r>
      <w:r w:rsidR="008E2086">
        <w:rPr>
          <w:noProof/>
        </w:rPr>
        <w:t>4</w:t>
      </w:r>
      <w:r w:rsidRPr="00A0158E">
        <w:fldChar w:fldCharType="end"/>
      </w:r>
      <w:bookmarkEnd w:id="199"/>
      <w:r>
        <w:t xml:space="preserve">: </w:t>
      </w:r>
      <w:r w:rsidR="00315F20">
        <w:t>CDC participants’ age distribution, all participants recorded in the data vs. currently active (for CDC participants triggered onto the card in the Bundaberg and Hervey Bay region)</w:t>
      </w:r>
      <w:bookmarkEnd w:id="200"/>
      <w:r w:rsidR="00315F20">
        <w:t xml:space="preserve"> </w:t>
      </w:r>
      <w:bookmarkEnd w:id="201"/>
      <w:bookmarkEnd w:id="202"/>
      <w:bookmarkEnd w:id="203"/>
    </w:p>
    <w:bookmarkEnd w:id="204"/>
    <w:bookmarkEnd w:id="205"/>
    <w:tbl>
      <w:tblPr>
        <w:tblStyle w:val="ListTable3-Accent1"/>
        <w:tblW w:w="4557" w:type="pct"/>
        <w:tblLook w:val="04A0" w:firstRow="1" w:lastRow="0" w:firstColumn="1" w:lastColumn="0" w:noHBand="0" w:noVBand="1"/>
      </w:tblPr>
      <w:tblGrid>
        <w:gridCol w:w="1483"/>
        <w:gridCol w:w="1630"/>
        <w:gridCol w:w="1701"/>
        <w:gridCol w:w="1842"/>
        <w:gridCol w:w="1561"/>
      </w:tblGrid>
      <w:tr w:rsidR="002D33F2" w:rsidRPr="00F84480" w14:paraId="5804FE2D"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902" w:type="pct"/>
            <w:shd w:val="clear" w:color="auto" w:fill="2F5496" w:themeFill="accent5" w:themeFillShade="BF"/>
            <w:noWrap/>
            <w:vAlign w:val="center"/>
            <w:hideMark/>
          </w:tcPr>
          <w:p w14:paraId="5DE4875B" w14:textId="77777777" w:rsidR="002D33F2" w:rsidRPr="00F84480" w:rsidRDefault="002D33F2" w:rsidP="007B6616">
            <w:pPr>
              <w:jc w:val="left"/>
              <w:rPr>
                <w:sz w:val="20"/>
                <w:szCs w:val="20"/>
                <w:lang w:eastAsia="en-AU"/>
              </w:rPr>
            </w:pPr>
          </w:p>
        </w:tc>
        <w:tc>
          <w:tcPr>
            <w:tcW w:w="2027" w:type="pct"/>
            <w:gridSpan w:val="2"/>
            <w:shd w:val="clear" w:color="auto" w:fill="2F5496" w:themeFill="accent5" w:themeFillShade="BF"/>
            <w:noWrap/>
            <w:vAlign w:val="center"/>
            <w:hideMark/>
          </w:tcPr>
          <w:p w14:paraId="2329855A" w14:textId="77777777" w:rsidR="002D33F2" w:rsidRPr="00987CF9" w:rsidRDefault="002D33F2" w:rsidP="000613C9">
            <w:pPr>
              <w:jc w:val="center"/>
              <w:cnfStyle w:val="100000000000" w:firstRow="1" w:lastRow="0" w:firstColumn="0" w:lastColumn="0" w:oddVBand="0" w:evenVBand="0" w:oddHBand="0" w:evenHBand="0" w:firstRowFirstColumn="0" w:firstRowLastColumn="0" w:lastRowFirstColumn="0" w:lastRowLastColumn="0"/>
              <w:rPr>
                <w:color w:val="auto"/>
                <w:sz w:val="20"/>
                <w:szCs w:val="20"/>
                <w:lang w:eastAsia="en-AU"/>
              </w:rPr>
            </w:pPr>
            <w:r w:rsidRPr="00665933">
              <w:rPr>
                <w:sz w:val="20"/>
                <w:szCs w:val="20"/>
                <w:lang w:eastAsia="en-AU"/>
              </w:rPr>
              <w:t>All participants</w:t>
            </w:r>
          </w:p>
        </w:tc>
        <w:tc>
          <w:tcPr>
            <w:tcW w:w="2071" w:type="pct"/>
            <w:gridSpan w:val="2"/>
            <w:shd w:val="clear" w:color="auto" w:fill="2F5496" w:themeFill="accent5" w:themeFillShade="BF"/>
            <w:noWrap/>
            <w:vAlign w:val="center"/>
            <w:hideMark/>
          </w:tcPr>
          <w:p w14:paraId="0AED98A1" w14:textId="77777777" w:rsidR="002D33F2" w:rsidRPr="00987CF9" w:rsidRDefault="002D33F2" w:rsidP="000613C9">
            <w:pPr>
              <w:jc w:val="center"/>
              <w:cnfStyle w:val="100000000000" w:firstRow="1" w:lastRow="0" w:firstColumn="0" w:lastColumn="0" w:oddVBand="0" w:evenVBand="0" w:oddHBand="0" w:evenHBand="0" w:firstRowFirstColumn="0" w:firstRowLastColumn="0" w:lastRowFirstColumn="0" w:lastRowLastColumn="0"/>
              <w:rPr>
                <w:color w:val="auto"/>
                <w:sz w:val="20"/>
                <w:szCs w:val="20"/>
                <w:lang w:eastAsia="en-AU"/>
              </w:rPr>
            </w:pPr>
            <w:r w:rsidRPr="00987CF9">
              <w:rPr>
                <w:sz w:val="20"/>
                <w:szCs w:val="20"/>
                <w:lang w:eastAsia="en-AU"/>
              </w:rPr>
              <w:t xml:space="preserve">Active </w:t>
            </w:r>
            <w:r>
              <w:t>participant</w:t>
            </w:r>
            <w:r w:rsidRPr="00987CF9">
              <w:rPr>
                <w:sz w:val="20"/>
                <w:szCs w:val="20"/>
                <w:lang w:eastAsia="en-AU"/>
              </w:rPr>
              <w:t>s</w:t>
            </w:r>
          </w:p>
        </w:tc>
      </w:tr>
      <w:tr w:rsidR="002D33F2" w:rsidRPr="00F84480" w14:paraId="7272C6F2"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 w:type="pct"/>
            <w:noWrap/>
            <w:vAlign w:val="center"/>
            <w:hideMark/>
          </w:tcPr>
          <w:p w14:paraId="5297EC33" w14:textId="77777777" w:rsidR="002D33F2" w:rsidRPr="00F84480" w:rsidRDefault="002D33F2" w:rsidP="007B6616">
            <w:pPr>
              <w:jc w:val="left"/>
              <w:rPr>
                <w:sz w:val="20"/>
                <w:szCs w:val="20"/>
                <w:lang w:eastAsia="en-AU"/>
              </w:rPr>
            </w:pPr>
            <w:r w:rsidRPr="00F84480">
              <w:rPr>
                <w:sz w:val="20"/>
                <w:szCs w:val="20"/>
                <w:lang w:eastAsia="en-AU"/>
              </w:rPr>
              <w:t>Age</w:t>
            </w:r>
          </w:p>
        </w:tc>
        <w:tc>
          <w:tcPr>
            <w:tcW w:w="992" w:type="pct"/>
            <w:noWrap/>
            <w:vAlign w:val="center"/>
            <w:hideMark/>
          </w:tcPr>
          <w:p w14:paraId="294D30ED" w14:textId="77777777" w:rsidR="002D33F2" w:rsidRPr="000613C9" w:rsidRDefault="005C207B" w:rsidP="007B6616">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613C9">
              <w:rPr>
                <w:b/>
                <w:sz w:val="20"/>
                <w:szCs w:val="20"/>
                <w:lang w:eastAsia="en-AU"/>
              </w:rPr>
              <w:t>F</w:t>
            </w:r>
            <w:r w:rsidR="002D33F2" w:rsidRPr="000613C9">
              <w:rPr>
                <w:b/>
                <w:sz w:val="20"/>
                <w:szCs w:val="20"/>
                <w:lang w:eastAsia="en-AU"/>
              </w:rPr>
              <w:t>requency</w:t>
            </w:r>
          </w:p>
        </w:tc>
        <w:tc>
          <w:tcPr>
            <w:tcW w:w="1034" w:type="pct"/>
            <w:noWrap/>
            <w:vAlign w:val="center"/>
            <w:hideMark/>
          </w:tcPr>
          <w:p w14:paraId="115ACA1E" w14:textId="77777777" w:rsidR="002D33F2" w:rsidRPr="00665933" w:rsidRDefault="005C207B"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Pr>
                <w:b/>
                <w:bCs/>
                <w:sz w:val="20"/>
                <w:szCs w:val="20"/>
                <w:lang w:eastAsia="en-AU"/>
              </w:rPr>
              <w:t>P</w:t>
            </w:r>
            <w:r w:rsidR="002D33F2" w:rsidRPr="00665933">
              <w:rPr>
                <w:b/>
                <w:bCs/>
                <w:sz w:val="20"/>
                <w:szCs w:val="20"/>
                <w:lang w:eastAsia="en-AU"/>
              </w:rPr>
              <w:t>er</w:t>
            </w:r>
            <w:r w:rsidR="002D33F2">
              <w:rPr>
                <w:b/>
                <w:bCs/>
                <w:sz w:val="20"/>
                <w:szCs w:val="20"/>
                <w:lang w:eastAsia="en-AU"/>
              </w:rPr>
              <w:t xml:space="preserve"> </w:t>
            </w:r>
            <w:r w:rsidR="002D33F2" w:rsidRPr="00665933">
              <w:rPr>
                <w:b/>
                <w:bCs/>
                <w:sz w:val="20"/>
                <w:szCs w:val="20"/>
                <w:lang w:eastAsia="en-AU"/>
              </w:rPr>
              <w:t>cent</w:t>
            </w:r>
          </w:p>
        </w:tc>
        <w:tc>
          <w:tcPr>
            <w:tcW w:w="1121" w:type="pct"/>
            <w:noWrap/>
            <w:vAlign w:val="center"/>
            <w:hideMark/>
          </w:tcPr>
          <w:p w14:paraId="6308A874" w14:textId="77777777" w:rsidR="002D33F2" w:rsidRPr="000613C9" w:rsidRDefault="005C207B" w:rsidP="007B6616">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613C9">
              <w:rPr>
                <w:b/>
                <w:sz w:val="20"/>
                <w:szCs w:val="20"/>
                <w:lang w:eastAsia="en-AU"/>
              </w:rPr>
              <w:t>F</w:t>
            </w:r>
            <w:r w:rsidR="002D33F2" w:rsidRPr="000613C9">
              <w:rPr>
                <w:b/>
                <w:sz w:val="20"/>
                <w:szCs w:val="20"/>
                <w:lang w:eastAsia="en-AU"/>
              </w:rPr>
              <w:t>requency</w:t>
            </w:r>
          </w:p>
        </w:tc>
        <w:tc>
          <w:tcPr>
            <w:tcW w:w="950" w:type="pct"/>
            <w:noWrap/>
            <w:vAlign w:val="center"/>
            <w:hideMark/>
          </w:tcPr>
          <w:p w14:paraId="5E3355E3" w14:textId="77777777" w:rsidR="002D33F2" w:rsidRPr="00665933" w:rsidRDefault="005C207B"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Pr>
                <w:b/>
                <w:bCs/>
                <w:sz w:val="20"/>
                <w:szCs w:val="20"/>
                <w:lang w:eastAsia="en-AU"/>
              </w:rPr>
              <w:t>P</w:t>
            </w:r>
            <w:r w:rsidR="002D33F2" w:rsidRPr="00665933">
              <w:rPr>
                <w:b/>
                <w:bCs/>
                <w:sz w:val="20"/>
                <w:szCs w:val="20"/>
                <w:lang w:eastAsia="en-AU"/>
              </w:rPr>
              <w:t>er</w:t>
            </w:r>
            <w:r w:rsidR="002D33F2">
              <w:rPr>
                <w:b/>
                <w:bCs/>
                <w:sz w:val="20"/>
                <w:szCs w:val="20"/>
                <w:lang w:eastAsia="en-AU"/>
              </w:rPr>
              <w:t xml:space="preserve"> </w:t>
            </w:r>
            <w:r w:rsidR="002D33F2" w:rsidRPr="00665933">
              <w:rPr>
                <w:b/>
                <w:bCs/>
                <w:sz w:val="20"/>
                <w:szCs w:val="20"/>
                <w:lang w:eastAsia="en-AU"/>
              </w:rPr>
              <w:t>cent</w:t>
            </w:r>
          </w:p>
        </w:tc>
      </w:tr>
      <w:tr w:rsidR="002D33F2" w:rsidRPr="00F84480" w14:paraId="2A41A69E"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902" w:type="pct"/>
            <w:noWrap/>
            <w:vAlign w:val="center"/>
            <w:hideMark/>
          </w:tcPr>
          <w:p w14:paraId="384717D1" w14:textId="77777777" w:rsidR="002D33F2" w:rsidRPr="00F84480" w:rsidRDefault="002D33F2" w:rsidP="007B6616">
            <w:pPr>
              <w:jc w:val="left"/>
              <w:rPr>
                <w:sz w:val="20"/>
                <w:szCs w:val="20"/>
                <w:lang w:eastAsia="en-AU"/>
              </w:rPr>
            </w:pPr>
            <w:r w:rsidRPr="00F84480">
              <w:rPr>
                <w:sz w:val="20"/>
                <w:szCs w:val="20"/>
                <w:lang w:eastAsia="en-AU"/>
              </w:rPr>
              <w:t>16-24 years old</w:t>
            </w:r>
          </w:p>
        </w:tc>
        <w:tc>
          <w:tcPr>
            <w:tcW w:w="992" w:type="pct"/>
            <w:noWrap/>
            <w:vAlign w:val="center"/>
            <w:hideMark/>
          </w:tcPr>
          <w:p w14:paraId="1A6987F7"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F84480">
              <w:rPr>
                <w:sz w:val="20"/>
                <w:szCs w:val="20"/>
                <w:lang w:eastAsia="en-AU"/>
              </w:rPr>
              <w:t>3,555</w:t>
            </w:r>
          </w:p>
        </w:tc>
        <w:tc>
          <w:tcPr>
            <w:tcW w:w="1034" w:type="pct"/>
            <w:noWrap/>
            <w:vAlign w:val="center"/>
            <w:hideMark/>
          </w:tcPr>
          <w:p w14:paraId="5D91DCCE"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44.1%</w:t>
            </w:r>
          </w:p>
        </w:tc>
        <w:tc>
          <w:tcPr>
            <w:tcW w:w="1121" w:type="pct"/>
            <w:noWrap/>
            <w:vAlign w:val="center"/>
            <w:hideMark/>
          </w:tcPr>
          <w:p w14:paraId="3FD0AF04"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F84480">
              <w:rPr>
                <w:sz w:val="20"/>
                <w:szCs w:val="20"/>
                <w:lang w:eastAsia="en-AU"/>
              </w:rPr>
              <w:t>2,690</w:t>
            </w:r>
          </w:p>
        </w:tc>
        <w:tc>
          <w:tcPr>
            <w:tcW w:w="950" w:type="pct"/>
            <w:noWrap/>
            <w:vAlign w:val="center"/>
            <w:hideMark/>
          </w:tcPr>
          <w:p w14:paraId="43D700AC"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43.5%</w:t>
            </w:r>
          </w:p>
        </w:tc>
      </w:tr>
      <w:tr w:rsidR="002D33F2" w:rsidRPr="00F84480" w14:paraId="706D2D53"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 w:type="pct"/>
            <w:noWrap/>
            <w:vAlign w:val="center"/>
            <w:hideMark/>
          </w:tcPr>
          <w:p w14:paraId="33A1D6F6" w14:textId="77777777" w:rsidR="002D33F2" w:rsidRPr="00F84480" w:rsidRDefault="002D33F2" w:rsidP="007B6616">
            <w:pPr>
              <w:jc w:val="left"/>
              <w:rPr>
                <w:sz w:val="20"/>
                <w:szCs w:val="20"/>
                <w:lang w:eastAsia="en-AU"/>
              </w:rPr>
            </w:pPr>
            <w:r w:rsidRPr="00F84480">
              <w:rPr>
                <w:sz w:val="20"/>
                <w:szCs w:val="20"/>
                <w:lang w:eastAsia="en-AU"/>
              </w:rPr>
              <w:t>25-34 years old</w:t>
            </w:r>
          </w:p>
        </w:tc>
        <w:tc>
          <w:tcPr>
            <w:tcW w:w="992" w:type="pct"/>
            <w:noWrap/>
            <w:vAlign w:val="center"/>
            <w:hideMark/>
          </w:tcPr>
          <w:p w14:paraId="62C073DB"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F84480">
              <w:rPr>
                <w:sz w:val="20"/>
                <w:szCs w:val="20"/>
                <w:lang w:eastAsia="en-AU"/>
              </w:rPr>
              <w:t>4,136</w:t>
            </w:r>
          </w:p>
        </w:tc>
        <w:tc>
          <w:tcPr>
            <w:tcW w:w="1034" w:type="pct"/>
            <w:noWrap/>
            <w:vAlign w:val="center"/>
            <w:hideMark/>
          </w:tcPr>
          <w:p w14:paraId="0C298642"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665933">
              <w:rPr>
                <w:b/>
                <w:bCs/>
                <w:sz w:val="20"/>
                <w:szCs w:val="20"/>
                <w:lang w:eastAsia="en-AU"/>
              </w:rPr>
              <w:t>51.3%</w:t>
            </w:r>
          </w:p>
        </w:tc>
        <w:tc>
          <w:tcPr>
            <w:tcW w:w="1121" w:type="pct"/>
            <w:noWrap/>
            <w:vAlign w:val="center"/>
            <w:hideMark/>
          </w:tcPr>
          <w:p w14:paraId="30104275"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F84480">
              <w:rPr>
                <w:sz w:val="20"/>
                <w:szCs w:val="20"/>
                <w:lang w:eastAsia="en-AU"/>
              </w:rPr>
              <w:t>3,211</w:t>
            </w:r>
          </w:p>
        </w:tc>
        <w:tc>
          <w:tcPr>
            <w:tcW w:w="950" w:type="pct"/>
            <w:noWrap/>
            <w:vAlign w:val="center"/>
            <w:hideMark/>
          </w:tcPr>
          <w:p w14:paraId="7AD249FB"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665933">
              <w:rPr>
                <w:b/>
                <w:bCs/>
                <w:sz w:val="20"/>
                <w:szCs w:val="20"/>
                <w:lang w:eastAsia="en-AU"/>
              </w:rPr>
              <w:t>51.9%</w:t>
            </w:r>
          </w:p>
        </w:tc>
      </w:tr>
      <w:tr w:rsidR="002D33F2" w:rsidRPr="00F84480" w14:paraId="14B784BE"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902" w:type="pct"/>
            <w:noWrap/>
            <w:vAlign w:val="center"/>
            <w:hideMark/>
          </w:tcPr>
          <w:p w14:paraId="2770AED5" w14:textId="77777777" w:rsidR="002D33F2" w:rsidRPr="00F84480" w:rsidRDefault="002D33F2" w:rsidP="007B6616">
            <w:pPr>
              <w:jc w:val="left"/>
              <w:rPr>
                <w:sz w:val="20"/>
                <w:szCs w:val="20"/>
                <w:lang w:eastAsia="en-AU"/>
              </w:rPr>
            </w:pPr>
            <w:r w:rsidRPr="00F84480">
              <w:rPr>
                <w:sz w:val="20"/>
                <w:szCs w:val="20"/>
                <w:lang w:eastAsia="en-AU"/>
              </w:rPr>
              <w:t>35-44 years old</w:t>
            </w:r>
          </w:p>
        </w:tc>
        <w:tc>
          <w:tcPr>
            <w:tcW w:w="992" w:type="pct"/>
            <w:noWrap/>
            <w:vAlign w:val="center"/>
            <w:hideMark/>
          </w:tcPr>
          <w:p w14:paraId="28EFE797"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F84480">
              <w:rPr>
                <w:sz w:val="20"/>
                <w:szCs w:val="20"/>
                <w:lang w:eastAsia="en-AU"/>
              </w:rPr>
              <w:t>370</w:t>
            </w:r>
          </w:p>
        </w:tc>
        <w:tc>
          <w:tcPr>
            <w:tcW w:w="1034" w:type="pct"/>
            <w:noWrap/>
            <w:vAlign w:val="center"/>
            <w:hideMark/>
          </w:tcPr>
          <w:p w14:paraId="169446E7"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4.6%</w:t>
            </w:r>
          </w:p>
        </w:tc>
        <w:tc>
          <w:tcPr>
            <w:tcW w:w="1121" w:type="pct"/>
            <w:noWrap/>
            <w:vAlign w:val="center"/>
            <w:hideMark/>
          </w:tcPr>
          <w:p w14:paraId="5170C47D" w14:textId="77777777" w:rsidR="002D33F2" w:rsidRPr="00F84480" w:rsidRDefault="002D33F2" w:rsidP="007B6616">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F84480">
              <w:rPr>
                <w:sz w:val="20"/>
                <w:szCs w:val="20"/>
                <w:lang w:eastAsia="en-AU"/>
              </w:rPr>
              <w:t>282</w:t>
            </w:r>
          </w:p>
        </w:tc>
        <w:tc>
          <w:tcPr>
            <w:tcW w:w="950" w:type="pct"/>
            <w:noWrap/>
            <w:vAlign w:val="center"/>
            <w:hideMark/>
          </w:tcPr>
          <w:p w14:paraId="6E2ECE91"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bCs/>
                <w:sz w:val="20"/>
                <w:szCs w:val="20"/>
                <w:lang w:eastAsia="en-AU"/>
              </w:rPr>
            </w:pPr>
            <w:r w:rsidRPr="00665933">
              <w:rPr>
                <w:b/>
                <w:bCs/>
                <w:sz w:val="20"/>
                <w:szCs w:val="20"/>
                <w:lang w:eastAsia="en-AU"/>
              </w:rPr>
              <w:t>4.6%</w:t>
            </w:r>
          </w:p>
        </w:tc>
      </w:tr>
      <w:tr w:rsidR="002D33F2" w:rsidRPr="00F84480" w14:paraId="4DA667D8"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 w:type="pct"/>
            <w:noWrap/>
            <w:vAlign w:val="center"/>
            <w:hideMark/>
          </w:tcPr>
          <w:p w14:paraId="5F6C2E6F" w14:textId="77777777" w:rsidR="002D33F2" w:rsidRPr="00F84480" w:rsidRDefault="002D33F2" w:rsidP="007B6616">
            <w:pPr>
              <w:jc w:val="left"/>
              <w:rPr>
                <w:sz w:val="20"/>
                <w:szCs w:val="20"/>
                <w:lang w:eastAsia="en-AU"/>
              </w:rPr>
            </w:pPr>
            <w:r w:rsidRPr="00F84480">
              <w:rPr>
                <w:sz w:val="20"/>
                <w:szCs w:val="20"/>
                <w:lang w:eastAsia="en-AU"/>
              </w:rPr>
              <w:t>Total</w:t>
            </w:r>
          </w:p>
        </w:tc>
        <w:tc>
          <w:tcPr>
            <w:tcW w:w="992" w:type="pct"/>
            <w:noWrap/>
            <w:vAlign w:val="center"/>
            <w:hideMark/>
          </w:tcPr>
          <w:p w14:paraId="543E481E"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F84480">
              <w:rPr>
                <w:b/>
                <w:sz w:val="20"/>
                <w:szCs w:val="20"/>
                <w:lang w:eastAsia="en-AU"/>
              </w:rPr>
              <w:t>8,061</w:t>
            </w:r>
          </w:p>
        </w:tc>
        <w:tc>
          <w:tcPr>
            <w:tcW w:w="1034" w:type="pct"/>
            <w:noWrap/>
            <w:vAlign w:val="center"/>
            <w:hideMark/>
          </w:tcPr>
          <w:p w14:paraId="74618109"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F84480">
              <w:rPr>
                <w:b/>
                <w:sz w:val="20"/>
                <w:szCs w:val="20"/>
                <w:lang w:eastAsia="en-AU"/>
              </w:rPr>
              <w:t>100%</w:t>
            </w:r>
          </w:p>
        </w:tc>
        <w:tc>
          <w:tcPr>
            <w:tcW w:w="1121" w:type="pct"/>
            <w:noWrap/>
            <w:vAlign w:val="center"/>
            <w:hideMark/>
          </w:tcPr>
          <w:p w14:paraId="5BA023D0"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F84480">
              <w:rPr>
                <w:b/>
                <w:sz w:val="20"/>
                <w:szCs w:val="20"/>
                <w:lang w:eastAsia="en-AU"/>
              </w:rPr>
              <w:t>6,183</w:t>
            </w:r>
          </w:p>
        </w:tc>
        <w:tc>
          <w:tcPr>
            <w:tcW w:w="950" w:type="pct"/>
            <w:noWrap/>
            <w:vAlign w:val="center"/>
            <w:hideMark/>
          </w:tcPr>
          <w:p w14:paraId="298AD1FC" w14:textId="77777777" w:rsidR="002D33F2" w:rsidRPr="00F84480" w:rsidRDefault="002D33F2" w:rsidP="007B6616">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F84480">
              <w:rPr>
                <w:b/>
                <w:sz w:val="20"/>
                <w:szCs w:val="20"/>
                <w:lang w:eastAsia="en-AU"/>
              </w:rPr>
              <w:t>100%</w:t>
            </w:r>
          </w:p>
        </w:tc>
      </w:tr>
    </w:tbl>
    <w:p w14:paraId="5BD29C02" w14:textId="3175ED45" w:rsidR="002D33F2" w:rsidRDefault="003A0EAD" w:rsidP="00A4064D">
      <w:pPr>
        <w:spacing w:before="240"/>
      </w:pPr>
      <w:r>
        <w:t>The following table (</w:t>
      </w:r>
      <w:r w:rsidR="00264809">
        <w:fldChar w:fldCharType="begin"/>
      </w:r>
      <w:r w:rsidR="00264809">
        <w:instrText xml:space="preserve"> REF _Ref36655988 \h </w:instrText>
      </w:r>
      <w:r w:rsidR="00264809">
        <w:fldChar w:fldCharType="separate"/>
      </w:r>
      <w:r w:rsidR="008E2086">
        <w:t xml:space="preserve">Table </w:t>
      </w:r>
      <w:r w:rsidR="008E2086">
        <w:rPr>
          <w:noProof/>
        </w:rPr>
        <w:t>3</w:t>
      </w:r>
      <w:r w:rsidR="008E2086">
        <w:noBreakHyphen/>
      </w:r>
      <w:r w:rsidR="008E2086">
        <w:rPr>
          <w:noProof/>
        </w:rPr>
        <w:t>5</w:t>
      </w:r>
      <w:r w:rsidR="00264809">
        <w:fldChar w:fldCharType="end"/>
      </w:r>
      <w:r>
        <w:t xml:space="preserve">) </w:t>
      </w:r>
      <w:r w:rsidR="002D33F2">
        <w:t xml:space="preserve">shows the distribution of benefit types. It shows differences between the broad group of people who have been triggered on the CDC in Bundaberg and Hervey Bay and those who are currently active. The currently active CDC participants are concentrated into 4 types of benefits: </w:t>
      </w:r>
      <w:proofErr w:type="spellStart"/>
      <w:r w:rsidR="002D33F2">
        <w:t>Newstart</w:t>
      </w:r>
      <w:proofErr w:type="spellEnd"/>
      <w:r w:rsidR="002D33F2">
        <w:t xml:space="preserve"> allowance (40 per cent), Parenting </w:t>
      </w:r>
      <w:r w:rsidR="00930C46">
        <w:t>P</w:t>
      </w:r>
      <w:r w:rsidR="002D33F2">
        <w:t xml:space="preserve">ayment </w:t>
      </w:r>
      <w:r w:rsidR="00930C46">
        <w:t>S</w:t>
      </w:r>
      <w:r w:rsidR="002D33F2">
        <w:t xml:space="preserve">ingle (31 per cent), Youth </w:t>
      </w:r>
      <w:r w:rsidR="00930C46">
        <w:t>A</w:t>
      </w:r>
      <w:r w:rsidR="002D33F2">
        <w:t xml:space="preserve">llowance (22 per cent) and Parenting </w:t>
      </w:r>
      <w:r w:rsidR="00930C46">
        <w:t>P</w:t>
      </w:r>
      <w:r w:rsidR="002D33F2">
        <w:t xml:space="preserve">ayment </w:t>
      </w:r>
      <w:r w:rsidR="00930C46">
        <w:t>P</w:t>
      </w:r>
      <w:r w:rsidR="002D33F2">
        <w:t xml:space="preserve">artnered (8 per cent). As </w:t>
      </w:r>
      <w:r w:rsidR="00930C46">
        <w:t xml:space="preserve">noted </w:t>
      </w:r>
      <w:r w:rsidR="002D33F2">
        <w:t>previously, the group of ‘</w:t>
      </w:r>
      <w:r w:rsidR="00930C46">
        <w:t>A</w:t>
      </w:r>
      <w:r w:rsidR="002D33F2">
        <w:t xml:space="preserve">ll participants’ includes people who are no longer on the CDC. The distribution of benefit payments for this group </w:t>
      </w:r>
      <w:r w:rsidR="00AF31C7">
        <w:t>includes</w:t>
      </w:r>
      <w:r w:rsidR="002D33F2">
        <w:t xml:space="preserve"> a number of individuals </w:t>
      </w:r>
      <w:r w:rsidR="00AF31C7">
        <w:t xml:space="preserve">who </w:t>
      </w:r>
      <w:r w:rsidR="002D33F2">
        <w:t>are no longer eligible for the CDC because their primary payment is a non-trigger payment or because they were captured at one of multiple stages during the cohort assessment process and were no longer eligible at the time of commencement.</w:t>
      </w:r>
    </w:p>
    <w:p w14:paraId="39B7DA0F" w14:textId="1C7447B6" w:rsidR="00771F3A" w:rsidRDefault="002D33F2" w:rsidP="00771F3A">
      <w:pPr>
        <w:pStyle w:val="Caption"/>
      </w:pPr>
      <w:bookmarkStart w:id="206" w:name="_Ref36655988"/>
      <w:bookmarkStart w:id="207" w:name="_Toc36632827"/>
      <w:bookmarkStart w:id="208" w:name="_Toc36637921"/>
      <w:bookmarkStart w:id="209" w:name="_Toc34935555"/>
      <w:bookmarkStart w:id="210" w:name="_Toc37263590"/>
      <w:bookmarkStart w:id="211" w:name="_Ref34915781"/>
      <w:bookmarkStart w:id="212" w:name="_Toc34304866"/>
      <w:r>
        <w:t xml:space="preserve">Table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5</w:t>
      </w:r>
      <w:r w:rsidR="006C0554">
        <w:rPr>
          <w:noProof/>
        </w:rPr>
        <w:fldChar w:fldCharType="end"/>
      </w:r>
      <w:bookmarkEnd w:id="206"/>
      <w:r>
        <w:t>: Type of benefits received, all participants vs. currently active</w:t>
      </w:r>
      <w:bookmarkEnd w:id="207"/>
      <w:bookmarkEnd w:id="208"/>
      <w:bookmarkEnd w:id="209"/>
      <w:r w:rsidR="00771F3A">
        <w:t xml:space="preserve"> </w:t>
      </w:r>
      <w:r w:rsidR="00315F20">
        <w:t>(for CDC participants triggered onto the card in the Bundaberg and Hervey Bay region)</w:t>
      </w:r>
      <w:bookmarkEnd w:id="210"/>
      <w:r w:rsidR="00315F20">
        <w:t xml:space="preserve"> </w:t>
      </w:r>
    </w:p>
    <w:tbl>
      <w:tblPr>
        <w:tblW w:w="9006" w:type="dxa"/>
        <w:jc w:val="center"/>
        <w:tblLayout w:type="fixed"/>
        <w:tblLook w:val="04A0" w:firstRow="1" w:lastRow="0" w:firstColumn="1" w:lastColumn="0" w:noHBand="0" w:noVBand="1"/>
      </w:tblPr>
      <w:tblGrid>
        <w:gridCol w:w="2599"/>
        <w:gridCol w:w="1601"/>
        <w:gridCol w:w="1602"/>
        <w:gridCol w:w="1602"/>
        <w:gridCol w:w="1602"/>
      </w:tblGrid>
      <w:tr w:rsidR="002D33F2" w:rsidRPr="00665933" w14:paraId="7E93AEF9" w14:textId="77777777" w:rsidTr="00A4064D">
        <w:trPr>
          <w:trHeight w:val="315"/>
          <w:jc w:val="center"/>
        </w:trPr>
        <w:tc>
          <w:tcPr>
            <w:tcW w:w="2599" w:type="dxa"/>
            <w:tcBorders>
              <w:top w:val="single" w:sz="8" w:space="0" w:color="5B9BD5"/>
              <w:left w:val="single" w:sz="8" w:space="0" w:color="5B9BD5"/>
              <w:bottom w:val="nil"/>
              <w:right w:val="nil"/>
            </w:tcBorders>
            <w:shd w:val="clear" w:color="auto" w:fill="2F5496" w:themeFill="accent5" w:themeFillShade="BF"/>
            <w:noWrap/>
            <w:vAlign w:val="center"/>
            <w:hideMark/>
          </w:tcPr>
          <w:bookmarkEnd w:id="211"/>
          <w:bookmarkEnd w:id="212"/>
          <w:p w14:paraId="5D35496A" w14:textId="77777777" w:rsidR="002D33F2" w:rsidRPr="00665933" w:rsidRDefault="002D33F2" w:rsidP="000613C9">
            <w:pPr>
              <w:spacing w:after="0" w:line="240" w:lineRule="auto"/>
              <w:jc w:val="center"/>
              <w:rPr>
                <w:rFonts w:ascii="Calibri" w:eastAsia="Times New Roman" w:hAnsi="Calibri" w:cs="Calibri"/>
                <w:b/>
                <w:bCs/>
                <w:color w:val="FFFFFF" w:themeColor="background1"/>
                <w:sz w:val="20"/>
                <w:szCs w:val="20"/>
                <w:lang w:eastAsia="en-AU"/>
              </w:rPr>
            </w:pPr>
            <w:r w:rsidRPr="00665933">
              <w:rPr>
                <w:rFonts w:ascii="Calibri" w:eastAsia="Times New Roman" w:hAnsi="Calibri" w:cs="Calibri"/>
                <w:b/>
                <w:bCs/>
                <w:color w:val="FFFFFF" w:themeColor="background1"/>
                <w:sz w:val="20"/>
                <w:szCs w:val="20"/>
                <w:lang w:eastAsia="en-AU"/>
              </w:rPr>
              <w:t>Type of benefits</w:t>
            </w:r>
          </w:p>
        </w:tc>
        <w:tc>
          <w:tcPr>
            <w:tcW w:w="3203" w:type="dxa"/>
            <w:gridSpan w:val="2"/>
            <w:tcBorders>
              <w:top w:val="single" w:sz="8" w:space="0" w:color="5B9BD5"/>
              <w:left w:val="nil"/>
              <w:bottom w:val="single" w:sz="8" w:space="0" w:color="5B9BD5"/>
              <w:right w:val="nil"/>
            </w:tcBorders>
            <w:shd w:val="clear" w:color="auto" w:fill="2F5496" w:themeFill="accent5" w:themeFillShade="BF"/>
            <w:noWrap/>
            <w:vAlign w:val="center"/>
            <w:hideMark/>
          </w:tcPr>
          <w:p w14:paraId="604E4AC9" w14:textId="77777777" w:rsidR="002D33F2" w:rsidRPr="00665933" w:rsidRDefault="002D33F2" w:rsidP="000613C9">
            <w:pPr>
              <w:spacing w:after="0" w:line="240" w:lineRule="auto"/>
              <w:jc w:val="center"/>
              <w:rPr>
                <w:rFonts w:ascii="Calibri" w:eastAsia="Times New Roman" w:hAnsi="Calibri" w:cs="Calibri"/>
                <w:b/>
                <w:bCs/>
                <w:color w:val="FFFFFF" w:themeColor="background1"/>
                <w:sz w:val="20"/>
                <w:szCs w:val="20"/>
                <w:lang w:eastAsia="en-AU"/>
              </w:rPr>
            </w:pPr>
            <w:r w:rsidRPr="00665933">
              <w:rPr>
                <w:b/>
                <w:bCs/>
                <w:color w:val="FFFFFF" w:themeColor="background1"/>
                <w:sz w:val="20"/>
                <w:szCs w:val="20"/>
                <w:lang w:eastAsia="en-AU"/>
              </w:rPr>
              <w:t>All participants</w:t>
            </w:r>
          </w:p>
        </w:tc>
        <w:tc>
          <w:tcPr>
            <w:tcW w:w="3204" w:type="dxa"/>
            <w:gridSpan w:val="2"/>
            <w:tcBorders>
              <w:top w:val="single" w:sz="8" w:space="0" w:color="5B9BD5"/>
              <w:left w:val="nil"/>
              <w:bottom w:val="single" w:sz="8" w:space="0" w:color="5B9BD5"/>
              <w:right w:val="single" w:sz="8" w:space="0" w:color="5B9BD5"/>
            </w:tcBorders>
            <w:shd w:val="clear" w:color="auto" w:fill="2F5496" w:themeFill="accent5" w:themeFillShade="BF"/>
            <w:noWrap/>
            <w:vAlign w:val="center"/>
            <w:hideMark/>
          </w:tcPr>
          <w:p w14:paraId="3697F4B6" w14:textId="77777777" w:rsidR="002D33F2" w:rsidRPr="00665933" w:rsidRDefault="002D33F2" w:rsidP="00D14EF1">
            <w:pPr>
              <w:spacing w:after="0" w:line="240" w:lineRule="auto"/>
              <w:jc w:val="center"/>
              <w:rPr>
                <w:rFonts w:ascii="Calibri" w:eastAsia="Times New Roman" w:hAnsi="Calibri" w:cs="Calibri"/>
                <w:b/>
                <w:bCs/>
                <w:color w:val="FFFFFF" w:themeColor="background1"/>
                <w:sz w:val="20"/>
                <w:szCs w:val="20"/>
                <w:lang w:eastAsia="en-AU"/>
              </w:rPr>
            </w:pPr>
            <w:r w:rsidRPr="00665933">
              <w:rPr>
                <w:rFonts w:ascii="Calibri" w:eastAsia="Times New Roman" w:hAnsi="Calibri" w:cs="Calibri"/>
                <w:b/>
                <w:bCs/>
                <w:color w:val="FFFFFF" w:themeColor="background1"/>
                <w:sz w:val="20"/>
                <w:szCs w:val="20"/>
                <w:lang w:eastAsia="en-AU"/>
              </w:rPr>
              <w:t>Active as of February 2020</w:t>
            </w:r>
          </w:p>
        </w:tc>
      </w:tr>
      <w:tr w:rsidR="002D33F2" w:rsidRPr="00CA243E" w14:paraId="4EC1BB2B" w14:textId="77777777" w:rsidTr="000613C9">
        <w:trPr>
          <w:trHeight w:val="315"/>
          <w:jc w:val="center"/>
        </w:trPr>
        <w:tc>
          <w:tcPr>
            <w:tcW w:w="2599" w:type="dxa"/>
            <w:tcBorders>
              <w:top w:val="single" w:sz="8" w:space="0" w:color="5B9BD5"/>
              <w:left w:val="single" w:sz="8" w:space="0" w:color="5B9BD5"/>
              <w:bottom w:val="single" w:sz="8" w:space="0" w:color="5B9BD5"/>
              <w:right w:val="nil"/>
            </w:tcBorders>
            <w:shd w:val="clear" w:color="000000" w:fill="FFFFFF"/>
            <w:noWrap/>
            <w:vAlign w:val="center"/>
            <w:hideMark/>
          </w:tcPr>
          <w:p w14:paraId="02AC83E4" w14:textId="77777777" w:rsidR="002D33F2" w:rsidRPr="00CA243E" w:rsidRDefault="002D33F2" w:rsidP="007B6616">
            <w:pPr>
              <w:spacing w:after="0" w:line="240" w:lineRule="auto"/>
              <w:jc w:val="left"/>
              <w:rPr>
                <w:rFonts w:ascii="Calibri" w:eastAsia="Times New Roman" w:hAnsi="Calibri" w:cs="Calibri"/>
                <w:color w:val="000000"/>
                <w:lang w:eastAsia="en-AU"/>
              </w:rPr>
            </w:pPr>
            <w:r w:rsidRPr="00CA243E">
              <w:rPr>
                <w:rFonts w:ascii="Calibri" w:eastAsia="Times New Roman" w:hAnsi="Calibri" w:cs="Calibri"/>
                <w:color w:val="000000"/>
                <w:lang w:eastAsia="en-AU"/>
              </w:rPr>
              <w:t> </w:t>
            </w:r>
          </w:p>
        </w:tc>
        <w:tc>
          <w:tcPr>
            <w:tcW w:w="1601" w:type="dxa"/>
            <w:tcBorders>
              <w:top w:val="nil"/>
              <w:left w:val="nil"/>
              <w:bottom w:val="single" w:sz="8" w:space="0" w:color="5B9BD5"/>
              <w:right w:val="nil"/>
            </w:tcBorders>
            <w:shd w:val="clear" w:color="auto" w:fill="auto"/>
            <w:noWrap/>
            <w:vAlign w:val="center"/>
            <w:hideMark/>
          </w:tcPr>
          <w:p w14:paraId="2F4C7801" w14:textId="77777777" w:rsidR="002D33F2" w:rsidRPr="00CA243E" w:rsidRDefault="005C207B" w:rsidP="007B6616">
            <w:pPr>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F</w:t>
            </w:r>
            <w:r w:rsidRPr="00CA243E">
              <w:rPr>
                <w:rFonts w:ascii="Calibri" w:eastAsia="Times New Roman" w:hAnsi="Calibri" w:cs="Calibri"/>
                <w:b/>
                <w:bCs/>
                <w:color w:val="000000"/>
                <w:sz w:val="20"/>
                <w:szCs w:val="20"/>
                <w:lang w:eastAsia="en-AU"/>
              </w:rPr>
              <w:t>req</w:t>
            </w:r>
            <w:r>
              <w:rPr>
                <w:rFonts w:ascii="Calibri" w:eastAsia="Times New Roman" w:hAnsi="Calibri" w:cs="Calibri"/>
                <w:b/>
                <w:bCs/>
                <w:color w:val="000000"/>
                <w:sz w:val="20"/>
                <w:szCs w:val="20"/>
                <w:lang w:eastAsia="en-AU"/>
              </w:rPr>
              <w:t>uency</w:t>
            </w:r>
          </w:p>
        </w:tc>
        <w:tc>
          <w:tcPr>
            <w:tcW w:w="1602" w:type="dxa"/>
            <w:tcBorders>
              <w:top w:val="nil"/>
              <w:left w:val="nil"/>
              <w:bottom w:val="single" w:sz="8" w:space="0" w:color="5B9BD5"/>
              <w:right w:val="nil"/>
            </w:tcBorders>
            <w:shd w:val="clear" w:color="auto" w:fill="auto"/>
            <w:noWrap/>
            <w:vAlign w:val="center"/>
            <w:hideMark/>
          </w:tcPr>
          <w:p w14:paraId="23A47E5B" w14:textId="77777777" w:rsidR="002D33F2" w:rsidRPr="00CA243E" w:rsidRDefault="005C207B" w:rsidP="007B6616">
            <w:pPr>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Per cent</w:t>
            </w:r>
          </w:p>
        </w:tc>
        <w:tc>
          <w:tcPr>
            <w:tcW w:w="1602" w:type="dxa"/>
            <w:tcBorders>
              <w:top w:val="nil"/>
              <w:left w:val="nil"/>
              <w:bottom w:val="single" w:sz="8" w:space="0" w:color="5B9BD5"/>
              <w:right w:val="nil"/>
            </w:tcBorders>
            <w:shd w:val="clear" w:color="auto" w:fill="auto"/>
            <w:noWrap/>
            <w:vAlign w:val="center"/>
            <w:hideMark/>
          </w:tcPr>
          <w:p w14:paraId="7890382E" w14:textId="77777777" w:rsidR="002D33F2" w:rsidRPr="00CA243E" w:rsidRDefault="005C207B" w:rsidP="007B6616">
            <w:pPr>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F</w:t>
            </w:r>
            <w:r w:rsidRPr="00CA243E">
              <w:rPr>
                <w:rFonts w:ascii="Calibri" w:eastAsia="Times New Roman" w:hAnsi="Calibri" w:cs="Calibri"/>
                <w:b/>
                <w:bCs/>
                <w:color w:val="000000"/>
                <w:sz w:val="20"/>
                <w:szCs w:val="20"/>
                <w:lang w:eastAsia="en-AU"/>
              </w:rPr>
              <w:t>req</w:t>
            </w:r>
            <w:r>
              <w:rPr>
                <w:rFonts w:ascii="Calibri" w:eastAsia="Times New Roman" w:hAnsi="Calibri" w:cs="Calibri"/>
                <w:b/>
                <w:bCs/>
                <w:color w:val="000000"/>
                <w:sz w:val="20"/>
                <w:szCs w:val="20"/>
                <w:lang w:eastAsia="en-AU"/>
              </w:rPr>
              <w:t>uency</w:t>
            </w:r>
          </w:p>
        </w:tc>
        <w:tc>
          <w:tcPr>
            <w:tcW w:w="1602" w:type="dxa"/>
            <w:tcBorders>
              <w:top w:val="nil"/>
              <w:left w:val="nil"/>
              <w:bottom w:val="single" w:sz="8" w:space="0" w:color="5B9BD5"/>
              <w:right w:val="single" w:sz="8" w:space="0" w:color="5B9BD5"/>
            </w:tcBorders>
            <w:shd w:val="clear" w:color="auto" w:fill="auto"/>
            <w:noWrap/>
            <w:vAlign w:val="center"/>
            <w:hideMark/>
          </w:tcPr>
          <w:p w14:paraId="4FC835B8" w14:textId="77777777" w:rsidR="002D33F2" w:rsidRPr="00CA243E" w:rsidRDefault="005C207B" w:rsidP="007B6616">
            <w:pPr>
              <w:spacing w:after="0" w:line="240" w:lineRule="auto"/>
              <w:jc w:val="right"/>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Per cent</w:t>
            </w:r>
          </w:p>
        </w:tc>
      </w:tr>
      <w:tr w:rsidR="002D33F2" w:rsidRPr="00CA243E" w14:paraId="77A99A6A" w14:textId="77777777" w:rsidTr="000613C9">
        <w:trPr>
          <w:trHeight w:val="315"/>
          <w:jc w:val="center"/>
        </w:trPr>
        <w:tc>
          <w:tcPr>
            <w:tcW w:w="2599" w:type="dxa"/>
            <w:tcBorders>
              <w:top w:val="nil"/>
              <w:left w:val="single" w:sz="8" w:space="0" w:color="5B9BD5"/>
              <w:bottom w:val="nil"/>
              <w:right w:val="nil"/>
            </w:tcBorders>
            <w:shd w:val="clear" w:color="000000" w:fill="FFFFFF"/>
            <w:noWrap/>
            <w:vAlign w:val="center"/>
            <w:hideMark/>
          </w:tcPr>
          <w:p w14:paraId="79364CF7" w14:textId="77777777" w:rsidR="002D33F2" w:rsidRPr="00CA243E" w:rsidRDefault="002D33F2" w:rsidP="007B6616">
            <w:pPr>
              <w:spacing w:after="0" w:line="240" w:lineRule="auto"/>
              <w:jc w:val="left"/>
              <w:rPr>
                <w:rFonts w:ascii="Calibri" w:eastAsia="Times New Roman" w:hAnsi="Calibri" w:cs="Calibri"/>
                <w:b/>
                <w:bCs/>
                <w:color w:val="000000"/>
                <w:sz w:val="20"/>
                <w:szCs w:val="20"/>
                <w:lang w:eastAsia="en-AU"/>
              </w:rPr>
            </w:pPr>
            <w:proofErr w:type="spellStart"/>
            <w:r w:rsidRPr="00CA243E">
              <w:rPr>
                <w:rFonts w:ascii="Calibri" w:eastAsia="Times New Roman" w:hAnsi="Calibri" w:cs="Calibri"/>
                <w:b/>
                <w:bCs/>
                <w:sz w:val="20"/>
                <w:szCs w:val="20"/>
                <w:lang w:eastAsia="en-AU"/>
              </w:rPr>
              <w:t>Newstart</w:t>
            </w:r>
            <w:proofErr w:type="spellEnd"/>
            <w:r w:rsidRPr="00CA243E">
              <w:rPr>
                <w:rFonts w:ascii="Calibri" w:eastAsia="Times New Roman" w:hAnsi="Calibri" w:cs="Calibri"/>
                <w:b/>
                <w:bCs/>
                <w:sz w:val="20"/>
                <w:szCs w:val="20"/>
                <w:lang w:eastAsia="en-AU"/>
              </w:rPr>
              <w:t xml:space="preserve"> Allowance</w:t>
            </w:r>
          </w:p>
        </w:tc>
        <w:tc>
          <w:tcPr>
            <w:tcW w:w="1601" w:type="dxa"/>
            <w:tcBorders>
              <w:top w:val="nil"/>
              <w:left w:val="nil"/>
              <w:bottom w:val="nil"/>
              <w:right w:val="nil"/>
            </w:tcBorders>
            <w:shd w:val="clear" w:color="auto" w:fill="auto"/>
            <w:noWrap/>
            <w:vAlign w:val="center"/>
            <w:hideMark/>
          </w:tcPr>
          <w:p w14:paraId="33339299"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3,193</w:t>
            </w:r>
          </w:p>
        </w:tc>
        <w:tc>
          <w:tcPr>
            <w:tcW w:w="1602" w:type="dxa"/>
            <w:tcBorders>
              <w:top w:val="nil"/>
              <w:left w:val="nil"/>
              <w:bottom w:val="nil"/>
              <w:right w:val="nil"/>
            </w:tcBorders>
            <w:shd w:val="clear" w:color="auto" w:fill="auto"/>
            <w:noWrap/>
            <w:vAlign w:val="center"/>
            <w:hideMark/>
          </w:tcPr>
          <w:p w14:paraId="5C8BBC97"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40%</w:t>
            </w:r>
          </w:p>
        </w:tc>
        <w:tc>
          <w:tcPr>
            <w:tcW w:w="1602" w:type="dxa"/>
            <w:tcBorders>
              <w:top w:val="nil"/>
              <w:left w:val="nil"/>
              <w:bottom w:val="nil"/>
              <w:right w:val="nil"/>
            </w:tcBorders>
            <w:shd w:val="clear" w:color="auto" w:fill="auto"/>
            <w:noWrap/>
            <w:vAlign w:val="center"/>
            <w:hideMark/>
          </w:tcPr>
          <w:p w14:paraId="77CED1DB"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2,456</w:t>
            </w:r>
          </w:p>
        </w:tc>
        <w:tc>
          <w:tcPr>
            <w:tcW w:w="1602" w:type="dxa"/>
            <w:tcBorders>
              <w:top w:val="nil"/>
              <w:left w:val="nil"/>
              <w:bottom w:val="nil"/>
              <w:right w:val="single" w:sz="8" w:space="0" w:color="5B9BD5"/>
            </w:tcBorders>
            <w:shd w:val="clear" w:color="auto" w:fill="auto"/>
            <w:noWrap/>
            <w:vAlign w:val="center"/>
            <w:hideMark/>
          </w:tcPr>
          <w:p w14:paraId="5455B911"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40%</w:t>
            </w:r>
          </w:p>
        </w:tc>
      </w:tr>
      <w:tr w:rsidR="002D33F2" w:rsidRPr="00CA243E" w14:paraId="17061924" w14:textId="77777777" w:rsidTr="000613C9">
        <w:trPr>
          <w:trHeight w:val="315"/>
          <w:jc w:val="center"/>
        </w:trPr>
        <w:tc>
          <w:tcPr>
            <w:tcW w:w="2599" w:type="dxa"/>
            <w:tcBorders>
              <w:top w:val="single" w:sz="8" w:space="0" w:color="5B9BD5"/>
              <w:left w:val="single" w:sz="8" w:space="0" w:color="5B9BD5"/>
              <w:bottom w:val="single" w:sz="8" w:space="0" w:color="5B9BD5"/>
              <w:right w:val="nil"/>
            </w:tcBorders>
            <w:shd w:val="clear" w:color="000000" w:fill="FFFFFF"/>
            <w:noWrap/>
            <w:vAlign w:val="center"/>
            <w:hideMark/>
          </w:tcPr>
          <w:p w14:paraId="4095BB29" w14:textId="77777777" w:rsidR="002D33F2" w:rsidRPr="00CA243E" w:rsidRDefault="002D33F2" w:rsidP="007B6616">
            <w:pPr>
              <w:spacing w:after="0" w:line="240" w:lineRule="auto"/>
              <w:jc w:val="left"/>
              <w:rPr>
                <w:rFonts w:ascii="Calibri" w:eastAsia="Times New Roman" w:hAnsi="Calibri" w:cs="Calibri"/>
                <w:b/>
                <w:bCs/>
                <w:color w:val="000000"/>
                <w:sz w:val="20"/>
                <w:szCs w:val="20"/>
                <w:lang w:eastAsia="en-AU"/>
              </w:rPr>
            </w:pPr>
            <w:r w:rsidRPr="00CA243E">
              <w:rPr>
                <w:rFonts w:ascii="Calibri" w:eastAsia="Times New Roman" w:hAnsi="Calibri" w:cs="Calibri"/>
                <w:b/>
                <w:bCs/>
                <w:sz w:val="20"/>
                <w:szCs w:val="20"/>
                <w:lang w:eastAsia="en-AU"/>
              </w:rPr>
              <w:t>Parenting Payment Single</w:t>
            </w:r>
          </w:p>
        </w:tc>
        <w:tc>
          <w:tcPr>
            <w:tcW w:w="1601" w:type="dxa"/>
            <w:tcBorders>
              <w:top w:val="single" w:sz="8" w:space="0" w:color="5B9BD5"/>
              <w:left w:val="nil"/>
              <w:bottom w:val="single" w:sz="8" w:space="0" w:color="5B9BD5"/>
              <w:right w:val="nil"/>
            </w:tcBorders>
            <w:shd w:val="clear" w:color="auto" w:fill="auto"/>
            <w:noWrap/>
            <w:vAlign w:val="center"/>
            <w:hideMark/>
          </w:tcPr>
          <w:p w14:paraId="4B39E80A"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1,954</w:t>
            </w:r>
          </w:p>
        </w:tc>
        <w:tc>
          <w:tcPr>
            <w:tcW w:w="1602" w:type="dxa"/>
            <w:tcBorders>
              <w:top w:val="single" w:sz="8" w:space="0" w:color="5B9BD5"/>
              <w:left w:val="nil"/>
              <w:bottom w:val="single" w:sz="8" w:space="0" w:color="5B9BD5"/>
              <w:right w:val="nil"/>
            </w:tcBorders>
            <w:shd w:val="clear" w:color="auto" w:fill="auto"/>
            <w:noWrap/>
            <w:vAlign w:val="center"/>
            <w:hideMark/>
          </w:tcPr>
          <w:p w14:paraId="0787A0CD"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24%</w:t>
            </w:r>
          </w:p>
        </w:tc>
        <w:tc>
          <w:tcPr>
            <w:tcW w:w="1602" w:type="dxa"/>
            <w:tcBorders>
              <w:top w:val="single" w:sz="8" w:space="0" w:color="5B9BD5"/>
              <w:left w:val="nil"/>
              <w:bottom w:val="single" w:sz="8" w:space="0" w:color="5B9BD5"/>
              <w:right w:val="nil"/>
            </w:tcBorders>
            <w:shd w:val="clear" w:color="auto" w:fill="auto"/>
            <w:noWrap/>
            <w:vAlign w:val="center"/>
            <w:hideMark/>
          </w:tcPr>
          <w:p w14:paraId="793091CA"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1,908</w:t>
            </w:r>
          </w:p>
        </w:tc>
        <w:tc>
          <w:tcPr>
            <w:tcW w:w="1602" w:type="dxa"/>
            <w:tcBorders>
              <w:top w:val="single" w:sz="8" w:space="0" w:color="5B9BD5"/>
              <w:left w:val="nil"/>
              <w:bottom w:val="single" w:sz="8" w:space="0" w:color="5B9BD5"/>
              <w:right w:val="single" w:sz="8" w:space="0" w:color="5B9BD5"/>
            </w:tcBorders>
            <w:shd w:val="clear" w:color="auto" w:fill="auto"/>
            <w:noWrap/>
            <w:vAlign w:val="center"/>
            <w:hideMark/>
          </w:tcPr>
          <w:p w14:paraId="5755F0DC"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31%</w:t>
            </w:r>
          </w:p>
        </w:tc>
      </w:tr>
      <w:tr w:rsidR="002D33F2" w:rsidRPr="00CA243E" w14:paraId="1C70D47B" w14:textId="77777777" w:rsidTr="000613C9">
        <w:trPr>
          <w:trHeight w:val="315"/>
          <w:jc w:val="center"/>
        </w:trPr>
        <w:tc>
          <w:tcPr>
            <w:tcW w:w="2599" w:type="dxa"/>
            <w:tcBorders>
              <w:top w:val="nil"/>
              <w:left w:val="single" w:sz="8" w:space="0" w:color="5B9BD5"/>
              <w:bottom w:val="nil"/>
              <w:right w:val="nil"/>
            </w:tcBorders>
            <w:shd w:val="clear" w:color="000000" w:fill="FFFFFF"/>
            <w:noWrap/>
            <w:vAlign w:val="center"/>
            <w:hideMark/>
          </w:tcPr>
          <w:p w14:paraId="5FFF3F29" w14:textId="77777777" w:rsidR="002D33F2" w:rsidRPr="00CA243E" w:rsidRDefault="002D33F2" w:rsidP="007B6616">
            <w:pPr>
              <w:spacing w:after="0" w:line="240" w:lineRule="auto"/>
              <w:jc w:val="left"/>
              <w:rPr>
                <w:rFonts w:ascii="Calibri" w:eastAsia="Times New Roman" w:hAnsi="Calibri" w:cs="Calibri"/>
                <w:b/>
                <w:bCs/>
                <w:color w:val="000000"/>
                <w:sz w:val="20"/>
                <w:szCs w:val="20"/>
                <w:lang w:eastAsia="en-AU"/>
              </w:rPr>
            </w:pPr>
            <w:r w:rsidRPr="00CA243E">
              <w:rPr>
                <w:rFonts w:ascii="Calibri" w:eastAsia="Times New Roman" w:hAnsi="Calibri" w:cs="Calibri"/>
                <w:b/>
                <w:bCs/>
                <w:sz w:val="20"/>
                <w:szCs w:val="20"/>
                <w:lang w:eastAsia="en-AU"/>
              </w:rPr>
              <w:t>Youth Allowance</w:t>
            </w:r>
          </w:p>
        </w:tc>
        <w:tc>
          <w:tcPr>
            <w:tcW w:w="1601" w:type="dxa"/>
            <w:tcBorders>
              <w:top w:val="nil"/>
              <w:left w:val="nil"/>
              <w:bottom w:val="nil"/>
              <w:right w:val="nil"/>
            </w:tcBorders>
            <w:shd w:val="clear" w:color="auto" w:fill="auto"/>
            <w:noWrap/>
            <w:vAlign w:val="center"/>
            <w:hideMark/>
          </w:tcPr>
          <w:p w14:paraId="5E26F3DD"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1,921</w:t>
            </w:r>
          </w:p>
        </w:tc>
        <w:tc>
          <w:tcPr>
            <w:tcW w:w="1602" w:type="dxa"/>
            <w:tcBorders>
              <w:top w:val="nil"/>
              <w:left w:val="nil"/>
              <w:bottom w:val="nil"/>
              <w:right w:val="nil"/>
            </w:tcBorders>
            <w:shd w:val="clear" w:color="auto" w:fill="auto"/>
            <w:noWrap/>
            <w:vAlign w:val="center"/>
            <w:hideMark/>
          </w:tcPr>
          <w:p w14:paraId="17665BAD"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24%</w:t>
            </w:r>
          </w:p>
        </w:tc>
        <w:tc>
          <w:tcPr>
            <w:tcW w:w="1602" w:type="dxa"/>
            <w:tcBorders>
              <w:top w:val="nil"/>
              <w:left w:val="nil"/>
              <w:bottom w:val="nil"/>
              <w:right w:val="nil"/>
            </w:tcBorders>
            <w:shd w:val="clear" w:color="auto" w:fill="auto"/>
            <w:noWrap/>
            <w:vAlign w:val="center"/>
            <w:hideMark/>
          </w:tcPr>
          <w:p w14:paraId="4CD7AF06"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1,337</w:t>
            </w:r>
          </w:p>
        </w:tc>
        <w:tc>
          <w:tcPr>
            <w:tcW w:w="1602" w:type="dxa"/>
            <w:tcBorders>
              <w:top w:val="nil"/>
              <w:left w:val="nil"/>
              <w:bottom w:val="nil"/>
              <w:right w:val="single" w:sz="8" w:space="0" w:color="5B9BD5"/>
            </w:tcBorders>
            <w:shd w:val="clear" w:color="auto" w:fill="auto"/>
            <w:noWrap/>
            <w:vAlign w:val="center"/>
            <w:hideMark/>
          </w:tcPr>
          <w:p w14:paraId="09625558"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22%</w:t>
            </w:r>
          </w:p>
        </w:tc>
      </w:tr>
      <w:tr w:rsidR="002D33F2" w:rsidRPr="00CA243E" w14:paraId="5D0583E5" w14:textId="77777777" w:rsidTr="000613C9">
        <w:trPr>
          <w:trHeight w:val="315"/>
          <w:jc w:val="center"/>
        </w:trPr>
        <w:tc>
          <w:tcPr>
            <w:tcW w:w="2599" w:type="dxa"/>
            <w:tcBorders>
              <w:top w:val="single" w:sz="8" w:space="0" w:color="5B9BD5"/>
              <w:left w:val="single" w:sz="8" w:space="0" w:color="5B9BD5"/>
              <w:bottom w:val="single" w:sz="8" w:space="0" w:color="5B9BD5"/>
              <w:right w:val="nil"/>
            </w:tcBorders>
            <w:shd w:val="clear" w:color="000000" w:fill="FFFFFF"/>
            <w:noWrap/>
            <w:vAlign w:val="center"/>
            <w:hideMark/>
          </w:tcPr>
          <w:p w14:paraId="2F943F69" w14:textId="77777777" w:rsidR="002D33F2" w:rsidRPr="00CA243E" w:rsidRDefault="002D33F2" w:rsidP="007B6616">
            <w:pPr>
              <w:spacing w:after="0" w:line="240" w:lineRule="auto"/>
              <w:jc w:val="left"/>
              <w:rPr>
                <w:rFonts w:ascii="Calibri" w:eastAsia="Times New Roman" w:hAnsi="Calibri" w:cs="Calibri"/>
                <w:b/>
                <w:bCs/>
                <w:color w:val="000000"/>
                <w:sz w:val="20"/>
                <w:szCs w:val="20"/>
                <w:lang w:eastAsia="en-AU"/>
              </w:rPr>
            </w:pPr>
            <w:r w:rsidRPr="00CA243E">
              <w:rPr>
                <w:rFonts w:ascii="Calibri" w:eastAsia="Times New Roman" w:hAnsi="Calibri" w:cs="Calibri"/>
                <w:b/>
                <w:bCs/>
                <w:sz w:val="20"/>
                <w:szCs w:val="20"/>
                <w:lang w:eastAsia="en-AU"/>
              </w:rPr>
              <w:t>Parenting Payment Partnered</w:t>
            </w:r>
          </w:p>
        </w:tc>
        <w:tc>
          <w:tcPr>
            <w:tcW w:w="1601" w:type="dxa"/>
            <w:tcBorders>
              <w:top w:val="single" w:sz="8" w:space="0" w:color="5B9BD5"/>
              <w:left w:val="nil"/>
              <w:bottom w:val="single" w:sz="8" w:space="0" w:color="5B9BD5"/>
              <w:right w:val="nil"/>
            </w:tcBorders>
            <w:shd w:val="clear" w:color="auto" w:fill="auto"/>
            <w:noWrap/>
            <w:vAlign w:val="center"/>
            <w:hideMark/>
          </w:tcPr>
          <w:p w14:paraId="655178FB"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498</w:t>
            </w:r>
          </w:p>
        </w:tc>
        <w:tc>
          <w:tcPr>
            <w:tcW w:w="1602" w:type="dxa"/>
            <w:tcBorders>
              <w:top w:val="single" w:sz="8" w:space="0" w:color="5B9BD5"/>
              <w:left w:val="nil"/>
              <w:bottom w:val="single" w:sz="8" w:space="0" w:color="5B9BD5"/>
              <w:right w:val="nil"/>
            </w:tcBorders>
            <w:shd w:val="clear" w:color="auto" w:fill="auto"/>
            <w:noWrap/>
            <w:vAlign w:val="center"/>
            <w:hideMark/>
          </w:tcPr>
          <w:p w14:paraId="019B2D39"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6%</w:t>
            </w:r>
          </w:p>
        </w:tc>
        <w:tc>
          <w:tcPr>
            <w:tcW w:w="1602" w:type="dxa"/>
            <w:tcBorders>
              <w:top w:val="single" w:sz="8" w:space="0" w:color="5B9BD5"/>
              <w:left w:val="nil"/>
              <w:bottom w:val="single" w:sz="8" w:space="0" w:color="5B9BD5"/>
              <w:right w:val="nil"/>
            </w:tcBorders>
            <w:shd w:val="clear" w:color="auto" w:fill="auto"/>
            <w:noWrap/>
            <w:vAlign w:val="center"/>
            <w:hideMark/>
          </w:tcPr>
          <w:p w14:paraId="392296BC"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482</w:t>
            </w:r>
          </w:p>
        </w:tc>
        <w:tc>
          <w:tcPr>
            <w:tcW w:w="1602" w:type="dxa"/>
            <w:tcBorders>
              <w:top w:val="single" w:sz="8" w:space="0" w:color="5B9BD5"/>
              <w:left w:val="nil"/>
              <w:bottom w:val="single" w:sz="8" w:space="0" w:color="5B9BD5"/>
              <w:right w:val="single" w:sz="8" w:space="0" w:color="5B9BD5"/>
            </w:tcBorders>
            <w:shd w:val="clear" w:color="auto" w:fill="auto"/>
            <w:noWrap/>
            <w:vAlign w:val="center"/>
            <w:hideMark/>
          </w:tcPr>
          <w:p w14:paraId="7EFD7885"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8%</w:t>
            </w:r>
          </w:p>
        </w:tc>
      </w:tr>
      <w:tr w:rsidR="002D33F2" w:rsidRPr="00CA243E" w14:paraId="49EBF5E7" w14:textId="77777777" w:rsidTr="000613C9">
        <w:trPr>
          <w:trHeight w:val="315"/>
          <w:jc w:val="center"/>
        </w:trPr>
        <w:tc>
          <w:tcPr>
            <w:tcW w:w="2599" w:type="dxa"/>
            <w:tcBorders>
              <w:top w:val="nil"/>
              <w:left w:val="single" w:sz="8" w:space="0" w:color="5B9BD5"/>
              <w:bottom w:val="nil"/>
              <w:right w:val="nil"/>
            </w:tcBorders>
            <w:shd w:val="clear" w:color="000000" w:fill="FFFFFF"/>
            <w:noWrap/>
            <w:vAlign w:val="center"/>
            <w:hideMark/>
          </w:tcPr>
          <w:p w14:paraId="37A1D284" w14:textId="77777777" w:rsidR="002D33F2" w:rsidRPr="00CA243E" w:rsidRDefault="002D33F2" w:rsidP="007B6616">
            <w:pPr>
              <w:spacing w:after="0" w:line="240" w:lineRule="auto"/>
              <w:jc w:val="left"/>
              <w:rPr>
                <w:rFonts w:ascii="Calibri" w:eastAsia="Times New Roman" w:hAnsi="Calibri" w:cs="Calibri"/>
                <w:b/>
                <w:bCs/>
                <w:color w:val="000000"/>
                <w:sz w:val="20"/>
                <w:szCs w:val="20"/>
                <w:lang w:eastAsia="en-AU"/>
              </w:rPr>
            </w:pPr>
            <w:r w:rsidRPr="00CA243E">
              <w:rPr>
                <w:rFonts w:ascii="Calibri" w:eastAsia="Times New Roman" w:hAnsi="Calibri" w:cs="Calibri"/>
                <w:b/>
                <w:bCs/>
                <w:sz w:val="20"/>
                <w:szCs w:val="20"/>
                <w:lang w:eastAsia="en-AU"/>
              </w:rPr>
              <w:t>Family Tax Benefit</w:t>
            </w:r>
          </w:p>
        </w:tc>
        <w:tc>
          <w:tcPr>
            <w:tcW w:w="1601" w:type="dxa"/>
            <w:tcBorders>
              <w:top w:val="nil"/>
              <w:left w:val="nil"/>
              <w:bottom w:val="nil"/>
              <w:right w:val="nil"/>
            </w:tcBorders>
            <w:shd w:val="clear" w:color="auto" w:fill="auto"/>
            <w:noWrap/>
            <w:vAlign w:val="center"/>
            <w:hideMark/>
          </w:tcPr>
          <w:p w14:paraId="5615E220"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259</w:t>
            </w:r>
          </w:p>
        </w:tc>
        <w:tc>
          <w:tcPr>
            <w:tcW w:w="1602" w:type="dxa"/>
            <w:tcBorders>
              <w:top w:val="nil"/>
              <w:left w:val="nil"/>
              <w:bottom w:val="nil"/>
              <w:right w:val="nil"/>
            </w:tcBorders>
            <w:shd w:val="clear" w:color="auto" w:fill="auto"/>
            <w:noWrap/>
            <w:vAlign w:val="center"/>
            <w:hideMark/>
          </w:tcPr>
          <w:p w14:paraId="2090CD1A"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3%</w:t>
            </w:r>
          </w:p>
        </w:tc>
        <w:tc>
          <w:tcPr>
            <w:tcW w:w="1602" w:type="dxa"/>
            <w:tcBorders>
              <w:top w:val="nil"/>
              <w:left w:val="nil"/>
              <w:bottom w:val="nil"/>
              <w:right w:val="nil"/>
            </w:tcBorders>
            <w:shd w:val="clear" w:color="auto" w:fill="auto"/>
            <w:noWrap/>
            <w:vAlign w:val="center"/>
            <w:hideMark/>
          </w:tcPr>
          <w:p w14:paraId="6E19325D"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w:t>
            </w:r>
          </w:p>
        </w:tc>
        <w:tc>
          <w:tcPr>
            <w:tcW w:w="1602" w:type="dxa"/>
            <w:tcBorders>
              <w:top w:val="nil"/>
              <w:left w:val="nil"/>
              <w:bottom w:val="nil"/>
              <w:right w:val="single" w:sz="8" w:space="0" w:color="5B9BD5"/>
            </w:tcBorders>
            <w:shd w:val="clear" w:color="auto" w:fill="auto"/>
            <w:noWrap/>
            <w:vAlign w:val="center"/>
            <w:hideMark/>
          </w:tcPr>
          <w:p w14:paraId="57AE0468"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w:t>
            </w:r>
          </w:p>
        </w:tc>
      </w:tr>
      <w:tr w:rsidR="002D33F2" w:rsidRPr="00CA243E" w14:paraId="557BE8AA" w14:textId="77777777" w:rsidTr="000613C9">
        <w:trPr>
          <w:trHeight w:val="315"/>
          <w:jc w:val="center"/>
        </w:trPr>
        <w:tc>
          <w:tcPr>
            <w:tcW w:w="2599" w:type="dxa"/>
            <w:tcBorders>
              <w:top w:val="single" w:sz="8" w:space="0" w:color="5B9BD5"/>
              <w:left w:val="single" w:sz="8" w:space="0" w:color="5B9BD5"/>
              <w:bottom w:val="single" w:sz="8" w:space="0" w:color="5B9BD5"/>
              <w:right w:val="nil"/>
            </w:tcBorders>
            <w:shd w:val="clear" w:color="000000" w:fill="FFFFFF"/>
            <w:noWrap/>
            <w:vAlign w:val="center"/>
            <w:hideMark/>
          </w:tcPr>
          <w:p w14:paraId="7C457CE0" w14:textId="77777777" w:rsidR="002D33F2" w:rsidRPr="00CA243E" w:rsidRDefault="002D33F2" w:rsidP="007B6616">
            <w:pPr>
              <w:spacing w:after="0" w:line="240" w:lineRule="auto"/>
              <w:jc w:val="left"/>
              <w:rPr>
                <w:rFonts w:ascii="Calibri" w:eastAsia="Times New Roman" w:hAnsi="Calibri" w:cs="Calibri"/>
                <w:b/>
                <w:bCs/>
                <w:color w:val="000000"/>
                <w:sz w:val="20"/>
                <w:szCs w:val="20"/>
                <w:lang w:eastAsia="en-AU"/>
              </w:rPr>
            </w:pPr>
            <w:r w:rsidRPr="00CA243E">
              <w:rPr>
                <w:rFonts w:ascii="Calibri" w:eastAsia="Times New Roman" w:hAnsi="Calibri" w:cs="Calibri"/>
                <w:b/>
                <w:bCs/>
                <w:sz w:val="20"/>
                <w:szCs w:val="20"/>
                <w:lang w:eastAsia="en-AU"/>
              </w:rPr>
              <w:t>Other</w:t>
            </w:r>
          </w:p>
        </w:tc>
        <w:tc>
          <w:tcPr>
            <w:tcW w:w="1601" w:type="dxa"/>
            <w:tcBorders>
              <w:top w:val="single" w:sz="8" w:space="0" w:color="5B9BD5"/>
              <w:left w:val="nil"/>
              <w:bottom w:val="single" w:sz="8" w:space="0" w:color="5B9BD5"/>
              <w:right w:val="nil"/>
            </w:tcBorders>
            <w:shd w:val="clear" w:color="auto" w:fill="auto"/>
            <w:noWrap/>
            <w:vAlign w:val="center"/>
            <w:hideMark/>
          </w:tcPr>
          <w:p w14:paraId="10D4950A"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236</w:t>
            </w:r>
          </w:p>
        </w:tc>
        <w:tc>
          <w:tcPr>
            <w:tcW w:w="1602" w:type="dxa"/>
            <w:tcBorders>
              <w:top w:val="single" w:sz="8" w:space="0" w:color="5B9BD5"/>
              <w:left w:val="nil"/>
              <w:bottom w:val="single" w:sz="8" w:space="0" w:color="5B9BD5"/>
              <w:right w:val="nil"/>
            </w:tcBorders>
            <w:shd w:val="clear" w:color="auto" w:fill="auto"/>
            <w:noWrap/>
            <w:vAlign w:val="center"/>
            <w:hideMark/>
          </w:tcPr>
          <w:p w14:paraId="46665741"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3%</w:t>
            </w:r>
          </w:p>
        </w:tc>
        <w:tc>
          <w:tcPr>
            <w:tcW w:w="1602" w:type="dxa"/>
            <w:tcBorders>
              <w:top w:val="single" w:sz="8" w:space="0" w:color="5B9BD5"/>
              <w:left w:val="nil"/>
              <w:bottom w:val="single" w:sz="8" w:space="0" w:color="5B9BD5"/>
              <w:right w:val="nil"/>
            </w:tcBorders>
            <w:shd w:val="clear" w:color="auto" w:fill="auto"/>
            <w:noWrap/>
            <w:vAlign w:val="center"/>
            <w:hideMark/>
          </w:tcPr>
          <w:p w14:paraId="5F2E4269"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w:t>
            </w:r>
          </w:p>
        </w:tc>
        <w:tc>
          <w:tcPr>
            <w:tcW w:w="1602" w:type="dxa"/>
            <w:tcBorders>
              <w:top w:val="single" w:sz="8" w:space="0" w:color="5B9BD5"/>
              <w:left w:val="nil"/>
              <w:bottom w:val="single" w:sz="8" w:space="0" w:color="5B9BD5"/>
              <w:right w:val="single" w:sz="8" w:space="0" w:color="5B9BD5"/>
            </w:tcBorders>
            <w:shd w:val="clear" w:color="auto" w:fill="auto"/>
            <w:noWrap/>
            <w:vAlign w:val="center"/>
            <w:hideMark/>
          </w:tcPr>
          <w:p w14:paraId="0CB6A245" w14:textId="77777777" w:rsidR="002D33F2" w:rsidRPr="00CA243E" w:rsidRDefault="002D33F2" w:rsidP="007B6616">
            <w:pPr>
              <w:spacing w:after="0" w:line="240" w:lineRule="auto"/>
              <w:jc w:val="right"/>
              <w:rPr>
                <w:rFonts w:ascii="Calibri" w:eastAsia="Times New Roman" w:hAnsi="Calibri" w:cs="Calibri"/>
                <w:color w:val="000000"/>
                <w:sz w:val="20"/>
                <w:szCs w:val="20"/>
                <w:lang w:eastAsia="en-AU"/>
              </w:rPr>
            </w:pPr>
            <w:r w:rsidRPr="00CA243E">
              <w:rPr>
                <w:rFonts w:ascii="Calibri" w:eastAsia="Times New Roman" w:hAnsi="Calibri" w:cs="Calibri"/>
                <w:color w:val="000000"/>
                <w:sz w:val="20"/>
                <w:szCs w:val="20"/>
                <w:lang w:eastAsia="en-AU"/>
              </w:rPr>
              <w:t>-</w:t>
            </w:r>
          </w:p>
        </w:tc>
      </w:tr>
      <w:tr w:rsidR="002D33F2" w:rsidRPr="00CA243E" w14:paraId="20499251" w14:textId="77777777" w:rsidTr="000613C9">
        <w:trPr>
          <w:trHeight w:val="315"/>
          <w:jc w:val="center"/>
        </w:trPr>
        <w:tc>
          <w:tcPr>
            <w:tcW w:w="2599" w:type="dxa"/>
            <w:tcBorders>
              <w:top w:val="nil"/>
              <w:left w:val="single" w:sz="8" w:space="0" w:color="5B9BD5"/>
              <w:bottom w:val="single" w:sz="8" w:space="0" w:color="5B9BD5"/>
              <w:right w:val="nil"/>
            </w:tcBorders>
            <w:shd w:val="clear" w:color="000000" w:fill="FFFFFF"/>
            <w:noWrap/>
            <w:vAlign w:val="center"/>
            <w:hideMark/>
          </w:tcPr>
          <w:p w14:paraId="0D99930F" w14:textId="77777777" w:rsidR="002D33F2" w:rsidRPr="00CA243E" w:rsidRDefault="002D33F2" w:rsidP="007B6616">
            <w:pPr>
              <w:spacing w:after="0" w:line="240" w:lineRule="auto"/>
              <w:jc w:val="left"/>
              <w:rPr>
                <w:rFonts w:ascii="Calibri" w:eastAsia="Times New Roman" w:hAnsi="Calibri" w:cs="Calibri"/>
                <w:b/>
                <w:bCs/>
                <w:color w:val="000000"/>
                <w:sz w:val="20"/>
                <w:szCs w:val="20"/>
                <w:lang w:eastAsia="en-AU"/>
              </w:rPr>
            </w:pPr>
            <w:r w:rsidRPr="00CA243E">
              <w:rPr>
                <w:rFonts w:ascii="Calibri" w:eastAsia="Times New Roman" w:hAnsi="Calibri" w:cs="Calibri"/>
                <w:b/>
                <w:bCs/>
                <w:sz w:val="20"/>
                <w:szCs w:val="20"/>
                <w:lang w:eastAsia="en-AU"/>
              </w:rPr>
              <w:t>Total</w:t>
            </w:r>
          </w:p>
        </w:tc>
        <w:tc>
          <w:tcPr>
            <w:tcW w:w="1601" w:type="dxa"/>
            <w:tcBorders>
              <w:top w:val="nil"/>
              <w:left w:val="nil"/>
              <w:bottom w:val="single" w:sz="8" w:space="0" w:color="5B9BD5"/>
              <w:right w:val="nil"/>
            </w:tcBorders>
            <w:shd w:val="clear" w:color="auto" w:fill="auto"/>
            <w:noWrap/>
            <w:vAlign w:val="center"/>
            <w:hideMark/>
          </w:tcPr>
          <w:p w14:paraId="57AB5CFF" w14:textId="77777777" w:rsidR="002D33F2" w:rsidRPr="00CA243E" w:rsidRDefault="002D33F2" w:rsidP="007B6616">
            <w:pPr>
              <w:spacing w:after="0" w:line="240" w:lineRule="auto"/>
              <w:jc w:val="right"/>
              <w:rPr>
                <w:rFonts w:ascii="Calibri" w:eastAsia="Times New Roman" w:hAnsi="Calibri" w:cs="Calibri"/>
                <w:b/>
                <w:bCs/>
                <w:color w:val="000000"/>
                <w:sz w:val="20"/>
                <w:szCs w:val="20"/>
                <w:lang w:eastAsia="en-AU"/>
              </w:rPr>
            </w:pPr>
            <w:r w:rsidRPr="00CA243E">
              <w:rPr>
                <w:rFonts w:ascii="Calibri" w:eastAsia="Times New Roman" w:hAnsi="Calibri" w:cs="Calibri"/>
                <w:b/>
                <w:bCs/>
                <w:color w:val="000000"/>
                <w:sz w:val="20"/>
                <w:szCs w:val="20"/>
                <w:lang w:eastAsia="en-AU"/>
              </w:rPr>
              <w:t>8,061</w:t>
            </w:r>
          </w:p>
        </w:tc>
        <w:tc>
          <w:tcPr>
            <w:tcW w:w="1602" w:type="dxa"/>
            <w:tcBorders>
              <w:top w:val="nil"/>
              <w:left w:val="nil"/>
              <w:bottom w:val="single" w:sz="8" w:space="0" w:color="5B9BD5"/>
              <w:right w:val="nil"/>
            </w:tcBorders>
            <w:shd w:val="clear" w:color="auto" w:fill="auto"/>
            <w:noWrap/>
            <w:vAlign w:val="center"/>
            <w:hideMark/>
          </w:tcPr>
          <w:p w14:paraId="641B8577" w14:textId="77777777" w:rsidR="002D33F2" w:rsidRPr="00CA243E" w:rsidRDefault="002D33F2" w:rsidP="007B6616">
            <w:pPr>
              <w:spacing w:after="0" w:line="240" w:lineRule="auto"/>
              <w:jc w:val="right"/>
              <w:rPr>
                <w:rFonts w:ascii="Calibri" w:eastAsia="Times New Roman" w:hAnsi="Calibri" w:cs="Calibri"/>
                <w:b/>
                <w:bCs/>
                <w:color w:val="000000"/>
                <w:sz w:val="20"/>
                <w:szCs w:val="20"/>
                <w:lang w:eastAsia="en-AU"/>
              </w:rPr>
            </w:pPr>
            <w:r w:rsidRPr="00CA243E">
              <w:rPr>
                <w:rFonts w:ascii="Calibri" w:eastAsia="Times New Roman" w:hAnsi="Calibri" w:cs="Calibri"/>
                <w:b/>
                <w:bCs/>
                <w:color w:val="000000"/>
                <w:sz w:val="20"/>
                <w:szCs w:val="20"/>
                <w:lang w:eastAsia="en-AU"/>
              </w:rPr>
              <w:t>100%</w:t>
            </w:r>
          </w:p>
        </w:tc>
        <w:tc>
          <w:tcPr>
            <w:tcW w:w="1602" w:type="dxa"/>
            <w:tcBorders>
              <w:top w:val="nil"/>
              <w:left w:val="nil"/>
              <w:bottom w:val="single" w:sz="8" w:space="0" w:color="5B9BD5"/>
              <w:right w:val="nil"/>
            </w:tcBorders>
            <w:shd w:val="clear" w:color="auto" w:fill="auto"/>
            <w:noWrap/>
            <w:vAlign w:val="center"/>
            <w:hideMark/>
          </w:tcPr>
          <w:p w14:paraId="0EDC167A" w14:textId="77777777" w:rsidR="002D33F2" w:rsidRPr="00CA243E" w:rsidRDefault="002D33F2" w:rsidP="007B6616">
            <w:pPr>
              <w:spacing w:after="0" w:line="240" w:lineRule="auto"/>
              <w:jc w:val="right"/>
              <w:rPr>
                <w:rFonts w:ascii="Calibri" w:eastAsia="Times New Roman" w:hAnsi="Calibri" w:cs="Calibri"/>
                <w:b/>
                <w:bCs/>
                <w:color w:val="000000"/>
                <w:sz w:val="20"/>
                <w:szCs w:val="20"/>
                <w:lang w:eastAsia="en-AU"/>
              </w:rPr>
            </w:pPr>
            <w:r w:rsidRPr="00CA243E">
              <w:rPr>
                <w:rFonts w:ascii="Calibri" w:eastAsia="Times New Roman" w:hAnsi="Calibri" w:cs="Calibri"/>
                <w:b/>
                <w:bCs/>
                <w:color w:val="000000"/>
                <w:sz w:val="20"/>
                <w:szCs w:val="20"/>
                <w:lang w:eastAsia="en-AU"/>
              </w:rPr>
              <w:t>6,183</w:t>
            </w:r>
          </w:p>
        </w:tc>
        <w:tc>
          <w:tcPr>
            <w:tcW w:w="1602" w:type="dxa"/>
            <w:tcBorders>
              <w:top w:val="nil"/>
              <w:left w:val="nil"/>
              <w:bottom w:val="single" w:sz="8" w:space="0" w:color="5B9BD5"/>
              <w:right w:val="single" w:sz="8" w:space="0" w:color="5B9BD5"/>
            </w:tcBorders>
            <w:shd w:val="clear" w:color="auto" w:fill="auto"/>
            <w:noWrap/>
            <w:vAlign w:val="center"/>
            <w:hideMark/>
          </w:tcPr>
          <w:p w14:paraId="2C56FD8B" w14:textId="77777777" w:rsidR="002D33F2" w:rsidRPr="00CA243E" w:rsidRDefault="002D33F2" w:rsidP="007B6616">
            <w:pPr>
              <w:spacing w:after="0" w:line="240" w:lineRule="auto"/>
              <w:jc w:val="right"/>
              <w:rPr>
                <w:rFonts w:ascii="Calibri" w:eastAsia="Times New Roman" w:hAnsi="Calibri" w:cs="Calibri"/>
                <w:b/>
                <w:bCs/>
                <w:color w:val="000000"/>
                <w:sz w:val="20"/>
                <w:szCs w:val="20"/>
                <w:lang w:eastAsia="en-AU"/>
              </w:rPr>
            </w:pPr>
            <w:r w:rsidRPr="00CA243E">
              <w:rPr>
                <w:rFonts w:ascii="Calibri" w:eastAsia="Times New Roman" w:hAnsi="Calibri" w:cs="Calibri"/>
                <w:b/>
                <w:bCs/>
                <w:color w:val="000000"/>
                <w:sz w:val="20"/>
                <w:szCs w:val="20"/>
                <w:lang w:eastAsia="en-AU"/>
              </w:rPr>
              <w:t>100%</w:t>
            </w:r>
          </w:p>
        </w:tc>
      </w:tr>
    </w:tbl>
    <w:p w14:paraId="417EF894" w14:textId="77777777" w:rsidR="005C129B" w:rsidRDefault="005C129B" w:rsidP="005C207B">
      <w:pPr>
        <w:spacing w:after="0" w:line="240" w:lineRule="auto"/>
        <w:rPr>
          <w:i/>
          <w:iCs/>
          <w:sz w:val="18"/>
          <w:szCs w:val="18"/>
        </w:rPr>
      </w:pPr>
      <w:r>
        <w:rPr>
          <w:i/>
          <w:iCs/>
          <w:sz w:val="18"/>
          <w:szCs w:val="18"/>
        </w:rPr>
        <w:t>Note 1: due to rounding, the total may exceed 100%</w:t>
      </w:r>
    </w:p>
    <w:p w14:paraId="3F1326B9" w14:textId="77777777" w:rsidR="005C129B" w:rsidRPr="00FE0BBD" w:rsidRDefault="005C129B" w:rsidP="005C207B">
      <w:pPr>
        <w:rPr>
          <w:i/>
          <w:iCs/>
          <w:sz w:val="18"/>
          <w:szCs w:val="18"/>
        </w:rPr>
      </w:pPr>
      <w:r>
        <w:rPr>
          <w:i/>
          <w:iCs/>
          <w:sz w:val="18"/>
          <w:szCs w:val="18"/>
        </w:rPr>
        <w:t xml:space="preserve">Note 2:  Family Tax Benefit is not a trigger payment. </w:t>
      </w:r>
      <w:r w:rsidR="00AF31C7" w:rsidRPr="00AF31C7">
        <w:rPr>
          <w:rFonts w:cstheme="minorHAnsi"/>
          <w:i/>
          <w:iCs/>
          <w:sz w:val="18"/>
          <w:szCs w:val="18"/>
          <w:lang w:val="en-US"/>
        </w:rPr>
        <w:t>The figure reported in the table reflects that these participants’ primary payment is currently being modified</w:t>
      </w:r>
      <w:r w:rsidRPr="00AF31C7">
        <w:rPr>
          <w:i/>
          <w:iCs/>
          <w:sz w:val="18"/>
          <w:szCs w:val="18"/>
        </w:rPr>
        <w:t>.</w:t>
      </w:r>
    </w:p>
    <w:p w14:paraId="5CC162B1" w14:textId="00E6BA7D" w:rsidR="003A0EAD" w:rsidRDefault="00264809" w:rsidP="002D33F2">
      <w:r>
        <w:t>The following figure (</w:t>
      </w:r>
      <w:r>
        <w:fldChar w:fldCharType="begin"/>
      </w:r>
      <w:r>
        <w:instrText xml:space="preserve"> REF _Ref36656038 \h </w:instrText>
      </w:r>
      <w:r>
        <w:fldChar w:fldCharType="separate"/>
      </w:r>
      <w:r w:rsidR="008E2086">
        <w:t xml:space="preserve">Figure </w:t>
      </w:r>
      <w:r w:rsidR="008E2086">
        <w:rPr>
          <w:noProof/>
        </w:rPr>
        <w:t>3</w:t>
      </w:r>
      <w:r w:rsidR="008E2086">
        <w:noBreakHyphen/>
      </w:r>
      <w:r w:rsidR="008E2086">
        <w:rPr>
          <w:noProof/>
        </w:rPr>
        <w:t>2</w:t>
      </w:r>
      <w:r>
        <w:fldChar w:fldCharType="end"/>
      </w:r>
      <w:r>
        <w:t xml:space="preserve">) </w:t>
      </w:r>
      <w:r w:rsidR="002D33F2">
        <w:t xml:space="preserve">shows the distribution of benefit types of currently active CDC participants according to their gender. Noticeable differences exist between males and females. Sixty-four per cent of the male CDC participants are on the </w:t>
      </w:r>
      <w:proofErr w:type="spellStart"/>
      <w:r w:rsidR="002D33F2">
        <w:t>Newstart</w:t>
      </w:r>
      <w:proofErr w:type="spellEnd"/>
      <w:r w:rsidR="002D33F2">
        <w:t xml:space="preserve"> </w:t>
      </w:r>
      <w:r w:rsidR="009C7E3E">
        <w:t>A</w:t>
      </w:r>
      <w:r w:rsidR="002D33F2">
        <w:t xml:space="preserve">llowance, compared with only 23 per cent for females. In contrast, 48 per cent of the active female CDC participants are on Parenting </w:t>
      </w:r>
      <w:r w:rsidR="009C7E3E">
        <w:t>P</w:t>
      </w:r>
      <w:r w:rsidR="002D33F2">
        <w:t>ayment (</w:t>
      </w:r>
      <w:r w:rsidR="009C7E3E">
        <w:t>S</w:t>
      </w:r>
      <w:r w:rsidR="002D33F2">
        <w:t xml:space="preserve">ingle) while only 5 per cent of the males receive Parenting </w:t>
      </w:r>
      <w:r w:rsidR="009C7E3E">
        <w:t>P</w:t>
      </w:r>
      <w:r w:rsidR="002D33F2">
        <w:t>ayment (</w:t>
      </w:r>
      <w:r w:rsidR="009C7E3E">
        <w:t>S</w:t>
      </w:r>
      <w:r w:rsidR="002D33F2">
        <w:t xml:space="preserve">ingle). In addition, a larger proportion of females </w:t>
      </w:r>
      <w:r w:rsidR="00AF31C7">
        <w:t xml:space="preserve">than males </w:t>
      </w:r>
      <w:r w:rsidR="002D33F2">
        <w:t xml:space="preserve">are on Parenting </w:t>
      </w:r>
      <w:r w:rsidR="009C7E3E">
        <w:t>P</w:t>
      </w:r>
      <w:r w:rsidR="002D33F2">
        <w:t xml:space="preserve">ayment </w:t>
      </w:r>
      <w:r w:rsidR="009C7E3E">
        <w:t>P</w:t>
      </w:r>
      <w:r w:rsidR="002D33F2">
        <w:t xml:space="preserve">artnered (12 per cent). </w:t>
      </w:r>
      <w:r w:rsidR="002D33F2">
        <w:lastRenderedPageBreak/>
        <w:t xml:space="preserve">Altogether, 60 per cent of the females are on one of the two types of parenting payments. With regards to Youth </w:t>
      </w:r>
      <w:r w:rsidR="009C7E3E">
        <w:t>A</w:t>
      </w:r>
      <w:r w:rsidR="002D33F2">
        <w:t>llowance, 30 per cent of males receive this type of benefit compared to 16 per cent of females.</w:t>
      </w:r>
    </w:p>
    <w:p w14:paraId="01F41831" w14:textId="36657592" w:rsidR="008C2D41" w:rsidRDefault="002D33F2" w:rsidP="008C2D41">
      <w:pPr>
        <w:pStyle w:val="Caption"/>
      </w:pPr>
      <w:bookmarkStart w:id="213" w:name="_Ref36656038"/>
      <w:bookmarkStart w:id="214" w:name="_Toc34935512"/>
      <w:bookmarkStart w:id="215" w:name="_Toc36631787"/>
      <w:bookmarkStart w:id="216" w:name="_Toc36637991"/>
      <w:bookmarkStart w:id="217" w:name="_Toc37263839"/>
      <w:bookmarkStart w:id="218" w:name="_Ref34916092"/>
      <w:bookmarkStart w:id="219" w:name="_Toc34304871"/>
      <w:r>
        <w:t xml:space="preserve">Figure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2</w:t>
      </w:r>
      <w:r w:rsidR="006C0554">
        <w:rPr>
          <w:noProof/>
        </w:rPr>
        <w:fldChar w:fldCharType="end"/>
      </w:r>
      <w:bookmarkEnd w:id="213"/>
      <w:r>
        <w:t xml:space="preserve">: Benefit types by gender, currently active </w:t>
      </w:r>
      <w:bookmarkEnd w:id="214"/>
      <w:r>
        <w:t>recipients</w:t>
      </w:r>
      <w:bookmarkEnd w:id="215"/>
      <w:bookmarkEnd w:id="216"/>
      <w:r w:rsidR="008C2D41">
        <w:t xml:space="preserve"> (</w:t>
      </w:r>
      <w:r w:rsidR="00EE12A6">
        <w:t>for CDC participants triggered onto the card in the Bundaberg and Hervey Bay region</w:t>
      </w:r>
      <w:r w:rsidR="008C2D41">
        <w:t>)</w:t>
      </w:r>
      <w:bookmarkEnd w:id="217"/>
    </w:p>
    <w:bookmarkEnd w:id="218"/>
    <w:bookmarkEnd w:id="219"/>
    <w:p w14:paraId="0C50B4E5" w14:textId="77777777" w:rsidR="002D33F2" w:rsidRDefault="002D33F2" w:rsidP="002D33F2">
      <w:pPr>
        <w:jc w:val="center"/>
      </w:pPr>
      <w:r w:rsidRPr="0041381F">
        <w:rPr>
          <w:noProof/>
          <w:lang w:eastAsia="en-AU"/>
        </w:rPr>
        <w:drawing>
          <wp:inline distT="0" distB="0" distL="0" distR="0" wp14:anchorId="736FDCD4" wp14:editId="378178E7">
            <wp:extent cx="3463200" cy="2124000"/>
            <wp:effectExtent l="57150" t="19050" r="61595" b="86360"/>
            <wp:docPr id="78" name="Picture 78" descr="Distribution of benefit types of currently active CDC participants according to their gender in the Bundaberg and Hervey Bay region.&#10;Newstart Allowance: male 64%, female 23% &#10;Parenting Payment Partnered: male 2%, female 12% &#10;Parenting Payment Single: male 5%, female 48% &#10;Youth Allowance: male 30%, female 16%" title="Figure 3 2: Benefit types by gender, currently active recipients (for CDC participants triggered onto the card in the Bundaberg and Hervey Ba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63200" cy="21240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0F38654D" w14:textId="70E35413" w:rsidR="002D33F2" w:rsidRDefault="00B909B7" w:rsidP="002D33F2">
      <w:r>
        <w:t>The following figure (</w:t>
      </w:r>
      <w:r>
        <w:fldChar w:fldCharType="begin"/>
      </w:r>
      <w:r>
        <w:instrText xml:space="preserve"> REF _Ref36656073 \h </w:instrText>
      </w:r>
      <w:r>
        <w:fldChar w:fldCharType="separate"/>
      </w:r>
      <w:r w:rsidR="008E2086">
        <w:t xml:space="preserve">Figure </w:t>
      </w:r>
      <w:r w:rsidR="008E2086">
        <w:rPr>
          <w:noProof/>
        </w:rPr>
        <w:t>3</w:t>
      </w:r>
      <w:r w:rsidR="008E2086">
        <w:noBreakHyphen/>
      </w:r>
      <w:r w:rsidR="008E2086">
        <w:rPr>
          <w:noProof/>
        </w:rPr>
        <w:t>3</w:t>
      </w:r>
      <w:r>
        <w:fldChar w:fldCharType="end"/>
      </w:r>
      <w:r>
        <w:t xml:space="preserve">) </w:t>
      </w:r>
      <w:r w:rsidR="002D33F2">
        <w:t xml:space="preserve">displays the distribution of the benefits received by CDC participants by age group. Naturally, all the participants receiving Youth </w:t>
      </w:r>
      <w:r w:rsidR="00005506">
        <w:t>A</w:t>
      </w:r>
      <w:r w:rsidR="002D33F2">
        <w:t xml:space="preserve">llowance are aged less than 25 years old. 50 per cent of the CDC participants in the 16-24 age category receive Youth Allowance. Given the eligibility criteria for the roll out of the CDC in this trial site, the age distribution does not go beyond the 35 to 44 years old category </w:t>
      </w:r>
      <w:r w:rsidR="00005506">
        <w:t>(</w:t>
      </w:r>
      <w:r w:rsidR="002D33F2">
        <w:t>and those who are recorded within this category are between 35 and 36 years old</w:t>
      </w:r>
      <w:r w:rsidR="00005506">
        <w:t xml:space="preserve">, </w:t>
      </w:r>
      <w:r w:rsidR="002D33F2">
        <w:t>no one is older than 36).</w:t>
      </w:r>
    </w:p>
    <w:p w14:paraId="0192F69C" w14:textId="32DB1A91" w:rsidR="008C2D41" w:rsidRDefault="002D33F2" w:rsidP="008C2D41">
      <w:pPr>
        <w:pStyle w:val="Caption"/>
      </w:pPr>
      <w:bookmarkStart w:id="220" w:name="_Ref36656073"/>
      <w:bookmarkStart w:id="221" w:name="_Toc34935513"/>
      <w:bookmarkStart w:id="222" w:name="_Toc36631788"/>
      <w:bookmarkStart w:id="223" w:name="_Toc36637992"/>
      <w:bookmarkStart w:id="224" w:name="_Toc37263840"/>
      <w:bookmarkStart w:id="225" w:name="_Ref34916069"/>
      <w:bookmarkStart w:id="226" w:name="_Toc34304872"/>
      <w:r>
        <w:t xml:space="preserve">Figure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3</w:t>
      </w:r>
      <w:r w:rsidR="006C0554">
        <w:rPr>
          <w:noProof/>
        </w:rPr>
        <w:fldChar w:fldCharType="end"/>
      </w:r>
      <w:bookmarkEnd w:id="220"/>
      <w:r>
        <w:t xml:space="preserve">: Benefit types by age group, currently active CDC </w:t>
      </w:r>
      <w:bookmarkEnd w:id="221"/>
      <w:r>
        <w:t>participants</w:t>
      </w:r>
      <w:bookmarkEnd w:id="222"/>
      <w:bookmarkEnd w:id="223"/>
      <w:r w:rsidR="008C2D41">
        <w:t xml:space="preserve"> (</w:t>
      </w:r>
      <w:r w:rsidR="00EE12A6">
        <w:t>for CDC participants triggered onto the card in the Bundaberg and Hervey Bay region</w:t>
      </w:r>
      <w:r w:rsidR="008C2D41">
        <w:t>)</w:t>
      </w:r>
      <w:bookmarkEnd w:id="224"/>
    </w:p>
    <w:bookmarkEnd w:id="225"/>
    <w:bookmarkEnd w:id="226"/>
    <w:p w14:paraId="7E0B7960" w14:textId="77777777" w:rsidR="002D33F2" w:rsidRDefault="002D33F2" w:rsidP="002D33F2">
      <w:pPr>
        <w:jc w:val="center"/>
      </w:pPr>
      <w:r w:rsidRPr="003C4FD8">
        <w:rPr>
          <w:noProof/>
          <w:lang w:eastAsia="en-AU"/>
        </w:rPr>
        <w:drawing>
          <wp:inline distT="0" distB="0" distL="0" distR="0" wp14:anchorId="7B9D05AC" wp14:editId="687E2756">
            <wp:extent cx="3373200" cy="2167200"/>
            <wp:effectExtent l="57150" t="19050" r="55880" b="100330"/>
            <wp:docPr id="79" name="Picture 79" descr="Distribution of benefit types received by CDC participants by age group in the Bundaberg and Hervey Bay region.&#10;16-24 years old: Newstart Allowance 26%, Parenting Payment Partnered 6%, Parenting Payment Single 19%, Youth Allowance 50% &#10;25-34 years old: Newstart Allowance 49%, Parenting Payment Partnered 9%, Parenting Payment Single 41%, Youth Allowance 0% &#10;34-44 years old: Newstart Allowance 59%, Parenting Payment Partnered 11%, Parenting Payment Single 29%, Youth Allowance 0%" title="Figure 3 3: Benefit types by age group, currently active CDC participants (for CDC participants triggered onto the card in the Bundaberg and Hervey Ba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73200" cy="21672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193C5100" w14:textId="4D8A36AE" w:rsidR="002D33F2" w:rsidRDefault="002D33F2" w:rsidP="002D33F2">
      <w:r>
        <w:t>The following set of figures (</w:t>
      </w:r>
      <w:r>
        <w:fldChar w:fldCharType="begin"/>
      </w:r>
      <w:r>
        <w:instrText xml:space="preserve"> REF _Ref36631152 \h </w:instrText>
      </w:r>
      <w:r>
        <w:fldChar w:fldCharType="separate"/>
      </w:r>
      <w:r w:rsidR="008E2086">
        <w:t xml:space="preserve">Figure </w:t>
      </w:r>
      <w:r w:rsidR="008E2086">
        <w:rPr>
          <w:noProof/>
        </w:rPr>
        <w:t>3</w:t>
      </w:r>
      <w:r w:rsidR="008E2086">
        <w:noBreakHyphen/>
      </w:r>
      <w:r w:rsidR="008E2086">
        <w:rPr>
          <w:noProof/>
        </w:rPr>
        <w:t>4</w:t>
      </w:r>
      <w:r>
        <w:fldChar w:fldCharType="end"/>
      </w:r>
      <w:r>
        <w:t>) show the distribution of benefit types according to the locations CDC participants currently live in. We focus on locations within the Bundaberg and Hervey Bay trial site and Maryborough (which is not part of the Bundaberg and Hervey Bay trial site). We include Maryborough because 266 currently active CDC participants live there and it is a close neighbour (</w:t>
      </w:r>
      <w:r w:rsidR="000F2F8F">
        <w:t>S</w:t>
      </w:r>
      <w:r>
        <w:t xml:space="preserve">outh) of Hervey Bay. We also display the distribution for all other participants living ‘out of the area’, which we have defined as people who were triggered onto the CDC while living in the Bundaberg and Hervey Bay trial area but who have since moved away from the boundaries of the Bundaberg and Hervey Bay trial area (excluding Maryborough). We see little difference between CDC </w:t>
      </w:r>
      <w:r>
        <w:lastRenderedPageBreak/>
        <w:t>participants living in Maryborough (</w:t>
      </w:r>
      <w:r w:rsidR="005C129B">
        <w:t xml:space="preserve">266 currently active </w:t>
      </w:r>
      <w:r>
        <w:t xml:space="preserve">CDC participants were triggered onto the CDC in the Bundaberg and Hervey Bay trial site but now live in Maryborough) and those living within the trial site in Bundaberg and Hervey Bay. The proportion of CDC participants receiving parenting payments partnered is slightly larger in Maryborough (11 per cent </w:t>
      </w:r>
      <w:r w:rsidR="00AE2217">
        <w:t xml:space="preserve">compared with </w:t>
      </w:r>
      <w:r>
        <w:t xml:space="preserve">8 per cent) as is the proportion of CDC participants on </w:t>
      </w:r>
      <w:proofErr w:type="spellStart"/>
      <w:r>
        <w:t>Newstart</w:t>
      </w:r>
      <w:proofErr w:type="spellEnd"/>
      <w:r>
        <w:t xml:space="preserve"> (45 per cent </w:t>
      </w:r>
      <w:r w:rsidR="00AE2217">
        <w:t>compared with</w:t>
      </w:r>
      <w:r>
        <w:t xml:space="preserve"> about 40 per cent in the Bundaberg and Hervey Bay trial site).</w:t>
      </w:r>
    </w:p>
    <w:p w14:paraId="39FC30A9" w14:textId="6680AF1A" w:rsidR="002D33F2" w:rsidRDefault="002D33F2" w:rsidP="002D33F2">
      <w:pPr>
        <w:pStyle w:val="Caption"/>
      </w:pPr>
      <w:bookmarkStart w:id="227" w:name="_Ref36631152"/>
      <w:bookmarkStart w:id="228" w:name="_Toc34935514"/>
      <w:bookmarkStart w:id="229" w:name="_Toc36631789"/>
      <w:bookmarkStart w:id="230" w:name="_Toc36637993"/>
      <w:bookmarkStart w:id="231" w:name="_Toc37263841"/>
      <w:bookmarkStart w:id="232" w:name="_Ref34916131"/>
      <w:bookmarkStart w:id="233" w:name="_Toc34304873"/>
      <w:r>
        <w:t xml:space="preserve">Figure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4</w:t>
      </w:r>
      <w:r w:rsidR="006C0554">
        <w:rPr>
          <w:noProof/>
        </w:rPr>
        <w:fldChar w:fldCharType="end"/>
      </w:r>
      <w:bookmarkEnd w:id="227"/>
      <w:r>
        <w:t xml:space="preserve">: Benefit types by participants’ current location, currently active CDC </w:t>
      </w:r>
      <w:bookmarkEnd w:id="228"/>
      <w:r>
        <w:t>participants</w:t>
      </w:r>
      <w:bookmarkEnd w:id="229"/>
      <w:bookmarkEnd w:id="230"/>
      <w:r w:rsidR="00C87D96">
        <w:t xml:space="preserve"> (</w:t>
      </w:r>
      <w:r w:rsidR="00EE12A6">
        <w:t>for CDC participants triggered onto the card in the Bundaberg and Hervey Bay region</w:t>
      </w:r>
      <w:r w:rsidR="00C87D96">
        <w:t>)</w:t>
      </w:r>
      <w:bookmarkEnd w:id="231"/>
    </w:p>
    <w:bookmarkEnd w:id="232"/>
    <w:bookmarkEnd w:id="233"/>
    <w:p w14:paraId="1AE39E0F" w14:textId="77777777" w:rsidR="002D33F2" w:rsidRDefault="002D33F2" w:rsidP="002D33F2">
      <w:pPr>
        <w:jc w:val="center"/>
      </w:pPr>
      <w:r w:rsidRPr="009F1D23">
        <w:rPr>
          <w:noProof/>
          <w:lang w:eastAsia="en-AU"/>
        </w:rPr>
        <w:drawing>
          <wp:inline distT="0" distB="0" distL="0" distR="0" wp14:anchorId="716F97AD" wp14:editId="2F674F28">
            <wp:extent cx="5569200" cy="3729600"/>
            <wp:effectExtent l="57150" t="19050" r="50800" b="99695"/>
            <wp:docPr id="12" name="Picture 12" descr="Distribution of benefit types according to the locations CDC participants currently live in, covering Bundaberg, Hervey Bay, Maryborough and locations other than BHB or Maryborough.&#10;Bundaberg: Newstart Allowance 39%, Parenting Payment Partnered 8%, Parenting Payment Single 31%, Youth Allowance 22% &#10;Hervey Bay: Newstart Allowance 40%, Parenting Payment Partnered 8%, Parenting Payment Single 32%, Youth Allowance 20% &#10;Maryborough: Newstart Allowance 45%, Parenting Payment Partnered 11%, Parenting Payment Single 28%, Youth Allowance 16% &#10;Other (not BHB or Maryborough): Newstart Allowance 40%, Parenting Payment Partnered 6%, Parenting Payment Single 30%, Youth Allowance 24%&#10;" title="Figure 3 4: Benefit types by participants’ current location, currently active CDC participants (for CDC participants triggered onto the card in the Bundaberg and Hervey Ba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69200" cy="37296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2933770C" w14:textId="77777777" w:rsidR="007260A4" w:rsidRDefault="007260A4">
      <w:pPr>
        <w:jc w:val="left"/>
      </w:pPr>
      <w:r>
        <w:br w:type="page"/>
      </w:r>
    </w:p>
    <w:p w14:paraId="366AD9C8" w14:textId="77777777" w:rsidR="002D33F2" w:rsidRDefault="002D33F2">
      <w:pPr>
        <w:pStyle w:val="Heading2"/>
      </w:pPr>
      <w:bookmarkStart w:id="234" w:name="_Toc34818230"/>
      <w:bookmarkStart w:id="235" w:name="_Toc34935587"/>
      <w:bookmarkStart w:id="236" w:name="_Toc37258356"/>
      <w:r w:rsidRPr="00791E55">
        <w:lastRenderedPageBreak/>
        <w:t xml:space="preserve">Crisis </w:t>
      </w:r>
      <w:r w:rsidR="001E0624">
        <w:t>P</w:t>
      </w:r>
      <w:r w:rsidRPr="00791E55">
        <w:t>ayments</w:t>
      </w:r>
      <w:bookmarkEnd w:id="234"/>
      <w:bookmarkEnd w:id="235"/>
      <w:bookmarkEnd w:id="236"/>
    </w:p>
    <w:p w14:paraId="56D411BD" w14:textId="77777777" w:rsidR="002D33F2" w:rsidRDefault="002D33F2">
      <w:pPr>
        <w:pStyle w:val="Heading3"/>
      </w:pPr>
      <w:bookmarkStart w:id="237" w:name="_Toc37258357"/>
      <w:r>
        <w:t>What are Crisis Payments?</w:t>
      </w:r>
      <w:bookmarkEnd w:id="237"/>
    </w:p>
    <w:p w14:paraId="20B97586" w14:textId="77777777" w:rsidR="002D33F2" w:rsidRDefault="002D33F2" w:rsidP="002D33F2">
      <w:r>
        <w:t xml:space="preserve">Crisis </w:t>
      </w:r>
      <w:r w:rsidR="005F4374">
        <w:t>P</w:t>
      </w:r>
      <w:r>
        <w:t xml:space="preserve">ayments are one-off payments calculated at half the maximum basic fortnightly rate of participants’ eligible benefit payment. The scope of the </w:t>
      </w:r>
      <w:r w:rsidR="005F4374">
        <w:t>C</w:t>
      </w:r>
      <w:r>
        <w:t xml:space="preserve">risis </w:t>
      </w:r>
      <w:r w:rsidR="005F4374">
        <w:t xml:space="preserve">Payments </w:t>
      </w:r>
      <w:r>
        <w:t>is limited. It applies to the following circumstances:</w:t>
      </w:r>
    </w:p>
    <w:p w14:paraId="05DE64CF" w14:textId="77777777" w:rsidR="002D33F2" w:rsidRDefault="002D33F2" w:rsidP="002D33F2">
      <w:pPr>
        <w:pStyle w:val="ListParagraph"/>
        <w:numPr>
          <w:ilvl w:val="0"/>
          <w:numId w:val="39"/>
        </w:numPr>
      </w:pPr>
      <w:r>
        <w:t>Prisoners being released (serving 14 or more days in custody)</w:t>
      </w:r>
    </w:p>
    <w:p w14:paraId="3FCE057B" w14:textId="77777777" w:rsidR="002D33F2" w:rsidRDefault="002D33F2" w:rsidP="002D33F2">
      <w:pPr>
        <w:pStyle w:val="ListParagraph"/>
        <w:numPr>
          <w:ilvl w:val="0"/>
          <w:numId w:val="39"/>
        </w:numPr>
      </w:pPr>
      <w:r>
        <w:t>Refugees (maximum one payment)</w:t>
      </w:r>
    </w:p>
    <w:p w14:paraId="5DB526EF" w14:textId="77777777" w:rsidR="002D33F2" w:rsidRDefault="002D33F2" w:rsidP="002D33F2">
      <w:pPr>
        <w:pStyle w:val="ListParagraph"/>
        <w:numPr>
          <w:ilvl w:val="0"/>
          <w:numId w:val="39"/>
        </w:numPr>
      </w:pPr>
      <w:r>
        <w:t>People forced to leave home (due to an isolated incident, e.g. house fire, localised flooding/storm damage, domestic violence). It cannot be paid where the person is forced to leave home as a result of non-payment of rent. In case of a disaster situation, crisis payment cannot be paid if the area has been declared eligible for ‘Disaster Recovery Payment’.</w:t>
      </w:r>
    </w:p>
    <w:p w14:paraId="09A38435" w14:textId="77777777" w:rsidR="002D33F2" w:rsidRDefault="002D33F2" w:rsidP="002D33F2">
      <w:pPr>
        <w:pStyle w:val="ListParagraph"/>
        <w:numPr>
          <w:ilvl w:val="0"/>
          <w:numId w:val="39"/>
        </w:numPr>
      </w:pPr>
      <w:r>
        <w:t>Person remains in home but in a domestic violence situation where the offender has left the residence (e.g. where an AVO is in place).</w:t>
      </w:r>
    </w:p>
    <w:p w14:paraId="61138F83" w14:textId="77777777" w:rsidR="002D33F2" w:rsidRDefault="002D33F2" w:rsidP="002D33F2">
      <w:r>
        <w:t>For those who satisfy these eligibility criteria, applications must be submitted within 7 days of the circumstance occurring. There are special provisions for prisoners who may apply up to 21 days prior to their release date for a payment on the release date. Most payments occur within 48 hours of a claim being lodged.</w:t>
      </w:r>
    </w:p>
    <w:p w14:paraId="46757F83" w14:textId="77777777" w:rsidR="00573265" w:rsidRDefault="002D33F2" w:rsidP="00573265">
      <w:r>
        <w:t xml:space="preserve">Overall in Australia, 80,000 individual </w:t>
      </w:r>
      <w:r w:rsidR="005F4374">
        <w:t>Crisis Payments</w:t>
      </w:r>
      <w:r>
        <w:t xml:space="preserve"> were made in </w:t>
      </w:r>
      <w:r w:rsidR="000B1801">
        <w:t xml:space="preserve">the </w:t>
      </w:r>
      <w:r>
        <w:t>2018-2019</w:t>
      </w:r>
      <w:r w:rsidR="000B1801">
        <w:t xml:space="preserve"> Financial Year</w:t>
      </w:r>
      <w:r>
        <w:t xml:space="preserve">. More than half of these payments were to </w:t>
      </w:r>
      <w:proofErr w:type="gramStart"/>
      <w:r>
        <w:t>released</w:t>
      </w:r>
      <w:proofErr w:type="gramEnd"/>
      <w:r>
        <w:t xml:space="preserve"> prisoners. About a quarter of all </w:t>
      </w:r>
      <w:r w:rsidR="005F4374">
        <w:t xml:space="preserve">Crisis Payments </w:t>
      </w:r>
      <w:r>
        <w:t xml:space="preserve">made that </w:t>
      </w:r>
      <w:r w:rsidR="000B1801">
        <w:t>Financial Y</w:t>
      </w:r>
      <w:r>
        <w:t xml:space="preserve">ear went to victims of domestic violence. Most of the </w:t>
      </w:r>
      <w:r w:rsidR="005F4374">
        <w:t>Crisis Payments</w:t>
      </w:r>
      <w:r>
        <w:t xml:space="preserve"> paid to victims of domestic violence were made to people who left their home as a result of domestic violence. </w:t>
      </w:r>
    </w:p>
    <w:p w14:paraId="24A9A626" w14:textId="77777777" w:rsidR="00BB7A3F" w:rsidRDefault="00BB7A3F">
      <w:pPr>
        <w:pStyle w:val="Heading3"/>
      </w:pPr>
      <w:bookmarkStart w:id="238" w:name="_Toc34818231"/>
      <w:bookmarkStart w:id="239" w:name="_Toc34935588"/>
      <w:bookmarkStart w:id="240" w:name="_Toc37258358"/>
      <w:r>
        <w:t xml:space="preserve">Historical information about Crisis Payments granted to CDC </w:t>
      </w:r>
      <w:bookmarkEnd w:id="238"/>
      <w:bookmarkEnd w:id="239"/>
      <w:r>
        <w:t>participants (triggered onto the card in the Bundaberg and Hervey Bay Region)</w:t>
      </w:r>
      <w:bookmarkEnd w:id="240"/>
    </w:p>
    <w:p w14:paraId="1B57C651" w14:textId="31936D92" w:rsidR="00BB7A3F" w:rsidRDefault="00BB7A3F" w:rsidP="00D219B8">
      <w:pPr>
        <w:spacing w:before="40"/>
        <w:rPr>
          <w:rStyle w:val="CommentReference"/>
        </w:rPr>
      </w:pPr>
      <w:r>
        <w:t>The Australian Government administrative data</w:t>
      </w:r>
      <w:r w:rsidDel="009066C4">
        <w:t xml:space="preserve"> </w:t>
      </w:r>
      <w:r>
        <w:t xml:space="preserve">records all types of one-off payments historically received by CDC participants. The records made available to our research team go back to March 2009 up to the date of the last update of the Government Administrative data received by the research </w:t>
      </w:r>
      <w:proofErr w:type="gramStart"/>
      <w:r>
        <w:t>team, that</w:t>
      </w:r>
      <w:proofErr w:type="gramEnd"/>
      <w:r>
        <w:t xml:space="preserve"> is the 10</w:t>
      </w:r>
      <w:r w:rsidRPr="00FE0BBD">
        <w:rPr>
          <w:vertAlign w:val="superscript"/>
        </w:rPr>
        <w:t>th</w:t>
      </w:r>
      <w:r>
        <w:t xml:space="preserve"> February 2020</w:t>
      </w:r>
      <w:r w:rsidR="00D219B8">
        <w:t>.</w:t>
      </w:r>
    </w:p>
    <w:p w14:paraId="115FC1FC" w14:textId="72260D10" w:rsidR="002D33F2" w:rsidRDefault="002D33F2" w:rsidP="002D33F2">
      <w:r>
        <w:t xml:space="preserve">Out of the 8,061 CDC participants who have been triggered onto the card in the Bundaberg and Hervey Bay area (which includes CDC participants who are currently ‘active’ and ‘inactive’), 912 people have been granted at least one Crisis payment (11 per cent of the total). These 912 received a total of 4,571 </w:t>
      </w:r>
      <w:r w:rsidR="005F4374">
        <w:t>Crisis Payments</w:t>
      </w:r>
      <w:r>
        <w:t xml:space="preserve">, that is, on average, 4.63 </w:t>
      </w:r>
      <w:r w:rsidR="005F4374">
        <w:t>Crisis Payments</w:t>
      </w:r>
      <w:r>
        <w:t xml:space="preserve"> per person. If we focus on the 6,183 participants who were currently active in February 2020, we observe that 736 participants had accessed </w:t>
      </w:r>
      <w:r w:rsidR="005F4374">
        <w:t>Crisis Payments</w:t>
      </w:r>
      <w:r>
        <w:t xml:space="preserve"> (12 per cent of the active participants). </w:t>
      </w:r>
    </w:p>
    <w:p w14:paraId="21A188A3" w14:textId="77777777" w:rsidR="002D33F2" w:rsidRDefault="002D33F2" w:rsidP="002D33F2">
      <w:r>
        <w:t xml:space="preserve">This subsection provides a statistical description of Bundaberg and Hervey Bay </w:t>
      </w:r>
      <w:r w:rsidR="00D1321E">
        <w:t xml:space="preserve">CDC </w:t>
      </w:r>
      <w:r>
        <w:t xml:space="preserve">participants who have historically been granted </w:t>
      </w:r>
      <w:r w:rsidR="005F4374">
        <w:t>Crisis Payments</w:t>
      </w:r>
      <w:r>
        <w:t xml:space="preserve">. It then provides information on </w:t>
      </w:r>
      <w:r w:rsidR="005F4374">
        <w:t>Crisis Payments</w:t>
      </w:r>
      <w:r>
        <w:t xml:space="preserve"> being granted since the beginning of the roll out of the CDC </w:t>
      </w:r>
      <w:r w:rsidR="0058322F">
        <w:t xml:space="preserve">in Bundaberg and Hervey Bay </w:t>
      </w:r>
      <w:r>
        <w:t xml:space="preserve">on 29 January 2019. Note that the dataset recording one-off payments contains two date indicators, namely ‘period start date’ and ‘period end date’. We used the ‘period start date’ information to determine which </w:t>
      </w:r>
      <w:r w:rsidR="005F4374">
        <w:t>Crisis Payments</w:t>
      </w:r>
      <w:r>
        <w:t xml:space="preserve"> were granted after </w:t>
      </w:r>
      <w:r w:rsidR="00772041">
        <w:t>29</w:t>
      </w:r>
      <w:r w:rsidR="00DD0798" w:rsidRPr="000613C9">
        <w:rPr>
          <w:vertAlign w:val="superscript"/>
        </w:rPr>
        <w:t>th</w:t>
      </w:r>
      <w:r w:rsidR="00DD0798">
        <w:t xml:space="preserve"> </w:t>
      </w:r>
      <w:r w:rsidR="00772041">
        <w:t>January 2019</w:t>
      </w:r>
      <w:r>
        <w:t>.</w:t>
      </w:r>
    </w:p>
    <w:p w14:paraId="4D038F82" w14:textId="1053C42E" w:rsidR="002D33F2" w:rsidRDefault="002D33F2" w:rsidP="002D33F2">
      <w:r>
        <w:t>The following (</w:t>
      </w:r>
      <w:bookmarkStart w:id="241" w:name="_Toc34304874"/>
      <w:bookmarkStart w:id="242" w:name="_Toc34935515"/>
      <w:r w:rsidRPr="00A0158E">
        <w:fldChar w:fldCharType="begin"/>
      </w:r>
      <w:r>
        <w:instrText xml:space="preserve"> REF _Ref36631343 \h </w:instrText>
      </w:r>
      <w:r w:rsidRPr="00A0158E">
        <w:fldChar w:fldCharType="separate"/>
      </w:r>
      <w:r w:rsidR="008E2086">
        <w:t xml:space="preserve">Figure </w:t>
      </w:r>
      <w:r w:rsidR="008E2086">
        <w:rPr>
          <w:noProof/>
        </w:rPr>
        <w:t>3</w:t>
      </w:r>
      <w:r w:rsidR="008E2086">
        <w:noBreakHyphen/>
      </w:r>
      <w:r w:rsidR="008E2086">
        <w:rPr>
          <w:noProof/>
        </w:rPr>
        <w:t>5</w:t>
      </w:r>
      <w:r w:rsidRPr="00A0158E">
        <w:fldChar w:fldCharType="end"/>
      </w:r>
      <w:r>
        <w:t>)</w:t>
      </w:r>
      <w:bookmarkEnd w:id="241"/>
      <w:bookmarkEnd w:id="242"/>
      <w:r>
        <w:t xml:space="preserve"> shows the proportion of CDC participants </w:t>
      </w:r>
      <w:r w:rsidR="00D16426">
        <w:t xml:space="preserve">(triggered onto the card in the Bundaberg and Hervey Bay region) </w:t>
      </w:r>
      <w:r>
        <w:t xml:space="preserve">who have accessed </w:t>
      </w:r>
      <w:r w:rsidR="00D16426">
        <w:t xml:space="preserve">one or more </w:t>
      </w:r>
      <w:r>
        <w:t xml:space="preserve">crisis payment according to where </w:t>
      </w:r>
      <w:r>
        <w:lastRenderedPageBreak/>
        <w:t xml:space="preserve">they currently live. We display two proportions: all CDC participants who were triggered onto the CDC in the </w:t>
      </w:r>
      <w:r w:rsidR="00D16426">
        <w:t>Bundaberg and Hervey Bay region</w:t>
      </w:r>
      <w:r w:rsidR="00D16426" w:rsidDel="00D16426">
        <w:t xml:space="preserve"> </w:t>
      </w:r>
      <w:r>
        <w:t>and those who are currently active. Figure 3-5 shows that</w:t>
      </w:r>
      <w:r w:rsidR="00D16426">
        <w:t>,</w:t>
      </w:r>
      <w:r>
        <w:t xml:space="preserve"> within our observation period</w:t>
      </w:r>
      <w:r w:rsidR="00D16426">
        <w:t xml:space="preserve"> </w:t>
      </w:r>
      <w:r w:rsidR="00DD0798">
        <w:t>(March 2009 to February 2020)</w:t>
      </w:r>
      <w:r w:rsidR="00D16426">
        <w:t>,</w:t>
      </w:r>
      <w:r>
        <w:t xml:space="preserve"> </w:t>
      </w:r>
      <w:r w:rsidR="00DD0798">
        <w:t xml:space="preserve">nine </w:t>
      </w:r>
      <w:r>
        <w:t>per cent of the CDC participants who currently live in Bundaberg have been granted a crisis payment at least once.</w:t>
      </w:r>
    </w:p>
    <w:p w14:paraId="1CA55435" w14:textId="77777777" w:rsidR="002D33F2" w:rsidRDefault="002D33F2" w:rsidP="002D33F2">
      <w:r>
        <w:t>The proportions are similar between the two groups (</w:t>
      </w:r>
      <w:r w:rsidR="00D16426">
        <w:t>‘A</w:t>
      </w:r>
      <w:r>
        <w:t xml:space="preserve">ll </w:t>
      </w:r>
      <w:r w:rsidR="00D16426">
        <w:t xml:space="preserve">participants’ </w:t>
      </w:r>
      <w:r>
        <w:t xml:space="preserve">and </w:t>
      </w:r>
      <w:r w:rsidR="00D16426">
        <w:t>‘A</w:t>
      </w:r>
      <w:r>
        <w:t>ctive</w:t>
      </w:r>
      <w:r w:rsidR="00D16426">
        <w:t xml:space="preserve"> participants’</w:t>
      </w:r>
      <w:r>
        <w:t xml:space="preserve">). However, we notice significant differences between people who live within the Bundaberg and Hervey Bay </w:t>
      </w:r>
      <w:r w:rsidR="00D16426">
        <w:t xml:space="preserve">region </w:t>
      </w:r>
      <w:r>
        <w:t xml:space="preserve">and those who now live outside the Bundaberg and Hervey Bay trial site </w:t>
      </w:r>
      <w:r w:rsidR="00D16426">
        <w:t xml:space="preserve">(plus </w:t>
      </w:r>
      <w:r>
        <w:t>Maryborough</w:t>
      </w:r>
      <w:r w:rsidR="00D16426">
        <w:t>)</w:t>
      </w:r>
      <w:r>
        <w:t xml:space="preserve">. The proportion of CDC participants who have accessed </w:t>
      </w:r>
      <w:r w:rsidR="005F4374">
        <w:t>Crisis Payments</w:t>
      </w:r>
      <w:r>
        <w:t xml:space="preserve"> is much smaller in the Bundaberg and Hervey Bay trial site </w:t>
      </w:r>
      <w:r w:rsidR="00D16426">
        <w:t xml:space="preserve">plus </w:t>
      </w:r>
      <w:r>
        <w:t xml:space="preserve">Maryborough, with proportions ranging around 10 per cent, while it is at least 17 per cent in other areas </w:t>
      </w:r>
      <w:r w:rsidR="005F2F65">
        <w:t xml:space="preserve">of Queensland </w:t>
      </w:r>
      <w:r w:rsidR="00102093">
        <w:t xml:space="preserve">(active participants) </w:t>
      </w:r>
      <w:r>
        <w:t>and up to 27 per cent for people living outside of Queensland</w:t>
      </w:r>
      <w:r w:rsidR="00573265">
        <w:t xml:space="preserve">. </w:t>
      </w:r>
      <w:r>
        <w:t xml:space="preserve">Those living outside Queensland are more likely to be males on </w:t>
      </w:r>
      <w:proofErr w:type="spellStart"/>
      <w:r>
        <w:t>Newstart</w:t>
      </w:r>
      <w:proofErr w:type="spellEnd"/>
      <w:r>
        <w:t xml:space="preserve"> </w:t>
      </w:r>
      <w:r w:rsidR="00D16426">
        <w:t>A</w:t>
      </w:r>
      <w:r>
        <w:t xml:space="preserve">llowance (and less likely to be female and/or on parenting payments) compared to CDC participants living in the trial site. </w:t>
      </w:r>
      <w:r w:rsidR="00E310A7">
        <w:t>Also,</w:t>
      </w:r>
      <w:r>
        <w:t xml:space="preserve"> Wide Bay and Flynn include smaller numbers of CDC participants and this may also explain variations when compared to the more populous Bundaberg and Hervey Bay. </w:t>
      </w:r>
    </w:p>
    <w:p w14:paraId="0D9C30E6" w14:textId="5CB3B361" w:rsidR="002D33F2" w:rsidRDefault="002D33F2" w:rsidP="002D33F2">
      <w:pPr>
        <w:pStyle w:val="Caption"/>
      </w:pPr>
      <w:bookmarkStart w:id="243" w:name="_Ref36631343"/>
      <w:bookmarkStart w:id="244" w:name="_Toc34935516"/>
      <w:bookmarkStart w:id="245" w:name="_Toc36631790"/>
      <w:bookmarkStart w:id="246" w:name="_Toc36637994"/>
      <w:bookmarkStart w:id="247" w:name="_Toc37263842"/>
      <w:bookmarkStart w:id="248" w:name="_Toc34304875"/>
      <w:r>
        <w:t xml:space="preserve">Figure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5</w:t>
      </w:r>
      <w:r w:rsidR="006C0554">
        <w:rPr>
          <w:noProof/>
        </w:rPr>
        <w:fldChar w:fldCharType="end"/>
      </w:r>
      <w:bookmarkEnd w:id="243"/>
      <w:r>
        <w:t xml:space="preserve">: Proportion of CDC participants </w:t>
      </w:r>
      <w:r w:rsidR="00EE12A6">
        <w:t>triggered onto the card in the Bundaberg and Hervey Bay region</w:t>
      </w:r>
      <w:r w:rsidR="002C4090">
        <w:t xml:space="preserve"> </w:t>
      </w:r>
      <w:r>
        <w:t xml:space="preserve">having accessed </w:t>
      </w:r>
      <w:r w:rsidR="005F4374">
        <w:t>Crisis Payments</w:t>
      </w:r>
      <w:r w:rsidR="002C4090">
        <w:t>,</w:t>
      </w:r>
      <w:r>
        <w:t xml:space="preserve"> according to their current location</w:t>
      </w:r>
      <w:r w:rsidR="002C4090">
        <w:t xml:space="preserve"> (</w:t>
      </w:r>
      <w:r>
        <w:t xml:space="preserve">all participants vs. currently active </w:t>
      </w:r>
      <w:bookmarkEnd w:id="244"/>
      <w:r>
        <w:t>participants</w:t>
      </w:r>
      <w:bookmarkEnd w:id="245"/>
      <w:bookmarkEnd w:id="246"/>
      <w:r w:rsidR="002C4090">
        <w:t>)</w:t>
      </w:r>
      <w:bookmarkEnd w:id="247"/>
    </w:p>
    <w:bookmarkEnd w:id="248"/>
    <w:p w14:paraId="3C0CB182" w14:textId="77777777" w:rsidR="002D33F2" w:rsidRDefault="002618B8" w:rsidP="002D33F2">
      <w:pPr>
        <w:jc w:val="center"/>
      </w:pPr>
      <w:r w:rsidRPr="00E60695">
        <w:rPr>
          <w:noProof/>
          <w:lang w:eastAsia="en-AU"/>
        </w:rPr>
        <w:drawing>
          <wp:inline distT="0" distB="0" distL="0" distR="0" wp14:anchorId="5A909705" wp14:editId="346FC9F7">
            <wp:extent cx="4179600" cy="2253600"/>
            <wp:effectExtent l="57150" t="19050" r="49530" b="90170"/>
            <wp:docPr id="15" name="Picture 15" descr="Proportion of CDC participants (triggered onto the card in the Bundaberg and Hervey Bay region) who have accessed crisis payments, according to where they currently live.&#10;Flynn: All BHB CDC participants 19%, Active BHB CDC participants 23% &#10;Wide Bay: All BHB CDC participants 16%, Active BHB CDC participants 17% &#10;Bundaberg: All BHB CDC participants 9%, Active BHB CDC participants 10% &#10;Hervey Bay: All BHB CDC participants 10%, Active BHB CDC participants 10% &#10;Maryborough: All BHB CDC participants 7%, Active BHB CDC participants 8% &#10;Greater Brisbane: All BHB CDC participants 19%, Active BHB CDC participants 22% &#10;Rest of Queensland: All BHB CDC participants 21%, Active BHB CDC participants 18% &#10;Outside Queensland: All BHB CDC participants 26%, Active BHB CDC participants 27%" title="Figure 3 5: Proportion of CDC participants triggered onto the card in the Bundaberg and Hervey Bay region having accessed Crisis Payments, according to their current location (all participants vs. currently active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79600" cy="22536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4E02ACC8" w14:textId="77777777" w:rsidR="002D33F2" w:rsidRDefault="002D33F2" w:rsidP="002D33F2">
      <w:pPr>
        <w:jc w:val="left"/>
      </w:pPr>
      <w:r>
        <w:br w:type="page"/>
      </w:r>
    </w:p>
    <w:p w14:paraId="57AB455A" w14:textId="77777777" w:rsidR="002D33F2" w:rsidRPr="003532DA" w:rsidRDefault="005F4374">
      <w:pPr>
        <w:pStyle w:val="Heading3"/>
      </w:pPr>
      <w:bookmarkStart w:id="249" w:name="_Toc34818232"/>
      <w:bookmarkStart w:id="250" w:name="_Toc34935589"/>
      <w:bookmarkStart w:id="251" w:name="_Toc37258359"/>
      <w:r w:rsidRPr="003532DA">
        <w:lastRenderedPageBreak/>
        <w:t>Crisis Payments</w:t>
      </w:r>
      <w:r w:rsidR="002D33F2" w:rsidRPr="003532DA">
        <w:t xml:space="preserve"> since the CDC roll out in the </w:t>
      </w:r>
      <w:r w:rsidR="006E3D3D" w:rsidRPr="003532DA">
        <w:t xml:space="preserve">Bundaberg and Hervey Bay region </w:t>
      </w:r>
      <w:r w:rsidR="002D33F2" w:rsidRPr="003532DA">
        <w:t>vs. one year prior to CDC roll out</w:t>
      </w:r>
      <w:bookmarkEnd w:id="249"/>
      <w:bookmarkEnd w:id="250"/>
      <w:bookmarkEnd w:id="251"/>
    </w:p>
    <w:p w14:paraId="60907F96" w14:textId="77777777" w:rsidR="002D33F2" w:rsidRDefault="002D33F2" w:rsidP="002D33F2">
      <w:r>
        <w:t xml:space="preserve">As stated above, the </w:t>
      </w:r>
      <w:r w:rsidR="0081527B">
        <w:t xml:space="preserve">Australian </w:t>
      </w:r>
      <w:r>
        <w:t xml:space="preserve">Government administrative data </w:t>
      </w:r>
      <w:r w:rsidR="0081527B">
        <w:t xml:space="preserve">records </w:t>
      </w:r>
      <w:r w:rsidR="005F4374">
        <w:t>Crisis Payments</w:t>
      </w:r>
      <w:r>
        <w:t xml:space="preserve"> (and payment cancellations and suspensions - see next subsection below) for those </w:t>
      </w:r>
      <w:r w:rsidR="0081527B">
        <w:t xml:space="preserve">people </w:t>
      </w:r>
      <w:r>
        <w:t xml:space="preserve">who ended </w:t>
      </w:r>
      <w:r w:rsidR="0081527B">
        <w:t xml:space="preserve">up </w:t>
      </w:r>
      <w:r>
        <w:t xml:space="preserve">being triggered onto the CDC </w:t>
      </w:r>
      <w:r w:rsidR="0081527B">
        <w:t xml:space="preserve">in the Bundaberg and Hervey Bay region from </w:t>
      </w:r>
      <w:r>
        <w:t xml:space="preserve">as far </w:t>
      </w:r>
      <w:r w:rsidR="0081527B">
        <w:t xml:space="preserve">back </w:t>
      </w:r>
      <w:r>
        <w:t>as March 2009 for some CDC participants and extend</w:t>
      </w:r>
      <w:r w:rsidR="0081527B">
        <w:t>s</w:t>
      </w:r>
      <w:r>
        <w:t xml:space="preserve"> to the current, post CDC roll out period, until February 2020 when the data used here was extracted. In order to add perspective to the number of CDC participants accessing </w:t>
      </w:r>
      <w:r w:rsidR="005F4374">
        <w:t>Crisis Payments</w:t>
      </w:r>
      <w:r>
        <w:t xml:space="preserve">, we look at the numbers for the period of 12 months since the </w:t>
      </w:r>
      <w:r w:rsidR="0081527B">
        <w:t xml:space="preserve">start of the </w:t>
      </w:r>
      <w:r>
        <w:t xml:space="preserve">CDC </w:t>
      </w:r>
      <w:r w:rsidR="0081527B">
        <w:t xml:space="preserve">rollout </w:t>
      </w:r>
      <w:r>
        <w:t xml:space="preserve">in the Bundaberg and Hervey Bay trial area </w:t>
      </w:r>
      <w:r w:rsidR="004E56B9">
        <w:t>(29</w:t>
      </w:r>
      <w:r w:rsidR="004E56B9" w:rsidRPr="000613C9">
        <w:rPr>
          <w:vertAlign w:val="superscript"/>
        </w:rPr>
        <w:t>th</w:t>
      </w:r>
      <w:r w:rsidR="004E56B9">
        <w:t xml:space="preserve"> January 2019) </w:t>
      </w:r>
      <w:r>
        <w:t xml:space="preserve">and compare those numbers to the equivalent 12 months period preceding the roll out of the CDC. </w:t>
      </w:r>
      <w:r w:rsidR="004E56B9">
        <w:t>We look at the period 29</w:t>
      </w:r>
      <w:r w:rsidR="00DD0798" w:rsidRPr="000613C9">
        <w:rPr>
          <w:vertAlign w:val="superscript"/>
        </w:rPr>
        <w:t>th</w:t>
      </w:r>
      <w:r w:rsidR="004E56B9">
        <w:t xml:space="preserve"> January 2018 to 28</w:t>
      </w:r>
      <w:r w:rsidR="004E56B9" w:rsidRPr="00FE0BBD">
        <w:rPr>
          <w:vertAlign w:val="superscript"/>
        </w:rPr>
        <w:t>th</w:t>
      </w:r>
      <w:r w:rsidR="004E56B9">
        <w:t xml:space="preserve"> January 2019 (henceforth labelled as ‘one year </w:t>
      </w:r>
      <w:r w:rsidR="00CF2DAA">
        <w:t>leading</w:t>
      </w:r>
      <w:r w:rsidR="004E56B9">
        <w:t xml:space="preserve"> to CDC’) and the period 29</w:t>
      </w:r>
      <w:r w:rsidR="004E56B9" w:rsidRPr="00FE0BBD">
        <w:rPr>
          <w:vertAlign w:val="superscript"/>
        </w:rPr>
        <w:t>th</w:t>
      </w:r>
      <w:r w:rsidR="004E56B9">
        <w:t xml:space="preserve"> January 2019 to 28</w:t>
      </w:r>
      <w:r w:rsidR="004E56B9" w:rsidRPr="00FE0BBD">
        <w:rPr>
          <w:vertAlign w:val="superscript"/>
        </w:rPr>
        <w:t>th</w:t>
      </w:r>
      <w:r w:rsidR="004E56B9">
        <w:t xml:space="preserve"> January 2020 (henceforth labelled as ‘since the CDC roll out’). </w:t>
      </w:r>
      <w:r>
        <w:t xml:space="preserve">Note the limited rationale behind such a comparison, which is to look over two similar durations </w:t>
      </w:r>
      <w:r w:rsidR="00470CFC">
        <w:t xml:space="preserve">of time </w:t>
      </w:r>
      <w:r>
        <w:t xml:space="preserve">and focus on the more recent records. This comparison is not designed to provide any information about the impact of the CDC on the number of </w:t>
      </w:r>
      <w:r w:rsidR="005F4374">
        <w:t>Crisis Payments</w:t>
      </w:r>
      <w:r>
        <w:t xml:space="preserve"> being awarded. If one wanted to look at the impact of the CDC on the number of </w:t>
      </w:r>
      <w:r w:rsidR="005F4374">
        <w:t>Crisis Payments</w:t>
      </w:r>
      <w:r>
        <w:t>, one would need to implement a different methodology, which would control for other factors that may have changed over time besides the roll out of the CDC. Such a methodology would also need to account for the fact that the roll out of the CDC in the Bundaberg and Hervey Bay trial area was not instantaneous, it was staggered over a period of time, starting from the 29</w:t>
      </w:r>
      <w:r w:rsidRPr="00665933">
        <w:rPr>
          <w:vertAlign w:val="superscript"/>
        </w:rPr>
        <w:t>th</w:t>
      </w:r>
      <w:r>
        <w:t xml:space="preserve"> January 2019</w:t>
      </w:r>
      <w:r w:rsidR="004E56B9">
        <w:t xml:space="preserve"> (by the end of May 2019, over 75</w:t>
      </w:r>
      <w:r w:rsidR="004D2C06">
        <w:t xml:space="preserve"> per cent</w:t>
      </w:r>
      <w:r w:rsidR="004E56B9">
        <w:t xml:space="preserve"> of the CDC participants present in the data had been triggered onto the CDC. March 2019 was the month when the largest number of individuals were triggered onto the card with over 3,100 people)</w:t>
      </w:r>
      <w:r>
        <w:t xml:space="preserve">. As a result, the numbers provided in Table 3-6 below offer simple summary information on how many </w:t>
      </w:r>
      <w:r w:rsidR="005F4374">
        <w:t>Crisis Payments</w:t>
      </w:r>
      <w:r>
        <w:t xml:space="preserve"> were granted in the relevant periods. This caveat applies also to the statistics provided on payments suspensions and cancellations in the next subsection.</w:t>
      </w:r>
    </w:p>
    <w:p w14:paraId="227B7AEE" w14:textId="28AF67B1" w:rsidR="002D33F2" w:rsidRDefault="002F67C3" w:rsidP="002D33F2">
      <w:r>
        <w:t>The following table (</w:t>
      </w:r>
      <w:r>
        <w:fldChar w:fldCharType="begin"/>
      </w:r>
      <w:r>
        <w:instrText xml:space="preserve"> REF _Ref36656139 \h </w:instrText>
      </w:r>
      <w:r>
        <w:fldChar w:fldCharType="separate"/>
      </w:r>
      <w:r w:rsidR="008E2086">
        <w:t xml:space="preserve">Table </w:t>
      </w:r>
      <w:r w:rsidR="008E2086">
        <w:rPr>
          <w:noProof/>
        </w:rPr>
        <w:t>3</w:t>
      </w:r>
      <w:r w:rsidR="008E2086">
        <w:noBreakHyphen/>
      </w:r>
      <w:r w:rsidR="008E2086">
        <w:rPr>
          <w:noProof/>
        </w:rPr>
        <w:t>6</w:t>
      </w:r>
      <w:r>
        <w:fldChar w:fldCharType="end"/>
      </w:r>
      <w:r>
        <w:t xml:space="preserve">) </w:t>
      </w:r>
      <w:r w:rsidR="002D33F2">
        <w:t xml:space="preserve">gives information on </w:t>
      </w:r>
      <w:r w:rsidR="00DD0798">
        <w:t>C</w:t>
      </w:r>
      <w:r w:rsidR="002D33F2">
        <w:t xml:space="preserve">risis </w:t>
      </w:r>
      <w:r w:rsidR="00DD0798">
        <w:t>P</w:t>
      </w:r>
      <w:r w:rsidR="002D33F2">
        <w:t>ayments awarded to CDC participants</w:t>
      </w:r>
      <w:r w:rsidR="00AA264C">
        <w:t xml:space="preserve"> since the </w:t>
      </w:r>
      <w:r w:rsidR="00AA264C" w:rsidRPr="004C56A0">
        <w:t>start of the</w:t>
      </w:r>
      <w:r w:rsidR="00AA264C">
        <w:t xml:space="preserve"> CDC roll out in the Bundaberg and Hervey Bay region on 29</w:t>
      </w:r>
      <w:r w:rsidR="00DD0798" w:rsidRPr="000613C9">
        <w:rPr>
          <w:vertAlign w:val="superscript"/>
        </w:rPr>
        <w:t>th</w:t>
      </w:r>
      <w:r w:rsidR="00AA264C">
        <w:t xml:space="preserve"> January 2019. It</w:t>
      </w:r>
      <w:r w:rsidR="002D33F2">
        <w:t xml:space="preserve"> compares with their situation in the year leading to the roll out</w:t>
      </w:r>
      <w:r w:rsidR="00AA264C">
        <w:t xml:space="preserve"> (period 29</w:t>
      </w:r>
      <w:r w:rsidR="00AA264C" w:rsidRPr="00FE0BBD">
        <w:rPr>
          <w:vertAlign w:val="superscript"/>
        </w:rPr>
        <w:t>th</w:t>
      </w:r>
      <w:r w:rsidR="00AA264C">
        <w:t xml:space="preserve"> January 2018 to 28</w:t>
      </w:r>
      <w:r w:rsidR="00AA264C" w:rsidRPr="00FE0BBD">
        <w:rPr>
          <w:vertAlign w:val="superscript"/>
        </w:rPr>
        <w:t>th</w:t>
      </w:r>
      <w:r w:rsidR="00AA264C">
        <w:t xml:space="preserve"> January 2019)</w:t>
      </w:r>
      <w:r w:rsidR="002D33F2">
        <w:t xml:space="preserve">. Since the CDC was rolled out in the Bundaberg and Hervey Bay area, 850 </w:t>
      </w:r>
      <w:r w:rsidR="00DD0798">
        <w:t xml:space="preserve">Crisis Payments </w:t>
      </w:r>
      <w:r w:rsidR="002D33F2">
        <w:t xml:space="preserve">were granted to 330 different CDC participants, that is, on average, 2.6 payments per participant. In the year leading to the CDC being rolled out, there were 873 </w:t>
      </w:r>
      <w:r w:rsidR="005F4374">
        <w:t>Crisis Payments</w:t>
      </w:r>
      <w:r w:rsidR="002D33F2">
        <w:t xml:space="preserve"> paid to those who eventually were triggered onto the CDC. These payments were awarded to 308 soon-to-be CDC participants, that is, an average of 2.8 </w:t>
      </w:r>
      <w:r w:rsidR="00DD0798">
        <w:t xml:space="preserve">Crisis Payments </w:t>
      </w:r>
      <w:r w:rsidR="002D33F2">
        <w:t xml:space="preserve">per participant. Out of the 330 CDC participants who were granted a Crisis </w:t>
      </w:r>
      <w:r w:rsidR="00DD0798">
        <w:t xml:space="preserve">Payment </w:t>
      </w:r>
      <w:r w:rsidR="002D33F2">
        <w:t xml:space="preserve">since the roll out </w:t>
      </w:r>
      <w:r w:rsidR="00EC6949">
        <w:t>began (</w:t>
      </w:r>
      <w:r w:rsidR="002D33F2">
        <w:t>on 29</w:t>
      </w:r>
      <w:r w:rsidR="002D33F2" w:rsidRPr="00665933">
        <w:rPr>
          <w:vertAlign w:val="superscript"/>
        </w:rPr>
        <w:t>th</w:t>
      </w:r>
      <w:r w:rsidR="002D33F2">
        <w:t xml:space="preserve"> January 2019), we find that 111 of them (34 per cent) were granted at least one Crisis </w:t>
      </w:r>
      <w:r w:rsidR="00DD0798">
        <w:t xml:space="preserve">Payment </w:t>
      </w:r>
      <w:r w:rsidR="002D33F2">
        <w:t xml:space="preserve">in the year leading to the roll out of the CDC. </w:t>
      </w:r>
    </w:p>
    <w:p w14:paraId="7627C357" w14:textId="39C01836" w:rsidR="002D33F2" w:rsidRDefault="002D33F2" w:rsidP="002D33F2">
      <w:pPr>
        <w:pStyle w:val="Caption"/>
      </w:pPr>
      <w:bookmarkStart w:id="252" w:name="_Ref36656139"/>
      <w:bookmarkStart w:id="253" w:name="_Toc36632828"/>
      <w:bookmarkStart w:id="254" w:name="_Toc36637922"/>
      <w:bookmarkStart w:id="255" w:name="_Toc34935557"/>
      <w:bookmarkStart w:id="256" w:name="_Toc37263591"/>
      <w:bookmarkStart w:id="257" w:name="_Ref34911260"/>
      <w:bookmarkStart w:id="258" w:name="_Toc34304868"/>
      <w:bookmarkStart w:id="259" w:name="_Ref34916794"/>
      <w:r>
        <w:t xml:space="preserve">Table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6</w:t>
      </w:r>
      <w:r w:rsidR="006C0554">
        <w:rPr>
          <w:noProof/>
        </w:rPr>
        <w:fldChar w:fldCharType="end"/>
      </w:r>
      <w:bookmarkEnd w:id="252"/>
      <w:r>
        <w:t xml:space="preserve">: Granted </w:t>
      </w:r>
      <w:r w:rsidR="005F4374">
        <w:t xml:space="preserve">Crisis </w:t>
      </w:r>
      <w:r>
        <w:t>payments, one year leading to CDC roll out vs. since roll out</w:t>
      </w:r>
      <w:bookmarkEnd w:id="253"/>
      <w:bookmarkEnd w:id="254"/>
      <w:bookmarkEnd w:id="255"/>
      <w:bookmarkEnd w:id="256"/>
    </w:p>
    <w:tbl>
      <w:tblPr>
        <w:tblStyle w:val="ListTable3-Accent1"/>
        <w:tblW w:w="8075" w:type="dxa"/>
        <w:tblLook w:val="04A0" w:firstRow="1" w:lastRow="0" w:firstColumn="1" w:lastColumn="0" w:noHBand="0" w:noVBand="1"/>
      </w:tblPr>
      <w:tblGrid>
        <w:gridCol w:w="2542"/>
        <w:gridCol w:w="1612"/>
        <w:gridCol w:w="3921"/>
      </w:tblGrid>
      <w:tr w:rsidR="002D33F2" w:rsidRPr="00DC50F4" w14:paraId="2787B00B" w14:textId="77777777" w:rsidTr="006C0554">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bookmarkEnd w:id="257"/>
          <w:bookmarkEnd w:id="258"/>
          <w:bookmarkEnd w:id="259"/>
          <w:p w14:paraId="6E7DDA5D" w14:textId="77777777" w:rsidR="002D33F2" w:rsidRPr="00665933" w:rsidRDefault="002D33F2" w:rsidP="007B6616">
            <w:pPr>
              <w:rPr>
                <w:color w:val="auto"/>
                <w:sz w:val="20"/>
                <w:szCs w:val="20"/>
                <w:lang w:eastAsia="en-AU"/>
              </w:rPr>
            </w:pPr>
            <w:r w:rsidRPr="00665933">
              <w:rPr>
                <w:sz w:val="20"/>
                <w:szCs w:val="20"/>
                <w:lang w:eastAsia="en-AU"/>
              </w:rPr>
              <w:t xml:space="preserve">Crisis </w:t>
            </w:r>
            <w:r w:rsidR="005F4374">
              <w:rPr>
                <w:sz w:val="20"/>
                <w:szCs w:val="20"/>
                <w:lang w:eastAsia="en-AU"/>
              </w:rPr>
              <w:t>P</w:t>
            </w:r>
            <w:r w:rsidR="005F4374" w:rsidRPr="00665933">
              <w:rPr>
                <w:sz w:val="20"/>
                <w:szCs w:val="20"/>
                <w:lang w:eastAsia="en-AU"/>
              </w:rPr>
              <w:t>ayments</w:t>
            </w:r>
          </w:p>
        </w:tc>
        <w:tc>
          <w:tcPr>
            <w:tcW w:w="0" w:type="dxa"/>
            <w:shd w:val="clear" w:color="auto" w:fill="2F5496" w:themeFill="accent5" w:themeFillShade="BF"/>
            <w:hideMark/>
          </w:tcPr>
          <w:p w14:paraId="6D2F0211" w14:textId="77777777" w:rsidR="002D33F2" w:rsidRPr="00665933" w:rsidRDefault="002D33F2" w:rsidP="000613C9">
            <w:pPr>
              <w:jc w:val="center"/>
              <w:cnfStyle w:val="100000000000" w:firstRow="1" w:lastRow="0" w:firstColumn="0" w:lastColumn="0" w:oddVBand="0" w:evenVBand="0" w:oddHBand="0" w:evenHBand="0" w:firstRowFirstColumn="0" w:firstRowLastColumn="0" w:lastRowFirstColumn="0" w:lastRowLastColumn="0"/>
              <w:rPr>
                <w:color w:val="auto"/>
                <w:sz w:val="20"/>
                <w:szCs w:val="20"/>
                <w:lang w:eastAsia="en-AU"/>
              </w:rPr>
            </w:pPr>
            <w:r w:rsidRPr="00665933">
              <w:rPr>
                <w:sz w:val="20"/>
                <w:szCs w:val="20"/>
                <w:lang w:eastAsia="en-AU"/>
              </w:rPr>
              <w:t>1 year leading to CDC roll out</w:t>
            </w:r>
          </w:p>
        </w:tc>
        <w:tc>
          <w:tcPr>
            <w:tcW w:w="2004" w:type="dxa"/>
            <w:shd w:val="clear" w:color="auto" w:fill="2F5496" w:themeFill="accent5" w:themeFillShade="BF"/>
            <w:hideMark/>
          </w:tcPr>
          <w:p w14:paraId="3F6F2FC0" w14:textId="77777777" w:rsidR="002D33F2" w:rsidRPr="00665933" w:rsidRDefault="002D33F2" w:rsidP="000613C9">
            <w:pPr>
              <w:jc w:val="center"/>
              <w:cnfStyle w:val="100000000000" w:firstRow="1" w:lastRow="0" w:firstColumn="0" w:lastColumn="0" w:oddVBand="0" w:evenVBand="0" w:oddHBand="0" w:evenHBand="0" w:firstRowFirstColumn="0" w:firstRowLastColumn="0" w:lastRowFirstColumn="0" w:lastRowLastColumn="0"/>
              <w:rPr>
                <w:color w:val="auto"/>
                <w:sz w:val="20"/>
                <w:szCs w:val="20"/>
                <w:lang w:eastAsia="en-AU"/>
              </w:rPr>
            </w:pPr>
            <w:r w:rsidRPr="00665933">
              <w:rPr>
                <w:sz w:val="20"/>
                <w:szCs w:val="20"/>
                <w:lang w:eastAsia="en-AU"/>
              </w:rPr>
              <w:t>Since CDC roll out</w:t>
            </w:r>
          </w:p>
        </w:tc>
      </w:tr>
      <w:tr w:rsidR="002D33F2" w:rsidRPr="005758A0" w14:paraId="63FB426D"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1B7960ED" w14:textId="77777777" w:rsidR="002D33F2" w:rsidRPr="00665933" w:rsidRDefault="002D33F2" w:rsidP="007B6616">
            <w:pPr>
              <w:rPr>
                <w:sz w:val="20"/>
                <w:szCs w:val="20"/>
                <w:lang w:eastAsia="en-AU"/>
              </w:rPr>
            </w:pPr>
            <w:r w:rsidRPr="00665933">
              <w:rPr>
                <w:sz w:val="20"/>
                <w:szCs w:val="20"/>
                <w:lang w:eastAsia="en-AU"/>
              </w:rPr>
              <w:t>Number of payments</w:t>
            </w:r>
          </w:p>
        </w:tc>
        <w:tc>
          <w:tcPr>
            <w:tcW w:w="0" w:type="dxa"/>
            <w:noWrap/>
            <w:vAlign w:val="center"/>
            <w:hideMark/>
          </w:tcPr>
          <w:p w14:paraId="1A883027" w14:textId="77777777" w:rsidR="002D33F2" w:rsidRPr="005758A0" w:rsidRDefault="002D33F2" w:rsidP="000613C9">
            <w:pPr>
              <w:jc w:val="center"/>
              <w:cnfStyle w:val="000000100000" w:firstRow="0" w:lastRow="0" w:firstColumn="0" w:lastColumn="0" w:oddVBand="0" w:evenVBand="0" w:oddHBand="1" w:evenHBand="0" w:firstRowFirstColumn="0" w:firstRowLastColumn="0" w:lastRowFirstColumn="0" w:lastRowLastColumn="0"/>
              <w:rPr>
                <w:lang w:eastAsia="en-AU"/>
              </w:rPr>
            </w:pPr>
            <w:r w:rsidRPr="005758A0">
              <w:rPr>
                <w:lang w:eastAsia="en-AU"/>
              </w:rPr>
              <w:t>873</w:t>
            </w:r>
          </w:p>
        </w:tc>
        <w:tc>
          <w:tcPr>
            <w:tcW w:w="2004" w:type="dxa"/>
            <w:noWrap/>
            <w:vAlign w:val="center"/>
            <w:hideMark/>
          </w:tcPr>
          <w:p w14:paraId="75AC09A7" w14:textId="77777777" w:rsidR="002D33F2" w:rsidRPr="005758A0" w:rsidRDefault="002D33F2" w:rsidP="000613C9">
            <w:pPr>
              <w:jc w:val="center"/>
              <w:cnfStyle w:val="000000100000" w:firstRow="0" w:lastRow="0" w:firstColumn="0" w:lastColumn="0" w:oddVBand="0" w:evenVBand="0" w:oddHBand="1" w:evenHBand="0" w:firstRowFirstColumn="0" w:firstRowLastColumn="0" w:lastRowFirstColumn="0" w:lastRowLastColumn="0"/>
              <w:rPr>
                <w:lang w:eastAsia="en-AU"/>
              </w:rPr>
            </w:pPr>
            <w:r w:rsidRPr="005758A0">
              <w:rPr>
                <w:lang w:eastAsia="en-AU"/>
              </w:rPr>
              <w:t>850</w:t>
            </w:r>
          </w:p>
        </w:tc>
      </w:tr>
      <w:tr w:rsidR="002D33F2" w:rsidRPr="005758A0" w14:paraId="6F864877" w14:textId="77777777" w:rsidTr="00A4064D">
        <w:trPr>
          <w:trHeight w:val="300"/>
        </w:trPr>
        <w:tc>
          <w:tcPr>
            <w:cnfStyle w:val="001000000000" w:firstRow="0" w:lastRow="0" w:firstColumn="1" w:lastColumn="0" w:oddVBand="0" w:evenVBand="0" w:oddHBand="0" w:evenHBand="0" w:firstRowFirstColumn="0" w:firstRowLastColumn="0" w:lastRowFirstColumn="0" w:lastRowLastColumn="0"/>
            <w:tcW w:w="0" w:type="dxa"/>
            <w:noWrap/>
            <w:hideMark/>
          </w:tcPr>
          <w:p w14:paraId="39304C0E" w14:textId="77777777" w:rsidR="002D33F2" w:rsidRPr="00665933" w:rsidRDefault="002D33F2" w:rsidP="007B6616">
            <w:pPr>
              <w:rPr>
                <w:sz w:val="20"/>
                <w:szCs w:val="20"/>
                <w:lang w:eastAsia="en-AU"/>
              </w:rPr>
            </w:pPr>
            <w:r w:rsidRPr="00665933">
              <w:rPr>
                <w:sz w:val="20"/>
                <w:szCs w:val="20"/>
                <w:lang w:eastAsia="en-AU"/>
              </w:rPr>
              <w:t xml:space="preserve">Number of </w:t>
            </w:r>
            <w:r>
              <w:t>participant</w:t>
            </w:r>
            <w:r w:rsidRPr="00665933">
              <w:rPr>
                <w:sz w:val="20"/>
                <w:szCs w:val="20"/>
                <w:lang w:eastAsia="en-AU"/>
              </w:rPr>
              <w:t xml:space="preserve">s </w:t>
            </w:r>
          </w:p>
        </w:tc>
        <w:tc>
          <w:tcPr>
            <w:tcW w:w="0" w:type="dxa"/>
            <w:noWrap/>
            <w:vAlign w:val="center"/>
            <w:hideMark/>
          </w:tcPr>
          <w:p w14:paraId="0CE2839D" w14:textId="77777777" w:rsidR="002D33F2" w:rsidRPr="005758A0" w:rsidRDefault="002D33F2" w:rsidP="000613C9">
            <w:pPr>
              <w:jc w:val="center"/>
              <w:cnfStyle w:val="000000000000" w:firstRow="0" w:lastRow="0" w:firstColumn="0" w:lastColumn="0" w:oddVBand="0" w:evenVBand="0" w:oddHBand="0" w:evenHBand="0" w:firstRowFirstColumn="0" w:firstRowLastColumn="0" w:lastRowFirstColumn="0" w:lastRowLastColumn="0"/>
              <w:rPr>
                <w:lang w:eastAsia="en-AU"/>
              </w:rPr>
            </w:pPr>
            <w:r w:rsidRPr="005758A0">
              <w:rPr>
                <w:lang w:eastAsia="en-AU"/>
              </w:rPr>
              <w:t>308</w:t>
            </w:r>
          </w:p>
        </w:tc>
        <w:tc>
          <w:tcPr>
            <w:tcW w:w="2004" w:type="dxa"/>
            <w:noWrap/>
            <w:vAlign w:val="center"/>
            <w:hideMark/>
          </w:tcPr>
          <w:p w14:paraId="68DFDF4C" w14:textId="77777777" w:rsidR="002D33F2" w:rsidRPr="005758A0" w:rsidRDefault="002D33F2" w:rsidP="000613C9">
            <w:pPr>
              <w:jc w:val="center"/>
              <w:cnfStyle w:val="000000000000" w:firstRow="0" w:lastRow="0" w:firstColumn="0" w:lastColumn="0" w:oddVBand="0" w:evenVBand="0" w:oddHBand="0" w:evenHBand="0" w:firstRowFirstColumn="0" w:firstRowLastColumn="0" w:lastRowFirstColumn="0" w:lastRowLastColumn="0"/>
              <w:rPr>
                <w:lang w:eastAsia="en-AU"/>
              </w:rPr>
            </w:pPr>
            <w:r w:rsidRPr="005758A0">
              <w:rPr>
                <w:lang w:eastAsia="en-AU"/>
              </w:rPr>
              <w:t>330</w:t>
            </w:r>
          </w:p>
        </w:tc>
      </w:tr>
      <w:tr w:rsidR="002D33F2" w:rsidRPr="005758A0" w14:paraId="743D9FF4" w14:textId="77777777" w:rsidTr="00A406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tcPr>
          <w:p w14:paraId="0D96DF9D" w14:textId="77777777" w:rsidR="002D33F2" w:rsidRPr="00665933" w:rsidRDefault="002D33F2" w:rsidP="007B6616">
            <w:pPr>
              <w:rPr>
                <w:sz w:val="20"/>
                <w:szCs w:val="20"/>
                <w:lang w:eastAsia="en-AU"/>
              </w:rPr>
            </w:pPr>
            <w:r w:rsidRPr="00665933">
              <w:rPr>
                <w:sz w:val="20"/>
                <w:szCs w:val="20"/>
                <w:lang w:eastAsia="en-AU"/>
              </w:rPr>
              <w:t xml:space="preserve">Average number of </w:t>
            </w:r>
            <w:r w:rsidR="005F4374">
              <w:t>Crisis Payments</w:t>
            </w:r>
            <w:r w:rsidRPr="00665933">
              <w:rPr>
                <w:sz w:val="20"/>
                <w:szCs w:val="20"/>
                <w:lang w:eastAsia="en-AU"/>
              </w:rPr>
              <w:t xml:space="preserve"> per CDC participant</w:t>
            </w:r>
          </w:p>
        </w:tc>
        <w:tc>
          <w:tcPr>
            <w:tcW w:w="0" w:type="dxa"/>
            <w:noWrap/>
            <w:vAlign w:val="center"/>
          </w:tcPr>
          <w:p w14:paraId="700D508A" w14:textId="77777777" w:rsidR="002D33F2" w:rsidRPr="005758A0" w:rsidRDefault="002D33F2" w:rsidP="000613C9">
            <w:pPr>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2.8</w:t>
            </w:r>
          </w:p>
        </w:tc>
        <w:tc>
          <w:tcPr>
            <w:tcW w:w="2004" w:type="dxa"/>
            <w:noWrap/>
            <w:vAlign w:val="center"/>
          </w:tcPr>
          <w:p w14:paraId="49D7BB6A" w14:textId="77777777" w:rsidR="002D33F2" w:rsidRPr="005758A0" w:rsidRDefault="002D33F2" w:rsidP="000613C9">
            <w:pPr>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t>2.6</w:t>
            </w:r>
          </w:p>
        </w:tc>
      </w:tr>
    </w:tbl>
    <w:p w14:paraId="7B2E5AA8" w14:textId="77777777" w:rsidR="00AA264C" w:rsidRDefault="00AA264C" w:rsidP="007260A4">
      <w:pPr>
        <w:spacing w:after="0" w:line="240" w:lineRule="auto"/>
        <w:rPr>
          <w:i/>
          <w:iCs/>
          <w:sz w:val="18"/>
          <w:szCs w:val="18"/>
        </w:rPr>
      </w:pPr>
      <w:r>
        <w:rPr>
          <w:i/>
          <w:iCs/>
          <w:sz w:val="18"/>
          <w:szCs w:val="18"/>
        </w:rPr>
        <w:t>Note: ‘1 year leading to CDC roll out’ refers to the period 29</w:t>
      </w:r>
      <w:r w:rsidRPr="00FE0BBD">
        <w:rPr>
          <w:i/>
          <w:iCs/>
          <w:sz w:val="18"/>
          <w:szCs w:val="18"/>
          <w:vertAlign w:val="superscript"/>
        </w:rPr>
        <w:t>th</w:t>
      </w:r>
      <w:r>
        <w:rPr>
          <w:i/>
          <w:iCs/>
          <w:sz w:val="18"/>
          <w:szCs w:val="18"/>
        </w:rPr>
        <w:t xml:space="preserve"> January 2018 to 28</w:t>
      </w:r>
      <w:r w:rsidRPr="00FE0BBD">
        <w:rPr>
          <w:i/>
          <w:iCs/>
          <w:sz w:val="18"/>
          <w:szCs w:val="18"/>
          <w:vertAlign w:val="superscript"/>
        </w:rPr>
        <w:t>th</w:t>
      </w:r>
      <w:r>
        <w:rPr>
          <w:i/>
          <w:iCs/>
          <w:sz w:val="18"/>
          <w:szCs w:val="18"/>
        </w:rPr>
        <w:t xml:space="preserve"> January 2019</w:t>
      </w:r>
    </w:p>
    <w:p w14:paraId="3C58EB86" w14:textId="77777777" w:rsidR="00AA264C" w:rsidRPr="00FE0BBD" w:rsidRDefault="00AA264C" w:rsidP="007260A4">
      <w:pPr>
        <w:rPr>
          <w:i/>
          <w:iCs/>
          <w:sz w:val="18"/>
          <w:szCs w:val="18"/>
        </w:rPr>
      </w:pPr>
      <w:r>
        <w:rPr>
          <w:i/>
          <w:iCs/>
          <w:sz w:val="18"/>
          <w:szCs w:val="18"/>
        </w:rPr>
        <w:t>‘Since CDC roll out’ refers to the period 29</w:t>
      </w:r>
      <w:r w:rsidRPr="00FE0BBD">
        <w:rPr>
          <w:i/>
          <w:iCs/>
          <w:sz w:val="18"/>
          <w:szCs w:val="18"/>
          <w:vertAlign w:val="superscript"/>
        </w:rPr>
        <w:t>th</w:t>
      </w:r>
      <w:r>
        <w:rPr>
          <w:i/>
          <w:iCs/>
          <w:sz w:val="18"/>
          <w:szCs w:val="18"/>
        </w:rPr>
        <w:t xml:space="preserve"> January 2019 to 28</w:t>
      </w:r>
      <w:r w:rsidRPr="00FE0BBD">
        <w:rPr>
          <w:i/>
          <w:iCs/>
          <w:sz w:val="18"/>
          <w:szCs w:val="18"/>
          <w:vertAlign w:val="superscript"/>
        </w:rPr>
        <w:t>th</w:t>
      </w:r>
      <w:r>
        <w:rPr>
          <w:i/>
          <w:iCs/>
          <w:sz w:val="18"/>
          <w:szCs w:val="18"/>
        </w:rPr>
        <w:t xml:space="preserve"> January 2020.</w:t>
      </w:r>
    </w:p>
    <w:p w14:paraId="334DD4EC" w14:textId="77777777" w:rsidR="002D33F2" w:rsidRDefault="002D33F2" w:rsidP="002D33F2">
      <w:pPr>
        <w:jc w:val="left"/>
      </w:pPr>
      <w:r>
        <w:br w:type="page"/>
      </w:r>
    </w:p>
    <w:p w14:paraId="4BEE42EA" w14:textId="77777777" w:rsidR="002D33F2" w:rsidRDefault="002D33F2">
      <w:pPr>
        <w:pStyle w:val="Heading2"/>
      </w:pPr>
      <w:bookmarkStart w:id="260" w:name="_Toc34818233"/>
      <w:bookmarkStart w:id="261" w:name="_Toc34935590"/>
      <w:bookmarkStart w:id="262" w:name="_Toc37258360"/>
      <w:r w:rsidRPr="0057240F">
        <w:lastRenderedPageBreak/>
        <w:t>Benefit cancellations and suspensions</w:t>
      </w:r>
      <w:bookmarkEnd w:id="260"/>
      <w:bookmarkEnd w:id="261"/>
      <w:bookmarkEnd w:id="262"/>
    </w:p>
    <w:p w14:paraId="5E7E6393" w14:textId="7483829B" w:rsidR="002D33F2" w:rsidRDefault="002D33F2" w:rsidP="002D33F2">
      <w:r>
        <w:t xml:space="preserve">There are many reasons why a Government benefit payment may be cancelled or suspended for an individual. Some </w:t>
      </w:r>
      <w:r w:rsidR="00A1679F">
        <w:t xml:space="preserve">reasons </w:t>
      </w:r>
      <w:r>
        <w:t xml:space="preserve">are related to individuals’ failure to meet their mutual obligation requirements. For instance, some cancellations occur because the recipient failed to report, or failed to re-engage, or failed to reply to correspondence. Benefits may </w:t>
      </w:r>
      <w:r w:rsidR="00FC3164">
        <w:t xml:space="preserve">also </w:t>
      </w:r>
      <w:r>
        <w:t xml:space="preserve">be cancelled as a result of the </w:t>
      </w:r>
      <w:r w:rsidR="004368AB">
        <w:t>recipient</w:t>
      </w:r>
      <w:r>
        <w:t xml:space="preserve"> being in prison. But </w:t>
      </w:r>
      <w:r w:rsidR="003B6CCA">
        <w:t xml:space="preserve">suspensions or </w:t>
      </w:r>
      <w:r>
        <w:t xml:space="preserve">cancellations may also occur because an individual has found a job or has reached a level of income in excess of the relevant threshold. Individuals may </w:t>
      </w:r>
      <w:r w:rsidR="004368AB">
        <w:t xml:space="preserve">also </w:t>
      </w:r>
      <w:r>
        <w:t xml:space="preserve">have withdrawn or voluntarily surrendered their benefit payments. Some payments are suspended because individuals have been overseas for more than </w:t>
      </w:r>
      <w:r w:rsidR="00DD0798">
        <w:t xml:space="preserve">six </w:t>
      </w:r>
      <w:r>
        <w:t>weeks (for instance, people still get their Family Tax Benefits for up to 6 weeks of temporary travel overseas). Altogether</w:t>
      </w:r>
      <w:r w:rsidR="004368AB">
        <w:t xml:space="preserve"> there are </w:t>
      </w:r>
      <w:r>
        <w:t xml:space="preserve">many reasons why someone </w:t>
      </w:r>
      <w:r w:rsidR="004368AB">
        <w:t xml:space="preserve">may have </w:t>
      </w:r>
      <w:r>
        <w:t>had the</w:t>
      </w:r>
      <w:r w:rsidR="004368AB">
        <w:t>ir</w:t>
      </w:r>
      <w:r>
        <w:t xml:space="preserve"> payments suspended or cancelled.</w:t>
      </w:r>
    </w:p>
    <w:p w14:paraId="31BEF158" w14:textId="77777777" w:rsidR="002D33F2" w:rsidRDefault="002D33F2" w:rsidP="002D33F2">
      <w:r>
        <w:t xml:space="preserve">Following the previous subsection, we look at cancellations and suspension that occurred one year prior to the roll out of the CDC and since the CDC. The same principle applies as the one described in the discussion on </w:t>
      </w:r>
      <w:r w:rsidR="005F4374">
        <w:t>Crisis Payments</w:t>
      </w:r>
      <w:r>
        <w:t xml:space="preserve">: the statistics presented aim at comparing two periods of </w:t>
      </w:r>
      <w:r w:rsidR="00274165">
        <w:t>similar</w:t>
      </w:r>
      <w:r>
        <w:t xml:space="preserve"> duration and the figures quoted should not be taken as indicators of the potential impact (or not) of the CDC on the number of benefit payment cancellations and suspensions.</w:t>
      </w:r>
    </w:p>
    <w:p w14:paraId="053D88E0" w14:textId="77777777" w:rsidR="002D33F2" w:rsidRDefault="002D33F2" w:rsidP="002D33F2">
      <w:r>
        <w:t xml:space="preserve">The data on benefits historically received by CDC participants </w:t>
      </w:r>
      <w:r w:rsidR="0016477D">
        <w:t xml:space="preserve">triggered onto the CDC in the Bundaberg and Hervey Bay region </w:t>
      </w:r>
      <w:r>
        <w:t>contains information on instances where benefits were either cancelled or suspended. The following tables and figures provide information about these cancellations according to a number of characteristics of the CDC participants and compare their situation in the year leading to the roll out and their experiences since the roll out.</w:t>
      </w:r>
    </w:p>
    <w:p w14:paraId="24B8ACED" w14:textId="34186102" w:rsidR="002D33F2" w:rsidRPr="00665933" w:rsidRDefault="002D33F2" w:rsidP="002D33F2">
      <w:pPr>
        <w:rPr>
          <w:sz w:val="20"/>
          <w:szCs w:val="20"/>
          <w:lang w:eastAsia="en-AU"/>
        </w:rPr>
      </w:pPr>
      <w:r>
        <w:t>The following table (</w:t>
      </w:r>
      <w:r w:rsidR="00B73101">
        <w:fldChar w:fldCharType="begin"/>
      </w:r>
      <w:r w:rsidR="00B73101">
        <w:instrText xml:space="preserve"> REF _Ref36656166 \h </w:instrText>
      </w:r>
      <w:r w:rsidR="00B73101">
        <w:fldChar w:fldCharType="separate"/>
      </w:r>
      <w:r w:rsidR="008E2086">
        <w:t xml:space="preserve">Table </w:t>
      </w:r>
      <w:r w:rsidR="008E2086">
        <w:rPr>
          <w:noProof/>
        </w:rPr>
        <w:t>3</w:t>
      </w:r>
      <w:r w:rsidR="008E2086">
        <w:noBreakHyphen/>
      </w:r>
      <w:r w:rsidR="008E2086">
        <w:rPr>
          <w:noProof/>
        </w:rPr>
        <w:t>7</w:t>
      </w:r>
      <w:r w:rsidR="00B73101">
        <w:fldChar w:fldCharType="end"/>
      </w:r>
      <w:r>
        <w:t xml:space="preserve">) shows the number of cancellations and suspensions experienced by the CDC participants in the year leading to the roll out (first row: </w:t>
      </w:r>
      <w:r w:rsidRPr="00665933">
        <w:t>One year leading to CDC roll out</w:t>
      </w:r>
      <w:r>
        <w:t xml:space="preserve">) and since they became CDC participants (second row: </w:t>
      </w:r>
      <w:r w:rsidRPr="00665933">
        <w:t>Since CDC roll out</w:t>
      </w:r>
      <w:r>
        <w:t xml:space="preserve">). In the year leading to the roll out, 2,809 individuals experienced at least one cancellation of their benefits, with a total of 4,709 cancellations (1.7 cancellations per participant). Since the roll out we observe that 2,427 participants have had their benefit cancelled at least once. The average number of cancellations per CDC participant since the roll out is roughly the same as in the year leading to the roll out. </w:t>
      </w:r>
    </w:p>
    <w:p w14:paraId="5BCED8BD" w14:textId="77777777" w:rsidR="002D33F2" w:rsidRDefault="002D33F2" w:rsidP="002D33F2">
      <w:r>
        <w:t>With regards to the suspension of</w:t>
      </w:r>
      <w:r w:rsidRPr="00591189">
        <w:t xml:space="preserve"> </w:t>
      </w:r>
      <w:r>
        <w:t>benefits, we observe that there are fewer instances compared to cancellations. In the year leading to the roll out, there were 647 instances of benefit suspension involving 578 participants (an average of 1.1 suspensions per participant). Since the roll out, there were 472 instances of benefit suspension involving 398 CDC participants. Compared to the cancellations we see that the situation post-CDC roll out is definitely different from the year leading to the roll out with regards to suspended benefits. The number of CDC participants who had their benefits suspended post-CDC roll out is significantly smaller than the number of participants having their benefits suspended in the year leading to the CDC.</w:t>
      </w:r>
    </w:p>
    <w:p w14:paraId="295D9FEE" w14:textId="77777777" w:rsidR="002D33F2" w:rsidRDefault="002D33F2" w:rsidP="002D33F2">
      <w:pPr>
        <w:jc w:val="left"/>
      </w:pPr>
      <w:r>
        <w:br w:type="page"/>
      </w:r>
    </w:p>
    <w:p w14:paraId="07CD3C11" w14:textId="4D232078" w:rsidR="002D33F2" w:rsidRDefault="002D33F2" w:rsidP="002D33F2">
      <w:pPr>
        <w:pStyle w:val="Caption"/>
      </w:pPr>
      <w:bookmarkStart w:id="263" w:name="_Ref36656166"/>
      <w:bookmarkStart w:id="264" w:name="_Ref34295650"/>
      <w:bookmarkStart w:id="265" w:name="_Toc36637923"/>
      <w:bookmarkStart w:id="266" w:name="_Toc34304869"/>
      <w:bookmarkStart w:id="267" w:name="_Toc34935558"/>
      <w:bookmarkStart w:id="268" w:name="_Toc37263592"/>
      <w:r>
        <w:lastRenderedPageBreak/>
        <w:t xml:space="preserve">Table </w:t>
      </w:r>
      <w:r w:rsidR="006C0554">
        <w:fldChar w:fldCharType="begin"/>
      </w:r>
      <w:r w:rsidR="006C0554">
        <w:instrText xml:space="preserve"> STYLERE</w:instrText>
      </w:r>
      <w:r w:rsidR="006C0554">
        <w:instrText xml:space="preserv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7</w:t>
      </w:r>
      <w:r w:rsidR="006C0554">
        <w:rPr>
          <w:noProof/>
        </w:rPr>
        <w:fldChar w:fldCharType="end"/>
      </w:r>
      <w:bookmarkEnd w:id="263"/>
      <w:bookmarkEnd w:id="264"/>
      <w:r>
        <w:t>: Benefit cancellations and suspension, one year leading to CDC vs. since CDC</w:t>
      </w:r>
      <w:bookmarkEnd w:id="265"/>
      <w:bookmarkEnd w:id="266"/>
      <w:bookmarkEnd w:id="267"/>
      <w:bookmarkEnd w:id="268"/>
    </w:p>
    <w:tbl>
      <w:tblPr>
        <w:tblStyle w:val="ListTable3-Accent1"/>
        <w:tblW w:w="5000" w:type="pct"/>
        <w:jc w:val="center"/>
        <w:tblLayout w:type="fixed"/>
        <w:tblLook w:val="04A0" w:firstRow="1" w:lastRow="0" w:firstColumn="1" w:lastColumn="0" w:noHBand="0" w:noVBand="1"/>
      </w:tblPr>
      <w:tblGrid>
        <w:gridCol w:w="2111"/>
        <w:gridCol w:w="1003"/>
        <w:gridCol w:w="1277"/>
        <w:gridCol w:w="1134"/>
        <w:gridCol w:w="992"/>
        <w:gridCol w:w="1275"/>
        <w:gridCol w:w="1224"/>
      </w:tblGrid>
      <w:tr w:rsidR="002D33F2" w:rsidRPr="000B7F73" w14:paraId="7C7D4E35" w14:textId="77777777" w:rsidTr="00A4064D">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0" w:type="pct"/>
            <w:shd w:val="clear" w:color="auto" w:fill="2F5496" w:themeFill="accent5" w:themeFillShade="BF"/>
            <w:noWrap/>
            <w:hideMark/>
          </w:tcPr>
          <w:p w14:paraId="6785FA0B" w14:textId="77777777" w:rsidR="002D33F2" w:rsidRPr="00665933" w:rsidRDefault="002D33F2" w:rsidP="007B6616">
            <w:pPr>
              <w:rPr>
                <w:sz w:val="20"/>
                <w:szCs w:val="20"/>
                <w:lang w:eastAsia="en-AU"/>
              </w:rPr>
            </w:pPr>
          </w:p>
        </w:tc>
        <w:tc>
          <w:tcPr>
            <w:tcW w:w="0" w:type="pct"/>
            <w:gridSpan w:val="3"/>
            <w:tcBorders>
              <w:right w:val="single" w:sz="12" w:space="0" w:color="2E74B5" w:themeColor="accent1" w:themeShade="BF"/>
            </w:tcBorders>
            <w:shd w:val="clear" w:color="auto" w:fill="2F5496" w:themeFill="accent5" w:themeFillShade="BF"/>
            <w:noWrap/>
            <w:hideMark/>
          </w:tcPr>
          <w:p w14:paraId="19D655BC" w14:textId="77777777" w:rsidR="002D33F2" w:rsidRPr="00665933" w:rsidRDefault="002D33F2" w:rsidP="000613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eastAsia="en-AU"/>
              </w:rPr>
            </w:pPr>
            <w:r w:rsidRPr="00665933">
              <w:rPr>
                <w:sz w:val="20"/>
                <w:szCs w:val="20"/>
                <w:lang w:eastAsia="en-AU"/>
              </w:rPr>
              <w:t>Cancelled benefits</w:t>
            </w:r>
          </w:p>
        </w:tc>
        <w:tc>
          <w:tcPr>
            <w:tcW w:w="0" w:type="pct"/>
            <w:gridSpan w:val="3"/>
            <w:tcBorders>
              <w:left w:val="single" w:sz="12" w:space="0" w:color="2E74B5" w:themeColor="accent1" w:themeShade="BF"/>
            </w:tcBorders>
            <w:shd w:val="clear" w:color="auto" w:fill="2F5496" w:themeFill="accent5" w:themeFillShade="BF"/>
            <w:noWrap/>
            <w:hideMark/>
          </w:tcPr>
          <w:p w14:paraId="4EA3C9B0" w14:textId="77777777" w:rsidR="002D33F2" w:rsidRPr="00665933" w:rsidRDefault="002D33F2" w:rsidP="000613C9">
            <w:pPr>
              <w:jc w:val="center"/>
              <w:cnfStyle w:val="100000000000" w:firstRow="1" w:lastRow="0" w:firstColumn="0" w:lastColumn="0" w:oddVBand="0" w:evenVBand="0" w:oddHBand="0" w:evenHBand="0" w:firstRowFirstColumn="0" w:firstRowLastColumn="0" w:lastRowFirstColumn="0" w:lastRowLastColumn="0"/>
              <w:rPr>
                <w:color w:val="auto"/>
                <w:sz w:val="20"/>
                <w:szCs w:val="20"/>
                <w:lang w:eastAsia="en-AU"/>
              </w:rPr>
            </w:pPr>
            <w:r w:rsidRPr="00665933">
              <w:rPr>
                <w:sz w:val="20"/>
                <w:szCs w:val="20"/>
                <w:lang w:eastAsia="en-AU"/>
              </w:rPr>
              <w:t>Suspended benefits</w:t>
            </w:r>
          </w:p>
        </w:tc>
      </w:tr>
      <w:tr w:rsidR="002D33F2" w:rsidRPr="00D20E90" w14:paraId="2DBC23BB" w14:textId="77777777" w:rsidTr="003F406E">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171" w:type="pct"/>
            <w:noWrap/>
            <w:hideMark/>
          </w:tcPr>
          <w:p w14:paraId="6E2E4F52" w14:textId="77777777" w:rsidR="002D33F2" w:rsidRPr="00665933" w:rsidRDefault="002D33F2" w:rsidP="007B6616">
            <w:pPr>
              <w:rPr>
                <w:sz w:val="20"/>
                <w:lang w:eastAsia="en-AU"/>
              </w:rPr>
            </w:pPr>
          </w:p>
        </w:tc>
        <w:tc>
          <w:tcPr>
            <w:tcW w:w="556" w:type="pct"/>
            <w:vAlign w:val="center"/>
            <w:hideMark/>
          </w:tcPr>
          <w:p w14:paraId="01A5F79A" w14:textId="77777777" w:rsidR="002D33F2" w:rsidRPr="000613C9" w:rsidRDefault="002D33F2" w:rsidP="000613C9">
            <w:pPr>
              <w:jc w:val="center"/>
              <w:cnfStyle w:val="000000100000" w:firstRow="0" w:lastRow="0" w:firstColumn="0" w:lastColumn="0" w:oddVBand="0" w:evenVBand="0" w:oddHBand="1" w:evenHBand="0" w:firstRowFirstColumn="0" w:firstRowLastColumn="0" w:lastRowFirstColumn="0" w:lastRowLastColumn="0"/>
              <w:rPr>
                <w:b/>
                <w:sz w:val="20"/>
                <w:lang w:eastAsia="en-AU"/>
              </w:rPr>
            </w:pPr>
            <w:r w:rsidRPr="000613C9">
              <w:rPr>
                <w:b/>
                <w:sz w:val="20"/>
                <w:lang w:eastAsia="en-AU"/>
              </w:rPr>
              <w:t>number of instances</w:t>
            </w:r>
          </w:p>
        </w:tc>
        <w:tc>
          <w:tcPr>
            <w:tcW w:w="708" w:type="pct"/>
            <w:vAlign w:val="center"/>
            <w:hideMark/>
          </w:tcPr>
          <w:p w14:paraId="57187755" w14:textId="77777777" w:rsidR="002D33F2" w:rsidRPr="000613C9" w:rsidRDefault="002D33F2" w:rsidP="000613C9">
            <w:pPr>
              <w:jc w:val="center"/>
              <w:cnfStyle w:val="000000100000" w:firstRow="0" w:lastRow="0" w:firstColumn="0" w:lastColumn="0" w:oddVBand="0" w:evenVBand="0" w:oddHBand="1" w:evenHBand="0" w:firstRowFirstColumn="0" w:firstRowLastColumn="0" w:lastRowFirstColumn="0" w:lastRowLastColumn="0"/>
              <w:rPr>
                <w:b/>
                <w:sz w:val="20"/>
                <w:lang w:eastAsia="en-AU"/>
              </w:rPr>
            </w:pPr>
            <w:r w:rsidRPr="000613C9">
              <w:rPr>
                <w:b/>
                <w:sz w:val="20"/>
                <w:lang w:eastAsia="en-AU"/>
              </w:rPr>
              <w:t xml:space="preserve">number of </w:t>
            </w:r>
            <w:r w:rsidRPr="000613C9">
              <w:rPr>
                <w:b/>
                <w:sz w:val="20"/>
              </w:rPr>
              <w:t>participant</w:t>
            </w:r>
            <w:r w:rsidRPr="000613C9">
              <w:rPr>
                <w:b/>
                <w:sz w:val="20"/>
                <w:lang w:eastAsia="en-AU"/>
              </w:rPr>
              <w:t>s</w:t>
            </w:r>
          </w:p>
        </w:tc>
        <w:tc>
          <w:tcPr>
            <w:tcW w:w="629" w:type="pct"/>
            <w:tcBorders>
              <w:right w:val="single" w:sz="12" w:space="0" w:color="2E74B5" w:themeColor="accent1" w:themeShade="BF"/>
            </w:tcBorders>
            <w:vAlign w:val="center"/>
            <w:hideMark/>
          </w:tcPr>
          <w:p w14:paraId="60A6CE0C" w14:textId="77777777" w:rsidR="002D33F2" w:rsidRPr="000613C9" w:rsidRDefault="002D33F2" w:rsidP="000613C9">
            <w:pPr>
              <w:jc w:val="center"/>
              <w:cnfStyle w:val="000000100000" w:firstRow="0" w:lastRow="0" w:firstColumn="0" w:lastColumn="0" w:oddVBand="0" w:evenVBand="0" w:oddHBand="1" w:evenHBand="0" w:firstRowFirstColumn="0" w:firstRowLastColumn="0" w:lastRowFirstColumn="0" w:lastRowLastColumn="0"/>
              <w:rPr>
                <w:b/>
                <w:sz w:val="20"/>
                <w:lang w:eastAsia="en-AU"/>
              </w:rPr>
            </w:pPr>
            <w:r w:rsidRPr="000613C9">
              <w:rPr>
                <w:b/>
                <w:sz w:val="20"/>
                <w:lang w:eastAsia="en-AU"/>
              </w:rPr>
              <w:t xml:space="preserve">instances per </w:t>
            </w:r>
            <w:r w:rsidRPr="000613C9">
              <w:rPr>
                <w:b/>
                <w:sz w:val="20"/>
              </w:rPr>
              <w:t>participant</w:t>
            </w:r>
          </w:p>
        </w:tc>
        <w:tc>
          <w:tcPr>
            <w:tcW w:w="550" w:type="pct"/>
            <w:tcBorders>
              <w:left w:val="single" w:sz="12" w:space="0" w:color="2E74B5" w:themeColor="accent1" w:themeShade="BF"/>
            </w:tcBorders>
            <w:vAlign w:val="center"/>
            <w:hideMark/>
          </w:tcPr>
          <w:p w14:paraId="7A3B8350" w14:textId="77777777" w:rsidR="002D33F2" w:rsidRPr="000613C9" w:rsidRDefault="002D33F2" w:rsidP="000613C9">
            <w:pPr>
              <w:jc w:val="center"/>
              <w:cnfStyle w:val="000000100000" w:firstRow="0" w:lastRow="0" w:firstColumn="0" w:lastColumn="0" w:oddVBand="0" w:evenVBand="0" w:oddHBand="1" w:evenHBand="0" w:firstRowFirstColumn="0" w:firstRowLastColumn="0" w:lastRowFirstColumn="0" w:lastRowLastColumn="0"/>
              <w:rPr>
                <w:b/>
                <w:sz w:val="20"/>
                <w:lang w:eastAsia="en-AU"/>
              </w:rPr>
            </w:pPr>
            <w:r w:rsidRPr="000613C9">
              <w:rPr>
                <w:b/>
                <w:sz w:val="20"/>
                <w:lang w:eastAsia="en-AU"/>
              </w:rPr>
              <w:t>number of instances</w:t>
            </w:r>
          </w:p>
        </w:tc>
        <w:tc>
          <w:tcPr>
            <w:tcW w:w="707" w:type="pct"/>
            <w:vAlign w:val="center"/>
            <w:hideMark/>
          </w:tcPr>
          <w:p w14:paraId="582995E9" w14:textId="77777777" w:rsidR="002D33F2" w:rsidRPr="000613C9" w:rsidRDefault="002D33F2" w:rsidP="000613C9">
            <w:pPr>
              <w:jc w:val="center"/>
              <w:cnfStyle w:val="000000100000" w:firstRow="0" w:lastRow="0" w:firstColumn="0" w:lastColumn="0" w:oddVBand="0" w:evenVBand="0" w:oddHBand="1" w:evenHBand="0" w:firstRowFirstColumn="0" w:firstRowLastColumn="0" w:lastRowFirstColumn="0" w:lastRowLastColumn="0"/>
              <w:rPr>
                <w:b/>
                <w:sz w:val="20"/>
                <w:lang w:eastAsia="en-AU"/>
              </w:rPr>
            </w:pPr>
            <w:r w:rsidRPr="000613C9">
              <w:rPr>
                <w:b/>
                <w:sz w:val="20"/>
                <w:lang w:eastAsia="en-AU"/>
              </w:rPr>
              <w:t xml:space="preserve">number of </w:t>
            </w:r>
            <w:r w:rsidRPr="000613C9">
              <w:rPr>
                <w:b/>
                <w:sz w:val="20"/>
              </w:rPr>
              <w:t>participant</w:t>
            </w:r>
            <w:r w:rsidRPr="000613C9">
              <w:rPr>
                <w:b/>
                <w:sz w:val="20"/>
                <w:lang w:eastAsia="en-AU"/>
              </w:rPr>
              <w:t>s</w:t>
            </w:r>
          </w:p>
        </w:tc>
        <w:tc>
          <w:tcPr>
            <w:tcW w:w="679" w:type="pct"/>
            <w:vAlign w:val="center"/>
            <w:hideMark/>
          </w:tcPr>
          <w:p w14:paraId="4E69039B" w14:textId="77777777" w:rsidR="002D33F2" w:rsidRPr="000613C9" w:rsidRDefault="002D33F2" w:rsidP="000613C9">
            <w:pPr>
              <w:jc w:val="center"/>
              <w:cnfStyle w:val="000000100000" w:firstRow="0" w:lastRow="0" w:firstColumn="0" w:lastColumn="0" w:oddVBand="0" w:evenVBand="0" w:oddHBand="1" w:evenHBand="0" w:firstRowFirstColumn="0" w:firstRowLastColumn="0" w:lastRowFirstColumn="0" w:lastRowLastColumn="0"/>
              <w:rPr>
                <w:b/>
                <w:sz w:val="20"/>
                <w:lang w:eastAsia="en-AU"/>
              </w:rPr>
            </w:pPr>
            <w:r w:rsidRPr="000613C9">
              <w:rPr>
                <w:b/>
                <w:sz w:val="20"/>
                <w:lang w:eastAsia="en-AU"/>
              </w:rPr>
              <w:t xml:space="preserve">instances per </w:t>
            </w:r>
            <w:r w:rsidRPr="000613C9">
              <w:rPr>
                <w:b/>
                <w:sz w:val="20"/>
              </w:rPr>
              <w:t>participant</w:t>
            </w:r>
          </w:p>
        </w:tc>
      </w:tr>
      <w:tr w:rsidR="002D33F2" w:rsidRPr="00D20E90" w14:paraId="2AB3F0B5" w14:textId="77777777" w:rsidTr="003F406E">
        <w:trPr>
          <w:trHeight w:val="300"/>
          <w:jc w:val="center"/>
        </w:trPr>
        <w:tc>
          <w:tcPr>
            <w:cnfStyle w:val="001000000000" w:firstRow="0" w:lastRow="0" w:firstColumn="1" w:lastColumn="0" w:oddVBand="0" w:evenVBand="0" w:oddHBand="0" w:evenHBand="0" w:firstRowFirstColumn="0" w:firstRowLastColumn="0" w:lastRowFirstColumn="0" w:lastRowLastColumn="0"/>
            <w:tcW w:w="1171" w:type="pct"/>
            <w:noWrap/>
            <w:hideMark/>
          </w:tcPr>
          <w:p w14:paraId="25B38F48" w14:textId="77777777" w:rsidR="002D33F2" w:rsidRPr="00665933" w:rsidRDefault="002D33F2" w:rsidP="007B6616">
            <w:pPr>
              <w:rPr>
                <w:sz w:val="20"/>
                <w:szCs w:val="20"/>
                <w:lang w:eastAsia="en-AU"/>
              </w:rPr>
            </w:pPr>
            <w:r w:rsidRPr="00665933">
              <w:rPr>
                <w:sz w:val="20"/>
                <w:szCs w:val="20"/>
                <w:lang w:eastAsia="en-AU"/>
              </w:rPr>
              <w:t>One year leading to CDC roll out</w:t>
            </w:r>
          </w:p>
        </w:tc>
        <w:tc>
          <w:tcPr>
            <w:tcW w:w="556" w:type="pct"/>
            <w:noWrap/>
            <w:vAlign w:val="center"/>
            <w:hideMark/>
          </w:tcPr>
          <w:p w14:paraId="748C8888"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sz w:val="20"/>
                <w:lang w:eastAsia="en-AU"/>
              </w:rPr>
            </w:pPr>
            <w:r w:rsidRPr="00665933">
              <w:rPr>
                <w:sz w:val="20"/>
                <w:lang w:eastAsia="en-AU"/>
              </w:rPr>
              <w:t>4,709</w:t>
            </w:r>
          </w:p>
        </w:tc>
        <w:tc>
          <w:tcPr>
            <w:tcW w:w="708" w:type="pct"/>
            <w:noWrap/>
            <w:vAlign w:val="center"/>
            <w:hideMark/>
          </w:tcPr>
          <w:p w14:paraId="4E5EBF45" w14:textId="77777777" w:rsidR="002D33F2" w:rsidRPr="00665933" w:rsidRDefault="002D33F2" w:rsidP="000613C9">
            <w:pPr>
              <w:jc w:val="center"/>
              <w:cnfStyle w:val="000000000000" w:firstRow="0" w:lastRow="0" w:firstColumn="0" w:lastColumn="0" w:oddVBand="0" w:evenVBand="0" w:oddHBand="0" w:evenHBand="0" w:firstRowFirstColumn="0" w:firstRowLastColumn="0" w:lastRowFirstColumn="0" w:lastRowLastColumn="0"/>
              <w:rPr>
                <w:sz w:val="20"/>
                <w:lang w:eastAsia="en-AU"/>
              </w:rPr>
            </w:pPr>
            <w:r w:rsidRPr="00665933">
              <w:rPr>
                <w:sz w:val="20"/>
                <w:lang w:eastAsia="en-AU"/>
              </w:rPr>
              <w:t>2,809</w:t>
            </w:r>
          </w:p>
        </w:tc>
        <w:tc>
          <w:tcPr>
            <w:tcW w:w="629" w:type="pct"/>
            <w:tcBorders>
              <w:right w:val="single" w:sz="12" w:space="0" w:color="2E74B5" w:themeColor="accent1" w:themeShade="BF"/>
            </w:tcBorders>
            <w:noWrap/>
            <w:vAlign w:val="center"/>
            <w:hideMark/>
          </w:tcPr>
          <w:p w14:paraId="23DC8945" w14:textId="77777777" w:rsidR="002D33F2" w:rsidRPr="00665933" w:rsidRDefault="002D33F2" w:rsidP="000613C9">
            <w:pPr>
              <w:jc w:val="center"/>
              <w:cnfStyle w:val="000000000000" w:firstRow="0" w:lastRow="0" w:firstColumn="0" w:lastColumn="0" w:oddVBand="0" w:evenVBand="0" w:oddHBand="0" w:evenHBand="0" w:firstRowFirstColumn="0" w:firstRowLastColumn="0" w:lastRowFirstColumn="0" w:lastRowLastColumn="0"/>
              <w:rPr>
                <w:sz w:val="20"/>
                <w:lang w:eastAsia="en-AU"/>
              </w:rPr>
            </w:pPr>
            <w:r w:rsidRPr="00665933">
              <w:rPr>
                <w:sz w:val="20"/>
                <w:lang w:eastAsia="en-AU"/>
              </w:rPr>
              <w:t>1.7</w:t>
            </w:r>
          </w:p>
        </w:tc>
        <w:tc>
          <w:tcPr>
            <w:tcW w:w="550" w:type="pct"/>
            <w:tcBorders>
              <w:left w:val="single" w:sz="12" w:space="0" w:color="2E74B5" w:themeColor="accent1" w:themeShade="BF"/>
            </w:tcBorders>
            <w:noWrap/>
            <w:vAlign w:val="center"/>
            <w:hideMark/>
          </w:tcPr>
          <w:p w14:paraId="5E8ACF51"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sz w:val="20"/>
                <w:lang w:eastAsia="en-AU"/>
              </w:rPr>
            </w:pPr>
            <w:r w:rsidRPr="00665933">
              <w:rPr>
                <w:sz w:val="20"/>
                <w:lang w:eastAsia="en-AU"/>
              </w:rPr>
              <w:t>647</w:t>
            </w:r>
          </w:p>
        </w:tc>
        <w:tc>
          <w:tcPr>
            <w:tcW w:w="707" w:type="pct"/>
            <w:noWrap/>
            <w:vAlign w:val="center"/>
            <w:hideMark/>
          </w:tcPr>
          <w:p w14:paraId="0E40398F" w14:textId="77777777" w:rsidR="002D33F2" w:rsidRPr="00665933" w:rsidRDefault="002D33F2" w:rsidP="000613C9">
            <w:pPr>
              <w:jc w:val="center"/>
              <w:cnfStyle w:val="000000000000" w:firstRow="0" w:lastRow="0" w:firstColumn="0" w:lastColumn="0" w:oddVBand="0" w:evenVBand="0" w:oddHBand="0" w:evenHBand="0" w:firstRowFirstColumn="0" w:firstRowLastColumn="0" w:lastRowFirstColumn="0" w:lastRowLastColumn="0"/>
              <w:rPr>
                <w:sz w:val="20"/>
                <w:lang w:eastAsia="en-AU"/>
              </w:rPr>
            </w:pPr>
            <w:r w:rsidRPr="00665933">
              <w:rPr>
                <w:sz w:val="20"/>
                <w:lang w:eastAsia="en-AU"/>
              </w:rPr>
              <w:t>578</w:t>
            </w:r>
          </w:p>
        </w:tc>
        <w:tc>
          <w:tcPr>
            <w:tcW w:w="679" w:type="pct"/>
            <w:noWrap/>
            <w:vAlign w:val="center"/>
            <w:hideMark/>
          </w:tcPr>
          <w:p w14:paraId="50ECE256" w14:textId="77777777" w:rsidR="002D33F2" w:rsidRPr="00665933" w:rsidRDefault="002D33F2" w:rsidP="000613C9">
            <w:pPr>
              <w:jc w:val="center"/>
              <w:cnfStyle w:val="000000000000" w:firstRow="0" w:lastRow="0" w:firstColumn="0" w:lastColumn="0" w:oddVBand="0" w:evenVBand="0" w:oddHBand="0" w:evenHBand="0" w:firstRowFirstColumn="0" w:firstRowLastColumn="0" w:lastRowFirstColumn="0" w:lastRowLastColumn="0"/>
              <w:rPr>
                <w:sz w:val="20"/>
                <w:lang w:eastAsia="en-AU"/>
              </w:rPr>
            </w:pPr>
            <w:r w:rsidRPr="00665933">
              <w:rPr>
                <w:sz w:val="20"/>
                <w:lang w:eastAsia="en-AU"/>
              </w:rPr>
              <w:t>1.1</w:t>
            </w:r>
          </w:p>
        </w:tc>
      </w:tr>
      <w:tr w:rsidR="002D33F2" w:rsidRPr="00D20E90" w14:paraId="6406BF7D" w14:textId="77777777" w:rsidTr="003F406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71" w:type="pct"/>
            <w:noWrap/>
            <w:hideMark/>
          </w:tcPr>
          <w:p w14:paraId="54262612" w14:textId="77777777" w:rsidR="002D33F2" w:rsidRPr="00665933" w:rsidRDefault="002D33F2" w:rsidP="007B6616">
            <w:pPr>
              <w:rPr>
                <w:sz w:val="20"/>
                <w:szCs w:val="20"/>
                <w:lang w:eastAsia="en-AU"/>
              </w:rPr>
            </w:pPr>
            <w:r w:rsidRPr="00665933">
              <w:rPr>
                <w:sz w:val="20"/>
                <w:szCs w:val="20"/>
                <w:lang w:eastAsia="en-AU"/>
              </w:rPr>
              <w:t>Since CDC roll out</w:t>
            </w:r>
          </w:p>
        </w:tc>
        <w:tc>
          <w:tcPr>
            <w:tcW w:w="556" w:type="pct"/>
            <w:noWrap/>
            <w:vAlign w:val="center"/>
            <w:hideMark/>
          </w:tcPr>
          <w:p w14:paraId="568F63F8"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sz w:val="20"/>
                <w:lang w:eastAsia="en-AU"/>
              </w:rPr>
            </w:pPr>
            <w:r w:rsidRPr="00665933">
              <w:rPr>
                <w:sz w:val="20"/>
                <w:lang w:eastAsia="en-AU"/>
              </w:rPr>
              <w:t>3,614</w:t>
            </w:r>
          </w:p>
        </w:tc>
        <w:tc>
          <w:tcPr>
            <w:tcW w:w="708" w:type="pct"/>
            <w:noWrap/>
            <w:vAlign w:val="center"/>
            <w:hideMark/>
          </w:tcPr>
          <w:p w14:paraId="55FAFC5B" w14:textId="77777777" w:rsidR="002D33F2" w:rsidRPr="00665933" w:rsidRDefault="002D33F2" w:rsidP="000613C9">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65933">
              <w:rPr>
                <w:sz w:val="20"/>
                <w:lang w:eastAsia="en-AU"/>
              </w:rPr>
              <w:t>2,427</w:t>
            </w:r>
          </w:p>
        </w:tc>
        <w:tc>
          <w:tcPr>
            <w:tcW w:w="629" w:type="pct"/>
            <w:tcBorders>
              <w:right w:val="single" w:sz="12" w:space="0" w:color="2E74B5" w:themeColor="accent1" w:themeShade="BF"/>
            </w:tcBorders>
            <w:noWrap/>
            <w:vAlign w:val="center"/>
            <w:hideMark/>
          </w:tcPr>
          <w:p w14:paraId="18B0120B" w14:textId="77777777" w:rsidR="002D33F2" w:rsidRPr="00665933" w:rsidRDefault="002D33F2" w:rsidP="000613C9">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65933">
              <w:rPr>
                <w:sz w:val="20"/>
                <w:lang w:eastAsia="en-AU"/>
              </w:rPr>
              <w:t>1.5</w:t>
            </w:r>
          </w:p>
        </w:tc>
        <w:tc>
          <w:tcPr>
            <w:tcW w:w="550" w:type="pct"/>
            <w:tcBorders>
              <w:left w:val="single" w:sz="12" w:space="0" w:color="2E74B5" w:themeColor="accent1" w:themeShade="BF"/>
            </w:tcBorders>
            <w:noWrap/>
            <w:vAlign w:val="center"/>
            <w:hideMark/>
          </w:tcPr>
          <w:p w14:paraId="35B0E173" w14:textId="77777777" w:rsidR="002D33F2" w:rsidRPr="00665933" w:rsidRDefault="002D33F2" w:rsidP="007B6616">
            <w:pPr>
              <w:jc w:val="right"/>
              <w:cnfStyle w:val="000000100000" w:firstRow="0" w:lastRow="0" w:firstColumn="0" w:lastColumn="0" w:oddVBand="0" w:evenVBand="0" w:oddHBand="1" w:evenHBand="0" w:firstRowFirstColumn="0" w:firstRowLastColumn="0" w:lastRowFirstColumn="0" w:lastRowLastColumn="0"/>
              <w:rPr>
                <w:sz w:val="20"/>
                <w:lang w:eastAsia="en-AU"/>
              </w:rPr>
            </w:pPr>
            <w:r w:rsidRPr="00665933">
              <w:rPr>
                <w:sz w:val="20"/>
                <w:lang w:eastAsia="en-AU"/>
              </w:rPr>
              <w:t>472</w:t>
            </w:r>
          </w:p>
        </w:tc>
        <w:tc>
          <w:tcPr>
            <w:tcW w:w="707" w:type="pct"/>
            <w:noWrap/>
            <w:vAlign w:val="center"/>
            <w:hideMark/>
          </w:tcPr>
          <w:p w14:paraId="5DC5CE1F" w14:textId="77777777" w:rsidR="002D33F2" w:rsidRPr="00665933" w:rsidRDefault="002D33F2" w:rsidP="000613C9">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65933">
              <w:rPr>
                <w:sz w:val="20"/>
                <w:lang w:eastAsia="en-AU"/>
              </w:rPr>
              <w:t>398</w:t>
            </w:r>
          </w:p>
        </w:tc>
        <w:tc>
          <w:tcPr>
            <w:tcW w:w="679" w:type="pct"/>
            <w:noWrap/>
            <w:vAlign w:val="center"/>
            <w:hideMark/>
          </w:tcPr>
          <w:p w14:paraId="088150D5" w14:textId="77777777" w:rsidR="002D33F2" w:rsidRPr="00665933" w:rsidRDefault="002D33F2" w:rsidP="000613C9">
            <w:pPr>
              <w:jc w:val="center"/>
              <w:cnfStyle w:val="000000100000" w:firstRow="0" w:lastRow="0" w:firstColumn="0" w:lastColumn="0" w:oddVBand="0" w:evenVBand="0" w:oddHBand="1" w:evenHBand="0" w:firstRowFirstColumn="0" w:firstRowLastColumn="0" w:lastRowFirstColumn="0" w:lastRowLastColumn="0"/>
              <w:rPr>
                <w:sz w:val="20"/>
                <w:lang w:eastAsia="en-AU"/>
              </w:rPr>
            </w:pPr>
            <w:r w:rsidRPr="00665933">
              <w:rPr>
                <w:sz w:val="20"/>
                <w:lang w:eastAsia="en-AU"/>
              </w:rPr>
              <w:t>1.2</w:t>
            </w:r>
          </w:p>
        </w:tc>
      </w:tr>
      <w:tr w:rsidR="002D33F2" w:rsidRPr="00D20E90" w14:paraId="31E00E41" w14:textId="77777777" w:rsidTr="003F406E">
        <w:trPr>
          <w:trHeight w:val="300"/>
          <w:jc w:val="center"/>
        </w:trPr>
        <w:tc>
          <w:tcPr>
            <w:cnfStyle w:val="001000000000" w:firstRow="0" w:lastRow="0" w:firstColumn="1" w:lastColumn="0" w:oddVBand="0" w:evenVBand="0" w:oddHBand="0" w:evenHBand="0" w:firstRowFirstColumn="0" w:firstRowLastColumn="0" w:lastRowFirstColumn="0" w:lastRowLastColumn="0"/>
            <w:tcW w:w="1171" w:type="pct"/>
            <w:noWrap/>
            <w:hideMark/>
          </w:tcPr>
          <w:p w14:paraId="71ECFC84" w14:textId="77777777" w:rsidR="002D33F2" w:rsidRPr="00665933" w:rsidRDefault="002D33F2" w:rsidP="007B6616">
            <w:pPr>
              <w:rPr>
                <w:sz w:val="20"/>
                <w:szCs w:val="20"/>
                <w:lang w:eastAsia="en-AU"/>
              </w:rPr>
            </w:pPr>
            <w:r w:rsidRPr="00665933">
              <w:rPr>
                <w:sz w:val="20"/>
                <w:szCs w:val="20"/>
                <w:lang w:eastAsia="en-AU"/>
              </w:rPr>
              <w:t>Total</w:t>
            </w:r>
          </w:p>
        </w:tc>
        <w:tc>
          <w:tcPr>
            <w:tcW w:w="556" w:type="pct"/>
            <w:noWrap/>
            <w:vAlign w:val="center"/>
            <w:hideMark/>
          </w:tcPr>
          <w:p w14:paraId="2BA0598D"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sz w:val="20"/>
                <w:lang w:eastAsia="en-AU"/>
              </w:rPr>
            </w:pPr>
            <w:r w:rsidRPr="00665933">
              <w:rPr>
                <w:b/>
                <w:sz w:val="20"/>
                <w:lang w:eastAsia="en-AU"/>
              </w:rPr>
              <w:t>8,323</w:t>
            </w:r>
          </w:p>
        </w:tc>
        <w:tc>
          <w:tcPr>
            <w:tcW w:w="708" w:type="pct"/>
            <w:noWrap/>
            <w:vAlign w:val="center"/>
            <w:hideMark/>
          </w:tcPr>
          <w:p w14:paraId="41984AF7" w14:textId="77777777" w:rsidR="002D33F2" w:rsidRPr="00665933" w:rsidRDefault="002D33F2" w:rsidP="000613C9">
            <w:pPr>
              <w:jc w:val="center"/>
              <w:cnfStyle w:val="000000000000" w:firstRow="0" w:lastRow="0" w:firstColumn="0" w:lastColumn="0" w:oddVBand="0" w:evenVBand="0" w:oddHBand="0" w:evenHBand="0" w:firstRowFirstColumn="0" w:firstRowLastColumn="0" w:lastRowFirstColumn="0" w:lastRowLastColumn="0"/>
              <w:rPr>
                <w:b/>
                <w:sz w:val="20"/>
                <w:lang w:eastAsia="en-AU"/>
              </w:rPr>
            </w:pPr>
            <w:r w:rsidRPr="00665933">
              <w:rPr>
                <w:b/>
                <w:sz w:val="20"/>
                <w:lang w:eastAsia="en-AU"/>
              </w:rPr>
              <w:t>5,236</w:t>
            </w:r>
          </w:p>
        </w:tc>
        <w:tc>
          <w:tcPr>
            <w:tcW w:w="629" w:type="pct"/>
            <w:tcBorders>
              <w:right w:val="single" w:sz="12" w:space="0" w:color="2E74B5" w:themeColor="accent1" w:themeShade="BF"/>
            </w:tcBorders>
            <w:noWrap/>
            <w:vAlign w:val="center"/>
            <w:hideMark/>
          </w:tcPr>
          <w:p w14:paraId="0A80D048" w14:textId="77777777" w:rsidR="002D33F2" w:rsidRPr="00665933" w:rsidRDefault="002D33F2" w:rsidP="000613C9">
            <w:pPr>
              <w:jc w:val="center"/>
              <w:cnfStyle w:val="000000000000" w:firstRow="0" w:lastRow="0" w:firstColumn="0" w:lastColumn="0" w:oddVBand="0" w:evenVBand="0" w:oddHBand="0" w:evenHBand="0" w:firstRowFirstColumn="0" w:firstRowLastColumn="0" w:lastRowFirstColumn="0" w:lastRowLastColumn="0"/>
              <w:rPr>
                <w:b/>
                <w:sz w:val="20"/>
                <w:lang w:eastAsia="en-AU"/>
              </w:rPr>
            </w:pPr>
            <w:r w:rsidRPr="00665933">
              <w:rPr>
                <w:b/>
                <w:sz w:val="20"/>
                <w:lang w:eastAsia="en-AU"/>
              </w:rPr>
              <w:t>1.6</w:t>
            </w:r>
          </w:p>
        </w:tc>
        <w:tc>
          <w:tcPr>
            <w:tcW w:w="550" w:type="pct"/>
            <w:tcBorders>
              <w:left w:val="single" w:sz="12" w:space="0" w:color="2E74B5" w:themeColor="accent1" w:themeShade="BF"/>
            </w:tcBorders>
            <w:noWrap/>
            <w:vAlign w:val="center"/>
            <w:hideMark/>
          </w:tcPr>
          <w:p w14:paraId="0AC318E0" w14:textId="77777777" w:rsidR="002D33F2" w:rsidRPr="00665933" w:rsidRDefault="002D33F2" w:rsidP="007B6616">
            <w:pPr>
              <w:jc w:val="right"/>
              <w:cnfStyle w:val="000000000000" w:firstRow="0" w:lastRow="0" w:firstColumn="0" w:lastColumn="0" w:oddVBand="0" w:evenVBand="0" w:oddHBand="0" w:evenHBand="0" w:firstRowFirstColumn="0" w:firstRowLastColumn="0" w:lastRowFirstColumn="0" w:lastRowLastColumn="0"/>
              <w:rPr>
                <w:b/>
                <w:sz w:val="20"/>
                <w:lang w:eastAsia="en-AU"/>
              </w:rPr>
            </w:pPr>
            <w:r w:rsidRPr="00665933">
              <w:rPr>
                <w:b/>
                <w:sz w:val="20"/>
                <w:lang w:eastAsia="en-AU"/>
              </w:rPr>
              <w:t>1,119</w:t>
            </w:r>
          </w:p>
        </w:tc>
        <w:tc>
          <w:tcPr>
            <w:tcW w:w="707" w:type="pct"/>
            <w:noWrap/>
            <w:vAlign w:val="center"/>
            <w:hideMark/>
          </w:tcPr>
          <w:p w14:paraId="799DFE1F" w14:textId="77777777" w:rsidR="002D33F2" w:rsidRPr="00665933" w:rsidRDefault="002D33F2" w:rsidP="000613C9">
            <w:pPr>
              <w:jc w:val="center"/>
              <w:cnfStyle w:val="000000000000" w:firstRow="0" w:lastRow="0" w:firstColumn="0" w:lastColumn="0" w:oddVBand="0" w:evenVBand="0" w:oddHBand="0" w:evenHBand="0" w:firstRowFirstColumn="0" w:firstRowLastColumn="0" w:lastRowFirstColumn="0" w:lastRowLastColumn="0"/>
              <w:rPr>
                <w:b/>
                <w:sz w:val="20"/>
                <w:lang w:eastAsia="en-AU"/>
              </w:rPr>
            </w:pPr>
            <w:r w:rsidRPr="00665933">
              <w:rPr>
                <w:b/>
                <w:sz w:val="20"/>
                <w:lang w:eastAsia="en-AU"/>
              </w:rPr>
              <w:t>976</w:t>
            </w:r>
          </w:p>
        </w:tc>
        <w:tc>
          <w:tcPr>
            <w:tcW w:w="679" w:type="pct"/>
            <w:noWrap/>
            <w:vAlign w:val="center"/>
            <w:hideMark/>
          </w:tcPr>
          <w:p w14:paraId="3D2AE6AB" w14:textId="77777777" w:rsidR="002D33F2" w:rsidRPr="00665933" w:rsidRDefault="002D33F2" w:rsidP="000613C9">
            <w:pPr>
              <w:jc w:val="center"/>
              <w:cnfStyle w:val="000000000000" w:firstRow="0" w:lastRow="0" w:firstColumn="0" w:lastColumn="0" w:oddVBand="0" w:evenVBand="0" w:oddHBand="0" w:evenHBand="0" w:firstRowFirstColumn="0" w:firstRowLastColumn="0" w:lastRowFirstColumn="0" w:lastRowLastColumn="0"/>
              <w:rPr>
                <w:b/>
                <w:sz w:val="20"/>
                <w:lang w:eastAsia="en-AU"/>
              </w:rPr>
            </w:pPr>
            <w:r w:rsidRPr="00665933">
              <w:rPr>
                <w:b/>
                <w:sz w:val="20"/>
                <w:lang w:eastAsia="en-AU"/>
              </w:rPr>
              <w:t>1.1</w:t>
            </w:r>
          </w:p>
        </w:tc>
      </w:tr>
    </w:tbl>
    <w:p w14:paraId="7B8FAF2C" w14:textId="77777777" w:rsidR="005E7300" w:rsidRDefault="005E7300" w:rsidP="005E7300">
      <w:pPr>
        <w:spacing w:after="0" w:line="240" w:lineRule="auto"/>
        <w:rPr>
          <w:i/>
          <w:iCs/>
          <w:sz w:val="18"/>
          <w:szCs w:val="18"/>
        </w:rPr>
      </w:pPr>
      <w:r>
        <w:rPr>
          <w:i/>
          <w:iCs/>
          <w:sz w:val="18"/>
          <w:szCs w:val="18"/>
        </w:rPr>
        <w:t>Note: ‘1 year leading to CDC roll out’ refers to the period 29</w:t>
      </w:r>
      <w:r w:rsidRPr="006E3142">
        <w:rPr>
          <w:i/>
          <w:iCs/>
          <w:sz w:val="18"/>
          <w:szCs w:val="18"/>
          <w:vertAlign w:val="superscript"/>
        </w:rPr>
        <w:t>th</w:t>
      </w:r>
      <w:r>
        <w:rPr>
          <w:i/>
          <w:iCs/>
          <w:sz w:val="18"/>
          <w:szCs w:val="18"/>
        </w:rPr>
        <w:t xml:space="preserve"> January 2018 to 28</w:t>
      </w:r>
      <w:r w:rsidRPr="006E3142">
        <w:rPr>
          <w:i/>
          <w:iCs/>
          <w:sz w:val="18"/>
          <w:szCs w:val="18"/>
          <w:vertAlign w:val="superscript"/>
        </w:rPr>
        <w:t>th</w:t>
      </w:r>
      <w:r>
        <w:rPr>
          <w:i/>
          <w:iCs/>
          <w:sz w:val="18"/>
          <w:szCs w:val="18"/>
        </w:rPr>
        <w:t xml:space="preserve"> January 2019</w:t>
      </w:r>
    </w:p>
    <w:p w14:paraId="524029D6" w14:textId="77777777" w:rsidR="005E7300" w:rsidRPr="006E3142" w:rsidRDefault="005E7300" w:rsidP="005E7300">
      <w:pPr>
        <w:rPr>
          <w:i/>
          <w:iCs/>
          <w:sz w:val="18"/>
          <w:szCs w:val="18"/>
        </w:rPr>
      </w:pPr>
      <w:r>
        <w:rPr>
          <w:i/>
          <w:iCs/>
          <w:sz w:val="18"/>
          <w:szCs w:val="18"/>
        </w:rPr>
        <w:t>‘Since CD</w:t>
      </w:r>
      <w:r w:rsidR="00BC5CFD">
        <w:rPr>
          <w:i/>
          <w:iCs/>
          <w:sz w:val="18"/>
          <w:szCs w:val="18"/>
        </w:rPr>
        <w:t>C</w:t>
      </w:r>
      <w:r>
        <w:rPr>
          <w:i/>
          <w:iCs/>
          <w:sz w:val="18"/>
          <w:szCs w:val="18"/>
        </w:rPr>
        <w:t xml:space="preserve"> roll out’ refers to the period 29</w:t>
      </w:r>
      <w:r w:rsidRPr="006E3142">
        <w:rPr>
          <w:i/>
          <w:iCs/>
          <w:sz w:val="18"/>
          <w:szCs w:val="18"/>
          <w:vertAlign w:val="superscript"/>
        </w:rPr>
        <w:t>th</w:t>
      </w:r>
      <w:r>
        <w:rPr>
          <w:i/>
          <w:iCs/>
          <w:sz w:val="18"/>
          <w:szCs w:val="18"/>
        </w:rPr>
        <w:t xml:space="preserve"> January 2019 to 28</w:t>
      </w:r>
      <w:r w:rsidRPr="006E3142">
        <w:rPr>
          <w:i/>
          <w:iCs/>
          <w:sz w:val="18"/>
          <w:szCs w:val="18"/>
          <w:vertAlign w:val="superscript"/>
        </w:rPr>
        <w:t>th</w:t>
      </w:r>
      <w:r>
        <w:rPr>
          <w:i/>
          <w:iCs/>
          <w:sz w:val="18"/>
          <w:szCs w:val="18"/>
        </w:rPr>
        <w:t xml:space="preserve"> January 2020.</w:t>
      </w:r>
    </w:p>
    <w:p w14:paraId="31F85367" w14:textId="3E6F4A67" w:rsidR="002D33F2" w:rsidRDefault="002D33F2" w:rsidP="002D33F2">
      <w:r>
        <w:t>The following figure (</w:t>
      </w:r>
      <w:r w:rsidR="00BC5CFD">
        <w:fldChar w:fldCharType="begin"/>
      </w:r>
      <w:r w:rsidR="00BC5CFD">
        <w:instrText xml:space="preserve"> REF _Ref36631398 \h </w:instrText>
      </w:r>
      <w:r w:rsidR="00BC5CFD">
        <w:fldChar w:fldCharType="separate"/>
      </w:r>
      <w:r w:rsidR="008E2086">
        <w:t xml:space="preserve">Figure </w:t>
      </w:r>
      <w:r w:rsidR="008E2086">
        <w:rPr>
          <w:noProof/>
        </w:rPr>
        <w:t>3</w:t>
      </w:r>
      <w:r w:rsidR="008E2086">
        <w:noBreakHyphen/>
      </w:r>
      <w:r w:rsidR="008E2086">
        <w:rPr>
          <w:noProof/>
        </w:rPr>
        <w:t>6</w:t>
      </w:r>
      <w:r w:rsidR="00BC5CFD">
        <w:fldChar w:fldCharType="end"/>
      </w:r>
      <w:r>
        <w:t>) displays information on benefit cancellations by gender, comparing the year leading to the roll out with the year after the roll out. The blue histograms show the situation pre roll out and the orange ones the situation post the CDC roll out. The ‘reference’ red line shows the actual gender distribution among the CDC participants so one can tell the degree to which each group would have contributed to the cancellations/suspensions if these happened strictly following their actual share of the total population. For instance, in the figure below, we see that 49 per cent of the cancellations pre roll out are generated by male participants while the proportion of males in the actual CDC participant population</w:t>
      </w:r>
      <w:r w:rsidR="00081454">
        <w:t xml:space="preserve"> in Bundaberg and Hervey Bay</w:t>
      </w:r>
      <w:r>
        <w:t xml:space="preserve"> is 43 per cent. Hence, males contributed to the benefit cancellations slightly more than their actual population proportion within the CDC participants would have warranted. We see that the proportion of cancellations associated with male CDC participants is higher after the roll out, reaching 54 per cent of the overall cancellations, against 46 per cent associated with females.</w:t>
      </w:r>
    </w:p>
    <w:p w14:paraId="1EA459C9" w14:textId="148C0F6C" w:rsidR="002D33F2" w:rsidRDefault="002D33F2" w:rsidP="002D33F2">
      <w:pPr>
        <w:pStyle w:val="Caption"/>
      </w:pPr>
      <w:bookmarkStart w:id="269" w:name="_Ref36631398"/>
      <w:bookmarkStart w:id="270" w:name="_Toc34935519"/>
      <w:bookmarkStart w:id="271" w:name="_Toc36631792"/>
      <w:bookmarkStart w:id="272" w:name="_Toc36637996"/>
      <w:bookmarkStart w:id="273" w:name="_Toc37263843"/>
      <w:bookmarkStart w:id="274" w:name="_Ref34916893"/>
      <w:bookmarkStart w:id="275" w:name="_Toc34304878"/>
      <w:r>
        <w:t xml:space="preserve">Figure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6</w:t>
      </w:r>
      <w:r w:rsidR="006C0554">
        <w:rPr>
          <w:noProof/>
        </w:rPr>
        <w:fldChar w:fldCharType="end"/>
      </w:r>
      <w:bookmarkEnd w:id="269"/>
      <w:r>
        <w:t xml:space="preserve">: Benefit payment cancellations by gender, one year leading to CDC vs. since </w:t>
      </w:r>
      <w:bookmarkEnd w:id="270"/>
      <w:r>
        <w:t>CDC</w:t>
      </w:r>
      <w:bookmarkEnd w:id="271"/>
      <w:bookmarkEnd w:id="272"/>
      <w:bookmarkEnd w:id="273"/>
    </w:p>
    <w:bookmarkEnd w:id="274"/>
    <w:bookmarkEnd w:id="275"/>
    <w:p w14:paraId="22152374" w14:textId="77777777" w:rsidR="002D33F2" w:rsidRDefault="002618B8" w:rsidP="002D33F2">
      <w:pPr>
        <w:jc w:val="center"/>
      </w:pPr>
      <w:r w:rsidRPr="00E60695">
        <w:rPr>
          <w:noProof/>
          <w:lang w:eastAsia="en-AU"/>
        </w:rPr>
        <w:drawing>
          <wp:inline distT="0" distB="0" distL="0" distR="0" wp14:anchorId="781BBF35" wp14:editId="48B9C6F7">
            <wp:extent cx="3654000" cy="2646000"/>
            <wp:effectExtent l="57150" t="19050" r="60960" b="97790"/>
            <wp:docPr id="19" name="Picture 19" descr="Benefit payment cancellations by gender, comparing the year leading to the roll out with the year after the roll out.&#10;Male: 1 year leading to CDC 49%, since CDC 54%, CDC participants in this category 43% &#10;Female: 1 year leading to CDC 51%, since CDC 46%, CDC participants in this category 57% " title="Figure 3 6: Benefit payment cancellations by gender, one year leading to CDC vs. since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54000" cy="26460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1FFDCBCB" w14:textId="77777777" w:rsidR="005E7300" w:rsidRDefault="005E7300" w:rsidP="005E7300">
      <w:pPr>
        <w:spacing w:after="0" w:line="240" w:lineRule="auto"/>
        <w:ind w:left="851"/>
        <w:rPr>
          <w:i/>
          <w:iCs/>
          <w:sz w:val="18"/>
          <w:szCs w:val="18"/>
        </w:rPr>
      </w:pPr>
      <w:r>
        <w:rPr>
          <w:i/>
          <w:iCs/>
          <w:sz w:val="18"/>
          <w:szCs w:val="18"/>
        </w:rPr>
        <w:t>Note: ‘1 year leading to CDC roll out’ refers to the period 29</w:t>
      </w:r>
      <w:r w:rsidRPr="006E3142">
        <w:rPr>
          <w:i/>
          <w:iCs/>
          <w:sz w:val="18"/>
          <w:szCs w:val="18"/>
          <w:vertAlign w:val="superscript"/>
        </w:rPr>
        <w:t>th</w:t>
      </w:r>
      <w:r>
        <w:rPr>
          <w:i/>
          <w:iCs/>
          <w:sz w:val="18"/>
          <w:szCs w:val="18"/>
        </w:rPr>
        <w:t xml:space="preserve"> January 2018 to 28</w:t>
      </w:r>
      <w:r w:rsidRPr="006E3142">
        <w:rPr>
          <w:i/>
          <w:iCs/>
          <w:sz w:val="18"/>
          <w:szCs w:val="18"/>
          <w:vertAlign w:val="superscript"/>
        </w:rPr>
        <w:t>th</w:t>
      </w:r>
      <w:r>
        <w:rPr>
          <w:i/>
          <w:iCs/>
          <w:sz w:val="18"/>
          <w:szCs w:val="18"/>
        </w:rPr>
        <w:t xml:space="preserve"> January 2019</w:t>
      </w:r>
    </w:p>
    <w:p w14:paraId="667FFC7E" w14:textId="77777777" w:rsidR="005E7300" w:rsidRPr="006E3142" w:rsidRDefault="005E7300" w:rsidP="005E7300">
      <w:pPr>
        <w:ind w:left="851"/>
        <w:rPr>
          <w:i/>
          <w:iCs/>
          <w:sz w:val="18"/>
          <w:szCs w:val="18"/>
        </w:rPr>
      </w:pPr>
      <w:r>
        <w:rPr>
          <w:i/>
          <w:iCs/>
          <w:sz w:val="18"/>
          <w:szCs w:val="18"/>
        </w:rPr>
        <w:t>‘Since CDC roll out’ refers to the period 29</w:t>
      </w:r>
      <w:r w:rsidRPr="006E3142">
        <w:rPr>
          <w:i/>
          <w:iCs/>
          <w:sz w:val="18"/>
          <w:szCs w:val="18"/>
          <w:vertAlign w:val="superscript"/>
        </w:rPr>
        <w:t>th</w:t>
      </w:r>
      <w:r>
        <w:rPr>
          <w:i/>
          <w:iCs/>
          <w:sz w:val="18"/>
          <w:szCs w:val="18"/>
        </w:rPr>
        <w:t xml:space="preserve"> January 2019 to 28</w:t>
      </w:r>
      <w:r w:rsidRPr="006E3142">
        <w:rPr>
          <w:i/>
          <w:iCs/>
          <w:sz w:val="18"/>
          <w:szCs w:val="18"/>
          <w:vertAlign w:val="superscript"/>
        </w:rPr>
        <w:t>th</w:t>
      </w:r>
      <w:r>
        <w:rPr>
          <w:i/>
          <w:iCs/>
          <w:sz w:val="18"/>
          <w:szCs w:val="18"/>
        </w:rPr>
        <w:t xml:space="preserve"> January 2020.</w:t>
      </w:r>
    </w:p>
    <w:p w14:paraId="57064E21" w14:textId="77777777" w:rsidR="007260A4" w:rsidRDefault="007260A4">
      <w:pPr>
        <w:jc w:val="left"/>
      </w:pPr>
      <w:r>
        <w:br w:type="page"/>
      </w:r>
    </w:p>
    <w:p w14:paraId="27F03875" w14:textId="50F1528B" w:rsidR="002D33F2" w:rsidRDefault="002D33F2" w:rsidP="002D33F2">
      <w:r>
        <w:lastRenderedPageBreak/>
        <w:t>The following figure (</w:t>
      </w:r>
      <w:r w:rsidR="00BC5CFD">
        <w:fldChar w:fldCharType="begin"/>
      </w:r>
      <w:r w:rsidR="00BC5CFD">
        <w:instrText xml:space="preserve"> REF _Ref34916939 \h </w:instrText>
      </w:r>
      <w:r w:rsidR="00BC5CFD">
        <w:fldChar w:fldCharType="separate"/>
      </w:r>
      <w:r w:rsidR="008E2086">
        <w:t xml:space="preserve">Figure </w:t>
      </w:r>
      <w:r w:rsidR="008E2086">
        <w:rPr>
          <w:noProof/>
        </w:rPr>
        <w:t>3</w:t>
      </w:r>
      <w:r w:rsidR="008E2086">
        <w:noBreakHyphen/>
      </w:r>
      <w:r w:rsidR="008E2086">
        <w:rPr>
          <w:noProof/>
        </w:rPr>
        <w:t>7</w:t>
      </w:r>
      <w:r w:rsidR="00BC5CFD">
        <w:fldChar w:fldCharType="end"/>
      </w:r>
      <w:r>
        <w:t xml:space="preserve">) provides the same information by gender for benefit suspensions. Here too, males contribute beyond what their actual population proportion would have warranted. </w:t>
      </w:r>
      <w:r w:rsidR="00FD1D48">
        <w:t>Sixty</w:t>
      </w:r>
      <w:r w:rsidR="00BC5CFD">
        <w:t>-</w:t>
      </w:r>
      <w:r w:rsidR="00FD1D48">
        <w:t>six</w:t>
      </w:r>
      <w:r>
        <w:t xml:space="preserve"> per cent of the suspensions pre roll out (one year leading to the roll out) originated from male CDC participants</w:t>
      </w:r>
      <w:r w:rsidR="009B0D58">
        <w:t>,</w:t>
      </w:r>
      <w:r>
        <w:t xml:space="preserve"> while they represent only 43 per cent of the CDC participant population</w:t>
      </w:r>
      <w:r w:rsidR="009B0D58">
        <w:t xml:space="preserve"> in Bundaberg and Hervey Bay</w:t>
      </w:r>
      <w:r>
        <w:t xml:space="preserve">. This proportion </w:t>
      </w:r>
      <w:r w:rsidR="00FD1D48">
        <w:t>declined to 61%</w:t>
      </w:r>
      <w:r>
        <w:t xml:space="preserve"> per cent suspensions originated by male participants since the roll out. The proportion of suspensions originated by females (pre and post CDC) are clearly below their actual weight in the total population.</w:t>
      </w:r>
    </w:p>
    <w:p w14:paraId="45B2ACA2" w14:textId="2C4A0B03" w:rsidR="002D33F2" w:rsidRDefault="002D33F2" w:rsidP="002D33F2">
      <w:pPr>
        <w:pStyle w:val="Caption"/>
      </w:pPr>
      <w:bookmarkStart w:id="276" w:name="_Ref34916939"/>
      <w:bookmarkStart w:id="277" w:name="_Toc34304879"/>
      <w:bookmarkStart w:id="278" w:name="_Toc34935520"/>
      <w:bookmarkStart w:id="279" w:name="_Toc36637997"/>
      <w:bookmarkStart w:id="280" w:name="_Toc37263844"/>
      <w:r>
        <w:t xml:space="preserve">Figure </w:t>
      </w:r>
      <w:r w:rsidR="006C0554">
        <w:fldChar w:fldCharType="begin"/>
      </w:r>
      <w:r w:rsidR="006C0554">
        <w:instrText xml:space="preserve"> S</w:instrText>
      </w:r>
      <w:r w:rsidR="006C0554">
        <w:instrText xml:space="preserve">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7</w:t>
      </w:r>
      <w:r w:rsidR="006C0554">
        <w:rPr>
          <w:noProof/>
        </w:rPr>
        <w:fldChar w:fldCharType="end"/>
      </w:r>
      <w:bookmarkEnd w:id="276"/>
      <w:r>
        <w:t xml:space="preserve">: Benefit payment suspensions by gender, one year leading to CDC vs. since </w:t>
      </w:r>
      <w:bookmarkEnd w:id="277"/>
      <w:bookmarkEnd w:id="278"/>
      <w:r>
        <w:t>CDC</w:t>
      </w:r>
      <w:bookmarkEnd w:id="279"/>
      <w:bookmarkEnd w:id="280"/>
    </w:p>
    <w:p w14:paraId="72958B4E" w14:textId="77777777" w:rsidR="002D33F2" w:rsidRDefault="002618B8" w:rsidP="002D33F2">
      <w:pPr>
        <w:jc w:val="center"/>
      </w:pPr>
      <w:r w:rsidRPr="00E60695">
        <w:rPr>
          <w:noProof/>
          <w:lang w:eastAsia="en-AU"/>
        </w:rPr>
        <w:drawing>
          <wp:inline distT="0" distB="0" distL="0" distR="0" wp14:anchorId="58D0184D" wp14:editId="38F88287">
            <wp:extent cx="3654000" cy="2646000"/>
            <wp:effectExtent l="57150" t="19050" r="60960" b="97790"/>
            <wp:docPr id="20" name="Picture 20" descr="Benefit payment suspensions by gender, comparing the year leading to the roll out with the year after the roll out.&#10;Male: 1 year leading to CDC 66%, since CDC 61%, CDC participants in this category 43% &#10;Female: 1 year leading to CDC 34%, since CDC 39%, CDC participants in this category 57%" title="Figure 3 7: Benefit payment suspensions by gender, one year leading to CDC vs. since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54000" cy="26460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6E0E21F9" w14:textId="77777777" w:rsidR="005E7300" w:rsidRDefault="005E7300" w:rsidP="005E7300">
      <w:pPr>
        <w:spacing w:after="0" w:line="240" w:lineRule="auto"/>
        <w:ind w:left="851"/>
        <w:rPr>
          <w:i/>
          <w:iCs/>
          <w:sz w:val="18"/>
          <w:szCs w:val="18"/>
        </w:rPr>
      </w:pPr>
      <w:r>
        <w:rPr>
          <w:i/>
          <w:iCs/>
          <w:sz w:val="18"/>
          <w:szCs w:val="18"/>
        </w:rPr>
        <w:t>Note: ‘1 year leading to CDC roll out’ refers to the period 29</w:t>
      </w:r>
      <w:r w:rsidRPr="006E3142">
        <w:rPr>
          <w:i/>
          <w:iCs/>
          <w:sz w:val="18"/>
          <w:szCs w:val="18"/>
          <w:vertAlign w:val="superscript"/>
        </w:rPr>
        <w:t>th</w:t>
      </w:r>
      <w:r>
        <w:rPr>
          <w:i/>
          <w:iCs/>
          <w:sz w:val="18"/>
          <w:szCs w:val="18"/>
        </w:rPr>
        <w:t xml:space="preserve"> January 2018 to 28</w:t>
      </w:r>
      <w:r w:rsidRPr="006E3142">
        <w:rPr>
          <w:i/>
          <w:iCs/>
          <w:sz w:val="18"/>
          <w:szCs w:val="18"/>
          <w:vertAlign w:val="superscript"/>
        </w:rPr>
        <w:t>th</w:t>
      </w:r>
      <w:r>
        <w:rPr>
          <w:i/>
          <w:iCs/>
          <w:sz w:val="18"/>
          <w:szCs w:val="18"/>
        </w:rPr>
        <w:t xml:space="preserve"> January 2019</w:t>
      </w:r>
    </w:p>
    <w:p w14:paraId="2F3A4A5D" w14:textId="77777777" w:rsidR="005E7300" w:rsidRPr="006E3142" w:rsidRDefault="005E7300" w:rsidP="005E7300">
      <w:pPr>
        <w:ind w:left="851"/>
        <w:rPr>
          <w:i/>
          <w:iCs/>
          <w:sz w:val="18"/>
          <w:szCs w:val="18"/>
        </w:rPr>
      </w:pPr>
      <w:r>
        <w:rPr>
          <w:i/>
          <w:iCs/>
          <w:sz w:val="18"/>
          <w:szCs w:val="18"/>
        </w:rPr>
        <w:t>‘Since CDC roll out’ refers to the period 29</w:t>
      </w:r>
      <w:r w:rsidRPr="006E3142">
        <w:rPr>
          <w:i/>
          <w:iCs/>
          <w:sz w:val="18"/>
          <w:szCs w:val="18"/>
          <w:vertAlign w:val="superscript"/>
        </w:rPr>
        <w:t>th</w:t>
      </w:r>
      <w:r>
        <w:rPr>
          <w:i/>
          <w:iCs/>
          <w:sz w:val="18"/>
          <w:szCs w:val="18"/>
        </w:rPr>
        <w:t xml:space="preserve"> January 2019 to 28</w:t>
      </w:r>
      <w:r w:rsidRPr="006E3142">
        <w:rPr>
          <w:i/>
          <w:iCs/>
          <w:sz w:val="18"/>
          <w:szCs w:val="18"/>
          <w:vertAlign w:val="superscript"/>
        </w:rPr>
        <w:t>th</w:t>
      </w:r>
      <w:r>
        <w:rPr>
          <w:i/>
          <w:iCs/>
          <w:sz w:val="18"/>
          <w:szCs w:val="18"/>
        </w:rPr>
        <w:t xml:space="preserve"> January 2020.</w:t>
      </w:r>
    </w:p>
    <w:p w14:paraId="3FF0F83F" w14:textId="1B4BA7A9" w:rsidR="002D33F2" w:rsidRDefault="002D33F2" w:rsidP="002D33F2">
      <w:r>
        <w:t>We have conducted the same computations according to the age category of CDC participants, starting with the benefit cancellations shown in the following figure (</w:t>
      </w:r>
      <w:r w:rsidR="00F07D68">
        <w:fldChar w:fldCharType="begin"/>
      </w:r>
      <w:r w:rsidR="00F07D68">
        <w:instrText xml:space="preserve"> REF _Ref37265307 \h </w:instrText>
      </w:r>
      <w:r w:rsidR="00F07D68">
        <w:fldChar w:fldCharType="separate"/>
      </w:r>
      <w:r w:rsidR="008E2086">
        <w:t xml:space="preserve">Figure </w:t>
      </w:r>
      <w:r w:rsidR="008E2086">
        <w:rPr>
          <w:noProof/>
        </w:rPr>
        <w:t>3</w:t>
      </w:r>
      <w:r w:rsidR="008E2086">
        <w:noBreakHyphen/>
      </w:r>
      <w:r w:rsidR="008E2086">
        <w:rPr>
          <w:noProof/>
        </w:rPr>
        <w:t>8</w:t>
      </w:r>
      <w:r w:rsidR="00F07D68">
        <w:fldChar w:fldCharType="end"/>
      </w:r>
      <w:r>
        <w:t>). Those aged 16 to 24 years contribute relatively more to the number of cancellations compared to their actual number in the overall population, but not markedly so. Pre</w:t>
      </w:r>
      <w:r w:rsidR="00BF3A43">
        <w:t>-</w:t>
      </w:r>
      <w:r>
        <w:t xml:space="preserve">roll out, 47 per cent of the cancellations originated from this age group </w:t>
      </w:r>
      <w:r w:rsidR="00C20175">
        <w:t xml:space="preserve">of </w:t>
      </w:r>
      <w:r>
        <w:t xml:space="preserve">participants, while they represent 44 per cent of the total population. This proportion has risen from 47 per cent to 51 per cent since the roll out of the CDC. </w:t>
      </w:r>
    </w:p>
    <w:p w14:paraId="1A7068DF" w14:textId="77777777" w:rsidR="007260A4" w:rsidRDefault="007260A4">
      <w:pPr>
        <w:jc w:val="left"/>
        <w:rPr>
          <w:rFonts w:cstheme="minorHAnsi"/>
          <w:b/>
          <w:bCs/>
          <w:caps/>
          <w:sz w:val="20"/>
          <w:szCs w:val="18"/>
        </w:rPr>
      </w:pPr>
      <w:bookmarkStart w:id="281" w:name="_Ref36631439"/>
      <w:bookmarkStart w:id="282" w:name="_Toc34935521"/>
      <w:bookmarkStart w:id="283" w:name="_Toc36631794"/>
      <w:bookmarkStart w:id="284" w:name="_Toc36637998"/>
      <w:bookmarkStart w:id="285" w:name="_Toc34304880"/>
      <w:bookmarkStart w:id="286" w:name="_Ref34916990"/>
      <w:r>
        <w:br w:type="page"/>
      </w:r>
    </w:p>
    <w:p w14:paraId="657400A3" w14:textId="0501A794" w:rsidR="002D33F2" w:rsidRDefault="002D33F2" w:rsidP="002D33F2">
      <w:pPr>
        <w:pStyle w:val="Caption"/>
      </w:pPr>
      <w:bookmarkStart w:id="287" w:name="_Ref37265307"/>
      <w:bookmarkStart w:id="288" w:name="_Toc37263845"/>
      <w:r>
        <w:lastRenderedPageBreak/>
        <w:t xml:space="preserve">Figure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w:instrText>
      </w:r>
      <w:r w:rsidR="006C0554">
        <w:instrText xml:space="preserve"> ARABIC \s 1 </w:instrText>
      </w:r>
      <w:r w:rsidR="006C0554">
        <w:fldChar w:fldCharType="separate"/>
      </w:r>
      <w:r w:rsidR="008E2086">
        <w:rPr>
          <w:noProof/>
        </w:rPr>
        <w:t>8</w:t>
      </w:r>
      <w:r w:rsidR="006C0554">
        <w:rPr>
          <w:noProof/>
        </w:rPr>
        <w:fldChar w:fldCharType="end"/>
      </w:r>
      <w:bookmarkEnd w:id="281"/>
      <w:bookmarkEnd w:id="287"/>
      <w:r>
        <w:t xml:space="preserve">: Benefit payment cancellations by age group, one year leading to CDC vs. since </w:t>
      </w:r>
      <w:bookmarkEnd w:id="282"/>
      <w:r>
        <w:t>CDC</w:t>
      </w:r>
      <w:bookmarkEnd w:id="283"/>
      <w:bookmarkEnd w:id="284"/>
      <w:bookmarkEnd w:id="288"/>
    </w:p>
    <w:bookmarkEnd w:id="285"/>
    <w:bookmarkEnd w:id="286"/>
    <w:p w14:paraId="2E494DF3" w14:textId="77777777" w:rsidR="002D33F2" w:rsidRDefault="002618B8" w:rsidP="002D33F2">
      <w:pPr>
        <w:jc w:val="center"/>
      </w:pPr>
      <w:r w:rsidRPr="007B0D33">
        <w:rPr>
          <w:noProof/>
          <w:lang w:eastAsia="en-AU"/>
        </w:rPr>
        <w:drawing>
          <wp:inline distT="0" distB="0" distL="0" distR="0" wp14:anchorId="58251D1A" wp14:editId="4155B3ED">
            <wp:extent cx="3650400" cy="2491200"/>
            <wp:effectExtent l="57150" t="19050" r="64770" b="99695"/>
            <wp:docPr id="21" name="Picture 21" descr="Benefit payment cancellations by age group, comparing the year leading to the roll out with the year after the roll out.&#10;16-24 years old: 1 year leading to CDC 47%, since CDC 51%, CDC participants in this category 44%&#10;25-34 years old: 1 year leading to CDC 50%, since CDC 46%, CDC participants in this category 51%&#10;35-44 years old: 1 year leading to CDC 3%, since CDC 3%, CDC participants in this category 5%" title="Figure 3 8: Benefit payment cancellations by age group, one year leading to CDC vs. since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0400" cy="24912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4D4029DC" w14:textId="77777777" w:rsidR="00CC1A4F" w:rsidRDefault="00CC1A4F" w:rsidP="00CC1A4F">
      <w:pPr>
        <w:spacing w:after="0" w:line="240" w:lineRule="auto"/>
        <w:ind w:left="851"/>
        <w:rPr>
          <w:i/>
          <w:iCs/>
          <w:sz w:val="18"/>
          <w:szCs w:val="18"/>
        </w:rPr>
      </w:pPr>
      <w:r>
        <w:rPr>
          <w:i/>
          <w:iCs/>
          <w:sz w:val="18"/>
          <w:szCs w:val="18"/>
        </w:rPr>
        <w:t>Note: ‘1 year leading to CDC roll out’ refers to the period 29</w:t>
      </w:r>
      <w:r w:rsidRPr="006E3142">
        <w:rPr>
          <w:i/>
          <w:iCs/>
          <w:sz w:val="18"/>
          <w:szCs w:val="18"/>
          <w:vertAlign w:val="superscript"/>
        </w:rPr>
        <w:t>th</w:t>
      </w:r>
      <w:r>
        <w:rPr>
          <w:i/>
          <w:iCs/>
          <w:sz w:val="18"/>
          <w:szCs w:val="18"/>
        </w:rPr>
        <w:t xml:space="preserve"> January 2018 to 28</w:t>
      </w:r>
      <w:r w:rsidRPr="006E3142">
        <w:rPr>
          <w:i/>
          <w:iCs/>
          <w:sz w:val="18"/>
          <w:szCs w:val="18"/>
          <w:vertAlign w:val="superscript"/>
        </w:rPr>
        <w:t>th</w:t>
      </w:r>
      <w:r>
        <w:rPr>
          <w:i/>
          <w:iCs/>
          <w:sz w:val="18"/>
          <w:szCs w:val="18"/>
        </w:rPr>
        <w:t xml:space="preserve"> January 2019</w:t>
      </w:r>
    </w:p>
    <w:p w14:paraId="3192BACF" w14:textId="77777777" w:rsidR="00CC1A4F" w:rsidRPr="006E3142" w:rsidRDefault="00CC1A4F" w:rsidP="00CC1A4F">
      <w:pPr>
        <w:ind w:left="851"/>
        <w:rPr>
          <w:i/>
          <w:iCs/>
          <w:sz w:val="18"/>
          <w:szCs w:val="18"/>
        </w:rPr>
      </w:pPr>
      <w:r>
        <w:rPr>
          <w:i/>
          <w:iCs/>
          <w:sz w:val="18"/>
          <w:szCs w:val="18"/>
        </w:rPr>
        <w:t>‘Since CDC roll out’ refers to the period 29</w:t>
      </w:r>
      <w:r w:rsidRPr="006E3142">
        <w:rPr>
          <w:i/>
          <w:iCs/>
          <w:sz w:val="18"/>
          <w:szCs w:val="18"/>
          <w:vertAlign w:val="superscript"/>
        </w:rPr>
        <w:t>th</w:t>
      </w:r>
      <w:r>
        <w:rPr>
          <w:i/>
          <w:iCs/>
          <w:sz w:val="18"/>
          <w:szCs w:val="18"/>
        </w:rPr>
        <w:t xml:space="preserve"> January 2019 to 28</w:t>
      </w:r>
      <w:r w:rsidRPr="006E3142">
        <w:rPr>
          <w:i/>
          <w:iCs/>
          <w:sz w:val="18"/>
          <w:szCs w:val="18"/>
          <w:vertAlign w:val="superscript"/>
        </w:rPr>
        <w:t>th</w:t>
      </w:r>
      <w:r>
        <w:rPr>
          <w:i/>
          <w:iCs/>
          <w:sz w:val="18"/>
          <w:szCs w:val="18"/>
        </w:rPr>
        <w:t xml:space="preserve"> January 2020.</w:t>
      </w:r>
    </w:p>
    <w:p w14:paraId="004B5914" w14:textId="0073808C" w:rsidR="002D33F2" w:rsidRDefault="002D33F2" w:rsidP="002D33F2">
      <w:r>
        <w:t>The following figure (</w:t>
      </w:r>
      <w:r w:rsidR="00BC5CFD">
        <w:fldChar w:fldCharType="begin"/>
      </w:r>
      <w:r w:rsidR="00BC5CFD">
        <w:instrText xml:space="preserve"> REF _Ref36656282 \h </w:instrText>
      </w:r>
      <w:r w:rsidR="00BC5CFD">
        <w:fldChar w:fldCharType="separate"/>
      </w:r>
      <w:r w:rsidR="008E2086">
        <w:t xml:space="preserve">Figure </w:t>
      </w:r>
      <w:r w:rsidR="008E2086">
        <w:rPr>
          <w:noProof/>
        </w:rPr>
        <w:t>3</w:t>
      </w:r>
      <w:r w:rsidR="008E2086">
        <w:noBreakHyphen/>
      </w:r>
      <w:r w:rsidR="008E2086">
        <w:rPr>
          <w:noProof/>
        </w:rPr>
        <w:t>9</w:t>
      </w:r>
      <w:r w:rsidR="00BC5CFD">
        <w:fldChar w:fldCharType="end"/>
      </w:r>
      <w:r>
        <w:t xml:space="preserve">) provides the same information on benefit suspensions by age group. The observation made previously in Figure 3-9 above about benefit cancellations among the 16 to 24 years old group, is more pronounced in the case of benefit suspensions in </w:t>
      </w:r>
      <w:r w:rsidR="00B73101">
        <w:fldChar w:fldCharType="begin"/>
      </w:r>
      <w:r w:rsidR="00B73101">
        <w:instrText xml:space="preserve"> REF _Ref36656282 \h </w:instrText>
      </w:r>
      <w:r w:rsidR="00B73101">
        <w:fldChar w:fldCharType="separate"/>
      </w:r>
      <w:r w:rsidR="008E2086">
        <w:t xml:space="preserve">Figure </w:t>
      </w:r>
      <w:r w:rsidR="008E2086">
        <w:rPr>
          <w:noProof/>
        </w:rPr>
        <w:t>3</w:t>
      </w:r>
      <w:r w:rsidR="008E2086">
        <w:noBreakHyphen/>
      </w:r>
      <w:r w:rsidR="008E2086">
        <w:rPr>
          <w:noProof/>
        </w:rPr>
        <w:t>9</w:t>
      </w:r>
      <w:r w:rsidR="00B73101">
        <w:fldChar w:fldCharType="end"/>
      </w:r>
      <w:r>
        <w:t xml:space="preserve"> below. Pre-roll out, the 16 to 24 age group is responsible for 57 per cent of the benefit suspensions. Since the roll out, their contribution has further increased to 61 per cent of the total number of suspensions.</w:t>
      </w:r>
    </w:p>
    <w:p w14:paraId="65A5105B" w14:textId="5E531CA7" w:rsidR="002D33F2" w:rsidRDefault="002D33F2" w:rsidP="002D33F2">
      <w:pPr>
        <w:pStyle w:val="Caption"/>
      </w:pPr>
      <w:bookmarkStart w:id="289" w:name="_Ref36656282"/>
      <w:bookmarkStart w:id="290" w:name="_Ref34917028"/>
      <w:bookmarkStart w:id="291" w:name="_Toc34304881"/>
      <w:bookmarkStart w:id="292" w:name="_Ref34911390"/>
      <w:bookmarkStart w:id="293" w:name="_Toc34935522"/>
      <w:bookmarkStart w:id="294" w:name="_Toc36637999"/>
      <w:bookmarkStart w:id="295" w:name="_Toc37263846"/>
      <w:r>
        <w:t xml:space="preserve">Figure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9</w:t>
      </w:r>
      <w:r w:rsidR="006C0554">
        <w:rPr>
          <w:noProof/>
        </w:rPr>
        <w:fldChar w:fldCharType="end"/>
      </w:r>
      <w:bookmarkEnd w:id="289"/>
      <w:bookmarkEnd w:id="290"/>
      <w:r>
        <w:t xml:space="preserve">: Benefit payment suspensions by age group, one year leading to CDC vs. since </w:t>
      </w:r>
      <w:bookmarkEnd w:id="291"/>
      <w:bookmarkEnd w:id="292"/>
      <w:bookmarkEnd w:id="293"/>
      <w:r>
        <w:t>CDC</w:t>
      </w:r>
      <w:bookmarkEnd w:id="294"/>
      <w:bookmarkEnd w:id="295"/>
    </w:p>
    <w:p w14:paraId="087166D4" w14:textId="77777777" w:rsidR="002D33F2" w:rsidRDefault="002618B8" w:rsidP="002D33F2">
      <w:pPr>
        <w:jc w:val="center"/>
      </w:pPr>
      <w:r w:rsidRPr="007B0D33">
        <w:rPr>
          <w:noProof/>
          <w:lang w:eastAsia="en-AU"/>
        </w:rPr>
        <w:drawing>
          <wp:inline distT="0" distB="0" distL="0" distR="0" wp14:anchorId="2D7DEE63" wp14:editId="289932B1">
            <wp:extent cx="3650400" cy="2491200"/>
            <wp:effectExtent l="57150" t="19050" r="64770" b="99695"/>
            <wp:docPr id="22" name="Picture 22" descr="Benefit payment suspensions by age group, comparing the year leading to the roll out with the year after the roll out.&#10;16-24 years old: 1 year leading to CDC 57%, since CDC 61%, CDC participants in this category 44%&#10;25-34 years old: 1 year leading to CDC 40%, since CDC 36%, CDC participants in this category 51%&#10;35-44 years old: 1 year leading to CDC 3%, since CDC 3%, CDC participants in this category 5%" title="Figure 3 9: Benefit payment suspensions by age group, one year leading to CDC vs. since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0400" cy="24912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018286DF" w14:textId="77777777" w:rsidR="0076404D" w:rsidRDefault="0076404D" w:rsidP="0076404D">
      <w:pPr>
        <w:spacing w:after="0" w:line="240" w:lineRule="auto"/>
        <w:ind w:left="851"/>
        <w:rPr>
          <w:i/>
          <w:iCs/>
          <w:sz w:val="18"/>
          <w:szCs w:val="18"/>
        </w:rPr>
      </w:pPr>
      <w:r>
        <w:rPr>
          <w:i/>
          <w:iCs/>
          <w:sz w:val="18"/>
          <w:szCs w:val="18"/>
        </w:rPr>
        <w:t>Note: ‘1 year leading to CDC roll out’ refers to the period 29</w:t>
      </w:r>
      <w:r w:rsidRPr="006E3142">
        <w:rPr>
          <w:i/>
          <w:iCs/>
          <w:sz w:val="18"/>
          <w:szCs w:val="18"/>
          <w:vertAlign w:val="superscript"/>
        </w:rPr>
        <w:t>th</w:t>
      </w:r>
      <w:r>
        <w:rPr>
          <w:i/>
          <w:iCs/>
          <w:sz w:val="18"/>
          <w:szCs w:val="18"/>
        </w:rPr>
        <w:t xml:space="preserve"> January 2018 to 28</w:t>
      </w:r>
      <w:r w:rsidRPr="006E3142">
        <w:rPr>
          <w:i/>
          <w:iCs/>
          <w:sz w:val="18"/>
          <w:szCs w:val="18"/>
          <w:vertAlign w:val="superscript"/>
        </w:rPr>
        <w:t>th</w:t>
      </w:r>
      <w:r>
        <w:rPr>
          <w:i/>
          <w:iCs/>
          <w:sz w:val="18"/>
          <w:szCs w:val="18"/>
        </w:rPr>
        <w:t xml:space="preserve"> January 2019</w:t>
      </w:r>
    </w:p>
    <w:p w14:paraId="077CC0CD" w14:textId="77777777" w:rsidR="0076404D" w:rsidRPr="006E3142" w:rsidRDefault="0076404D" w:rsidP="0076404D">
      <w:pPr>
        <w:ind w:left="851"/>
        <w:rPr>
          <w:i/>
          <w:iCs/>
          <w:sz w:val="18"/>
          <w:szCs w:val="18"/>
        </w:rPr>
      </w:pPr>
      <w:r>
        <w:rPr>
          <w:i/>
          <w:iCs/>
          <w:sz w:val="18"/>
          <w:szCs w:val="18"/>
        </w:rPr>
        <w:t>‘Since CD</w:t>
      </w:r>
      <w:r w:rsidR="00FD1D48">
        <w:rPr>
          <w:i/>
          <w:iCs/>
          <w:sz w:val="18"/>
          <w:szCs w:val="18"/>
        </w:rPr>
        <w:t xml:space="preserve">C </w:t>
      </w:r>
      <w:r>
        <w:rPr>
          <w:i/>
          <w:iCs/>
          <w:sz w:val="18"/>
          <w:szCs w:val="18"/>
        </w:rPr>
        <w:t>roll out’ refers to the period 29</w:t>
      </w:r>
      <w:r w:rsidRPr="006E3142">
        <w:rPr>
          <w:i/>
          <w:iCs/>
          <w:sz w:val="18"/>
          <w:szCs w:val="18"/>
          <w:vertAlign w:val="superscript"/>
        </w:rPr>
        <w:t>th</w:t>
      </w:r>
      <w:r>
        <w:rPr>
          <w:i/>
          <w:iCs/>
          <w:sz w:val="18"/>
          <w:szCs w:val="18"/>
        </w:rPr>
        <w:t xml:space="preserve"> January 2019 to 28</w:t>
      </w:r>
      <w:r w:rsidRPr="006E3142">
        <w:rPr>
          <w:i/>
          <w:iCs/>
          <w:sz w:val="18"/>
          <w:szCs w:val="18"/>
          <w:vertAlign w:val="superscript"/>
        </w:rPr>
        <w:t>th</w:t>
      </w:r>
      <w:r>
        <w:rPr>
          <w:i/>
          <w:iCs/>
          <w:sz w:val="18"/>
          <w:szCs w:val="18"/>
        </w:rPr>
        <w:t xml:space="preserve"> January 2020.</w:t>
      </w:r>
    </w:p>
    <w:p w14:paraId="2923E894" w14:textId="539887C5" w:rsidR="002D33F2" w:rsidRDefault="002D33F2">
      <w:r>
        <w:t>The next two figures (</w:t>
      </w:r>
      <w:r>
        <w:fldChar w:fldCharType="begin"/>
      </w:r>
      <w:r>
        <w:instrText xml:space="preserve"> REF _Ref36631496 \h </w:instrText>
      </w:r>
      <w:r>
        <w:fldChar w:fldCharType="separate"/>
      </w:r>
      <w:r w:rsidR="008E2086">
        <w:t xml:space="preserve">Figure </w:t>
      </w:r>
      <w:r w:rsidR="008E2086">
        <w:rPr>
          <w:noProof/>
        </w:rPr>
        <w:t>3</w:t>
      </w:r>
      <w:r w:rsidR="008E2086">
        <w:noBreakHyphen/>
      </w:r>
      <w:r w:rsidR="008E2086">
        <w:rPr>
          <w:noProof/>
        </w:rPr>
        <w:t>10</w:t>
      </w:r>
      <w:r>
        <w:fldChar w:fldCharType="end"/>
      </w:r>
      <w:r>
        <w:t xml:space="preserve"> and </w:t>
      </w:r>
      <w:r w:rsidR="003532DA">
        <w:fldChar w:fldCharType="begin"/>
      </w:r>
      <w:r w:rsidR="003532DA">
        <w:instrText xml:space="preserve"> REF _Ref38753996 \h </w:instrText>
      </w:r>
      <w:r w:rsidR="003532DA">
        <w:fldChar w:fldCharType="separate"/>
      </w:r>
      <w:r w:rsidR="003532DA">
        <w:t xml:space="preserve">Figure </w:t>
      </w:r>
      <w:r w:rsidR="003532DA">
        <w:rPr>
          <w:noProof/>
        </w:rPr>
        <w:t>3</w:t>
      </w:r>
      <w:r w:rsidR="003532DA">
        <w:noBreakHyphen/>
      </w:r>
      <w:r w:rsidR="003532DA">
        <w:rPr>
          <w:noProof/>
        </w:rPr>
        <w:t>11</w:t>
      </w:r>
      <w:r w:rsidR="003532DA">
        <w:fldChar w:fldCharType="end"/>
      </w:r>
      <w:r>
        <w:t xml:space="preserve">) provide the same type of information for cancellations and suspensions, differentiating by core benefit type. Overall, the group of CDC participants who are on </w:t>
      </w:r>
      <w:proofErr w:type="spellStart"/>
      <w:r>
        <w:t>Newstart</w:t>
      </w:r>
      <w:proofErr w:type="spellEnd"/>
      <w:r w:rsidR="0064569A">
        <w:t xml:space="preserve"> Allowance</w:t>
      </w:r>
      <w:r>
        <w:t xml:space="preserve"> generate the largest proportions of cancellations and suspensions, </w:t>
      </w:r>
      <w:r w:rsidR="0076404D">
        <w:t>above</w:t>
      </w:r>
      <w:r>
        <w:t xml:space="preserve"> their actual proportion in the whole CDC participant population</w:t>
      </w:r>
      <w:r w:rsidR="0064569A">
        <w:t xml:space="preserve"> in the Bundaberg and Hervey Bay region</w:t>
      </w:r>
      <w:r>
        <w:t xml:space="preserve">. While </w:t>
      </w:r>
      <w:proofErr w:type="spellStart"/>
      <w:r>
        <w:t>Newstart</w:t>
      </w:r>
      <w:proofErr w:type="spellEnd"/>
      <w:r>
        <w:t xml:space="preserve"> Allowance recipients represent 40 per cent of the total CDC population</w:t>
      </w:r>
      <w:r w:rsidR="007B66B4">
        <w:t xml:space="preserve"> in the Bundaberg and Hervey Bay region</w:t>
      </w:r>
      <w:r>
        <w:t xml:space="preserve">, they generate respectively 46 per cent and 50 </w:t>
      </w:r>
      <w:r>
        <w:lastRenderedPageBreak/>
        <w:t xml:space="preserve">per cent of benefit cancellations (pre and post CDC roll out) and 58 per cent and 54 per cent of benefit suspensions (pre and post CDC roll out). </w:t>
      </w:r>
    </w:p>
    <w:p w14:paraId="619E3E98" w14:textId="52AACCAE" w:rsidR="002D33F2" w:rsidRDefault="002D33F2">
      <w:r>
        <w:t>The next group by size within the population is Youth Allowance recipients. CDC participants on this type of benefit contribute to benefit cancellations in a proportion that is compatible with their actual weight in the overall population with respectively 22 per cent and 27 per cent (pre- and post-CDC roll out) of the cancellations (they represent 24 per cent of the total population). However, Youth Allowance recipients</w:t>
      </w:r>
      <w:r w:rsidDel="00230553">
        <w:t xml:space="preserve"> </w:t>
      </w:r>
      <w:r>
        <w:t xml:space="preserve">contribute to benefit suspensions to a larger extent than their weight in the population would warrant. Between 36 per cent and 35 per cent (pre- and post-CDC roll out) of the benefit suspensions originate from this group (see both </w:t>
      </w:r>
      <w:r>
        <w:fldChar w:fldCharType="begin"/>
      </w:r>
      <w:r>
        <w:instrText xml:space="preserve"> REF _Ref36631496 \h </w:instrText>
      </w:r>
      <w:r w:rsidR="003532DA">
        <w:instrText xml:space="preserve"> \* MERGEFORMAT </w:instrText>
      </w:r>
      <w:r>
        <w:fldChar w:fldCharType="separate"/>
      </w:r>
      <w:r w:rsidR="008E2086">
        <w:t xml:space="preserve">Figure </w:t>
      </w:r>
      <w:r w:rsidR="008E2086">
        <w:rPr>
          <w:noProof/>
        </w:rPr>
        <w:t>3</w:t>
      </w:r>
      <w:r w:rsidR="008E2086">
        <w:noBreakHyphen/>
      </w:r>
      <w:r w:rsidR="008E2086">
        <w:rPr>
          <w:noProof/>
        </w:rPr>
        <w:t>10</w:t>
      </w:r>
      <w:r>
        <w:fldChar w:fldCharType="end"/>
      </w:r>
      <w:r>
        <w:t xml:space="preserve"> and</w:t>
      </w:r>
      <w:r w:rsidR="003532DA">
        <w:t xml:space="preserve"> </w:t>
      </w:r>
      <w:r w:rsidR="003532DA">
        <w:fldChar w:fldCharType="begin"/>
      </w:r>
      <w:r w:rsidR="003532DA">
        <w:instrText xml:space="preserve"> REF _Ref38753996 \h </w:instrText>
      </w:r>
      <w:r w:rsidR="003532DA">
        <w:fldChar w:fldCharType="separate"/>
      </w:r>
      <w:r w:rsidR="003532DA">
        <w:t xml:space="preserve">Figure </w:t>
      </w:r>
      <w:r w:rsidR="003532DA">
        <w:rPr>
          <w:noProof/>
        </w:rPr>
        <w:t>3</w:t>
      </w:r>
      <w:r w:rsidR="003532DA">
        <w:noBreakHyphen/>
      </w:r>
      <w:r w:rsidR="003532DA">
        <w:rPr>
          <w:noProof/>
        </w:rPr>
        <w:t>11</w:t>
      </w:r>
      <w:r w:rsidR="003532DA">
        <w:fldChar w:fldCharType="end"/>
      </w:r>
      <w:r w:rsidR="003532DA">
        <w:t xml:space="preserve"> </w:t>
      </w:r>
      <w:r>
        <w:t>below).</w:t>
      </w:r>
    </w:p>
    <w:p w14:paraId="0ED43C57" w14:textId="7D7B16FC" w:rsidR="002D33F2" w:rsidRDefault="002D33F2">
      <w:r>
        <w:t xml:space="preserve">CDC participants who are on Parenting </w:t>
      </w:r>
      <w:r w:rsidR="007B66B4">
        <w:t>P</w:t>
      </w:r>
      <w:r>
        <w:t>ayments (</w:t>
      </w:r>
      <w:r w:rsidR="007B66B4">
        <w:t>S</w:t>
      </w:r>
      <w:r>
        <w:t xml:space="preserve">ingle and </w:t>
      </w:r>
      <w:r w:rsidR="007B66B4">
        <w:t>P</w:t>
      </w:r>
      <w:r>
        <w:t xml:space="preserve">artnered) contribute relatively less to both benefit cancellations and suspensions than their relative proportions in the overall CDC participant population </w:t>
      </w:r>
      <w:r w:rsidR="007B66B4">
        <w:t xml:space="preserve">in the Bundaberg and Hervey Bay region </w:t>
      </w:r>
      <w:r>
        <w:t xml:space="preserve">would warrant (see both </w:t>
      </w:r>
      <w:r>
        <w:fldChar w:fldCharType="begin"/>
      </w:r>
      <w:r>
        <w:instrText xml:space="preserve"> REF _Ref36631496 \h </w:instrText>
      </w:r>
      <w:r w:rsidR="003532DA">
        <w:instrText xml:space="preserve"> \* MERGEFORMAT </w:instrText>
      </w:r>
      <w:r>
        <w:fldChar w:fldCharType="separate"/>
      </w:r>
      <w:r w:rsidR="008E2086">
        <w:t xml:space="preserve">Figure </w:t>
      </w:r>
      <w:r w:rsidR="008E2086">
        <w:rPr>
          <w:noProof/>
        </w:rPr>
        <w:t>3</w:t>
      </w:r>
      <w:r w:rsidR="008E2086">
        <w:noBreakHyphen/>
      </w:r>
      <w:r w:rsidR="008E2086">
        <w:rPr>
          <w:noProof/>
        </w:rPr>
        <w:t>10</w:t>
      </w:r>
      <w:r>
        <w:fldChar w:fldCharType="end"/>
      </w:r>
      <w:r>
        <w:t xml:space="preserve"> and </w:t>
      </w:r>
      <w:r w:rsidR="003532DA">
        <w:fldChar w:fldCharType="begin"/>
      </w:r>
      <w:r w:rsidR="003532DA">
        <w:instrText xml:space="preserve"> REF _Ref38753996 \h </w:instrText>
      </w:r>
      <w:r w:rsidR="003532DA">
        <w:fldChar w:fldCharType="separate"/>
      </w:r>
      <w:r w:rsidR="003532DA">
        <w:t xml:space="preserve">Figure </w:t>
      </w:r>
      <w:r w:rsidR="003532DA">
        <w:rPr>
          <w:noProof/>
        </w:rPr>
        <w:t>3</w:t>
      </w:r>
      <w:r w:rsidR="003532DA">
        <w:noBreakHyphen/>
      </w:r>
      <w:r w:rsidR="003532DA">
        <w:rPr>
          <w:noProof/>
        </w:rPr>
        <w:t>11</w:t>
      </w:r>
      <w:r w:rsidR="003532DA">
        <w:fldChar w:fldCharType="end"/>
      </w:r>
      <w:r>
        <w:t xml:space="preserve"> below).</w:t>
      </w:r>
    </w:p>
    <w:p w14:paraId="7F1B9764" w14:textId="6240A5BA" w:rsidR="002D33F2" w:rsidRDefault="002D33F2" w:rsidP="002D33F2">
      <w:pPr>
        <w:pStyle w:val="Caption"/>
      </w:pPr>
      <w:bookmarkStart w:id="296" w:name="_Ref36631496"/>
      <w:bookmarkStart w:id="297" w:name="_Toc34935523"/>
      <w:bookmarkStart w:id="298" w:name="_Toc36631796"/>
      <w:bookmarkStart w:id="299" w:name="_Toc36638000"/>
      <w:bookmarkStart w:id="300" w:name="_Toc37263847"/>
      <w:bookmarkStart w:id="301" w:name="_Ref34917098"/>
      <w:bookmarkStart w:id="302" w:name="_Toc34304882"/>
      <w:r>
        <w:t xml:space="preserve">Figure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10</w:t>
      </w:r>
      <w:r w:rsidR="006C0554">
        <w:rPr>
          <w:noProof/>
        </w:rPr>
        <w:fldChar w:fldCharType="end"/>
      </w:r>
      <w:bookmarkEnd w:id="296"/>
      <w:r>
        <w:t xml:space="preserve">: Benefit payment cancellations by benefit type, one year leading to CDC vs. since </w:t>
      </w:r>
      <w:bookmarkEnd w:id="297"/>
      <w:r>
        <w:t>CDC</w:t>
      </w:r>
      <w:bookmarkEnd w:id="298"/>
      <w:bookmarkEnd w:id="299"/>
      <w:bookmarkEnd w:id="300"/>
    </w:p>
    <w:bookmarkEnd w:id="301"/>
    <w:bookmarkEnd w:id="302"/>
    <w:p w14:paraId="608BC399" w14:textId="77777777" w:rsidR="002D33F2" w:rsidRDefault="005225E3" w:rsidP="002D33F2">
      <w:pPr>
        <w:jc w:val="center"/>
      </w:pPr>
      <w:r w:rsidRPr="007B0D33">
        <w:rPr>
          <w:noProof/>
          <w:lang w:eastAsia="en-AU"/>
        </w:rPr>
        <w:drawing>
          <wp:inline distT="0" distB="0" distL="0" distR="0" wp14:anchorId="522C089F" wp14:editId="0BE257E2">
            <wp:extent cx="3650400" cy="2340000"/>
            <wp:effectExtent l="57150" t="19050" r="64770" b="98425"/>
            <wp:docPr id="23" name="Picture 23" descr="Benefit payment cancellations by benefit type, comparing the year leading to the roll out with the year after the roll out.&#10;Newstart Allowance: 1 year leading to CDC 46%, since CDC 50%, CDC participants in this benefit type 40%&#10;Parenting Payment Partnered: 1 year leading to CDC 5%, since CDC 3%, CDC participants in this benefit type 6%&#10;Parenting Payment Single: 1 year leading to CDC 19%, since CDC 13%, CDC participants in this benefit type 24%&#10;Youth Allowance: 1 year leading to CDC 22%, since CDC 27%, CDC participants in this benefit type 24%&#10;Other benefit payment: 1 year leading to CDC 8%, since CDC 6%, CDC participants in this benefit type 6%" title="Figure 3 10: Benefit payment cancellations by benefit type, one year leading to CDC vs. since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50400" cy="23400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6CDBB08D" w14:textId="77777777" w:rsidR="0076404D" w:rsidRDefault="0076404D" w:rsidP="0076404D">
      <w:pPr>
        <w:spacing w:after="0" w:line="240" w:lineRule="auto"/>
        <w:ind w:left="851"/>
        <w:rPr>
          <w:i/>
          <w:iCs/>
          <w:sz w:val="18"/>
          <w:szCs w:val="18"/>
        </w:rPr>
      </w:pPr>
      <w:r>
        <w:rPr>
          <w:i/>
          <w:iCs/>
          <w:sz w:val="18"/>
          <w:szCs w:val="18"/>
        </w:rPr>
        <w:t>Note: ‘1 year leading to CDC roll out’ refers to the period 29</w:t>
      </w:r>
      <w:r w:rsidRPr="006E3142">
        <w:rPr>
          <w:i/>
          <w:iCs/>
          <w:sz w:val="18"/>
          <w:szCs w:val="18"/>
          <w:vertAlign w:val="superscript"/>
        </w:rPr>
        <w:t>th</w:t>
      </w:r>
      <w:r>
        <w:rPr>
          <w:i/>
          <w:iCs/>
          <w:sz w:val="18"/>
          <w:szCs w:val="18"/>
        </w:rPr>
        <w:t xml:space="preserve"> January 2018 to 28</w:t>
      </w:r>
      <w:r w:rsidRPr="006E3142">
        <w:rPr>
          <w:i/>
          <w:iCs/>
          <w:sz w:val="18"/>
          <w:szCs w:val="18"/>
          <w:vertAlign w:val="superscript"/>
        </w:rPr>
        <w:t>th</w:t>
      </w:r>
      <w:r>
        <w:rPr>
          <w:i/>
          <w:iCs/>
          <w:sz w:val="18"/>
          <w:szCs w:val="18"/>
        </w:rPr>
        <w:t xml:space="preserve"> January 2019</w:t>
      </w:r>
    </w:p>
    <w:p w14:paraId="4311079C" w14:textId="77777777" w:rsidR="0076404D" w:rsidRPr="006E3142" w:rsidRDefault="0076404D" w:rsidP="0076404D">
      <w:pPr>
        <w:ind w:left="851"/>
        <w:rPr>
          <w:i/>
          <w:iCs/>
          <w:sz w:val="18"/>
          <w:szCs w:val="18"/>
        </w:rPr>
      </w:pPr>
      <w:r>
        <w:rPr>
          <w:i/>
          <w:iCs/>
          <w:sz w:val="18"/>
          <w:szCs w:val="18"/>
        </w:rPr>
        <w:t>‘Since CDC roll out’ refers to the period 29</w:t>
      </w:r>
      <w:r w:rsidRPr="006E3142">
        <w:rPr>
          <w:i/>
          <w:iCs/>
          <w:sz w:val="18"/>
          <w:szCs w:val="18"/>
          <w:vertAlign w:val="superscript"/>
        </w:rPr>
        <w:t>th</w:t>
      </w:r>
      <w:r>
        <w:rPr>
          <w:i/>
          <w:iCs/>
          <w:sz w:val="18"/>
          <w:szCs w:val="18"/>
        </w:rPr>
        <w:t xml:space="preserve"> January 2019 to 28</w:t>
      </w:r>
      <w:r w:rsidRPr="006E3142">
        <w:rPr>
          <w:i/>
          <w:iCs/>
          <w:sz w:val="18"/>
          <w:szCs w:val="18"/>
          <w:vertAlign w:val="superscript"/>
        </w:rPr>
        <w:t>th</w:t>
      </w:r>
      <w:r>
        <w:rPr>
          <w:i/>
          <w:iCs/>
          <w:sz w:val="18"/>
          <w:szCs w:val="18"/>
        </w:rPr>
        <w:t xml:space="preserve"> January 2020.</w:t>
      </w:r>
    </w:p>
    <w:p w14:paraId="4B6384C7" w14:textId="3834B056" w:rsidR="002D33F2" w:rsidRDefault="002D33F2" w:rsidP="002D33F2">
      <w:pPr>
        <w:pStyle w:val="Caption"/>
      </w:pPr>
      <w:bookmarkStart w:id="303" w:name="_Ref36631506"/>
      <w:bookmarkStart w:id="304" w:name="_Ref38753996"/>
      <w:bookmarkStart w:id="305" w:name="_Toc34935524"/>
      <w:bookmarkStart w:id="306" w:name="_Toc36631797"/>
      <w:bookmarkStart w:id="307" w:name="_Toc36638001"/>
      <w:bookmarkStart w:id="308" w:name="_Toc37263848"/>
      <w:bookmarkStart w:id="309" w:name="_Ref34917099"/>
      <w:bookmarkStart w:id="310" w:name="_Toc34304883"/>
      <w:r>
        <w:t xml:space="preserve">Figure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Figure \* ARABIC \s 1 </w:instrText>
      </w:r>
      <w:r w:rsidR="006C0554">
        <w:fldChar w:fldCharType="separate"/>
      </w:r>
      <w:r w:rsidR="008E2086">
        <w:rPr>
          <w:noProof/>
        </w:rPr>
        <w:t>11</w:t>
      </w:r>
      <w:r w:rsidR="006C0554">
        <w:rPr>
          <w:noProof/>
        </w:rPr>
        <w:fldChar w:fldCharType="end"/>
      </w:r>
      <w:bookmarkEnd w:id="303"/>
      <w:bookmarkEnd w:id="304"/>
      <w:r>
        <w:t xml:space="preserve">: Benefit payment suspensions by benefit type, one year leading to CDC vs. since </w:t>
      </w:r>
      <w:bookmarkEnd w:id="305"/>
      <w:r>
        <w:t>CDC</w:t>
      </w:r>
      <w:bookmarkEnd w:id="306"/>
      <w:bookmarkEnd w:id="307"/>
      <w:bookmarkEnd w:id="308"/>
    </w:p>
    <w:bookmarkEnd w:id="309"/>
    <w:bookmarkEnd w:id="310"/>
    <w:p w14:paraId="43E9B051" w14:textId="77777777" w:rsidR="002D33F2" w:rsidRDefault="005225E3" w:rsidP="002D33F2">
      <w:pPr>
        <w:jc w:val="center"/>
      </w:pPr>
      <w:r w:rsidRPr="007B0D33">
        <w:rPr>
          <w:noProof/>
          <w:lang w:eastAsia="en-AU"/>
        </w:rPr>
        <w:drawing>
          <wp:inline distT="0" distB="0" distL="0" distR="0" wp14:anchorId="6706AD78" wp14:editId="1990F1B5">
            <wp:extent cx="3650400" cy="2340000"/>
            <wp:effectExtent l="57150" t="19050" r="64770" b="98425"/>
            <wp:docPr id="24" name="Picture 24" descr="Benefit payment suspensions by benefit type, comparing the year leading to the roll out with the year after the roll out.&#10;Newstart Allowance: 1 year leading to CDC 58%, since CDC 54%, CDC participants in this benefit type 40%&#10;Parenting Payment Partnered: 1 year leading to CDC 2%, since CDC 2%, CDC participants in this benefit type 6%&#10;Parenting Payment Single: 1 year leading to CDC 2%, since CDC 4%, CDC participants in this benefit type 24%&#10;Youth Allowance: 1 year leading to CDC 36%, since CDC 35%, CDC participants in this benefit type 24%&#10;Other benefit payment: 1 year leading to CDC 2%, since CDC 5%, CDC participants in this benefit type 6%" title="Figure 3 11: Benefit payment suspensions by benefit type, one year leading to CDC vs. since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50400" cy="234000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771DEE16" w14:textId="77777777" w:rsidR="0076404D" w:rsidRDefault="0076404D" w:rsidP="0076404D">
      <w:pPr>
        <w:spacing w:after="0" w:line="240" w:lineRule="auto"/>
        <w:ind w:left="851"/>
        <w:rPr>
          <w:i/>
          <w:iCs/>
          <w:sz w:val="18"/>
          <w:szCs w:val="18"/>
        </w:rPr>
      </w:pPr>
      <w:r>
        <w:rPr>
          <w:i/>
          <w:iCs/>
          <w:sz w:val="18"/>
          <w:szCs w:val="18"/>
        </w:rPr>
        <w:t>Note: ‘1 year leading to CDC roll out’ refers to the period 29</w:t>
      </w:r>
      <w:r w:rsidRPr="006E3142">
        <w:rPr>
          <w:i/>
          <w:iCs/>
          <w:sz w:val="18"/>
          <w:szCs w:val="18"/>
          <w:vertAlign w:val="superscript"/>
        </w:rPr>
        <w:t>th</w:t>
      </w:r>
      <w:r>
        <w:rPr>
          <w:i/>
          <w:iCs/>
          <w:sz w:val="18"/>
          <w:szCs w:val="18"/>
        </w:rPr>
        <w:t xml:space="preserve"> January 2018 to 28</w:t>
      </w:r>
      <w:r w:rsidRPr="006E3142">
        <w:rPr>
          <w:i/>
          <w:iCs/>
          <w:sz w:val="18"/>
          <w:szCs w:val="18"/>
          <w:vertAlign w:val="superscript"/>
        </w:rPr>
        <w:t>th</w:t>
      </w:r>
      <w:r>
        <w:rPr>
          <w:i/>
          <w:iCs/>
          <w:sz w:val="18"/>
          <w:szCs w:val="18"/>
        </w:rPr>
        <w:t xml:space="preserve"> January 2019</w:t>
      </w:r>
    </w:p>
    <w:p w14:paraId="5243B9F4" w14:textId="77777777" w:rsidR="0076404D" w:rsidRPr="006E3142" w:rsidRDefault="0076404D" w:rsidP="0076404D">
      <w:pPr>
        <w:ind w:left="851"/>
        <w:rPr>
          <w:i/>
          <w:iCs/>
          <w:sz w:val="18"/>
          <w:szCs w:val="18"/>
        </w:rPr>
      </w:pPr>
      <w:r>
        <w:rPr>
          <w:i/>
          <w:iCs/>
          <w:sz w:val="18"/>
          <w:szCs w:val="18"/>
        </w:rPr>
        <w:t>‘Since CDC roll out’ refers to the period 29</w:t>
      </w:r>
      <w:r w:rsidRPr="006E3142">
        <w:rPr>
          <w:i/>
          <w:iCs/>
          <w:sz w:val="18"/>
          <w:szCs w:val="18"/>
          <w:vertAlign w:val="superscript"/>
        </w:rPr>
        <w:t>th</w:t>
      </w:r>
      <w:r>
        <w:rPr>
          <w:i/>
          <w:iCs/>
          <w:sz w:val="18"/>
          <w:szCs w:val="18"/>
        </w:rPr>
        <w:t xml:space="preserve"> January 2019 to 28</w:t>
      </w:r>
      <w:r w:rsidRPr="006E3142">
        <w:rPr>
          <w:i/>
          <w:iCs/>
          <w:sz w:val="18"/>
          <w:szCs w:val="18"/>
          <w:vertAlign w:val="superscript"/>
        </w:rPr>
        <w:t>th</w:t>
      </w:r>
      <w:r>
        <w:rPr>
          <w:i/>
          <w:iCs/>
          <w:sz w:val="18"/>
          <w:szCs w:val="18"/>
        </w:rPr>
        <w:t xml:space="preserve"> January 2020.</w:t>
      </w:r>
    </w:p>
    <w:p w14:paraId="6E765007" w14:textId="77777777" w:rsidR="002D33F2" w:rsidRDefault="002D33F2">
      <w:pPr>
        <w:pStyle w:val="Heading2"/>
      </w:pPr>
      <w:bookmarkStart w:id="311" w:name="_Toc37258361"/>
      <w:r>
        <w:lastRenderedPageBreak/>
        <w:t>Emergency relief</w:t>
      </w:r>
      <w:bookmarkEnd w:id="311"/>
    </w:p>
    <w:p w14:paraId="4637BD35" w14:textId="77777777" w:rsidR="002D33F2" w:rsidRDefault="0076404D" w:rsidP="002D33F2">
      <w:pPr>
        <w:spacing w:after="120"/>
      </w:pPr>
      <w:r>
        <w:t>The following subsection consists of data provided to the research team by the Department of Social Services</w:t>
      </w:r>
      <w:r>
        <w:rPr>
          <w:rStyle w:val="FootnoteReference"/>
        </w:rPr>
        <w:footnoteReference w:id="27"/>
      </w:r>
      <w:r>
        <w:t xml:space="preserve">. </w:t>
      </w:r>
      <w:r w:rsidR="002D33F2">
        <w:t xml:space="preserve">The research team from the University of Adelaide did not perform any computation related to the following tables, 3-8 to 3-13. </w:t>
      </w:r>
    </w:p>
    <w:p w14:paraId="63626CD3" w14:textId="77777777" w:rsidR="002D33F2" w:rsidRDefault="002D33F2" w:rsidP="002D33F2">
      <w:pPr>
        <w:spacing w:after="120"/>
      </w:pPr>
      <w:r>
        <w:t>Tables 3-8 to 3-13 include data on CDC participants who were triggered onto the CDC in the Bundaberg and Hervey Bay</w:t>
      </w:r>
      <w:r w:rsidR="002F205E">
        <w:t xml:space="preserve"> region</w:t>
      </w:r>
      <w:r w:rsidR="00FC7D82">
        <w:t>. The data includes CDC participants</w:t>
      </w:r>
      <w:r>
        <w:t xml:space="preserve"> whether they are currently active or not and whether they currently live within the </w:t>
      </w:r>
      <w:r w:rsidR="00FC7D82">
        <w:t xml:space="preserve">Bundaberg and Hervey Bay region </w:t>
      </w:r>
      <w:r>
        <w:t xml:space="preserve">or </w:t>
      </w:r>
      <w:r w:rsidR="00FC7D82">
        <w:t xml:space="preserve">have moved </w:t>
      </w:r>
      <w:r>
        <w:t>outside</w:t>
      </w:r>
      <w:r w:rsidR="00FC7D82">
        <w:t xml:space="preserve"> it</w:t>
      </w:r>
      <w:r>
        <w:t xml:space="preserve"> (this is equivalent to the CDC participant group referred to as ‘All participants’ throughout Section 3). </w:t>
      </w:r>
    </w:p>
    <w:p w14:paraId="51F5BAEF" w14:textId="3AB4B9A0" w:rsidR="002D33F2" w:rsidRDefault="002D33F2" w:rsidP="002D33F2">
      <w:pPr>
        <w:spacing w:after="120"/>
      </w:pPr>
      <w:r>
        <w:t>The data extract for these tables consist</w:t>
      </w:r>
      <w:r w:rsidR="002F205E">
        <w:t>s</w:t>
      </w:r>
      <w:r>
        <w:t xml:space="preserve"> of data on CDC participants </w:t>
      </w:r>
      <w:r w:rsidR="002F205E">
        <w:t xml:space="preserve">who were triggered onto the CDC in the Bundaberg and Hervey Bay region and </w:t>
      </w:r>
      <w:r>
        <w:t>who accessed Emergency Relief on or before 14</w:t>
      </w:r>
      <w:r w:rsidR="00DB0A37">
        <w:t> </w:t>
      </w:r>
      <w:r>
        <w:t>October 2019</w:t>
      </w:r>
      <w:r w:rsidR="0097490D">
        <w:rPr>
          <w:rStyle w:val="FootnoteReference"/>
        </w:rPr>
        <w:footnoteReference w:id="28"/>
      </w:r>
      <w:r>
        <w:t>. Close to that time (27</w:t>
      </w:r>
      <w:r w:rsidRPr="00665933">
        <w:rPr>
          <w:vertAlign w:val="superscript"/>
        </w:rPr>
        <w:t>th</w:t>
      </w:r>
      <w:r>
        <w:t xml:space="preserve"> September 2019)</w:t>
      </w:r>
      <w:r w:rsidR="00DB0A37">
        <w:t>,</w:t>
      </w:r>
      <w:r>
        <w:t xml:space="preserve"> there were 5,795 CDC participants </w:t>
      </w:r>
      <w:r w:rsidR="0076404D">
        <w:t>triggered onto the CDC</w:t>
      </w:r>
      <w:r>
        <w:t>. We note that</w:t>
      </w:r>
      <w:r w:rsidR="00DB0A37">
        <w:t>,</w:t>
      </w:r>
      <w:r>
        <w:t xml:space="preserve"> in the previous subsections, the data pertained to mid-February 2020</w:t>
      </w:r>
      <w:r w:rsidR="00DB0A37">
        <w:t>,</w:t>
      </w:r>
      <w:r>
        <w:t xml:space="preserve"> when the number of CDC participants was 6,063. </w:t>
      </w:r>
    </w:p>
    <w:p w14:paraId="5B114C52" w14:textId="77777777" w:rsidR="002D33F2" w:rsidRPr="002455E8" w:rsidRDefault="002D33F2" w:rsidP="002D33F2">
      <w:pPr>
        <w:spacing w:after="120"/>
        <w:rPr>
          <w:rFonts w:cstheme="minorHAnsi"/>
        </w:rPr>
      </w:pPr>
      <w:r w:rsidRPr="002455E8">
        <w:rPr>
          <w:rFonts w:cstheme="minorHAnsi"/>
        </w:rPr>
        <w:t>Some CDC participants may have accessed Emergency Relief in more than one Financial Year or</w:t>
      </w:r>
      <w:r>
        <w:rPr>
          <w:rFonts w:cstheme="minorHAnsi"/>
        </w:rPr>
        <w:t xml:space="preserve"> </w:t>
      </w:r>
      <w:r w:rsidRPr="002455E8">
        <w:rPr>
          <w:rFonts w:cstheme="minorHAnsi"/>
        </w:rPr>
        <w:t>Calendar Year</w:t>
      </w:r>
      <w:r>
        <w:rPr>
          <w:rFonts w:cstheme="minorHAnsi"/>
        </w:rPr>
        <w:t xml:space="preserve"> and, as a result, will be counted against both years. Consequently, it is not possible to sum the number of participants across </w:t>
      </w:r>
      <w:r w:rsidR="00CF55BC">
        <w:rPr>
          <w:rFonts w:cstheme="minorHAnsi"/>
        </w:rPr>
        <w:t>F</w:t>
      </w:r>
      <w:r>
        <w:rPr>
          <w:rFonts w:cstheme="minorHAnsi"/>
        </w:rPr>
        <w:t xml:space="preserve">inancial </w:t>
      </w:r>
      <w:r w:rsidR="00CF55BC">
        <w:rPr>
          <w:rFonts w:cstheme="minorHAnsi"/>
        </w:rPr>
        <w:t xml:space="preserve">Years </w:t>
      </w:r>
      <w:r>
        <w:rPr>
          <w:rFonts w:cstheme="minorHAnsi"/>
        </w:rPr>
        <w:t xml:space="preserve">or </w:t>
      </w:r>
      <w:r w:rsidR="00CF55BC">
        <w:rPr>
          <w:rFonts w:cstheme="minorHAnsi"/>
        </w:rPr>
        <w:t>C</w:t>
      </w:r>
      <w:r>
        <w:rPr>
          <w:rFonts w:cstheme="minorHAnsi"/>
        </w:rPr>
        <w:t xml:space="preserve">alendar </w:t>
      </w:r>
      <w:r w:rsidR="00CF55BC">
        <w:rPr>
          <w:rFonts w:cstheme="minorHAnsi"/>
        </w:rPr>
        <w:t>Y</w:t>
      </w:r>
      <w:r>
        <w:rPr>
          <w:rFonts w:cstheme="minorHAnsi"/>
        </w:rPr>
        <w:t>ear</w:t>
      </w:r>
      <w:r w:rsidR="00CF55BC">
        <w:rPr>
          <w:rFonts w:cstheme="minorHAnsi"/>
        </w:rPr>
        <w:t>s</w:t>
      </w:r>
      <w:r>
        <w:rPr>
          <w:rFonts w:cstheme="minorHAnsi"/>
        </w:rPr>
        <w:t>.</w:t>
      </w:r>
    </w:p>
    <w:p w14:paraId="41A9DC67" w14:textId="77777777" w:rsidR="002D33F2" w:rsidRPr="008C5CAF" w:rsidRDefault="002D33F2" w:rsidP="002D33F2">
      <w:pPr>
        <w:spacing w:after="120"/>
        <w:rPr>
          <w:rFonts w:cstheme="minorHAnsi"/>
        </w:rPr>
      </w:pPr>
      <w:r>
        <w:rPr>
          <w:rFonts w:cstheme="minorHAnsi"/>
        </w:rPr>
        <w:t>In the tables below, a</w:t>
      </w:r>
      <w:r w:rsidRPr="002455E8">
        <w:rPr>
          <w:rFonts w:cstheme="minorHAnsi"/>
        </w:rPr>
        <w:t xml:space="preserve"> ‘session’ </w:t>
      </w:r>
      <w:r>
        <w:rPr>
          <w:rFonts w:cstheme="minorHAnsi"/>
        </w:rPr>
        <w:t>refers to</w:t>
      </w:r>
      <w:r w:rsidRPr="002455E8">
        <w:rPr>
          <w:rFonts w:cstheme="minorHAnsi"/>
        </w:rPr>
        <w:t xml:space="preserve"> an individual instance or episode of service of Emergency Relief.</w:t>
      </w:r>
    </w:p>
    <w:p w14:paraId="2C792380" w14:textId="77777777" w:rsidR="002D33F2" w:rsidRPr="008C5CAF" w:rsidRDefault="0076404D" w:rsidP="002D33F2">
      <w:pPr>
        <w:spacing w:after="120"/>
        <w:rPr>
          <w:rFonts w:cstheme="minorHAnsi"/>
        </w:rPr>
      </w:pPr>
      <w:r w:rsidRPr="00091A8A">
        <w:t>Th</w:t>
      </w:r>
      <w:r>
        <w:t>is</w:t>
      </w:r>
      <w:r w:rsidRPr="00091A8A">
        <w:t xml:space="preserve"> </w:t>
      </w:r>
      <w:r>
        <w:t>Australian Government administrative data</w:t>
      </w:r>
      <w:r w:rsidRPr="00091A8A">
        <w:t xml:space="preserve"> linkage relies on a statistical linkage utilis</w:t>
      </w:r>
      <w:r>
        <w:t xml:space="preserve">ing pseudo-identifying fields. </w:t>
      </w:r>
      <w:r w:rsidRPr="00091A8A">
        <w:t>As a result, linked records will include an unquantified number of missed o</w:t>
      </w:r>
      <w:r>
        <w:t>r</w:t>
      </w:r>
      <w:r w:rsidRPr="00091A8A">
        <w:t xml:space="preserve"> incorrect links and should be treated as an estimate of the true population only</w:t>
      </w:r>
      <w:r>
        <w:t xml:space="preserve">. </w:t>
      </w:r>
    </w:p>
    <w:p w14:paraId="3E53B54D" w14:textId="77777777" w:rsidR="002D33F2" w:rsidRDefault="002D33F2" w:rsidP="002D33F2">
      <w:pPr>
        <w:spacing w:after="120"/>
        <w:jc w:val="left"/>
      </w:pPr>
      <w:r>
        <w:rPr>
          <w:rFonts w:cstheme="minorHAnsi"/>
        </w:rPr>
        <w:t xml:space="preserve">For more information on Emergency Relief, please see: </w:t>
      </w:r>
      <w:hyperlink r:id="rId43" w:history="1">
        <w:r w:rsidRPr="00DD288C">
          <w:rPr>
            <w:rStyle w:val="Hyperlink"/>
            <w:rFonts w:cstheme="minorHAnsi"/>
          </w:rPr>
          <w:t>https://www.dss.gov.au/our-responsibilities/communities-and-vulnerable-people/programs-services/emergency-relief</w:t>
        </w:r>
      </w:hyperlink>
    </w:p>
    <w:p w14:paraId="55E695D5" w14:textId="72F3063F" w:rsidR="002D33F2" w:rsidRPr="005C4D3C" w:rsidRDefault="002D33F2" w:rsidP="00A4064D">
      <w:pPr>
        <w:pStyle w:val="Caption"/>
        <w:spacing w:before="240"/>
      </w:pPr>
      <w:bookmarkStart w:id="312" w:name="_Ref36656187"/>
      <w:bookmarkStart w:id="313" w:name="_Toc37263593"/>
      <w:bookmarkStart w:id="314" w:name="_Toc36637924"/>
      <w:r>
        <w:t xml:space="preserve">Table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8</w:t>
      </w:r>
      <w:r w:rsidR="006C0554">
        <w:rPr>
          <w:noProof/>
        </w:rPr>
        <w:fldChar w:fldCharType="end"/>
      </w:r>
      <w:bookmarkEnd w:id="312"/>
      <w:r>
        <w:t xml:space="preserve">: </w:t>
      </w:r>
      <w:r w:rsidRPr="005C4D3C">
        <w:t xml:space="preserve">Number and </w:t>
      </w:r>
      <w:r>
        <w:t>p</w:t>
      </w:r>
      <w:r w:rsidRPr="005C4D3C">
        <w:t xml:space="preserve">ercentage of </w:t>
      </w:r>
      <w:r>
        <w:t xml:space="preserve">CDC </w:t>
      </w:r>
      <w:r w:rsidRPr="005C4D3C">
        <w:t>participants (</w:t>
      </w:r>
      <w:r>
        <w:t>triggered in Bundaberg and Hervey Bay</w:t>
      </w:r>
      <w:r w:rsidRPr="005C4D3C">
        <w:t xml:space="preserve">) accessing </w:t>
      </w:r>
      <w:r>
        <w:t>one or more</w:t>
      </w:r>
      <w:r w:rsidRPr="005C4D3C">
        <w:t xml:space="preserve"> emergency relief </w:t>
      </w:r>
      <w:r>
        <w:t>sessions</w:t>
      </w:r>
      <w:r w:rsidRPr="005C4D3C">
        <w:t xml:space="preserve"> by calendar year</w:t>
      </w:r>
      <w:bookmarkEnd w:id="313"/>
      <w:bookmarkEnd w:id="314"/>
    </w:p>
    <w:tbl>
      <w:tblPr>
        <w:tblStyle w:val="ListTable3-Accent12"/>
        <w:tblW w:w="8784" w:type="dxa"/>
        <w:tblInd w:w="0" w:type="dxa"/>
        <w:tblLook w:val="04A0" w:firstRow="1" w:lastRow="0" w:firstColumn="1" w:lastColumn="0" w:noHBand="0" w:noVBand="1"/>
      </w:tblPr>
      <w:tblGrid>
        <w:gridCol w:w="2395"/>
        <w:gridCol w:w="1569"/>
        <w:gridCol w:w="2330"/>
        <w:gridCol w:w="2490"/>
      </w:tblGrid>
      <w:tr w:rsidR="002D33F2" w:rsidRPr="006456A7" w14:paraId="2A8E6274"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0A0EF522" w14:textId="77777777" w:rsidR="002D33F2" w:rsidRPr="006456A7" w:rsidRDefault="002D33F2" w:rsidP="000613C9">
            <w:pPr>
              <w:spacing w:line="259" w:lineRule="auto"/>
              <w:jc w:val="center"/>
              <w:rPr>
                <w:rFonts w:ascii="Calibri" w:eastAsia="Calibri" w:hAnsi="Calibri" w:cs="Times New Roman"/>
                <w:lang w:eastAsia="en-AU"/>
              </w:rPr>
            </w:pPr>
          </w:p>
        </w:tc>
        <w:tc>
          <w:tcPr>
            <w:tcW w:w="0" w:type="dxa"/>
            <w:shd w:val="clear" w:color="auto" w:fill="2F5496" w:themeFill="accent5" w:themeFillShade="BF"/>
            <w:noWrap/>
            <w:vAlign w:val="center"/>
            <w:hideMark/>
          </w:tcPr>
          <w:p w14:paraId="7ADECA47"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Calendar</w:t>
            </w:r>
          </w:p>
          <w:p w14:paraId="5002F715"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1F4E79" w:themeColor="accent1" w:themeShade="80"/>
                <w:sz w:val="20"/>
                <w:szCs w:val="20"/>
                <w:lang w:eastAsia="en-AU"/>
              </w:rPr>
            </w:pPr>
            <w:r w:rsidRPr="00665933">
              <w:rPr>
                <w:rFonts w:ascii="Calibri" w:eastAsia="Calibri" w:hAnsi="Calibri" w:cs="Times New Roman"/>
                <w:sz w:val="20"/>
                <w:szCs w:val="20"/>
                <w:lang w:eastAsia="en-AU"/>
              </w:rPr>
              <w:t>year</w:t>
            </w:r>
          </w:p>
        </w:tc>
        <w:tc>
          <w:tcPr>
            <w:tcW w:w="0" w:type="dxa"/>
            <w:shd w:val="clear" w:color="auto" w:fill="2F5496" w:themeFill="accent5" w:themeFillShade="BF"/>
            <w:noWrap/>
            <w:vAlign w:val="center"/>
            <w:hideMark/>
          </w:tcPr>
          <w:p w14:paraId="1CCDD30C"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Number of CDC participants who accessed one or more Emergency Relief</w:t>
            </w:r>
          </w:p>
          <w:p w14:paraId="1F2634D9"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sessions</w:t>
            </w:r>
          </w:p>
        </w:tc>
        <w:tc>
          <w:tcPr>
            <w:tcW w:w="0" w:type="dxa"/>
            <w:shd w:val="clear" w:color="auto" w:fill="2F5496" w:themeFill="accent5" w:themeFillShade="BF"/>
            <w:noWrap/>
            <w:vAlign w:val="center"/>
            <w:hideMark/>
          </w:tcPr>
          <w:p w14:paraId="17C6393C"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Percentage of all CDC participants who accessed one or more Emergency Relief sessions</w:t>
            </w:r>
          </w:p>
        </w:tc>
      </w:tr>
      <w:tr w:rsidR="002D33F2" w:rsidRPr="006456A7" w14:paraId="3380B795"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5" w:type="dxa"/>
            <w:vMerge w:val="restart"/>
            <w:noWrap/>
            <w:vAlign w:val="center"/>
            <w:hideMark/>
          </w:tcPr>
          <w:p w14:paraId="3363C3B3" w14:textId="77777777" w:rsidR="002D33F2" w:rsidRPr="00665933" w:rsidRDefault="002D33F2" w:rsidP="007B6616">
            <w:pPr>
              <w:spacing w:line="259" w:lineRule="auto"/>
              <w:jc w:val="left"/>
              <w:rPr>
                <w:rFonts w:ascii="Calibri" w:eastAsia="Calibri" w:hAnsi="Calibri" w:cs="Times New Roman"/>
                <w:sz w:val="20"/>
                <w:szCs w:val="20"/>
                <w:lang w:eastAsia="en-AU"/>
              </w:rPr>
            </w:pPr>
            <w:r w:rsidRPr="00665933">
              <w:rPr>
                <w:rFonts w:ascii="Calibri" w:eastAsia="Calibri" w:hAnsi="Calibri" w:cs="Times New Roman"/>
                <w:sz w:val="20"/>
                <w:szCs w:val="20"/>
                <w:lang w:eastAsia="en-AU"/>
              </w:rPr>
              <w:t>CDC participants triggered in Bundaberg and Hervey Bay</w:t>
            </w:r>
          </w:p>
        </w:tc>
        <w:tc>
          <w:tcPr>
            <w:tcW w:w="1569" w:type="dxa"/>
            <w:noWrap/>
            <w:vAlign w:val="bottom"/>
            <w:hideMark/>
          </w:tcPr>
          <w:p w14:paraId="15576F6A"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2016</w:t>
            </w:r>
          </w:p>
        </w:tc>
        <w:tc>
          <w:tcPr>
            <w:tcW w:w="2330" w:type="dxa"/>
            <w:noWrap/>
            <w:vAlign w:val="bottom"/>
          </w:tcPr>
          <w:p w14:paraId="5659F0A0"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614</w:t>
            </w:r>
          </w:p>
        </w:tc>
        <w:tc>
          <w:tcPr>
            <w:tcW w:w="2490" w:type="dxa"/>
            <w:noWrap/>
            <w:vAlign w:val="bottom"/>
          </w:tcPr>
          <w:p w14:paraId="53711007"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10.60</w:t>
            </w:r>
          </w:p>
        </w:tc>
      </w:tr>
      <w:tr w:rsidR="002D33F2" w:rsidRPr="006456A7" w14:paraId="5EBB5E20"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395" w:type="dxa"/>
            <w:vMerge/>
            <w:noWrap/>
            <w:hideMark/>
          </w:tcPr>
          <w:p w14:paraId="6C0F9D34" w14:textId="77777777" w:rsidR="002D33F2" w:rsidRPr="006456A7" w:rsidRDefault="002D33F2" w:rsidP="007B6616">
            <w:pPr>
              <w:spacing w:line="259" w:lineRule="auto"/>
              <w:rPr>
                <w:rFonts w:ascii="Calibri" w:eastAsia="Calibri" w:hAnsi="Calibri" w:cs="Times New Roman"/>
                <w:lang w:eastAsia="en-AU"/>
              </w:rPr>
            </w:pPr>
          </w:p>
        </w:tc>
        <w:tc>
          <w:tcPr>
            <w:tcW w:w="1569" w:type="dxa"/>
            <w:noWrap/>
            <w:vAlign w:val="bottom"/>
            <w:hideMark/>
          </w:tcPr>
          <w:p w14:paraId="2E0EB812"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2017</w:t>
            </w:r>
          </w:p>
        </w:tc>
        <w:tc>
          <w:tcPr>
            <w:tcW w:w="2330" w:type="dxa"/>
            <w:noWrap/>
            <w:vAlign w:val="bottom"/>
          </w:tcPr>
          <w:p w14:paraId="05B85ED6"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585</w:t>
            </w:r>
          </w:p>
        </w:tc>
        <w:tc>
          <w:tcPr>
            <w:tcW w:w="2490" w:type="dxa"/>
            <w:noWrap/>
            <w:vAlign w:val="bottom"/>
          </w:tcPr>
          <w:p w14:paraId="0D1AF87C"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10.09</w:t>
            </w:r>
          </w:p>
        </w:tc>
      </w:tr>
      <w:tr w:rsidR="002D33F2" w:rsidRPr="006456A7" w14:paraId="40025C0E"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5" w:type="dxa"/>
            <w:vMerge/>
            <w:noWrap/>
            <w:hideMark/>
          </w:tcPr>
          <w:p w14:paraId="5516CA7D" w14:textId="77777777" w:rsidR="002D33F2" w:rsidRPr="006456A7" w:rsidRDefault="002D33F2" w:rsidP="007B6616">
            <w:pPr>
              <w:spacing w:line="259" w:lineRule="auto"/>
              <w:rPr>
                <w:rFonts w:ascii="Calibri" w:eastAsia="Calibri" w:hAnsi="Calibri" w:cs="Times New Roman"/>
                <w:lang w:eastAsia="en-AU"/>
              </w:rPr>
            </w:pPr>
          </w:p>
        </w:tc>
        <w:tc>
          <w:tcPr>
            <w:tcW w:w="1569" w:type="dxa"/>
            <w:noWrap/>
            <w:vAlign w:val="bottom"/>
            <w:hideMark/>
          </w:tcPr>
          <w:p w14:paraId="66630795"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2018</w:t>
            </w:r>
          </w:p>
        </w:tc>
        <w:tc>
          <w:tcPr>
            <w:tcW w:w="2330" w:type="dxa"/>
            <w:noWrap/>
            <w:vAlign w:val="bottom"/>
          </w:tcPr>
          <w:p w14:paraId="0026C7BC"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733</w:t>
            </w:r>
          </w:p>
        </w:tc>
        <w:tc>
          <w:tcPr>
            <w:tcW w:w="2490" w:type="dxa"/>
            <w:noWrap/>
            <w:vAlign w:val="bottom"/>
          </w:tcPr>
          <w:p w14:paraId="6AC91A49"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12.65</w:t>
            </w:r>
          </w:p>
        </w:tc>
      </w:tr>
    </w:tbl>
    <w:p w14:paraId="5F7B2B9E" w14:textId="77777777" w:rsidR="00BD676B" w:rsidRDefault="00BD676B">
      <w:pPr>
        <w:jc w:val="left"/>
        <w:rPr>
          <w:rFonts w:cstheme="minorHAnsi"/>
          <w:b/>
          <w:bCs/>
          <w:caps/>
          <w:sz w:val="20"/>
          <w:szCs w:val="18"/>
        </w:rPr>
      </w:pPr>
      <w:bookmarkStart w:id="315" w:name="_Toc36632831"/>
      <w:bookmarkStart w:id="316" w:name="_Toc36637925"/>
      <w:bookmarkStart w:id="317" w:name="_Toc37263594"/>
      <w:r>
        <w:br w:type="page"/>
      </w:r>
    </w:p>
    <w:p w14:paraId="4B4ABC07" w14:textId="07082B8B" w:rsidR="002D33F2" w:rsidRPr="005C4D3C" w:rsidRDefault="002D33F2" w:rsidP="002D33F2">
      <w:pPr>
        <w:pStyle w:val="Caption"/>
      </w:pPr>
      <w:r>
        <w:lastRenderedPageBreak/>
        <w:t xml:space="preserve">Table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9</w:t>
      </w:r>
      <w:r w:rsidR="006C0554">
        <w:rPr>
          <w:noProof/>
        </w:rPr>
        <w:fldChar w:fldCharType="end"/>
      </w:r>
      <w:r>
        <w:t xml:space="preserve">: </w:t>
      </w:r>
      <w:r w:rsidRPr="005C4D3C">
        <w:t xml:space="preserve">Number and </w:t>
      </w:r>
      <w:r>
        <w:t>p</w:t>
      </w:r>
      <w:r w:rsidRPr="005C4D3C">
        <w:t xml:space="preserve">ercentage of </w:t>
      </w:r>
      <w:r>
        <w:t>CDC</w:t>
      </w:r>
      <w:r w:rsidRPr="005C4D3C">
        <w:t xml:space="preserve"> participants (</w:t>
      </w:r>
      <w:r>
        <w:t>triggered in Bundaberg and Hervey Bay</w:t>
      </w:r>
      <w:r w:rsidRPr="005C4D3C">
        <w:t xml:space="preserve">) accessing </w:t>
      </w:r>
      <w:r>
        <w:t>one or more</w:t>
      </w:r>
      <w:r w:rsidRPr="005C4D3C">
        <w:t xml:space="preserve"> emergency relief </w:t>
      </w:r>
      <w:r>
        <w:t>sessions</w:t>
      </w:r>
      <w:r w:rsidRPr="005C4D3C">
        <w:t xml:space="preserve"> by financial year</w:t>
      </w:r>
      <w:bookmarkEnd w:id="315"/>
      <w:bookmarkEnd w:id="316"/>
      <w:bookmarkEnd w:id="317"/>
      <w:r w:rsidRPr="005C4D3C">
        <w:t xml:space="preserve"> </w:t>
      </w:r>
    </w:p>
    <w:tbl>
      <w:tblPr>
        <w:tblStyle w:val="ListTable3-Accent12"/>
        <w:tblW w:w="8359" w:type="dxa"/>
        <w:tblInd w:w="0" w:type="dxa"/>
        <w:tblLook w:val="04A0" w:firstRow="1" w:lastRow="0" w:firstColumn="1" w:lastColumn="0" w:noHBand="0" w:noVBand="1"/>
      </w:tblPr>
      <w:tblGrid>
        <w:gridCol w:w="2395"/>
        <w:gridCol w:w="1569"/>
        <w:gridCol w:w="2330"/>
        <w:gridCol w:w="2065"/>
      </w:tblGrid>
      <w:tr w:rsidR="002D33F2" w:rsidRPr="006456A7" w14:paraId="3F9DC000"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0D1C3A2E" w14:textId="77777777" w:rsidR="002D33F2" w:rsidRPr="006456A7" w:rsidRDefault="002D33F2" w:rsidP="000613C9">
            <w:pPr>
              <w:spacing w:line="259" w:lineRule="auto"/>
              <w:jc w:val="center"/>
              <w:rPr>
                <w:rFonts w:ascii="Calibri" w:eastAsia="Calibri" w:hAnsi="Calibri" w:cs="Times New Roman"/>
                <w:lang w:eastAsia="en-AU"/>
              </w:rPr>
            </w:pPr>
          </w:p>
        </w:tc>
        <w:tc>
          <w:tcPr>
            <w:tcW w:w="0" w:type="dxa"/>
            <w:shd w:val="clear" w:color="auto" w:fill="2F5496" w:themeFill="accent5" w:themeFillShade="BF"/>
            <w:noWrap/>
            <w:vAlign w:val="center"/>
            <w:hideMark/>
          </w:tcPr>
          <w:p w14:paraId="0EF09DD4"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Financial</w:t>
            </w:r>
          </w:p>
          <w:p w14:paraId="3FE37A73"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year</w:t>
            </w:r>
          </w:p>
        </w:tc>
        <w:tc>
          <w:tcPr>
            <w:tcW w:w="0" w:type="dxa"/>
            <w:shd w:val="clear" w:color="auto" w:fill="2F5496" w:themeFill="accent5" w:themeFillShade="BF"/>
            <w:noWrap/>
            <w:vAlign w:val="center"/>
            <w:hideMark/>
          </w:tcPr>
          <w:p w14:paraId="14DD5C9B"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Number of CDC participants who accessed one or more Emergency Relief sessions</w:t>
            </w:r>
          </w:p>
        </w:tc>
        <w:tc>
          <w:tcPr>
            <w:tcW w:w="0" w:type="dxa"/>
            <w:shd w:val="clear" w:color="auto" w:fill="2F5496" w:themeFill="accent5" w:themeFillShade="BF"/>
            <w:noWrap/>
            <w:vAlign w:val="center"/>
            <w:hideMark/>
          </w:tcPr>
          <w:p w14:paraId="0B365D16"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Percentage of all CDC participants who accessed one or more Emergency Relief sessions</w:t>
            </w:r>
          </w:p>
        </w:tc>
      </w:tr>
      <w:tr w:rsidR="002D33F2" w:rsidRPr="006456A7" w14:paraId="66133AAC"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5" w:type="dxa"/>
            <w:vMerge w:val="restart"/>
            <w:noWrap/>
            <w:vAlign w:val="center"/>
            <w:hideMark/>
          </w:tcPr>
          <w:p w14:paraId="21DBA3E2" w14:textId="77777777" w:rsidR="002D33F2" w:rsidRPr="00665933" w:rsidRDefault="002D33F2" w:rsidP="007B6616">
            <w:pPr>
              <w:spacing w:line="259" w:lineRule="auto"/>
              <w:jc w:val="left"/>
              <w:rPr>
                <w:rFonts w:ascii="Calibri" w:eastAsia="Calibri" w:hAnsi="Calibri" w:cs="Times New Roman"/>
                <w:sz w:val="20"/>
                <w:szCs w:val="20"/>
                <w:lang w:eastAsia="en-AU"/>
              </w:rPr>
            </w:pPr>
            <w:r w:rsidRPr="00665933">
              <w:rPr>
                <w:rFonts w:ascii="Calibri" w:eastAsia="Calibri" w:hAnsi="Calibri" w:cs="Times New Roman"/>
                <w:sz w:val="20"/>
                <w:szCs w:val="20"/>
                <w:lang w:eastAsia="en-AU"/>
              </w:rPr>
              <w:t>CDC participants triggered in Bundaberg and Hervey Bay</w:t>
            </w:r>
          </w:p>
        </w:tc>
        <w:tc>
          <w:tcPr>
            <w:tcW w:w="1569" w:type="dxa"/>
            <w:noWrap/>
            <w:vAlign w:val="bottom"/>
            <w:hideMark/>
          </w:tcPr>
          <w:p w14:paraId="022ACD74" w14:textId="77777777" w:rsidR="002D33F2" w:rsidRDefault="002D33F2" w:rsidP="00A406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2015-2016</w:t>
            </w:r>
          </w:p>
        </w:tc>
        <w:tc>
          <w:tcPr>
            <w:tcW w:w="2330" w:type="dxa"/>
            <w:noWrap/>
            <w:vAlign w:val="bottom"/>
          </w:tcPr>
          <w:p w14:paraId="3F187F08"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597</w:t>
            </w:r>
          </w:p>
        </w:tc>
        <w:tc>
          <w:tcPr>
            <w:tcW w:w="2065" w:type="dxa"/>
            <w:noWrap/>
            <w:vAlign w:val="bottom"/>
          </w:tcPr>
          <w:p w14:paraId="29CE2FF9"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10.30</w:t>
            </w:r>
          </w:p>
        </w:tc>
      </w:tr>
      <w:tr w:rsidR="002D33F2" w:rsidRPr="006456A7" w14:paraId="0DDC5EA4"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395" w:type="dxa"/>
            <w:vMerge/>
            <w:noWrap/>
            <w:hideMark/>
          </w:tcPr>
          <w:p w14:paraId="0ABEC2D0" w14:textId="77777777" w:rsidR="002D33F2" w:rsidRPr="006456A7" w:rsidRDefault="002D33F2" w:rsidP="007B6616">
            <w:pPr>
              <w:spacing w:line="259" w:lineRule="auto"/>
              <w:rPr>
                <w:rFonts w:ascii="Calibri" w:eastAsia="Calibri" w:hAnsi="Calibri" w:cs="Times New Roman"/>
                <w:lang w:eastAsia="en-AU"/>
              </w:rPr>
            </w:pPr>
          </w:p>
        </w:tc>
        <w:tc>
          <w:tcPr>
            <w:tcW w:w="1569" w:type="dxa"/>
            <w:noWrap/>
            <w:vAlign w:val="bottom"/>
            <w:hideMark/>
          </w:tcPr>
          <w:p w14:paraId="53444F5F" w14:textId="77777777" w:rsidR="002D33F2" w:rsidRDefault="002D33F2" w:rsidP="00A406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2016-2017</w:t>
            </w:r>
          </w:p>
        </w:tc>
        <w:tc>
          <w:tcPr>
            <w:tcW w:w="2330" w:type="dxa"/>
            <w:noWrap/>
            <w:vAlign w:val="bottom"/>
          </w:tcPr>
          <w:p w14:paraId="7EA5D6FC"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587</w:t>
            </w:r>
          </w:p>
        </w:tc>
        <w:tc>
          <w:tcPr>
            <w:tcW w:w="2065" w:type="dxa"/>
            <w:noWrap/>
            <w:vAlign w:val="bottom"/>
          </w:tcPr>
          <w:p w14:paraId="3B357BD5"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10.13</w:t>
            </w:r>
          </w:p>
        </w:tc>
      </w:tr>
      <w:tr w:rsidR="002D33F2" w:rsidRPr="006456A7" w14:paraId="5AD167CB"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5" w:type="dxa"/>
            <w:vMerge/>
            <w:noWrap/>
            <w:hideMark/>
          </w:tcPr>
          <w:p w14:paraId="5A277F43" w14:textId="77777777" w:rsidR="002D33F2" w:rsidRPr="006456A7" w:rsidRDefault="002D33F2" w:rsidP="007B6616">
            <w:pPr>
              <w:spacing w:line="259" w:lineRule="auto"/>
              <w:rPr>
                <w:rFonts w:ascii="Calibri" w:eastAsia="Calibri" w:hAnsi="Calibri" w:cs="Times New Roman"/>
                <w:lang w:eastAsia="en-AU"/>
              </w:rPr>
            </w:pPr>
          </w:p>
        </w:tc>
        <w:tc>
          <w:tcPr>
            <w:tcW w:w="1569" w:type="dxa"/>
            <w:noWrap/>
            <w:vAlign w:val="bottom"/>
            <w:hideMark/>
          </w:tcPr>
          <w:p w14:paraId="384A0455" w14:textId="77777777" w:rsidR="002D33F2" w:rsidRDefault="002D33F2" w:rsidP="00A406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2017-2018</w:t>
            </w:r>
          </w:p>
        </w:tc>
        <w:tc>
          <w:tcPr>
            <w:tcW w:w="2330" w:type="dxa"/>
            <w:noWrap/>
            <w:vAlign w:val="bottom"/>
          </w:tcPr>
          <w:p w14:paraId="0A95064D"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692</w:t>
            </w:r>
          </w:p>
        </w:tc>
        <w:tc>
          <w:tcPr>
            <w:tcW w:w="2065" w:type="dxa"/>
            <w:noWrap/>
            <w:vAlign w:val="bottom"/>
          </w:tcPr>
          <w:p w14:paraId="121F6E26"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11.94</w:t>
            </w:r>
          </w:p>
        </w:tc>
      </w:tr>
      <w:tr w:rsidR="002D33F2" w:rsidRPr="006456A7" w14:paraId="3DDBFC30"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395" w:type="dxa"/>
            <w:vMerge/>
            <w:noWrap/>
          </w:tcPr>
          <w:p w14:paraId="2E87B53B" w14:textId="77777777" w:rsidR="002D33F2" w:rsidRPr="006456A7" w:rsidRDefault="002D33F2" w:rsidP="007B6616">
            <w:pPr>
              <w:spacing w:line="259" w:lineRule="auto"/>
              <w:rPr>
                <w:rFonts w:ascii="Calibri" w:eastAsia="Calibri" w:hAnsi="Calibri" w:cs="Times New Roman"/>
                <w:lang w:eastAsia="en-AU"/>
              </w:rPr>
            </w:pPr>
          </w:p>
        </w:tc>
        <w:tc>
          <w:tcPr>
            <w:tcW w:w="1569" w:type="dxa"/>
            <w:noWrap/>
            <w:vAlign w:val="bottom"/>
          </w:tcPr>
          <w:p w14:paraId="27407426" w14:textId="77777777" w:rsidR="002D33F2" w:rsidRDefault="002D33F2" w:rsidP="00A406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2018-2019</w:t>
            </w:r>
          </w:p>
        </w:tc>
        <w:tc>
          <w:tcPr>
            <w:tcW w:w="2330" w:type="dxa"/>
            <w:noWrap/>
            <w:vAlign w:val="bottom"/>
          </w:tcPr>
          <w:p w14:paraId="6EB495DE"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778</w:t>
            </w:r>
          </w:p>
        </w:tc>
        <w:tc>
          <w:tcPr>
            <w:tcW w:w="2065" w:type="dxa"/>
            <w:noWrap/>
            <w:vAlign w:val="bottom"/>
          </w:tcPr>
          <w:p w14:paraId="20E64B1B"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13.43</w:t>
            </w:r>
          </w:p>
        </w:tc>
      </w:tr>
    </w:tbl>
    <w:p w14:paraId="680E8440" w14:textId="6AD5A2F7" w:rsidR="002D33F2" w:rsidRPr="002455E8" w:rsidRDefault="002D33F2" w:rsidP="00A4064D">
      <w:pPr>
        <w:pStyle w:val="Caption"/>
        <w:spacing w:before="240"/>
      </w:pPr>
      <w:bookmarkStart w:id="318" w:name="_Ref36656223"/>
      <w:bookmarkStart w:id="319" w:name="_Toc37263595"/>
      <w:bookmarkStart w:id="320" w:name="_Toc36632832"/>
      <w:bookmarkStart w:id="321" w:name="_Toc36637926"/>
      <w:r>
        <w:t xml:space="preserve">Table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10</w:t>
      </w:r>
      <w:r w:rsidR="006C0554">
        <w:rPr>
          <w:noProof/>
        </w:rPr>
        <w:fldChar w:fldCharType="end"/>
      </w:r>
      <w:bookmarkEnd w:id="318"/>
      <w:r>
        <w:t xml:space="preserve">: </w:t>
      </w:r>
      <w:r w:rsidRPr="008750E6">
        <w:t xml:space="preserve">Number and </w:t>
      </w:r>
      <w:r>
        <w:t>p</w:t>
      </w:r>
      <w:r w:rsidRPr="005C4D3C">
        <w:t xml:space="preserve">ercentage of </w:t>
      </w:r>
      <w:r>
        <w:t>CDC</w:t>
      </w:r>
      <w:r w:rsidRPr="005C4D3C">
        <w:t xml:space="preserve"> participants (</w:t>
      </w:r>
      <w:r>
        <w:t>triggered in Bundaberg and Hervey Bay)</w:t>
      </w:r>
      <w:r w:rsidRPr="008750E6">
        <w:t xml:space="preserve"> accessing emergency relief </w:t>
      </w:r>
      <w:r>
        <w:t>sessions</w:t>
      </w:r>
      <w:r w:rsidRPr="008750E6">
        <w:t xml:space="preserve"> more than once by calendar year</w:t>
      </w:r>
      <w:bookmarkEnd w:id="319"/>
      <w:bookmarkEnd w:id="320"/>
      <w:bookmarkEnd w:id="321"/>
    </w:p>
    <w:tbl>
      <w:tblPr>
        <w:tblStyle w:val="ListTable3-Accent12"/>
        <w:tblW w:w="8359" w:type="dxa"/>
        <w:tblInd w:w="0" w:type="dxa"/>
        <w:tblLook w:val="04A0" w:firstRow="1" w:lastRow="0" w:firstColumn="1" w:lastColumn="0" w:noHBand="0" w:noVBand="1"/>
      </w:tblPr>
      <w:tblGrid>
        <w:gridCol w:w="2395"/>
        <w:gridCol w:w="1569"/>
        <w:gridCol w:w="2330"/>
        <w:gridCol w:w="2065"/>
      </w:tblGrid>
      <w:tr w:rsidR="002D33F2" w:rsidRPr="006456A7" w14:paraId="082B2600"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0FF4755A" w14:textId="77777777" w:rsidR="002D33F2" w:rsidRPr="006456A7" w:rsidRDefault="002D33F2" w:rsidP="000613C9">
            <w:pPr>
              <w:spacing w:line="259" w:lineRule="auto"/>
              <w:jc w:val="center"/>
              <w:rPr>
                <w:rFonts w:ascii="Calibri" w:eastAsia="Calibri" w:hAnsi="Calibri" w:cs="Times New Roman"/>
                <w:lang w:eastAsia="en-AU"/>
              </w:rPr>
            </w:pPr>
          </w:p>
        </w:tc>
        <w:tc>
          <w:tcPr>
            <w:tcW w:w="0" w:type="dxa"/>
            <w:shd w:val="clear" w:color="auto" w:fill="2F5496" w:themeFill="accent5" w:themeFillShade="BF"/>
            <w:noWrap/>
            <w:vAlign w:val="center"/>
            <w:hideMark/>
          </w:tcPr>
          <w:p w14:paraId="3046B8F7"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Calendar</w:t>
            </w:r>
          </w:p>
          <w:p w14:paraId="2432A935"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year</w:t>
            </w:r>
          </w:p>
        </w:tc>
        <w:tc>
          <w:tcPr>
            <w:tcW w:w="0" w:type="dxa"/>
            <w:shd w:val="clear" w:color="auto" w:fill="2F5496" w:themeFill="accent5" w:themeFillShade="BF"/>
            <w:noWrap/>
            <w:vAlign w:val="center"/>
            <w:hideMark/>
          </w:tcPr>
          <w:p w14:paraId="4692290D"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Number of CDC participants who accessed Emergency Relief more than once</w:t>
            </w:r>
          </w:p>
        </w:tc>
        <w:tc>
          <w:tcPr>
            <w:tcW w:w="0" w:type="dxa"/>
            <w:shd w:val="clear" w:color="auto" w:fill="2F5496" w:themeFill="accent5" w:themeFillShade="BF"/>
            <w:noWrap/>
            <w:vAlign w:val="center"/>
            <w:hideMark/>
          </w:tcPr>
          <w:p w14:paraId="703DA68B"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Percentage of all CDC participants who accessed Emergency Relief more than once</w:t>
            </w:r>
          </w:p>
        </w:tc>
      </w:tr>
      <w:tr w:rsidR="002D33F2" w:rsidRPr="006456A7" w14:paraId="7834939F"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5" w:type="dxa"/>
            <w:vMerge w:val="restart"/>
            <w:noWrap/>
            <w:vAlign w:val="center"/>
            <w:hideMark/>
          </w:tcPr>
          <w:p w14:paraId="7A5D7915" w14:textId="77777777" w:rsidR="002D33F2" w:rsidRPr="00665933" w:rsidRDefault="002D33F2" w:rsidP="007B6616">
            <w:pPr>
              <w:spacing w:line="259" w:lineRule="auto"/>
              <w:jc w:val="left"/>
              <w:rPr>
                <w:rFonts w:ascii="Calibri" w:eastAsia="Calibri" w:hAnsi="Calibri" w:cs="Times New Roman"/>
                <w:sz w:val="20"/>
                <w:szCs w:val="20"/>
                <w:lang w:eastAsia="en-AU"/>
              </w:rPr>
            </w:pPr>
            <w:r w:rsidRPr="00665933">
              <w:rPr>
                <w:rFonts w:ascii="Calibri" w:eastAsia="Calibri" w:hAnsi="Calibri" w:cs="Times New Roman"/>
                <w:sz w:val="20"/>
                <w:szCs w:val="20"/>
                <w:lang w:eastAsia="en-AU"/>
              </w:rPr>
              <w:t>CDC participants triggered in Bundaberg and Hervey Bay</w:t>
            </w:r>
          </w:p>
        </w:tc>
        <w:tc>
          <w:tcPr>
            <w:tcW w:w="1569" w:type="dxa"/>
            <w:noWrap/>
            <w:vAlign w:val="bottom"/>
            <w:hideMark/>
          </w:tcPr>
          <w:p w14:paraId="6EFB0579"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2016</w:t>
            </w:r>
          </w:p>
        </w:tc>
        <w:tc>
          <w:tcPr>
            <w:tcW w:w="2330" w:type="dxa"/>
            <w:noWrap/>
            <w:vAlign w:val="bottom"/>
          </w:tcPr>
          <w:p w14:paraId="2F0DF40F"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437</w:t>
            </w:r>
          </w:p>
        </w:tc>
        <w:tc>
          <w:tcPr>
            <w:tcW w:w="2065" w:type="dxa"/>
            <w:noWrap/>
            <w:vAlign w:val="bottom"/>
          </w:tcPr>
          <w:p w14:paraId="4558BC17"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7.54</w:t>
            </w:r>
          </w:p>
        </w:tc>
      </w:tr>
      <w:tr w:rsidR="002D33F2" w:rsidRPr="006456A7" w14:paraId="2CBBF235"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395" w:type="dxa"/>
            <w:vMerge/>
            <w:noWrap/>
            <w:hideMark/>
          </w:tcPr>
          <w:p w14:paraId="14102FBA" w14:textId="77777777" w:rsidR="002D33F2" w:rsidRPr="006456A7" w:rsidRDefault="002D33F2" w:rsidP="007B6616">
            <w:pPr>
              <w:spacing w:line="259" w:lineRule="auto"/>
              <w:rPr>
                <w:rFonts w:ascii="Calibri" w:eastAsia="Calibri" w:hAnsi="Calibri" w:cs="Times New Roman"/>
                <w:lang w:eastAsia="en-AU"/>
              </w:rPr>
            </w:pPr>
          </w:p>
        </w:tc>
        <w:tc>
          <w:tcPr>
            <w:tcW w:w="1569" w:type="dxa"/>
            <w:noWrap/>
            <w:vAlign w:val="bottom"/>
            <w:hideMark/>
          </w:tcPr>
          <w:p w14:paraId="4C03BAE0"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2017</w:t>
            </w:r>
          </w:p>
        </w:tc>
        <w:tc>
          <w:tcPr>
            <w:tcW w:w="2330" w:type="dxa"/>
            <w:noWrap/>
            <w:vAlign w:val="bottom"/>
          </w:tcPr>
          <w:p w14:paraId="46250814"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400</w:t>
            </w:r>
          </w:p>
        </w:tc>
        <w:tc>
          <w:tcPr>
            <w:tcW w:w="2065" w:type="dxa"/>
            <w:noWrap/>
            <w:vAlign w:val="bottom"/>
          </w:tcPr>
          <w:p w14:paraId="15B3C5E7"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6.90</w:t>
            </w:r>
          </w:p>
        </w:tc>
      </w:tr>
      <w:tr w:rsidR="002D33F2" w:rsidRPr="006456A7" w14:paraId="7380BDA3"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5" w:type="dxa"/>
            <w:vMerge/>
            <w:noWrap/>
            <w:hideMark/>
          </w:tcPr>
          <w:p w14:paraId="41479313" w14:textId="77777777" w:rsidR="002D33F2" w:rsidRPr="006456A7" w:rsidRDefault="002D33F2" w:rsidP="007B6616">
            <w:pPr>
              <w:spacing w:line="259" w:lineRule="auto"/>
              <w:rPr>
                <w:rFonts w:ascii="Calibri" w:eastAsia="Calibri" w:hAnsi="Calibri" w:cs="Times New Roman"/>
                <w:lang w:eastAsia="en-AU"/>
              </w:rPr>
            </w:pPr>
          </w:p>
        </w:tc>
        <w:tc>
          <w:tcPr>
            <w:tcW w:w="1569" w:type="dxa"/>
            <w:noWrap/>
            <w:vAlign w:val="bottom"/>
            <w:hideMark/>
          </w:tcPr>
          <w:p w14:paraId="71E2261A"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2018</w:t>
            </w:r>
          </w:p>
        </w:tc>
        <w:tc>
          <w:tcPr>
            <w:tcW w:w="2330" w:type="dxa"/>
            <w:noWrap/>
            <w:vAlign w:val="bottom"/>
          </w:tcPr>
          <w:p w14:paraId="0BDCAA5C"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510</w:t>
            </w:r>
          </w:p>
        </w:tc>
        <w:tc>
          <w:tcPr>
            <w:tcW w:w="2065" w:type="dxa"/>
            <w:noWrap/>
            <w:vAlign w:val="bottom"/>
          </w:tcPr>
          <w:p w14:paraId="2B804917"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8.80</w:t>
            </w:r>
          </w:p>
        </w:tc>
      </w:tr>
    </w:tbl>
    <w:p w14:paraId="228B7C87" w14:textId="28CF0CB3" w:rsidR="002D33F2" w:rsidRPr="00E22636" w:rsidRDefault="002D33F2" w:rsidP="00A4064D">
      <w:pPr>
        <w:pStyle w:val="Caption"/>
        <w:spacing w:before="240"/>
      </w:pPr>
      <w:bookmarkStart w:id="322" w:name="_Toc36632833"/>
      <w:bookmarkStart w:id="323" w:name="_Toc36637927"/>
      <w:bookmarkStart w:id="324" w:name="_Toc37263596"/>
      <w:r>
        <w:t xml:space="preserve">Table </w:t>
      </w:r>
      <w:r w:rsidR="006C0554">
        <w:fldChar w:fldCharType="begin"/>
      </w:r>
      <w:r w:rsidR="006C0554">
        <w:instrText xml:space="preserve"> STYLEREF 1 \s </w:instrText>
      </w:r>
      <w:r w:rsidR="006C0554">
        <w:fldChar w:fldCharType="separate"/>
      </w:r>
      <w:r w:rsidR="008E2086">
        <w:t>3</w:t>
      </w:r>
      <w:r w:rsidR="006C0554">
        <w:fldChar w:fldCharType="end"/>
      </w:r>
      <w:r>
        <w:noBreakHyphen/>
      </w:r>
      <w:r w:rsidR="006C0554">
        <w:fldChar w:fldCharType="begin"/>
      </w:r>
      <w:r w:rsidR="006C0554">
        <w:instrText xml:space="preserve"> SEQ Table \* ARABIC \s 1 </w:instrText>
      </w:r>
      <w:r w:rsidR="006C0554">
        <w:fldChar w:fldCharType="separate"/>
      </w:r>
      <w:r w:rsidR="008E2086">
        <w:t>11</w:t>
      </w:r>
      <w:r w:rsidR="006C0554">
        <w:fldChar w:fldCharType="end"/>
      </w:r>
      <w:r>
        <w:t>: Number and p</w:t>
      </w:r>
      <w:r w:rsidRPr="005C4D3C">
        <w:t xml:space="preserve">ercentage of </w:t>
      </w:r>
      <w:r>
        <w:t>CDC</w:t>
      </w:r>
      <w:r w:rsidRPr="005C4D3C">
        <w:t xml:space="preserve"> participants (</w:t>
      </w:r>
      <w:r>
        <w:t>triggered in Bundaberg and Hervey Bay) accessing emergency relief</w:t>
      </w:r>
      <w:r w:rsidRPr="00CB0EA0">
        <w:t xml:space="preserve"> </w:t>
      </w:r>
      <w:r>
        <w:t>sessions more than once by financial year</w:t>
      </w:r>
      <w:bookmarkEnd w:id="322"/>
      <w:bookmarkEnd w:id="323"/>
      <w:bookmarkEnd w:id="324"/>
      <w:r>
        <w:t xml:space="preserve"> </w:t>
      </w:r>
    </w:p>
    <w:tbl>
      <w:tblPr>
        <w:tblStyle w:val="ListTable3-Accent12"/>
        <w:tblW w:w="8359" w:type="dxa"/>
        <w:tblInd w:w="0" w:type="dxa"/>
        <w:tblLook w:val="04A0" w:firstRow="1" w:lastRow="0" w:firstColumn="1" w:lastColumn="0" w:noHBand="0" w:noVBand="1"/>
      </w:tblPr>
      <w:tblGrid>
        <w:gridCol w:w="2395"/>
        <w:gridCol w:w="1569"/>
        <w:gridCol w:w="2330"/>
        <w:gridCol w:w="2065"/>
      </w:tblGrid>
      <w:tr w:rsidR="002D33F2" w:rsidRPr="006456A7" w14:paraId="3F1EC8D2"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5C350D19" w14:textId="77777777" w:rsidR="002D33F2" w:rsidRPr="006456A7" w:rsidRDefault="002D33F2" w:rsidP="000613C9">
            <w:pPr>
              <w:spacing w:line="259" w:lineRule="auto"/>
              <w:jc w:val="center"/>
              <w:rPr>
                <w:rFonts w:ascii="Calibri" w:eastAsia="Calibri" w:hAnsi="Calibri" w:cs="Times New Roman"/>
                <w:lang w:eastAsia="en-AU"/>
              </w:rPr>
            </w:pPr>
          </w:p>
        </w:tc>
        <w:tc>
          <w:tcPr>
            <w:tcW w:w="0" w:type="dxa"/>
            <w:shd w:val="clear" w:color="auto" w:fill="2F5496" w:themeFill="accent5" w:themeFillShade="BF"/>
            <w:noWrap/>
            <w:vAlign w:val="center"/>
            <w:hideMark/>
          </w:tcPr>
          <w:p w14:paraId="7A4471EA"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Financial</w:t>
            </w:r>
          </w:p>
          <w:p w14:paraId="2ED3052F"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year</w:t>
            </w:r>
          </w:p>
        </w:tc>
        <w:tc>
          <w:tcPr>
            <w:tcW w:w="0" w:type="dxa"/>
            <w:shd w:val="clear" w:color="auto" w:fill="2F5496" w:themeFill="accent5" w:themeFillShade="BF"/>
            <w:noWrap/>
            <w:vAlign w:val="center"/>
            <w:hideMark/>
          </w:tcPr>
          <w:p w14:paraId="707ABA8E"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Number of CDC participants who accessed Emergency Relief more than once</w:t>
            </w:r>
          </w:p>
        </w:tc>
        <w:tc>
          <w:tcPr>
            <w:tcW w:w="0" w:type="dxa"/>
            <w:shd w:val="clear" w:color="auto" w:fill="2F5496" w:themeFill="accent5" w:themeFillShade="BF"/>
            <w:noWrap/>
            <w:vAlign w:val="center"/>
            <w:hideMark/>
          </w:tcPr>
          <w:p w14:paraId="2F53DBAA"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Percentage of all CDC participants who accessed Emergency Relief more than once</w:t>
            </w:r>
          </w:p>
        </w:tc>
      </w:tr>
      <w:tr w:rsidR="002D33F2" w:rsidRPr="006456A7" w14:paraId="0EF030D6"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5" w:type="dxa"/>
            <w:vMerge w:val="restart"/>
            <w:noWrap/>
            <w:vAlign w:val="center"/>
            <w:hideMark/>
          </w:tcPr>
          <w:p w14:paraId="1B0B05BF" w14:textId="77777777" w:rsidR="002D33F2" w:rsidRPr="00665933" w:rsidRDefault="002D33F2" w:rsidP="007B6616">
            <w:pPr>
              <w:spacing w:line="259" w:lineRule="auto"/>
              <w:jc w:val="left"/>
              <w:rPr>
                <w:rFonts w:ascii="Calibri" w:eastAsia="Calibri" w:hAnsi="Calibri" w:cs="Times New Roman"/>
                <w:sz w:val="20"/>
                <w:szCs w:val="20"/>
                <w:lang w:eastAsia="en-AU"/>
              </w:rPr>
            </w:pPr>
            <w:r w:rsidRPr="00665933">
              <w:rPr>
                <w:rFonts w:ascii="Calibri" w:eastAsia="Calibri" w:hAnsi="Calibri" w:cs="Times New Roman"/>
                <w:sz w:val="20"/>
                <w:szCs w:val="20"/>
                <w:lang w:eastAsia="en-AU"/>
              </w:rPr>
              <w:t>CDC participants triggered in Bundaberg and Hervey Bay</w:t>
            </w:r>
          </w:p>
        </w:tc>
        <w:tc>
          <w:tcPr>
            <w:tcW w:w="1569" w:type="dxa"/>
            <w:noWrap/>
            <w:vAlign w:val="bottom"/>
            <w:hideMark/>
          </w:tcPr>
          <w:p w14:paraId="10E8219E" w14:textId="77777777" w:rsidR="002D33F2" w:rsidRDefault="002D33F2" w:rsidP="00A406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2015-2016</w:t>
            </w:r>
          </w:p>
        </w:tc>
        <w:tc>
          <w:tcPr>
            <w:tcW w:w="2330" w:type="dxa"/>
            <w:noWrap/>
            <w:vAlign w:val="bottom"/>
          </w:tcPr>
          <w:p w14:paraId="345E6AD6"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393</w:t>
            </w:r>
          </w:p>
        </w:tc>
        <w:tc>
          <w:tcPr>
            <w:tcW w:w="2065" w:type="dxa"/>
            <w:noWrap/>
            <w:vAlign w:val="bottom"/>
          </w:tcPr>
          <w:p w14:paraId="253575AD"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6.78</w:t>
            </w:r>
          </w:p>
        </w:tc>
      </w:tr>
      <w:tr w:rsidR="002D33F2" w:rsidRPr="006456A7" w14:paraId="4E40BC59"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395" w:type="dxa"/>
            <w:vMerge/>
            <w:noWrap/>
            <w:hideMark/>
          </w:tcPr>
          <w:p w14:paraId="2F8E440E" w14:textId="77777777" w:rsidR="002D33F2" w:rsidRPr="006456A7" w:rsidRDefault="002D33F2" w:rsidP="007B6616">
            <w:pPr>
              <w:spacing w:line="259" w:lineRule="auto"/>
              <w:rPr>
                <w:rFonts w:ascii="Calibri" w:eastAsia="Calibri" w:hAnsi="Calibri" w:cs="Times New Roman"/>
                <w:lang w:eastAsia="en-AU"/>
              </w:rPr>
            </w:pPr>
          </w:p>
        </w:tc>
        <w:tc>
          <w:tcPr>
            <w:tcW w:w="1569" w:type="dxa"/>
            <w:noWrap/>
            <w:vAlign w:val="bottom"/>
            <w:hideMark/>
          </w:tcPr>
          <w:p w14:paraId="7FD59D68" w14:textId="77777777" w:rsidR="002D33F2" w:rsidRDefault="002D33F2" w:rsidP="00A406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2016-2017</w:t>
            </w:r>
          </w:p>
        </w:tc>
        <w:tc>
          <w:tcPr>
            <w:tcW w:w="2330" w:type="dxa"/>
            <w:noWrap/>
            <w:vAlign w:val="bottom"/>
          </w:tcPr>
          <w:p w14:paraId="41049432"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415</w:t>
            </w:r>
          </w:p>
        </w:tc>
        <w:tc>
          <w:tcPr>
            <w:tcW w:w="2065" w:type="dxa"/>
            <w:noWrap/>
            <w:vAlign w:val="bottom"/>
          </w:tcPr>
          <w:p w14:paraId="67B60DEA"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7.16</w:t>
            </w:r>
          </w:p>
        </w:tc>
      </w:tr>
      <w:tr w:rsidR="002D33F2" w:rsidRPr="006456A7" w14:paraId="38A4774E" w14:textId="77777777" w:rsidTr="007260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5" w:type="dxa"/>
            <w:vMerge/>
            <w:noWrap/>
            <w:hideMark/>
          </w:tcPr>
          <w:p w14:paraId="24868337" w14:textId="77777777" w:rsidR="002D33F2" w:rsidRPr="006456A7" w:rsidRDefault="002D33F2" w:rsidP="007B6616">
            <w:pPr>
              <w:spacing w:line="259" w:lineRule="auto"/>
              <w:rPr>
                <w:rFonts w:ascii="Calibri" w:eastAsia="Calibri" w:hAnsi="Calibri" w:cs="Times New Roman"/>
                <w:lang w:eastAsia="en-AU"/>
              </w:rPr>
            </w:pPr>
          </w:p>
        </w:tc>
        <w:tc>
          <w:tcPr>
            <w:tcW w:w="1569" w:type="dxa"/>
            <w:noWrap/>
            <w:vAlign w:val="bottom"/>
            <w:hideMark/>
          </w:tcPr>
          <w:p w14:paraId="5764A980" w14:textId="77777777" w:rsidR="002D33F2" w:rsidRDefault="002D33F2" w:rsidP="00A406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2017-2018</w:t>
            </w:r>
          </w:p>
        </w:tc>
        <w:tc>
          <w:tcPr>
            <w:tcW w:w="2330" w:type="dxa"/>
            <w:noWrap/>
            <w:vAlign w:val="bottom"/>
          </w:tcPr>
          <w:p w14:paraId="4BC76925"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462</w:t>
            </w:r>
          </w:p>
        </w:tc>
        <w:tc>
          <w:tcPr>
            <w:tcW w:w="2065" w:type="dxa"/>
            <w:noWrap/>
            <w:vAlign w:val="bottom"/>
          </w:tcPr>
          <w:p w14:paraId="3C197B85"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7.97</w:t>
            </w:r>
          </w:p>
        </w:tc>
      </w:tr>
      <w:tr w:rsidR="002D33F2" w:rsidRPr="006456A7" w14:paraId="4B1C2AD9" w14:textId="77777777" w:rsidTr="007260A4">
        <w:trPr>
          <w:trHeight w:val="300"/>
        </w:trPr>
        <w:tc>
          <w:tcPr>
            <w:cnfStyle w:val="001000000000" w:firstRow="0" w:lastRow="0" w:firstColumn="1" w:lastColumn="0" w:oddVBand="0" w:evenVBand="0" w:oddHBand="0" w:evenHBand="0" w:firstRowFirstColumn="0" w:firstRowLastColumn="0" w:lastRowFirstColumn="0" w:lastRowLastColumn="0"/>
            <w:tcW w:w="2395" w:type="dxa"/>
            <w:vMerge/>
            <w:noWrap/>
          </w:tcPr>
          <w:p w14:paraId="1881CAF2" w14:textId="77777777" w:rsidR="002D33F2" w:rsidRPr="006456A7" w:rsidRDefault="002D33F2" w:rsidP="007B6616">
            <w:pPr>
              <w:spacing w:line="259" w:lineRule="auto"/>
              <w:rPr>
                <w:rFonts w:ascii="Calibri" w:eastAsia="Calibri" w:hAnsi="Calibri" w:cs="Times New Roman"/>
                <w:lang w:eastAsia="en-AU"/>
              </w:rPr>
            </w:pPr>
          </w:p>
        </w:tc>
        <w:tc>
          <w:tcPr>
            <w:tcW w:w="1569" w:type="dxa"/>
            <w:noWrap/>
            <w:vAlign w:val="bottom"/>
          </w:tcPr>
          <w:p w14:paraId="46537710" w14:textId="77777777" w:rsidR="002D33F2" w:rsidRDefault="002D33F2" w:rsidP="00A406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2018-2019</w:t>
            </w:r>
          </w:p>
        </w:tc>
        <w:tc>
          <w:tcPr>
            <w:tcW w:w="2330" w:type="dxa"/>
            <w:noWrap/>
            <w:vAlign w:val="bottom"/>
          </w:tcPr>
          <w:p w14:paraId="0B0B6FCA"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521</w:t>
            </w:r>
          </w:p>
        </w:tc>
        <w:tc>
          <w:tcPr>
            <w:tcW w:w="2065" w:type="dxa"/>
            <w:noWrap/>
            <w:vAlign w:val="bottom"/>
          </w:tcPr>
          <w:p w14:paraId="50CC5D17"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8.99</w:t>
            </w:r>
          </w:p>
        </w:tc>
      </w:tr>
    </w:tbl>
    <w:p w14:paraId="5252A588" w14:textId="59557884" w:rsidR="002D33F2" w:rsidRPr="00E22636" w:rsidRDefault="002D33F2" w:rsidP="00A4064D">
      <w:pPr>
        <w:pStyle w:val="Caption"/>
        <w:spacing w:before="240"/>
      </w:pPr>
      <w:bookmarkStart w:id="325" w:name="_Toc36632834"/>
      <w:bookmarkStart w:id="326" w:name="_Toc36637928"/>
      <w:bookmarkStart w:id="327" w:name="_Toc37263597"/>
      <w:r>
        <w:t xml:space="preserve">Table </w:t>
      </w:r>
      <w:r w:rsidR="006C0554">
        <w:fldChar w:fldCharType="begin"/>
      </w:r>
      <w:r w:rsidR="006C0554">
        <w:instrText xml:space="preserve"> STYLEREF 1 \s </w:instrText>
      </w:r>
      <w:r w:rsidR="006C0554">
        <w:fldChar w:fldCharType="separate"/>
      </w:r>
      <w:r w:rsidR="008E2086">
        <w:t>3</w:t>
      </w:r>
      <w:r w:rsidR="006C0554">
        <w:fldChar w:fldCharType="end"/>
      </w:r>
      <w:r>
        <w:noBreakHyphen/>
      </w:r>
      <w:r w:rsidR="006C0554">
        <w:fldChar w:fldCharType="begin"/>
      </w:r>
      <w:r w:rsidR="006C0554">
        <w:instrText xml:space="preserve"> SEQ Table \* ARABIC \s 1 </w:instrText>
      </w:r>
      <w:r w:rsidR="006C0554">
        <w:fldChar w:fldCharType="separate"/>
      </w:r>
      <w:r w:rsidR="008E2086">
        <w:t>12</w:t>
      </w:r>
      <w:r w:rsidR="006C0554">
        <w:fldChar w:fldCharType="end"/>
      </w:r>
      <w:r>
        <w:t xml:space="preserve">: Number of CDC participants </w:t>
      </w:r>
      <w:r w:rsidRPr="005C4D3C">
        <w:t>(</w:t>
      </w:r>
      <w:r>
        <w:t>triggered in Bundaberg and Hervey Bay) accessing emergency relief - Total number of sessions, average number of sessions per participant and median number of sessions per participant, by calendar year</w:t>
      </w:r>
      <w:bookmarkEnd w:id="325"/>
      <w:bookmarkEnd w:id="326"/>
      <w:bookmarkEnd w:id="327"/>
    </w:p>
    <w:tbl>
      <w:tblPr>
        <w:tblStyle w:val="ListTable3-Accent12"/>
        <w:tblW w:w="9129" w:type="dxa"/>
        <w:jc w:val="center"/>
        <w:tblInd w:w="0" w:type="dxa"/>
        <w:tblLook w:val="04A0" w:firstRow="1" w:lastRow="0" w:firstColumn="1" w:lastColumn="0" w:noHBand="0" w:noVBand="1"/>
      </w:tblPr>
      <w:tblGrid>
        <w:gridCol w:w="2016"/>
        <w:gridCol w:w="1098"/>
        <w:gridCol w:w="1486"/>
        <w:gridCol w:w="1247"/>
        <w:gridCol w:w="1641"/>
        <w:gridCol w:w="1641"/>
      </w:tblGrid>
      <w:tr w:rsidR="002D33F2" w:rsidRPr="006456A7" w14:paraId="2DAE866B" w14:textId="77777777" w:rsidTr="006C0554">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47A5402D" w14:textId="77777777" w:rsidR="002D33F2" w:rsidRPr="006456A7" w:rsidRDefault="002D33F2" w:rsidP="000613C9">
            <w:pPr>
              <w:spacing w:line="259" w:lineRule="auto"/>
              <w:jc w:val="center"/>
              <w:rPr>
                <w:rFonts w:ascii="Calibri" w:eastAsia="Calibri" w:hAnsi="Calibri" w:cs="Times New Roman"/>
                <w:lang w:eastAsia="en-AU"/>
              </w:rPr>
            </w:pPr>
          </w:p>
        </w:tc>
        <w:tc>
          <w:tcPr>
            <w:tcW w:w="0" w:type="dxa"/>
            <w:shd w:val="clear" w:color="auto" w:fill="2F5496" w:themeFill="accent5" w:themeFillShade="BF"/>
            <w:noWrap/>
            <w:vAlign w:val="center"/>
            <w:hideMark/>
          </w:tcPr>
          <w:p w14:paraId="299BDC29"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Calendar</w:t>
            </w:r>
          </w:p>
          <w:p w14:paraId="5B59D441"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year</w:t>
            </w:r>
          </w:p>
        </w:tc>
        <w:tc>
          <w:tcPr>
            <w:tcW w:w="0" w:type="dxa"/>
            <w:shd w:val="clear" w:color="auto" w:fill="2F5496" w:themeFill="accent5" w:themeFillShade="BF"/>
            <w:noWrap/>
            <w:vAlign w:val="center"/>
            <w:hideMark/>
          </w:tcPr>
          <w:p w14:paraId="2030A6C5"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Number of CDC participants who accessed one or more Emergency Relief</w:t>
            </w:r>
          </w:p>
          <w:p w14:paraId="057A8F4A"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sessions</w:t>
            </w:r>
          </w:p>
        </w:tc>
        <w:tc>
          <w:tcPr>
            <w:tcW w:w="0" w:type="dxa"/>
            <w:shd w:val="clear" w:color="auto" w:fill="2F5496" w:themeFill="accent5" w:themeFillShade="BF"/>
            <w:noWrap/>
            <w:vAlign w:val="center"/>
            <w:hideMark/>
          </w:tcPr>
          <w:p w14:paraId="49D7B471"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Total number of CDC participant Emergency Relief sessions</w:t>
            </w:r>
          </w:p>
        </w:tc>
        <w:tc>
          <w:tcPr>
            <w:tcW w:w="0" w:type="dxa"/>
            <w:shd w:val="clear" w:color="auto" w:fill="2F5496" w:themeFill="accent5" w:themeFillShade="BF"/>
          </w:tcPr>
          <w:p w14:paraId="7332337B"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Average number of Emergency Relief sessions per CDC participant</w:t>
            </w:r>
          </w:p>
        </w:tc>
        <w:tc>
          <w:tcPr>
            <w:tcW w:w="0" w:type="dxa"/>
            <w:shd w:val="clear" w:color="auto" w:fill="2F5496" w:themeFill="accent5" w:themeFillShade="BF"/>
          </w:tcPr>
          <w:p w14:paraId="67EDED1E"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Median number of Emergency Relief sessions per CDC  participant</w:t>
            </w:r>
          </w:p>
        </w:tc>
      </w:tr>
      <w:tr w:rsidR="002D33F2" w:rsidRPr="006456A7" w14:paraId="7EBF43AF" w14:textId="77777777" w:rsidTr="007B6616">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016" w:type="dxa"/>
            <w:vMerge w:val="restart"/>
            <w:noWrap/>
            <w:vAlign w:val="center"/>
            <w:hideMark/>
          </w:tcPr>
          <w:p w14:paraId="1B678DA4" w14:textId="77777777" w:rsidR="002D33F2" w:rsidRPr="00665933" w:rsidRDefault="002D33F2" w:rsidP="007B6616">
            <w:pPr>
              <w:spacing w:line="259" w:lineRule="auto"/>
              <w:jc w:val="left"/>
              <w:rPr>
                <w:rFonts w:ascii="Calibri" w:eastAsia="Calibri" w:hAnsi="Calibri" w:cs="Times New Roman"/>
                <w:sz w:val="20"/>
                <w:szCs w:val="20"/>
                <w:lang w:eastAsia="en-AU"/>
              </w:rPr>
            </w:pPr>
            <w:r w:rsidRPr="00665933">
              <w:rPr>
                <w:rFonts w:ascii="Calibri" w:eastAsia="Calibri" w:hAnsi="Calibri" w:cs="Times New Roman"/>
                <w:sz w:val="20"/>
                <w:szCs w:val="20"/>
                <w:lang w:eastAsia="en-AU"/>
              </w:rPr>
              <w:t>CDC participants triggered in Bundaberg and Hervey Bay</w:t>
            </w:r>
          </w:p>
        </w:tc>
        <w:tc>
          <w:tcPr>
            <w:tcW w:w="1098" w:type="dxa"/>
            <w:noWrap/>
            <w:vAlign w:val="center"/>
            <w:hideMark/>
          </w:tcPr>
          <w:p w14:paraId="6EB18D17"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2016</w:t>
            </w:r>
          </w:p>
        </w:tc>
        <w:tc>
          <w:tcPr>
            <w:tcW w:w="1486" w:type="dxa"/>
            <w:noWrap/>
            <w:vAlign w:val="center"/>
          </w:tcPr>
          <w:p w14:paraId="2C7E9442"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614</w:t>
            </w:r>
          </w:p>
        </w:tc>
        <w:tc>
          <w:tcPr>
            <w:tcW w:w="1247" w:type="dxa"/>
            <w:noWrap/>
            <w:vAlign w:val="center"/>
          </w:tcPr>
          <w:p w14:paraId="0F0A66D8"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2,153</w:t>
            </w:r>
          </w:p>
        </w:tc>
        <w:tc>
          <w:tcPr>
            <w:tcW w:w="1641" w:type="dxa"/>
            <w:vAlign w:val="center"/>
          </w:tcPr>
          <w:p w14:paraId="1D182F28"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3.51</w:t>
            </w:r>
          </w:p>
        </w:tc>
        <w:tc>
          <w:tcPr>
            <w:tcW w:w="1641" w:type="dxa"/>
            <w:vAlign w:val="center"/>
          </w:tcPr>
          <w:p w14:paraId="43D5DE55"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2.00</w:t>
            </w:r>
          </w:p>
        </w:tc>
      </w:tr>
      <w:tr w:rsidR="002D33F2" w:rsidRPr="006456A7" w14:paraId="2B0DA5BD" w14:textId="77777777" w:rsidTr="007B6616">
        <w:trPr>
          <w:trHeight w:val="436"/>
          <w:jc w:val="center"/>
        </w:trPr>
        <w:tc>
          <w:tcPr>
            <w:cnfStyle w:val="001000000000" w:firstRow="0" w:lastRow="0" w:firstColumn="1" w:lastColumn="0" w:oddVBand="0" w:evenVBand="0" w:oddHBand="0" w:evenHBand="0" w:firstRowFirstColumn="0" w:firstRowLastColumn="0" w:lastRowFirstColumn="0" w:lastRowLastColumn="0"/>
            <w:tcW w:w="2016" w:type="dxa"/>
            <w:vMerge/>
            <w:noWrap/>
            <w:hideMark/>
          </w:tcPr>
          <w:p w14:paraId="0A94847E" w14:textId="77777777" w:rsidR="002D33F2" w:rsidRPr="006456A7" w:rsidRDefault="002D33F2" w:rsidP="007B6616">
            <w:pPr>
              <w:spacing w:line="259" w:lineRule="auto"/>
              <w:rPr>
                <w:rFonts w:ascii="Calibri" w:eastAsia="Calibri" w:hAnsi="Calibri" w:cs="Times New Roman"/>
                <w:lang w:eastAsia="en-AU"/>
              </w:rPr>
            </w:pPr>
          </w:p>
        </w:tc>
        <w:tc>
          <w:tcPr>
            <w:tcW w:w="1098" w:type="dxa"/>
            <w:noWrap/>
            <w:vAlign w:val="center"/>
            <w:hideMark/>
          </w:tcPr>
          <w:p w14:paraId="7EAB893F"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2017</w:t>
            </w:r>
          </w:p>
        </w:tc>
        <w:tc>
          <w:tcPr>
            <w:tcW w:w="1486" w:type="dxa"/>
            <w:noWrap/>
            <w:vAlign w:val="center"/>
          </w:tcPr>
          <w:p w14:paraId="15BD2DED"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585</w:t>
            </w:r>
          </w:p>
        </w:tc>
        <w:tc>
          <w:tcPr>
            <w:tcW w:w="1247" w:type="dxa"/>
            <w:noWrap/>
            <w:vAlign w:val="center"/>
          </w:tcPr>
          <w:p w14:paraId="15979047"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2,165</w:t>
            </w:r>
          </w:p>
        </w:tc>
        <w:tc>
          <w:tcPr>
            <w:tcW w:w="1641" w:type="dxa"/>
            <w:vAlign w:val="center"/>
          </w:tcPr>
          <w:p w14:paraId="7286A997"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3.70</w:t>
            </w:r>
          </w:p>
        </w:tc>
        <w:tc>
          <w:tcPr>
            <w:tcW w:w="1641" w:type="dxa"/>
            <w:vAlign w:val="center"/>
          </w:tcPr>
          <w:p w14:paraId="3324EFBB"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2.00</w:t>
            </w:r>
          </w:p>
        </w:tc>
      </w:tr>
      <w:tr w:rsidR="002D33F2" w:rsidRPr="006456A7" w14:paraId="30936908" w14:textId="77777777" w:rsidTr="007B661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vMerge/>
            <w:noWrap/>
            <w:hideMark/>
          </w:tcPr>
          <w:p w14:paraId="459BFE1B" w14:textId="77777777" w:rsidR="002D33F2" w:rsidRPr="006456A7" w:rsidRDefault="002D33F2" w:rsidP="007B6616">
            <w:pPr>
              <w:spacing w:line="259" w:lineRule="auto"/>
              <w:rPr>
                <w:rFonts w:ascii="Calibri" w:eastAsia="Calibri" w:hAnsi="Calibri" w:cs="Times New Roman"/>
                <w:lang w:eastAsia="en-AU"/>
              </w:rPr>
            </w:pPr>
          </w:p>
        </w:tc>
        <w:tc>
          <w:tcPr>
            <w:tcW w:w="1098" w:type="dxa"/>
            <w:noWrap/>
            <w:vAlign w:val="center"/>
            <w:hideMark/>
          </w:tcPr>
          <w:p w14:paraId="0C701F5D"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2018</w:t>
            </w:r>
          </w:p>
        </w:tc>
        <w:tc>
          <w:tcPr>
            <w:tcW w:w="1486" w:type="dxa"/>
            <w:noWrap/>
            <w:vAlign w:val="center"/>
          </w:tcPr>
          <w:p w14:paraId="446FE630"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733</w:t>
            </w:r>
          </w:p>
        </w:tc>
        <w:tc>
          <w:tcPr>
            <w:tcW w:w="1247" w:type="dxa"/>
            <w:noWrap/>
            <w:vAlign w:val="center"/>
          </w:tcPr>
          <w:p w14:paraId="13DE8A25"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2,785</w:t>
            </w:r>
          </w:p>
        </w:tc>
        <w:tc>
          <w:tcPr>
            <w:tcW w:w="1641" w:type="dxa"/>
            <w:vAlign w:val="center"/>
          </w:tcPr>
          <w:p w14:paraId="5B666496"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3.80</w:t>
            </w:r>
          </w:p>
        </w:tc>
        <w:tc>
          <w:tcPr>
            <w:tcW w:w="1641" w:type="dxa"/>
            <w:vAlign w:val="center"/>
          </w:tcPr>
          <w:p w14:paraId="022DC2B6"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2.00</w:t>
            </w:r>
          </w:p>
        </w:tc>
      </w:tr>
    </w:tbl>
    <w:p w14:paraId="22311221" w14:textId="77777777" w:rsidR="002D33F2" w:rsidRDefault="002D33F2" w:rsidP="002D33F2">
      <w:pPr>
        <w:rPr>
          <w:rFonts w:ascii="Calibri" w:eastAsia="Calibri" w:hAnsi="Calibri" w:cs="Calibri"/>
          <w:b/>
          <w:bCs/>
          <w:caps/>
          <w:sz w:val="20"/>
          <w:szCs w:val="18"/>
        </w:rPr>
      </w:pPr>
    </w:p>
    <w:p w14:paraId="4F914BA3" w14:textId="03FDE706" w:rsidR="002D33F2" w:rsidRDefault="002D33F2" w:rsidP="002D33F2">
      <w:pPr>
        <w:pStyle w:val="Caption"/>
      </w:pPr>
      <w:bookmarkStart w:id="328" w:name="_Toc37263598"/>
      <w:bookmarkStart w:id="329" w:name="_Toc36632835"/>
      <w:bookmarkStart w:id="330" w:name="_Toc36637929"/>
      <w:r>
        <w:lastRenderedPageBreak/>
        <w:t xml:space="preserve">Table </w:t>
      </w:r>
      <w:r w:rsidR="006C0554">
        <w:fldChar w:fldCharType="begin"/>
      </w:r>
      <w:r w:rsidR="006C0554">
        <w:instrText xml:space="preserve"> STYLEREF 1 \s </w:instrText>
      </w:r>
      <w:r w:rsidR="006C0554">
        <w:fldChar w:fldCharType="separate"/>
      </w:r>
      <w:r w:rsidR="008E2086">
        <w:rPr>
          <w:noProof/>
        </w:rPr>
        <w:t>3</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13</w:t>
      </w:r>
      <w:r w:rsidR="006C0554">
        <w:rPr>
          <w:noProof/>
        </w:rPr>
        <w:fldChar w:fldCharType="end"/>
      </w:r>
      <w:r>
        <w:t xml:space="preserve">: Number of CDC participants </w:t>
      </w:r>
      <w:r w:rsidRPr="005C4D3C">
        <w:t>(</w:t>
      </w:r>
      <w:r>
        <w:t>triggered in Bundaberg and Hervey Bay) accessing emergency relief – Total number of sessions, average number of sessions per participant and median number of sessions per participant, by financial year</w:t>
      </w:r>
      <w:bookmarkEnd w:id="328"/>
      <w:bookmarkEnd w:id="329"/>
      <w:bookmarkEnd w:id="330"/>
      <w:r>
        <w:t xml:space="preserve"> </w:t>
      </w:r>
    </w:p>
    <w:tbl>
      <w:tblPr>
        <w:tblStyle w:val="ListTable3-Accent12"/>
        <w:tblW w:w="8535" w:type="dxa"/>
        <w:tblInd w:w="0" w:type="dxa"/>
        <w:tblLook w:val="04A0" w:firstRow="1" w:lastRow="0" w:firstColumn="1" w:lastColumn="0" w:noHBand="0" w:noVBand="1"/>
      </w:tblPr>
      <w:tblGrid>
        <w:gridCol w:w="1696"/>
        <w:gridCol w:w="1317"/>
        <w:gridCol w:w="1560"/>
        <w:gridCol w:w="1307"/>
        <w:gridCol w:w="1347"/>
        <w:gridCol w:w="1308"/>
      </w:tblGrid>
      <w:tr w:rsidR="002D33F2" w:rsidRPr="006456A7" w14:paraId="2A396A1F"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140F8947" w14:textId="77777777" w:rsidR="002D33F2" w:rsidRPr="006456A7" w:rsidRDefault="002D33F2" w:rsidP="000613C9">
            <w:pPr>
              <w:spacing w:line="259" w:lineRule="auto"/>
              <w:jc w:val="center"/>
              <w:rPr>
                <w:rFonts w:ascii="Calibri" w:eastAsia="Calibri" w:hAnsi="Calibri" w:cs="Times New Roman"/>
                <w:lang w:eastAsia="en-AU"/>
              </w:rPr>
            </w:pPr>
          </w:p>
        </w:tc>
        <w:tc>
          <w:tcPr>
            <w:tcW w:w="0" w:type="dxa"/>
            <w:shd w:val="clear" w:color="auto" w:fill="2F5496" w:themeFill="accent5" w:themeFillShade="BF"/>
            <w:noWrap/>
            <w:vAlign w:val="center"/>
            <w:hideMark/>
          </w:tcPr>
          <w:p w14:paraId="33123333"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Financial</w:t>
            </w:r>
          </w:p>
          <w:p w14:paraId="5C42ED2A"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year</w:t>
            </w:r>
          </w:p>
        </w:tc>
        <w:tc>
          <w:tcPr>
            <w:tcW w:w="0" w:type="dxa"/>
            <w:shd w:val="clear" w:color="auto" w:fill="2F5496" w:themeFill="accent5" w:themeFillShade="BF"/>
            <w:noWrap/>
            <w:vAlign w:val="center"/>
            <w:hideMark/>
          </w:tcPr>
          <w:p w14:paraId="0E914299"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Number of CDC participants who accessed one or more Emergency Relief sessions</w:t>
            </w:r>
          </w:p>
        </w:tc>
        <w:tc>
          <w:tcPr>
            <w:tcW w:w="0" w:type="dxa"/>
            <w:shd w:val="clear" w:color="auto" w:fill="2F5496" w:themeFill="accent5" w:themeFillShade="BF"/>
            <w:noWrap/>
            <w:vAlign w:val="center"/>
            <w:hideMark/>
          </w:tcPr>
          <w:p w14:paraId="75B48EFE"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Total number of CDC participant Emergency Relief sessions</w:t>
            </w:r>
          </w:p>
        </w:tc>
        <w:tc>
          <w:tcPr>
            <w:tcW w:w="0" w:type="dxa"/>
            <w:shd w:val="clear" w:color="auto" w:fill="2F5496" w:themeFill="accent5" w:themeFillShade="BF"/>
          </w:tcPr>
          <w:p w14:paraId="2ADE94F2"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Average number of Emergency Relief sessions per CDC participant</w:t>
            </w:r>
          </w:p>
        </w:tc>
        <w:tc>
          <w:tcPr>
            <w:tcW w:w="0" w:type="dxa"/>
            <w:shd w:val="clear" w:color="auto" w:fill="2F5496" w:themeFill="accent5" w:themeFillShade="BF"/>
          </w:tcPr>
          <w:p w14:paraId="3804C655" w14:textId="77777777" w:rsidR="002D33F2" w:rsidRPr="00665933" w:rsidRDefault="002D33F2" w:rsidP="000613C9">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auto"/>
                <w:sz w:val="20"/>
                <w:szCs w:val="20"/>
                <w:lang w:eastAsia="en-AU"/>
              </w:rPr>
            </w:pPr>
            <w:r w:rsidRPr="00665933">
              <w:rPr>
                <w:rFonts w:ascii="Calibri" w:eastAsia="Calibri" w:hAnsi="Calibri" w:cs="Times New Roman"/>
                <w:sz w:val="20"/>
                <w:szCs w:val="20"/>
                <w:lang w:eastAsia="en-AU"/>
              </w:rPr>
              <w:t>Median number of Emergency Relief sessions per CDC participant</w:t>
            </w:r>
          </w:p>
        </w:tc>
      </w:tr>
      <w:tr w:rsidR="002D33F2" w:rsidRPr="006456A7" w14:paraId="5B21BB89" w14:textId="77777777" w:rsidTr="006317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val="restart"/>
            <w:noWrap/>
            <w:vAlign w:val="center"/>
            <w:hideMark/>
          </w:tcPr>
          <w:p w14:paraId="77A8E66C" w14:textId="77777777" w:rsidR="002D33F2" w:rsidRPr="00665933" w:rsidRDefault="002D33F2" w:rsidP="007B6616">
            <w:pPr>
              <w:spacing w:line="259" w:lineRule="auto"/>
              <w:jc w:val="left"/>
              <w:rPr>
                <w:rFonts w:ascii="Calibri" w:eastAsia="Calibri" w:hAnsi="Calibri" w:cs="Times New Roman"/>
                <w:sz w:val="20"/>
                <w:szCs w:val="20"/>
                <w:lang w:eastAsia="en-AU"/>
              </w:rPr>
            </w:pPr>
            <w:r w:rsidRPr="00665933">
              <w:rPr>
                <w:rFonts w:ascii="Calibri" w:eastAsia="Calibri" w:hAnsi="Calibri" w:cs="Times New Roman"/>
                <w:sz w:val="20"/>
                <w:szCs w:val="20"/>
                <w:lang w:eastAsia="en-AU"/>
              </w:rPr>
              <w:t>CDC participants triggered in Bundaberg and Hervey Bay</w:t>
            </w:r>
          </w:p>
        </w:tc>
        <w:tc>
          <w:tcPr>
            <w:tcW w:w="1317" w:type="dxa"/>
            <w:noWrap/>
            <w:vAlign w:val="center"/>
          </w:tcPr>
          <w:p w14:paraId="259CC229" w14:textId="77777777" w:rsidR="002D33F2" w:rsidRDefault="002D33F2" w:rsidP="00A406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2015-2016</w:t>
            </w:r>
          </w:p>
        </w:tc>
        <w:tc>
          <w:tcPr>
            <w:tcW w:w="1560" w:type="dxa"/>
            <w:noWrap/>
            <w:vAlign w:val="center"/>
          </w:tcPr>
          <w:p w14:paraId="09D15B5E"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597</w:t>
            </w:r>
          </w:p>
        </w:tc>
        <w:tc>
          <w:tcPr>
            <w:tcW w:w="1307" w:type="dxa"/>
            <w:noWrap/>
            <w:vAlign w:val="center"/>
          </w:tcPr>
          <w:p w14:paraId="3FAAC8AA"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1,968</w:t>
            </w:r>
          </w:p>
        </w:tc>
        <w:tc>
          <w:tcPr>
            <w:tcW w:w="1347" w:type="dxa"/>
            <w:vAlign w:val="center"/>
          </w:tcPr>
          <w:p w14:paraId="15E0FF59"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3.30</w:t>
            </w:r>
          </w:p>
        </w:tc>
        <w:tc>
          <w:tcPr>
            <w:tcW w:w="1308" w:type="dxa"/>
            <w:vAlign w:val="center"/>
          </w:tcPr>
          <w:p w14:paraId="73B0A7C9"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2.00</w:t>
            </w:r>
          </w:p>
        </w:tc>
      </w:tr>
      <w:tr w:rsidR="002D33F2" w:rsidRPr="006456A7" w14:paraId="01B1B650" w14:textId="77777777" w:rsidTr="00631745">
        <w:trPr>
          <w:trHeight w:val="451"/>
        </w:trPr>
        <w:tc>
          <w:tcPr>
            <w:cnfStyle w:val="001000000000" w:firstRow="0" w:lastRow="0" w:firstColumn="1" w:lastColumn="0" w:oddVBand="0" w:evenVBand="0" w:oddHBand="0" w:evenHBand="0" w:firstRowFirstColumn="0" w:firstRowLastColumn="0" w:lastRowFirstColumn="0" w:lastRowLastColumn="0"/>
            <w:tcW w:w="1696" w:type="dxa"/>
            <w:vMerge/>
            <w:noWrap/>
            <w:hideMark/>
          </w:tcPr>
          <w:p w14:paraId="382457CD" w14:textId="77777777" w:rsidR="002D33F2" w:rsidRPr="006456A7" w:rsidRDefault="002D33F2" w:rsidP="007B6616">
            <w:pPr>
              <w:spacing w:line="259" w:lineRule="auto"/>
              <w:rPr>
                <w:rFonts w:ascii="Calibri" w:eastAsia="Calibri" w:hAnsi="Calibri" w:cs="Times New Roman"/>
                <w:lang w:eastAsia="en-AU"/>
              </w:rPr>
            </w:pPr>
          </w:p>
        </w:tc>
        <w:tc>
          <w:tcPr>
            <w:tcW w:w="1317" w:type="dxa"/>
            <w:noWrap/>
            <w:vAlign w:val="center"/>
          </w:tcPr>
          <w:p w14:paraId="654935ED" w14:textId="77777777" w:rsidR="002D33F2" w:rsidRDefault="002D33F2" w:rsidP="00A406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2016-2017</w:t>
            </w:r>
          </w:p>
        </w:tc>
        <w:tc>
          <w:tcPr>
            <w:tcW w:w="1560" w:type="dxa"/>
            <w:noWrap/>
            <w:vAlign w:val="center"/>
          </w:tcPr>
          <w:p w14:paraId="44A6B8DD"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587</w:t>
            </w:r>
          </w:p>
        </w:tc>
        <w:tc>
          <w:tcPr>
            <w:tcW w:w="1307" w:type="dxa"/>
            <w:noWrap/>
            <w:vAlign w:val="center"/>
          </w:tcPr>
          <w:p w14:paraId="4B0EC21D"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2,175</w:t>
            </w:r>
          </w:p>
        </w:tc>
        <w:tc>
          <w:tcPr>
            <w:tcW w:w="1347" w:type="dxa"/>
            <w:vAlign w:val="center"/>
          </w:tcPr>
          <w:p w14:paraId="1039A57C"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3.71</w:t>
            </w:r>
          </w:p>
        </w:tc>
        <w:tc>
          <w:tcPr>
            <w:tcW w:w="1308" w:type="dxa"/>
            <w:vAlign w:val="center"/>
          </w:tcPr>
          <w:p w14:paraId="0E8E3C73"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2.00</w:t>
            </w:r>
          </w:p>
        </w:tc>
      </w:tr>
      <w:tr w:rsidR="002D33F2" w:rsidRPr="006456A7" w14:paraId="7BF19A4B" w14:textId="77777777" w:rsidTr="0063174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96" w:type="dxa"/>
            <w:vMerge/>
            <w:noWrap/>
            <w:hideMark/>
          </w:tcPr>
          <w:p w14:paraId="19ABC6D3" w14:textId="77777777" w:rsidR="002D33F2" w:rsidRPr="006456A7" w:rsidRDefault="002D33F2" w:rsidP="007B6616">
            <w:pPr>
              <w:spacing w:line="259" w:lineRule="auto"/>
              <w:rPr>
                <w:rFonts w:ascii="Calibri" w:eastAsia="Calibri" w:hAnsi="Calibri" w:cs="Times New Roman"/>
                <w:lang w:eastAsia="en-AU"/>
              </w:rPr>
            </w:pPr>
          </w:p>
        </w:tc>
        <w:tc>
          <w:tcPr>
            <w:tcW w:w="1317" w:type="dxa"/>
            <w:noWrap/>
            <w:vAlign w:val="center"/>
          </w:tcPr>
          <w:p w14:paraId="6DF74320" w14:textId="77777777" w:rsidR="002D33F2" w:rsidRDefault="002D33F2" w:rsidP="00A406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2017-2018</w:t>
            </w:r>
          </w:p>
        </w:tc>
        <w:tc>
          <w:tcPr>
            <w:tcW w:w="1560" w:type="dxa"/>
            <w:noWrap/>
            <w:vAlign w:val="center"/>
          </w:tcPr>
          <w:p w14:paraId="41D7157E"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692</w:t>
            </w:r>
          </w:p>
        </w:tc>
        <w:tc>
          <w:tcPr>
            <w:tcW w:w="1307" w:type="dxa"/>
            <w:noWrap/>
            <w:vAlign w:val="center"/>
          </w:tcPr>
          <w:p w14:paraId="736047C8"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2,527</w:t>
            </w:r>
          </w:p>
        </w:tc>
        <w:tc>
          <w:tcPr>
            <w:tcW w:w="1347" w:type="dxa"/>
            <w:vAlign w:val="center"/>
          </w:tcPr>
          <w:p w14:paraId="4FAEA8A9"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3.65</w:t>
            </w:r>
          </w:p>
        </w:tc>
        <w:tc>
          <w:tcPr>
            <w:tcW w:w="1308" w:type="dxa"/>
            <w:vAlign w:val="center"/>
          </w:tcPr>
          <w:p w14:paraId="7A892F89" w14:textId="77777777" w:rsidR="002D33F2" w:rsidRDefault="002D33F2" w:rsidP="000613C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2.00</w:t>
            </w:r>
          </w:p>
        </w:tc>
      </w:tr>
      <w:tr w:rsidR="002D33F2" w:rsidRPr="006456A7" w14:paraId="12BB20FB" w14:textId="77777777" w:rsidTr="00631745">
        <w:trPr>
          <w:trHeight w:val="300"/>
        </w:trPr>
        <w:tc>
          <w:tcPr>
            <w:cnfStyle w:val="001000000000" w:firstRow="0" w:lastRow="0" w:firstColumn="1" w:lastColumn="0" w:oddVBand="0" w:evenVBand="0" w:oddHBand="0" w:evenHBand="0" w:firstRowFirstColumn="0" w:firstRowLastColumn="0" w:lastRowFirstColumn="0" w:lastRowLastColumn="0"/>
            <w:tcW w:w="1696" w:type="dxa"/>
            <w:vMerge/>
            <w:noWrap/>
          </w:tcPr>
          <w:p w14:paraId="7EB93570" w14:textId="77777777" w:rsidR="002D33F2" w:rsidRPr="006456A7" w:rsidRDefault="002D33F2" w:rsidP="007B6616">
            <w:pPr>
              <w:spacing w:line="259" w:lineRule="auto"/>
              <w:rPr>
                <w:rFonts w:ascii="Calibri" w:eastAsia="Calibri" w:hAnsi="Calibri" w:cs="Times New Roman"/>
                <w:lang w:eastAsia="en-AU"/>
              </w:rPr>
            </w:pPr>
          </w:p>
        </w:tc>
        <w:tc>
          <w:tcPr>
            <w:tcW w:w="1317" w:type="dxa"/>
            <w:noWrap/>
            <w:vAlign w:val="center"/>
          </w:tcPr>
          <w:p w14:paraId="2244162E" w14:textId="77777777" w:rsidR="002D33F2" w:rsidRDefault="002D33F2" w:rsidP="00A406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2018-2019</w:t>
            </w:r>
          </w:p>
        </w:tc>
        <w:tc>
          <w:tcPr>
            <w:tcW w:w="1560" w:type="dxa"/>
            <w:noWrap/>
            <w:vAlign w:val="center"/>
          </w:tcPr>
          <w:p w14:paraId="2913AC5E"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778</w:t>
            </w:r>
          </w:p>
        </w:tc>
        <w:tc>
          <w:tcPr>
            <w:tcW w:w="1307" w:type="dxa"/>
            <w:noWrap/>
            <w:vAlign w:val="center"/>
          </w:tcPr>
          <w:p w14:paraId="72C85AD3"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2,961</w:t>
            </w:r>
          </w:p>
        </w:tc>
        <w:tc>
          <w:tcPr>
            <w:tcW w:w="1347" w:type="dxa"/>
            <w:vAlign w:val="center"/>
          </w:tcPr>
          <w:p w14:paraId="0B515833"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3.81</w:t>
            </w:r>
          </w:p>
        </w:tc>
        <w:tc>
          <w:tcPr>
            <w:tcW w:w="1308" w:type="dxa"/>
            <w:vAlign w:val="center"/>
          </w:tcPr>
          <w:p w14:paraId="4AB166A2" w14:textId="77777777" w:rsidR="002D33F2" w:rsidRDefault="002D33F2" w:rsidP="00061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3.00</w:t>
            </w:r>
          </w:p>
        </w:tc>
      </w:tr>
    </w:tbl>
    <w:p w14:paraId="2FED05A4" w14:textId="77777777" w:rsidR="006536D5" w:rsidRDefault="006536D5">
      <w:pPr>
        <w:jc w:val="left"/>
      </w:pPr>
      <w:r>
        <w:br w:type="page"/>
      </w:r>
    </w:p>
    <w:p w14:paraId="32FE30DB" w14:textId="77777777" w:rsidR="008D6E98" w:rsidRDefault="008D6E98">
      <w:pPr>
        <w:pStyle w:val="Heading1"/>
      </w:pPr>
      <w:bookmarkStart w:id="331" w:name="_Toc36213131"/>
      <w:bookmarkStart w:id="332" w:name="_Toc34935591"/>
      <w:bookmarkStart w:id="333" w:name="_Toc37258362"/>
      <w:bookmarkEnd w:id="331"/>
      <w:r>
        <w:lastRenderedPageBreak/>
        <w:t>References</w:t>
      </w:r>
      <w:bookmarkEnd w:id="332"/>
      <w:bookmarkEnd w:id="333"/>
    </w:p>
    <w:p w14:paraId="4494AFAD" w14:textId="77777777" w:rsidR="00A81011" w:rsidRDefault="00A81011" w:rsidP="000613C9">
      <w:pPr>
        <w:spacing w:line="276" w:lineRule="auto"/>
        <w:jc w:val="left"/>
      </w:pPr>
      <w:r>
        <w:t xml:space="preserve">Australian </w:t>
      </w:r>
      <w:r w:rsidR="00B73C2E">
        <w:t>Bureau of Statistics</w:t>
      </w:r>
      <w:r w:rsidR="00217FAD">
        <w:t>,</w:t>
      </w:r>
      <w:r w:rsidR="00B73C2E">
        <w:t xml:space="preserve"> </w:t>
      </w:r>
      <w:r w:rsidR="00217FAD">
        <w:t>T</w:t>
      </w:r>
      <w:r w:rsidR="00B73C2E">
        <w:t xml:space="preserve">he Census of Population and Housing 2016 Table Builder, </w:t>
      </w:r>
      <w:hyperlink r:id="rId44" w:history="1">
        <w:r w:rsidR="00B73C2E" w:rsidRPr="00B73C2E">
          <w:rPr>
            <w:rStyle w:val="Hyperlink"/>
          </w:rPr>
          <w:t>https://www.abs.gov.au/websitedbs/d3310114.nsf/home/about+tablebuilder</w:t>
        </w:r>
      </w:hyperlink>
      <w:r w:rsidR="008213C6">
        <w:t>.</w:t>
      </w:r>
    </w:p>
    <w:p w14:paraId="172456FE" w14:textId="77777777" w:rsidR="00B73C2E" w:rsidRDefault="00B73C2E" w:rsidP="000613C9">
      <w:pPr>
        <w:spacing w:line="276" w:lineRule="auto"/>
        <w:jc w:val="left"/>
      </w:pPr>
      <w:r>
        <w:t>Australian Bureau of Statistics</w:t>
      </w:r>
      <w:r w:rsidR="00217FAD">
        <w:t>,</w:t>
      </w:r>
      <w:r>
        <w:t xml:space="preserve"> Socio-Economic Indexes for Areas, </w:t>
      </w:r>
      <w:hyperlink r:id="rId45" w:history="1">
        <w:r w:rsidRPr="00B73C2E">
          <w:rPr>
            <w:rStyle w:val="Hyperlink"/>
          </w:rPr>
          <w:t>https://www.abs.gov.au/websitedbs/censushome.nsf/home/seifa</w:t>
        </w:r>
      </w:hyperlink>
      <w:r>
        <w:t>.</w:t>
      </w:r>
    </w:p>
    <w:p w14:paraId="682A0B43" w14:textId="77777777" w:rsidR="00CE51ED" w:rsidRDefault="00CE51ED" w:rsidP="000613C9">
      <w:pPr>
        <w:spacing w:line="276" w:lineRule="auto"/>
        <w:jc w:val="left"/>
      </w:pPr>
      <w:r>
        <w:t xml:space="preserve">Australian Early Development Census Data, </w:t>
      </w:r>
      <w:hyperlink r:id="rId46" w:history="1">
        <w:r w:rsidRPr="00CE51ED">
          <w:rPr>
            <w:rStyle w:val="Hyperlink"/>
          </w:rPr>
          <w:t>https://www.aedc.gov.au/data/downloads</w:t>
        </w:r>
      </w:hyperlink>
      <w:r>
        <w:t>.</w:t>
      </w:r>
    </w:p>
    <w:p w14:paraId="2FFF0400" w14:textId="77777777" w:rsidR="008D6E98" w:rsidRPr="00234813" w:rsidRDefault="008D6E98" w:rsidP="000613C9">
      <w:pPr>
        <w:spacing w:line="276" w:lineRule="auto"/>
        <w:jc w:val="left"/>
      </w:pPr>
      <w:r w:rsidRPr="00234813">
        <w:t xml:space="preserve">Australian Government Department of Education and Training (2018), </w:t>
      </w:r>
      <w:r w:rsidRPr="00234813">
        <w:rPr>
          <w:i/>
        </w:rPr>
        <w:t>Australian Early Development</w:t>
      </w:r>
      <w:r w:rsidR="00234813">
        <w:rPr>
          <w:i/>
        </w:rPr>
        <w:t xml:space="preserve"> </w:t>
      </w:r>
      <w:r w:rsidRPr="00234813">
        <w:rPr>
          <w:i/>
        </w:rPr>
        <w:t>Census National Report 2018</w:t>
      </w:r>
      <w:r w:rsidRPr="00234813">
        <w:t>, Canberra.</w:t>
      </w:r>
    </w:p>
    <w:p w14:paraId="654934BC" w14:textId="77777777" w:rsidR="006A5B96" w:rsidRDefault="006A5B96" w:rsidP="000613C9">
      <w:pPr>
        <w:spacing w:line="276" w:lineRule="auto"/>
        <w:jc w:val="left"/>
      </w:pPr>
      <w:r w:rsidRPr="006A5B96">
        <w:t xml:space="preserve">Mincer, J. (1984), Human capital and economic growth, </w:t>
      </w:r>
      <w:r w:rsidRPr="000613C9">
        <w:rPr>
          <w:i/>
          <w:iCs/>
        </w:rPr>
        <w:t>Economics of Education Review</w:t>
      </w:r>
      <w:r w:rsidRPr="006A5B96">
        <w:t xml:space="preserve">, </w:t>
      </w:r>
      <w:proofErr w:type="spellStart"/>
      <w:r w:rsidRPr="006A5B96">
        <w:t>vol</w:t>
      </w:r>
      <w:proofErr w:type="spellEnd"/>
      <w:r w:rsidRPr="006A5B96">
        <w:t xml:space="preserve"> 3(3), pages 195-205.</w:t>
      </w:r>
    </w:p>
    <w:p w14:paraId="44790E1A" w14:textId="77777777" w:rsidR="00B73C2E" w:rsidRDefault="00B73C2E" w:rsidP="000613C9">
      <w:pPr>
        <w:spacing w:line="276" w:lineRule="auto"/>
        <w:jc w:val="left"/>
      </w:pPr>
      <w:r>
        <w:t>National Centre for Vocational Education and Research</w:t>
      </w:r>
      <w:r w:rsidR="00217FAD">
        <w:t>,</w:t>
      </w:r>
      <w:r>
        <w:t xml:space="preserve"> Total VET Students and Courses, </w:t>
      </w:r>
      <w:hyperlink r:id="rId47" w:history="1">
        <w:r w:rsidRPr="00B73C2E">
          <w:rPr>
            <w:rStyle w:val="Hyperlink"/>
          </w:rPr>
          <w:t>https://www.ncver.edu.au/research-and-statistics/collections/students-and-courses-collection/total-vet-students-and-courses</w:t>
        </w:r>
      </w:hyperlink>
      <w:r w:rsidR="00EB6507">
        <w:t>.</w:t>
      </w:r>
    </w:p>
    <w:p w14:paraId="731ED44F" w14:textId="77777777" w:rsidR="00CE51ED" w:rsidRPr="00234813" w:rsidRDefault="00CE51ED" w:rsidP="000613C9">
      <w:pPr>
        <w:spacing w:line="276" w:lineRule="auto"/>
        <w:jc w:val="left"/>
      </w:pPr>
      <w:r>
        <w:t>Queensland Government Open Data Portal</w:t>
      </w:r>
      <w:r w:rsidR="00217FAD">
        <w:t>,</w:t>
      </w:r>
      <w:r>
        <w:t xml:space="preserve"> Emergency Department Dataset, </w:t>
      </w:r>
      <w:hyperlink r:id="rId48" w:history="1">
        <w:r w:rsidRPr="00CE51ED">
          <w:rPr>
            <w:rStyle w:val="Hyperlink"/>
          </w:rPr>
          <w:t>https://www.data.qld.gov.au/dataset/emergency-departments</w:t>
        </w:r>
      </w:hyperlink>
      <w:r w:rsidR="00EB6507">
        <w:t>.</w:t>
      </w:r>
    </w:p>
    <w:p w14:paraId="00C3C4E0" w14:textId="77777777" w:rsidR="00CE51ED" w:rsidRPr="00234813" w:rsidRDefault="00CE51ED" w:rsidP="000613C9">
      <w:pPr>
        <w:spacing w:line="276" w:lineRule="auto"/>
        <w:jc w:val="left"/>
      </w:pPr>
      <w:r>
        <w:t>Queensland Government Open Data Portal</w:t>
      </w:r>
      <w:r w:rsidR="00217FAD">
        <w:t>,</w:t>
      </w:r>
      <w:r>
        <w:t xml:space="preserve"> State School Attendance Rate, </w:t>
      </w:r>
      <w:hyperlink r:id="rId49" w:history="1">
        <w:r w:rsidRPr="00CE51ED">
          <w:rPr>
            <w:rStyle w:val="Hyperlink"/>
          </w:rPr>
          <w:t>https://www.data.qld.gov.au/dataset/state-school-attendance-rate</w:t>
        </w:r>
      </w:hyperlink>
      <w:r w:rsidR="00EB6507">
        <w:t>.</w:t>
      </w:r>
    </w:p>
    <w:p w14:paraId="716487AF" w14:textId="77777777" w:rsidR="00EB6507" w:rsidRDefault="00EB6507" w:rsidP="000613C9">
      <w:pPr>
        <w:jc w:val="left"/>
      </w:pPr>
      <w:r>
        <w:t>Queensland Government</w:t>
      </w:r>
      <w:r w:rsidR="00217FAD">
        <w:t>,</w:t>
      </w:r>
      <w:r>
        <w:t xml:space="preserve"> Electronic Gaming Machine (EGM) Statistics, </w:t>
      </w:r>
      <w:hyperlink r:id="rId50" w:history="1">
        <w:r w:rsidR="00217FAD" w:rsidRPr="00E863C2">
          <w:rPr>
            <w:rStyle w:val="Hyperlink"/>
          </w:rPr>
          <w:t>https://secure.olgr.qld.gov.au/dcm/Gaming</w:t>
        </w:r>
      </w:hyperlink>
      <w:r>
        <w:t>.</w:t>
      </w:r>
    </w:p>
    <w:p w14:paraId="38B63B43" w14:textId="77777777" w:rsidR="002C3374" w:rsidRPr="007A59FA" w:rsidRDefault="002C3374" w:rsidP="002C3374">
      <w:pPr>
        <w:rPr>
          <w:rFonts w:cstheme="minorHAnsi"/>
        </w:rPr>
      </w:pPr>
      <w:r w:rsidRPr="004B67A7">
        <w:rPr>
          <w:rFonts w:cstheme="minorHAnsi"/>
          <w:lang w:val="en-US"/>
        </w:rPr>
        <w:t xml:space="preserve">Queensland </w:t>
      </w:r>
      <w:r w:rsidR="00487E22">
        <w:rPr>
          <w:rFonts w:cstheme="minorHAnsi"/>
          <w:lang w:val="en-US"/>
        </w:rPr>
        <w:t>Government</w:t>
      </w:r>
      <w:r w:rsidRPr="004B67A7">
        <w:rPr>
          <w:rFonts w:cstheme="minorHAnsi"/>
          <w:lang w:val="en-US"/>
        </w:rPr>
        <w:t xml:space="preserve"> Department of Health</w:t>
      </w:r>
      <w:r>
        <w:rPr>
          <w:rFonts w:cstheme="minorHAnsi"/>
          <w:lang w:val="en-US"/>
        </w:rPr>
        <w:t>,</w:t>
      </w:r>
      <w:r w:rsidRPr="004B67A7">
        <w:rPr>
          <w:rFonts w:cstheme="minorHAnsi"/>
          <w:lang w:val="en-US"/>
        </w:rPr>
        <w:t xml:space="preserve"> </w:t>
      </w:r>
      <w:hyperlink r:id="rId51" w:history="1">
        <w:r w:rsidRPr="004B67A7">
          <w:rPr>
            <w:rFonts w:cstheme="minorHAnsi"/>
            <w:lang w:val="en-US"/>
          </w:rPr>
          <w:t>Wide Bay Hospital and Health Service</w:t>
        </w:r>
      </w:hyperlink>
      <w:r w:rsidR="00487E22">
        <w:rPr>
          <w:rFonts w:cstheme="minorHAnsi"/>
          <w:lang w:val="en-US"/>
        </w:rPr>
        <w:t xml:space="preserve"> – Our Services and Facilities</w:t>
      </w:r>
      <w:r w:rsidRPr="004B67A7">
        <w:rPr>
          <w:rFonts w:cstheme="minorHAnsi"/>
          <w:lang w:val="en-US"/>
        </w:rPr>
        <w:t>,</w:t>
      </w:r>
      <w:r w:rsidRPr="007A59FA">
        <w:t xml:space="preserve"> </w:t>
      </w:r>
      <w:hyperlink r:id="rId52" w:history="1">
        <w:r w:rsidRPr="007A59FA">
          <w:rPr>
            <w:rStyle w:val="Hyperlink"/>
            <w:rFonts w:cstheme="minorHAnsi"/>
          </w:rPr>
          <w:t>https://www.health.qld.gov.au/widebay/our-services-and-facilities</w:t>
        </w:r>
      </w:hyperlink>
      <w:r>
        <w:rPr>
          <w:rFonts w:cstheme="minorHAnsi"/>
        </w:rPr>
        <w:t>.</w:t>
      </w:r>
    </w:p>
    <w:p w14:paraId="420C53EE" w14:textId="77777777" w:rsidR="00CE51ED" w:rsidRDefault="00CE51ED" w:rsidP="000613C9">
      <w:pPr>
        <w:jc w:val="left"/>
        <w:sectPr w:rsidR="00CE51ED" w:rsidSect="000E75CD">
          <w:footerReference w:type="default" r:id="rId53"/>
          <w:pgSz w:w="11906" w:h="16838"/>
          <w:pgMar w:top="1134" w:right="1440" w:bottom="1440" w:left="1440" w:header="708" w:footer="708" w:gutter="0"/>
          <w:cols w:space="708"/>
          <w:docGrid w:linePitch="360"/>
        </w:sectPr>
      </w:pPr>
      <w:r>
        <w:t>Queensland Polic</w:t>
      </w:r>
      <w:r w:rsidR="00217FAD">
        <w:t>e</w:t>
      </w:r>
      <w:r>
        <w:t xml:space="preserve"> Service</w:t>
      </w:r>
      <w:r w:rsidR="00217FAD">
        <w:t>,</w:t>
      </w:r>
      <w:r>
        <w:t xml:space="preserve"> Reported Offence</w:t>
      </w:r>
      <w:r w:rsidR="00EB6507">
        <w:t xml:space="preserve"> Statistics, </w:t>
      </w:r>
      <w:hyperlink r:id="rId54" w:history="1">
        <w:r w:rsidR="00217FAD" w:rsidRPr="00E863C2">
          <w:rPr>
            <w:rStyle w:val="Hyperlink"/>
          </w:rPr>
          <w:t>https://www.police.qld.gov.au/maps-and-statistics</w:t>
        </w:r>
      </w:hyperlink>
      <w:r w:rsidR="00EB6507">
        <w:t xml:space="preserve"> </w:t>
      </w:r>
      <w:r w:rsidR="008213C6">
        <w:t>.</w:t>
      </w:r>
    </w:p>
    <w:p w14:paraId="6DFC9C16" w14:textId="77777777" w:rsidR="00CA60F2" w:rsidRDefault="00CA60F2">
      <w:pPr>
        <w:pStyle w:val="Heading1"/>
      </w:pPr>
      <w:bookmarkStart w:id="334" w:name="_Toc34818234"/>
      <w:bookmarkStart w:id="335" w:name="_Toc37258363"/>
      <w:r w:rsidRPr="00CA60F2">
        <w:lastRenderedPageBreak/>
        <w:t>Appendix</w:t>
      </w:r>
      <w:bookmarkEnd w:id="334"/>
      <w:bookmarkEnd w:id="335"/>
    </w:p>
    <w:p w14:paraId="194BED9B" w14:textId="39B158DE" w:rsidR="00451FD2" w:rsidRDefault="000851DE" w:rsidP="00451FD2">
      <w:pPr>
        <w:pStyle w:val="Caption"/>
      </w:pPr>
      <w:bookmarkStart w:id="336" w:name="_Ref35850585"/>
      <w:bookmarkStart w:id="337" w:name="_Toc37263599"/>
      <w:bookmarkStart w:id="338" w:name="_Ref34823969"/>
      <w:r>
        <w:t>Table</w:t>
      </w:r>
      <w:r w:rsidR="00451FD2">
        <w:t xml:space="preserv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w:t>
      </w:r>
      <w:r w:rsidR="006C0554">
        <w:rPr>
          <w:noProof/>
        </w:rPr>
        <w:fldChar w:fldCharType="end"/>
      </w:r>
      <w:bookmarkEnd w:id="336"/>
      <w:r w:rsidR="00451FD2">
        <w:t xml:space="preserve">: Average monthly number of </w:t>
      </w:r>
      <w:r w:rsidR="00961F6D">
        <w:t xml:space="preserve">Emergency Department </w:t>
      </w:r>
      <w:r w:rsidR="00451FD2">
        <w:t>attendances by quarter</w:t>
      </w:r>
      <w:bookmarkEnd w:id="337"/>
    </w:p>
    <w:tbl>
      <w:tblPr>
        <w:tblStyle w:val="ListTable3-Accent121"/>
        <w:tblW w:w="5000" w:type="pct"/>
        <w:tblInd w:w="-3" w:type="dxa"/>
        <w:tblLook w:val="04A0" w:firstRow="1" w:lastRow="0" w:firstColumn="1" w:lastColumn="0" w:noHBand="0" w:noVBand="1"/>
      </w:tblPr>
      <w:tblGrid>
        <w:gridCol w:w="2593"/>
        <w:gridCol w:w="3428"/>
        <w:gridCol w:w="2995"/>
      </w:tblGrid>
      <w:tr w:rsidR="00FA02F0" w14:paraId="02D1AE26"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38" w:type="pct"/>
            <w:tcBorders>
              <w:top w:val="single" w:sz="4" w:space="0" w:color="5B9BD5"/>
              <w:left w:val="single" w:sz="4" w:space="0" w:color="5B9BD5"/>
              <w:bottom w:val="nil"/>
            </w:tcBorders>
            <w:shd w:val="clear" w:color="auto" w:fill="2F5496" w:themeFill="accent5" w:themeFillShade="BF"/>
            <w:noWrap/>
            <w:hideMark/>
          </w:tcPr>
          <w:p w14:paraId="709CC8D3" w14:textId="77777777" w:rsidR="00FA02F0" w:rsidRDefault="00FA02F0">
            <w:pPr>
              <w:jc w:val="left"/>
            </w:pPr>
          </w:p>
        </w:tc>
        <w:tc>
          <w:tcPr>
            <w:tcW w:w="1901" w:type="pct"/>
            <w:tcBorders>
              <w:top w:val="single" w:sz="4" w:space="0" w:color="5B9BD5"/>
              <w:left w:val="nil"/>
              <w:bottom w:val="nil"/>
              <w:right w:val="nil"/>
            </w:tcBorders>
            <w:shd w:val="clear" w:color="auto" w:fill="2F5496" w:themeFill="accent5" w:themeFillShade="BF"/>
            <w:noWrap/>
            <w:hideMark/>
          </w:tcPr>
          <w:p w14:paraId="49D13D0A" w14:textId="77777777" w:rsidR="00FA02F0" w:rsidRDefault="00FA02F0">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Q3 2018</w:t>
            </w:r>
          </w:p>
        </w:tc>
        <w:tc>
          <w:tcPr>
            <w:tcW w:w="1661" w:type="pct"/>
            <w:tcBorders>
              <w:top w:val="single" w:sz="4" w:space="0" w:color="5B9BD5"/>
              <w:left w:val="nil"/>
              <w:bottom w:val="nil"/>
              <w:right w:val="single" w:sz="4" w:space="0" w:color="5B9BD5"/>
            </w:tcBorders>
            <w:shd w:val="clear" w:color="auto" w:fill="2F5496" w:themeFill="accent5" w:themeFillShade="BF"/>
            <w:noWrap/>
            <w:hideMark/>
          </w:tcPr>
          <w:p w14:paraId="7B1F822B" w14:textId="77777777" w:rsidR="00FA02F0" w:rsidRDefault="00FA02F0">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Q4 2018</w:t>
            </w:r>
          </w:p>
        </w:tc>
      </w:tr>
      <w:tr w:rsidR="00FA02F0" w14:paraId="4D08A81A" w14:textId="77777777" w:rsidTr="00FA02F0">
        <w:trPr>
          <w:trHeight w:val="300"/>
        </w:trPr>
        <w:tc>
          <w:tcPr>
            <w:cnfStyle w:val="001000000000" w:firstRow="0" w:lastRow="0" w:firstColumn="1" w:lastColumn="0" w:oddVBand="0" w:evenVBand="0" w:oddHBand="0" w:evenHBand="0" w:firstRowFirstColumn="0" w:firstRowLastColumn="0" w:lastRowFirstColumn="0" w:lastRowLastColumn="0"/>
            <w:tcW w:w="1438" w:type="pct"/>
            <w:tcBorders>
              <w:top w:val="single" w:sz="4" w:space="0" w:color="5B9BD5"/>
              <w:left w:val="single" w:sz="4" w:space="0" w:color="5B9BD5"/>
              <w:bottom w:val="single" w:sz="4" w:space="0" w:color="5B9BD5"/>
            </w:tcBorders>
            <w:noWrap/>
            <w:hideMark/>
          </w:tcPr>
          <w:p w14:paraId="4112AB77" w14:textId="77777777" w:rsidR="00FA02F0" w:rsidRDefault="00FA02F0">
            <w:pPr>
              <w:rPr>
                <w:sz w:val="20"/>
                <w:szCs w:val="20"/>
                <w:lang w:eastAsia="en-AU"/>
              </w:rPr>
            </w:pPr>
            <w:r>
              <w:rPr>
                <w:sz w:val="20"/>
                <w:szCs w:val="20"/>
                <w:lang w:eastAsia="en-AU"/>
              </w:rPr>
              <w:t>Bundaberg Hospital</w:t>
            </w:r>
          </w:p>
        </w:tc>
        <w:tc>
          <w:tcPr>
            <w:tcW w:w="1901" w:type="pct"/>
            <w:tcBorders>
              <w:top w:val="single" w:sz="4" w:space="0" w:color="5B9BD5"/>
              <w:left w:val="nil"/>
              <w:bottom w:val="single" w:sz="4" w:space="0" w:color="5B9BD5"/>
              <w:right w:val="nil"/>
            </w:tcBorders>
            <w:noWrap/>
            <w:hideMark/>
          </w:tcPr>
          <w:p w14:paraId="0448CEE6" w14:textId="77777777" w:rsidR="00FA02F0" w:rsidRDefault="00FA02F0">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4,242</w:t>
            </w:r>
          </w:p>
        </w:tc>
        <w:tc>
          <w:tcPr>
            <w:tcW w:w="1661" w:type="pct"/>
            <w:tcBorders>
              <w:top w:val="single" w:sz="4" w:space="0" w:color="5B9BD5"/>
              <w:left w:val="nil"/>
              <w:bottom w:val="single" w:sz="4" w:space="0" w:color="5B9BD5"/>
              <w:right w:val="single" w:sz="4" w:space="0" w:color="5B9BD5"/>
            </w:tcBorders>
            <w:noWrap/>
            <w:hideMark/>
          </w:tcPr>
          <w:p w14:paraId="78360FCA" w14:textId="77777777" w:rsidR="00FA02F0" w:rsidRDefault="00FA02F0">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4,173</w:t>
            </w:r>
          </w:p>
        </w:tc>
      </w:tr>
      <w:tr w:rsidR="00FA02F0" w14:paraId="458A962F" w14:textId="77777777" w:rsidTr="00FA02F0">
        <w:trPr>
          <w:trHeight w:val="300"/>
        </w:trPr>
        <w:tc>
          <w:tcPr>
            <w:cnfStyle w:val="001000000000" w:firstRow="0" w:lastRow="0" w:firstColumn="1" w:lastColumn="0" w:oddVBand="0" w:evenVBand="0" w:oddHBand="0" w:evenHBand="0" w:firstRowFirstColumn="0" w:firstRowLastColumn="0" w:lastRowFirstColumn="0" w:lastRowLastColumn="0"/>
            <w:tcW w:w="1438" w:type="pct"/>
            <w:tcBorders>
              <w:top w:val="nil"/>
              <w:left w:val="single" w:sz="4" w:space="0" w:color="5B9BD5"/>
              <w:bottom w:val="nil"/>
            </w:tcBorders>
            <w:noWrap/>
            <w:hideMark/>
          </w:tcPr>
          <w:p w14:paraId="6025C0B0" w14:textId="77777777" w:rsidR="00FA02F0" w:rsidRDefault="00FA02F0">
            <w:pPr>
              <w:rPr>
                <w:sz w:val="20"/>
                <w:szCs w:val="20"/>
                <w:lang w:eastAsia="en-AU"/>
              </w:rPr>
            </w:pPr>
            <w:r>
              <w:rPr>
                <w:sz w:val="20"/>
                <w:szCs w:val="20"/>
                <w:lang w:eastAsia="en-AU"/>
              </w:rPr>
              <w:t>Childers Hospital</w:t>
            </w:r>
          </w:p>
        </w:tc>
        <w:tc>
          <w:tcPr>
            <w:tcW w:w="1901" w:type="pct"/>
            <w:tcBorders>
              <w:top w:val="nil"/>
              <w:left w:val="nil"/>
              <w:bottom w:val="nil"/>
              <w:right w:val="nil"/>
            </w:tcBorders>
            <w:noWrap/>
            <w:hideMark/>
          </w:tcPr>
          <w:p w14:paraId="235E1893" w14:textId="77777777" w:rsidR="00FA02F0" w:rsidRDefault="00FA02F0">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183</w:t>
            </w:r>
          </w:p>
        </w:tc>
        <w:tc>
          <w:tcPr>
            <w:tcW w:w="1661" w:type="pct"/>
            <w:tcBorders>
              <w:top w:val="nil"/>
              <w:left w:val="nil"/>
              <w:bottom w:val="nil"/>
              <w:right w:val="single" w:sz="4" w:space="0" w:color="5B9BD5"/>
            </w:tcBorders>
            <w:noWrap/>
            <w:hideMark/>
          </w:tcPr>
          <w:p w14:paraId="6BE183CF" w14:textId="77777777" w:rsidR="00FA02F0" w:rsidRDefault="00FA02F0">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208</w:t>
            </w:r>
          </w:p>
        </w:tc>
      </w:tr>
      <w:tr w:rsidR="00FA02F0" w14:paraId="6DAB5BE6" w14:textId="77777777" w:rsidTr="00FA02F0">
        <w:trPr>
          <w:trHeight w:val="300"/>
        </w:trPr>
        <w:tc>
          <w:tcPr>
            <w:cnfStyle w:val="001000000000" w:firstRow="0" w:lastRow="0" w:firstColumn="1" w:lastColumn="0" w:oddVBand="0" w:evenVBand="0" w:oddHBand="0" w:evenHBand="0" w:firstRowFirstColumn="0" w:firstRowLastColumn="0" w:lastRowFirstColumn="0" w:lastRowLastColumn="0"/>
            <w:tcW w:w="1438" w:type="pct"/>
            <w:tcBorders>
              <w:top w:val="single" w:sz="4" w:space="0" w:color="5B9BD5"/>
              <w:left w:val="single" w:sz="4" w:space="0" w:color="5B9BD5"/>
              <w:bottom w:val="single" w:sz="4" w:space="0" w:color="5B9BD5"/>
            </w:tcBorders>
            <w:noWrap/>
            <w:hideMark/>
          </w:tcPr>
          <w:p w14:paraId="70B057D2" w14:textId="77777777" w:rsidR="00FA02F0" w:rsidRDefault="00FA02F0">
            <w:pPr>
              <w:rPr>
                <w:sz w:val="20"/>
                <w:szCs w:val="20"/>
                <w:lang w:eastAsia="en-AU"/>
              </w:rPr>
            </w:pPr>
            <w:r>
              <w:rPr>
                <w:sz w:val="20"/>
                <w:szCs w:val="20"/>
                <w:lang w:eastAsia="en-AU"/>
              </w:rPr>
              <w:t>Hervey Bay Hospital</w:t>
            </w:r>
          </w:p>
        </w:tc>
        <w:tc>
          <w:tcPr>
            <w:tcW w:w="1901" w:type="pct"/>
            <w:tcBorders>
              <w:top w:val="single" w:sz="4" w:space="0" w:color="5B9BD5"/>
              <w:left w:val="nil"/>
              <w:bottom w:val="single" w:sz="4" w:space="0" w:color="5B9BD5"/>
              <w:right w:val="nil"/>
            </w:tcBorders>
            <w:noWrap/>
            <w:hideMark/>
          </w:tcPr>
          <w:p w14:paraId="38260FD2" w14:textId="77777777" w:rsidR="00FA02F0" w:rsidRDefault="00FA02F0">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3,114</w:t>
            </w:r>
          </w:p>
        </w:tc>
        <w:tc>
          <w:tcPr>
            <w:tcW w:w="1661" w:type="pct"/>
            <w:tcBorders>
              <w:top w:val="single" w:sz="4" w:space="0" w:color="5B9BD5"/>
              <w:left w:val="nil"/>
              <w:bottom w:val="single" w:sz="4" w:space="0" w:color="5B9BD5"/>
              <w:right w:val="single" w:sz="4" w:space="0" w:color="5B9BD5"/>
            </w:tcBorders>
            <w:noWrap/>
            <w:hideMark/>
          </w:tcPr>
          <w:p w14:paraId="2739C0EF" w14:textId="77777777" w:rsidR="00FA02F0" w:rsidRDefault="00FA02F0">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3,301</w:t>
            </w:r>
          </w:p>
        </w:tc>
      </w:tr>
      <w:tr w:rsidR="00FA02F0" w14:paraId="0FF177B0" w14:textId="77777777" w:rsidTr="00FA02F0">
        <w:trPr>
          <w:trHeight w:val="300"/>
        </w:trPr>
        <w:tc>
          <w:tcPr>
            <w:cnfStyle w:val="001000000000" w:firstRow="0" w:lastRow="0" w:firstColumn="1" w:lastColumn="0" w:oddVBand="0" w:evenVBand="0" w:oddHBand="0" w:evenHBand="0" w:firstRowFirstColumn="0" w:firstRowLastColumn="0" w:lastRowFirstColumn="0" w:lastRowLastColumn="0"/>
            <w:tcW w:w="1438" w:type="pct"/>
            <w:tcBorders>
              <w:top w:val="nil"/>
              <w:left w:val="single" w:sz="4" w:space="0" w:color="5B9BD5"/>
              <w:bottom w:val="nil"/>
            </w:tcBorders>
            <w:noWrap/>
            <w:hideMark/>
          </w:tcPr>
          <w:p w14:paraId="61F186E8" w14:textId="77777777" w:rsidR="00FA02F0" w:rsidRDefault="00FA02F0">
            <w:pPr>
              <w:jc w:val="left"/>
              <w:rPr>
                <w:rFonts w:ascii="Calibri" w:eastAsia="Times New Roman" w:hAnsi="Calibri" w:cs="Calibri"/>
                <w:color w:val="000000"/>
                <w:sz w:val="20"/>
                <w:szCs w:val="20"/>
                <w:lang w:eastAsia="en-AU"/>
              </w:rPr>
            </w:pPr>
            <w:r>
              <w:rPr>
                <w:sz w:val="20"/>
                <w:szCs w:val="20"/>
              </w:rPr>
              <w:t>Federal electorate of Hinkler</w:t>
            </w:r>
          </w:p>
        </w:tc>
        <w:tc>
          <w:tcPr>
            <w:tcW w:w="1901" w:type="pct"/>
            <w:tcBorders>
              <w:top w:val="nil"/>
              <w:left w:val="nil"/>
              <w:bottom w:val="nil"/>
              <w:right w:val="nil"/>
            </w:tcBorders>
            <w:noWrap/>
            <w:hideMark/>
          </w:tcPr>
          <w:p w14:paraId="09D151F8" w14:textId="77777777" w:rsidR="00FA02F0" w:rsidRDefault="00FA02F0">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Pr>
                <w:b/>
                <w:sz w:val="20"/>
                <w:szCs w:val="20"/>
                <w:lang w:eastAsia="en-AU"/>
              </w:rPr>
              <w:t>7,539</w:t>
            </w:r>
          </w:p>
        </w:tc>
        <w:tc>
          <w:tcPr>
            <w:tcW w:w="1661" w:type="pct"/>
            <w:tcBorders>
              <w:top w:val="nil"/>
              <w:left w:val="nil"/>
              <w:bottom w:val="nil"/>
              <w:right w:val="single" w:sz="4" w:space="0" w:color="5B9BD5"/>
            </w:tcBorders>
            <w:noWrap/>
            <w:hideMark/>
          </w:tcPr>
          <w:p w14:paraId="3E4248D9" w14:textId="77777777" w:rsidR="00FA02F0" w:rsidRDefault="00FA02F0">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Pr>
                <w:b/>
                <w:sz w:val="20"/>
                <w:szCs w:val="20"/>
                <w:lang w:eastAsia="en-AU"/>
              </w:rPr>
              <w:t>7,682</w:t>
            </w:r>
          </w:p>
        </w:tc>
      </w:tr>
      <w:tr w:rsidR="00FA02F0" w14:paraId="6F8A3351" w14:textId="77777777" w:rsidTr="00FA02F0">
        <w:trPr>
          <w:trHeight w:val="300"/>
        </w:trPr>
        <w:tc>
          <w:tcPr>
            <w:cnfStyle w:val="001000000000" w:firstRow="0" w:lastRow="0" w:firstColumn="1" w:lastColumn="0" w:oddVBand="0" w:evenVBand="0" w:oddHBand="0" w:evenHBand="0" w:firstRowFirstColumn="0" w:firstRowLastColumn="0" w:lastRowFirstColumn="0" w:lastRowLastColumn="0"/>
            <w:tcW w:w="1438" w:type="pct"/>
            <w:tcBorders>
              <w:top w:val="single" w:sz="4" w:space="0" w:color="5B9BD5"/>
              <w:left w:val="single" w:sz="4" w:space="0" w:color="5B9BD5"/>
              <w:bottom w:val="single" w:sz="4" w:space="0" w:color="5B9BD5"/>
            </w:tcBorders>
            <w:noWrap/>
            <w:hideMark/>
          </w:tcPr>
          <w:p w14:paraId="3D896006" w14:textId="77777777" w:rsidR="00FA02F0" w:rsidRDefault="00FA02F0">
            <w:pPr>
              <w:rPr>
                <w:sz w:val="20"/>
                <w:szCs w:val="20"/>
                <w:lang w:eastAsia="en-AU"/>
              </w:rPr>
            </w:pPr>
            <w:r>
              <w:rPr>
                <w:sz w:val="20"/>
                <w:szCs w:val="20"/>
                <w:lang w:eastAsia="en-AU"/>
              </w:rPr>
              <w:t>Queensland</w:t>
            </w:r>
          </w:p>
        </w:tc>
        <w:tc>
          <w:tcPr>
            <w:tcW w:w="1901" w:type="pct"/>
            <w:tcBorders>
              <w:top w:val="single" w:sz="4" w:space="0" w:color="5B9BD5"/>
              <w:left w:val="nil"/>
              <w:bottom w:val="single" w:sz="4" w:space="0" w:color="5B9BD5"/>
              <w:right w:val="nil"/>
            </w:tcBorders>
            <w:noWrap/>
            <w:hideMark/>
          </w:tcPr>
          <w:p w14:paraId="5A358BC9" w14:textId="77777777" w:rsidR="00FA02F0" w:rsidRDefault="00FA02F0">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Pr>
                <w:b/>
                <w:sz w:val="20"/>
                <w:szCs w:val="20"/>
                <w:lang w:eastAsia="en-AU"/>
              </w:rPr>
              <w:t>163,540</w:t>
            </w:r>
          </w:p>
        </w:tc>
        <w:tc>
          <w:tcPr>
            <w:tcW w:w="1661" w:type="pct"/>
            <w:tcBorders>
              <w:top w:val="single" w:sz="4" w:space="0" w:color="5B9BD5"/>
              <w:left w:val="nil"/>
              <w:bottom w:val="single" w:sz="4" w:space="0" w:color="5B9BD5"/>
              <w:right w:val="single" w:sz="4" w:space="0" w:color="5B9BD5"/>
            </w:tcBorders>
            <w:noWrap/>
            <w:hideMark/>
          </w:tcPr>
          <w:p w14:paraId="53409468" w14:textId="77777777" w:rsidR="00FA02F0" w:rsidRDefault="00FA02F0">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Pr>
                <w:b/>
                <w:sz w:val="20"/>
                <w:szCs w:val="20"/>
                <w:lang w:eastAsia="en-AU"/>
              </w:rPr>
              <w:t>170,545</w:t>
            </w:r>
          </w:p>
        </w:tc>
      </w:tr>
    </w:tbl>
    <w:p w14:paraId="6630287B" w14:textId="77777777" w:rsidR="00451FD2" w:rsidRPr="00451FD2" w:rsidRDefault="00451FD2" w:rsidP="00451FD2">
      <w:pPr>
        <w:spacing w:after="0"/>
        <w:rPr>
          <w:i/>
          <w:sz w:val="18"/>
          <w:szCs w:val="18"/>
        </w:rPr>
      </w:pPr>
      <w:r w:rsidRPr="00451FD2">
        <w:rPr>
          <w:i/>
          <w:sz w:val="18"/>
          <w:szCs w:val="18"/>
        </w:rPr>
        <w:t xml:space="preserve">Source: Queensland Government Open Data Portal: Emergency Department dataset. </w:t>
      </w:r>
    </w:p>
    <w:p w14:paraId="608DE906" w14:textId="77777777" w:rsidR="002B5A69" w:rsidRPr="00B51060" w:rsidRDefault="00451FD2" w:rsidP="002B5A69">
      <w:pPr>
        <w:spacing w:after="0"/>
        <w:rPr>
          <w:i/>
          <w:sz w:val="18"/>
          <w:szCs w:val="18"/>
        </w:rPr>
      </w:pPr>
      <w:r w:rsidRPr="00451FD2">
        <w:rPr>
          <w:i/>
          <w:sz w:val="18"/>
          <w:szCs w:val="18"/>
        </w:rPr>
        <w:t xml:space="preserve">Notes: </w:t>
      </w:r>
      <w:r w:rsidR="00E8435D">
        <w:rPr>
          <w:i/>
          <w:sz w:val="18"/>
          <w:szCs w:val="18"/>
        </w:rPr>
        <w:t>Q3 and Q4 refer to quarter 3 and quarter 4, respectively.</w:t>
      </w:r>
      <w:r w:rsidR="002B5A69">
        <w:rPr>
          <w:i/>
          <w:sz w:val="18"/>
          <w:szCs w:val="18"/>
        </w:rPr>
        <w:t xml:space="preserve"> </w:t>
      </w:r>
    </w:p>
    <w:p w14:paraId="660B7654" w14:textId="6EBEAC90" w:rsidR="00CD154F" w:rsidRPr="00EA680D" w:rsidRDefault="000851DE" w:rsidP="00A4064D">
      <w:pPr>
        <w:pStyle w:val="Caption"/>
        <w:spacing w:before="240"/>
        <w:ind w:right="-329"/>
      </w:pPr>
      <w:bookmarkStart w:id="339" w:name="_Ref36818297"/>
      <w:bookmarkStart w:id="340" w:name="_Toc37263600"/>
      <w:r>
        <w:t>Table</w:t>
      </w:r>
      <w:r w:rsidR="0057784F">
        <w:t xml:space="preserv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2</w:t>
      </w:r>
      <w:r w:rsidR="006C0554">
        <w:rPr>
          <w:noProof/>
        </w:rPr>
        <w:fldChar w:fldCharType="end"/>
      </w:r>
      <w:bookmarkEnd w:id="338"/>
      <w:bookmarkEnd w:id="339"/>
      <w:r w:rsidR="0057784F">
        <w:t xml:space="preserve">: </w:t>
      </w:r>
      <w:r w:rsidR="00CD154F">
        <w:t xml:space="preserve">Distribution of </w:t>
      </w:r>
      <w:r w:rsidR="00961F6D">
        <w:t xml:space="preserve">Emergency Department </w:t>
      </w:r>
      <w:r w:rsidR="00CD154F" w:rsidRPr="00B93915">
        <w:t>attendances</w:t>
      </w:r>
      <w:r w:rsidR="00CD154F">
        <w:t xml:space="preserve"> across triage categories</w:t>
      </w:r>
      <w:r w:rsidR="006260CA">
        <w:t xml:space="preserve"> (</w:t>
      </w:r>
      <w:r w:rsidR="00F86D39">
        <w:t>per cent</w:t>
      </w:r>
      <w:r w:rsidR="006260CA">
        <w:t>)</w:t>
      </w:r>
      <w:bookmarkEnd w:id="340"/>
    </w:p>
    <w:tbl>
      <w:tblPr>
        <w:tblStyle w:val="ListTable3-Accent12"/>
        <w:tblW w:w="5000" w:type="pct"/>
        <w:tblInd w:w="0" w:type="dxa"/>
        <w:tblLayout w:type="fixed"/>
        <w:tblLook w:val="04A0" w:firstRow="1" w:lastRow="0" w:firstColumn="1" w:lastColumn="0" w:noHBand="0" w:noVBand="1"/>
      </w:tblPr>
      <w:tblGrid>
        <w:gridCol w:w="1838"/>
        <w:gridCol w:w="1436"/>
        <w:gridCol w:w="1436"/>
        <w:gridCol w:w="1436"/>
        <w:gridCol w:w="1435"/>
        <w:gridCol w:w="1435"/>
      </w:tblGrid>
      <w:tr w:rsidR="006260CA" w:rsidRPr="00D14EF1" w14:paraId="0530E592"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pct"/>
            <w:shd w:val="clear" w:color="auto" w:fill="2F5496" w:themeFill="accent5" w:themeFillShade="BF"/>
            <w:noWrap/>
          </w:tcPr>
          <w:p w14:paraId="60C77085" w14:textId="77777777" w:rsidR="006260CA" w:rsidRPr="00D14EF1" w:rsidRDefault="006260CA" w:rsidP="000613C9">
            <w:pPr>
              <w:jc w:val="center"/>
              <w:rPr>
                <w:sz w:val="20"/>
                <w:szCs w:val="20"/>
                <w:lang w:eastAsia="en-AU"/>
              </w:rPr>
            </w:pPr>
          </w:p>
        </w:tc>
        <w:tc>
          <w:tcPr>
            <w:tcW w:w="0" w:type="pct"/>
            <w:shd w:val="clear" w:color="auto" w:fill="2F5496" w:themeFill="accent5" w:themeFillShade="BF"/>
            <w:noWrap/>
          </w:tcPr>
          <w:p w14:paraId="5E348FC2" w14:textId="77777777" w:rsidR="006260CA" w:rsidRPr="00D14EF1" w:rsidRDefault="006260CA"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Bundaberg Hospital</w:t>
            </w:r>
          </w:p>
        </w:tc>
        <w:tc>
          <w:tcPr>
            <w:tcW w:w="0" w:type="pct"/>
            <w:shd w:val="clear" w:color="auto" w:fill="2F5496" w:themeFill="accent5" w:themeFillShade="BF"/>
            <w:noWrap/>
          </w:tcPr>
          <w:p w14:paraId="217BDF78" w14:textId="77777777" w:rsidR="006260CA" w:rsidRPr="00D14EF1" w:rsidRDefault="006260CA"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Childers Hospital</w:t>
            </w:r>
          </w:p>
        </w:tc>
        <w:tc>
          <w:tcPr>
            <w:tcW w:w="0" w:type="pct"/>
            <w:shd w:val="clear" w:color="auto" w:fill="2F5496" w:themeFill="accent5" w:themeFillShade="BF"/>
            <w:noWrap/>
          </w:tcPr>
          <w:p w14:paraId="2838B7D7" w14:textId="77777777" w:rsidR="006260CA" w:rsidRPr="00D14EF1" w:rsidRDefault="006260CA"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Hervey Bay Hospital</w:t>
            </w:r>
          </w:p>
        </w:tc>
        <w:tc>
          <w:tcPr>
            <w:tcW w:w="0" w:type="pct"/>
            <w:shd w:val="clear" w:color="auto" w:fill="2F5496" w:themeFill="accent5" w:themeFillShade="BF"/>
          </w:tcPr>
          <w:p w14:paraId="22F18441" w14:textId="77777777" w:rsidR="006260CA" w:rsidRPr="00D14EF1" w:rsidRDefault="006260CA"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Hinkler</w:t>
            </w:r>
          </w:p>
        </w:tc>
        <w:tc>
          <w:tcPr>
            <w:tcW w:w="0" w:type="pct"/>
            <w:shd w:val="clear" w:color="auto" w:fill="2F5496" w:themeFill="accent5" w:themeFillShade="BF"/>
          </w:tcPr>
          <w:p w14:paraId="266B8097" w14:textId="77777777" w:rsidR="006260CA" w:rsidRPr="00D14EF1" w:rsidRDefault="006260CA"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Queensland</w:t>
            </w:r>
          </w:p>
        </w:tc>
      </w:tr>
      <w:tr w:rsidR="006260CA" w:rsidRPr="00461021" w14:paraId="100D2FC5" w14:textId="77777777" w:rsidTr="00061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noWrap/>
            <w:hideMark/>
          </w:tcPr>
          <w:p w14:paraId="3FE3B4CE" w14:textId="77777777" w:rsidR="006260CA" w:rsidRPr="00461021" w:rsidRDefault="006260CA" w:rsidP="006260CA">
            <w:pPr>
              <w:rPr>
                <w:sz w:val="20"/>
                <w:szCs w:val="20"/>
                <w:lang w:eastAsia="en-AU"/>
              </w:rPr>
            </w:pPr>
            <w:r w:rsidRPr="00461021">
              <w:rPr>
                <w:sz w:val="20"/>
                <w:szCs w:val="20"/>
                <w:lang w:eastAsia="en-AU"/>
              </w:rPr>
              <w:t>1 (most severe)</w:t>
            </w:r>
          </w:p>
        </w:tc>
        <w:tc>
          <w:tcPr>
            <w:tcW w:w="796" w:type="pct"/>
            <w:noWrap/>
          </w:tcPr>
          <w:p w14:paraId="1D9C2778"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0.3</w:t>
            </w:r>
          </w:p>
        </w:tc>
        <w:tc>
          <w:tcPr>
            <w:tcW w:w="796" w:type="pct"/>
            <w:noWrap/>
          </w:tcPr>
          <w:p w14:paraId="0AA2D7E6"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0.1</w:t>
            </w:r>
          </w:p>
        </w:tc>
        <w:tc>
          <w:tcPr>
            <w:tcW w:w="796" w:type="pct"/>
            <w:noWrap/>
          </w:tcPr>
          <w:p w14:paraId="244159F7"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0.6</w:t>
            </w:r>
          </w:p>
        </w:tc>
        <w:tc>
          <w:tcPr>
            <w:tcW w:w="796" w:type="pct"/>
          </w:tcPr>
          <w:p w14:paraId="7A25102D"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0.4</w:t>
            </w:r>
          </w:p>
        </w:tc>
        <w:tc>
          <w:tcPr>
            <w:tcW w:w="796" w:type="pct"/>
          </w:tcPr>
          <w:p w14:paraId="7AEA7811"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0.9</w:t>
            </w:r>
          </w:p>
        </w:tc>
      </w:tr>
      <w:tr w:rsidR="006260CA" w:rsidRPr="00461021" w14:paraId="7F2184D3" w14:textId="77777777" w:rsidTr="000613C9">
        <w:trPr>
          <w:trHeight w:val="300"/>
        </w:trPr>
        <w:tc>
          <w:tcPr>
            <w:cnfStyle w:val="001000000000" w:firstRow="0" w:lastRow="0" w:firstColumn="1" w:lastColumn="0" w:oddVBand="0" w:evenVBand="0" w:oddHBand="0" w:evenHBand="0" w:firstRowFirstColumn="0" w:firstRowLastColumn="0" w:lastRowFirstColumn="0" w:lastRowLastColumn="0"/>
            <w:tcW w:w="1019" w:type="pct"/>
            <w:noWrap/>
            <w:hideMark/>
          </w:tcPr>
          <w:p w14:paraId="64EE5B53" w14:textId="77777777" w:rsidR="006260CA" w:rsidRPr="00461021" w:rsidRDefault="006260CA" w:rsidP="006260CA">
            <w:pPr>
              <w:rPr>
                <w:sz w:val="20"/>
                <w:szCs w:val="20"/>
                <w:lang w:eastAsia="en-AU"/>
              </w:rPr>
            </w:pPr>
            <w:r w:rsidRPr="00461021">
              <w:rPr>
                <w:sz w:val="20"/>
                <w:szCs w:val="20"/>
                <w:lang w:eastAsia="en-AU"/>
              </w:rPr>
              <w:t>2</w:t>
            </w:r>
          </w:p>
        </w:tc>
        <w:tc>
          <w:tcPr>
            <w:tcW w:w="796" w:type="pct"/>
            <w:noWrap/>
          </w:tcPr>
          <w:p w14:paraId="2732794A" w14:textId="77777777" w:rsidR="006260CA" w:rsidRPr="00461021" w:rsidRDefault="006260CA" w:rsidP="006260C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461021">
              <w:rPr>
                <w:sz w:val="20"/>
                <w:szCs w:val="20"/>
                <w:lang w:eastAsia="en-AU"/>
              </w:rPr>
              <w:t>10.1</w:t>
            </w:r>
          </w:p>
        </w:tc>
        <w:tc>
          <w:tcPr>
            <w:tcW w:w="796" w:type="pct"/>
            <w:noWrap/>
          </w:tcPr>
          <w:p w14:paraId="5663C234" w14:textId="77777777" w:rsidR="006260CA" w:rsidRPr="00461021" w:rsidRDefault="006260CA" w:rsidP="006260C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461021">
              <w:rPr>
                <w:sz w:val="20"/>
                <w:szCs w:val="20"/>
                <w:lang w:eastAsia="en-AU"/>
              </w:rPr>
              <w:t>3.2</w:t>
            </w:r>
          </w:p>
        </w:tc>
        <w:tc>
          <w:tcPr>
            <w:tcW w:w="796" w:type="pct"/>
            <w:noWrap/>
          </w:tcPr>
          <w:p w14:paraId="4C1E392E" w14:textId="77777777" w:rsidR="006260CA" w:rsidRPr="00461021" w:rsidRDefault="006260CA" w:rsidP="006260C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461021">
              <w:rPr>
                <w:sz w:val="20"/>
                <w:szCs w:val="20"/>
                <w:lang w:eastAsia="en-AU"/>
              </w:rPr>
              <w:t>14.1</w:t>
            </w:r>
          </w:p>
        </w:tc>
        <w:tc>
          <w:tcPr>
            <w:tcW w:w="796" w:type="pct"/>
          </w:tcPr>
          <w:p w14:paraId="3E846FF4" w14:textId="77777777" w:rsidR="006260CA" w:rsidRPr="00461021" w:rsidRDefault="006260CA" w:rsidP="006260C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461021">
              <w:rPr>
                <w:sz w:val="20"/>
                <w:szCs w:val="20"/>
                <w:lang w:eastAsia="en-AU"/>
              </w:rPr>
              <w:t>11.6</w:t>
            </w:r>
          </w:p>
        </w:tc>
        <w:tc>
          <w:tcPr>
            <w:tcW w:w="796" w:type="pct"/>
          </w:tcPr>
          <w:p w14:paraId="79C7C019" w14:textId="77777777" w:rsidR="006260CA" w:rsidRPr="00461021" w:rsidRDefault="006260CA" w:rsidP="006260C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461021">
              <w:rPr>
                <w:sz w:val="20"/>
                <w:szCs w:val="20"/>
                <w:lang w:eastAsia="en-AU"/>
              </w:rPr>
              <w:t>14.3</w:t>
            </w:r>
          </w:p>
        </w:tc>
      </w:tr>
      <w:tr w:rsidR="006260CA" w:rsidRPr="00461021" w14:paraId="697A24C3" w14:textId="77777777" w:rsidTr="00061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noWrap/>
            <w:hideMark/>
          </w:tcPr>
          <w:p w14:paraId="43F19BB2" w14:textId="77777777" w:rsidR="006260CA" w:rsidRPr="00461021" w:rsidRDefault="006260CA" w:rsidP="006260CA">
            <w:pPr>
              <w:rPr>
                <w:sz w:val="20"/>
                <w:szCs w:val="20"/>
                <w:lang w:eastAsia="en-AU"/>
              </w:rPr>
            </w:pPr>
            <w:r w:rsidRPr="00461021">
              <w:rPr>
                <w:sz w:val="20"/>
                <w:szCs w:val="20"/>
                <w:lang w:eastAsia="en-AU"/>
              </w:rPr>
              <w:t>3</w:t>
            </w:r>
          </w:p>
        </w:tc>
        <w:tc>
          <w:tcPr>
            <w:tcW w:w="796" w:type="pct"/>
            <w:noWrap/>
          </w:tcPr>
          <w:p w14:paraId="26EEDE0C"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40.2</w:t>
            </w:r>
          </w:p>
        </w:tc>
        <w:tc>
          <w:tcPr>
            <w:tcW w:w="796" w:type="pct"/>
            <w:noWrap/>
          </w:tcPr>
          <w:p w14:paraId="34C938CB"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27.9</w:t>
            </w:r>
          </w:p>
        </w:tc>
        <w:tc>
          <w:tcPr>
            <w:tcW w:w="796" w:type="pct"/>
            <w:noWrap/>
          </w:tcPr>
          <w:p w14:paraId="269493B2"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43.0</w:t>
            </w:r>
          </w:p>
        </w:tc>
        <w:tc>
          <w:tcPr>
            <w:tcW w:w="796" w:type="pct"/>
          </w:tcPr>
          <w:p w14:paraId="2CF2E63D"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41.0</w:t>
            </w:r>
          </w:p>
        </w:tc>
        <w:tc>
          <w:tcPr>
            <w:tcW w:w="796" w:type="pct"/>
          </w:tcPr>
          <w:p w14:paraId="7D776C14"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41.2</w:t>
            </w:r>
          </w:p>
        </w:tc>
      </w:tr>
      <w:tr w:rsidR="006260CA" w:rsidRPr="00461021" w14:paraId="55C64A7E" w14:textId="77777777" w:rsidTr="000613C9">
        <w:trPr>
          <w:trHeight w:val="300"/>
        </w:trPr>
        <w:tc>
          <w:tcPr>
            <w:cnfStyle w:val="001000000000" w:firstRow="0" w:lastRow="0" w:firstColumn="1" w:lastColumn="0" w:oddVBand="0" w:evenVBand="0" w:oddHBand="0" w:evenHBand="0" w:firstRowFirstColumn="0" w:firstRowLastColumn="0" w:lastRowFirstColumn="0" w:lastRowLastColumn="0"/>
            <w:tcW w:w="1019" w:type="pct"/>
            <w:noWrap/>
            <w:hideMark/>
          </w:tcPr>
          <w:p w14:paraId="0DE14374" w14:textId="77777777" w:rsidR="006260CA" w:rsidRPr="00461021" w:rsidRDefault="006260CA" w:rsidP="006260CA">
            <w:pPr>
              <w:rPr>
                <w:sz w:val="20"/>
                <w:szCs w:val="20"/>
                <w:lang w:eastAsia="en-AU"/>
              </w:rPr>
            </w:pPr>
            <w:r w:rsidRPr="00461021">
              <w:rPr>
                <w:sz w:val="20"/>
                <w:szCs w:val="20"/>
                <w:lang w:eastAsia="en-AU"/>
              </w:rPr>
              <w:t>4</w:t>
            </w:r>
          </w:p>
        </w:tc>
        <w:tc>
          <w:tcPr>
            <w:tcW w:w="796" w:type="pct"/>
            <w:noWrap/>
          </w:tcPr>
          <w:p w14:paraId="15E58139" w14:textId="77777777" w:rsidR="006260CA" w:rsidRPr="00461021" w:rsidRDefault="006260CA" w:rsidP="006260C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461021">
              <w:rPr>
                <w:sz w:val="20"/>
                <w:szCs w:val="20"/>
                <w:lang w:eastAsia="en-AU"/>
              </w:rPr>
              <w:t>41.7</w:t>
            </w:r>
          </w:p>
        </w:tc>
        <w:tc>
          <w:tcPr>
            <w:tcW w:w="796" w:type="pct"/>
            <w:noWrap/>
          </w:tcPr>
          <w:p w14:paraId="209B3782" w14:textId="77777777" w:rsidR="006260CA" w:rsidRPr="00461021" w:rsidRDefault="006260CA" w:rsidP="006260C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461021">
              <w:rPr>
                <w:sz w:val="20"/>
                <w:szCs w:val="20"/>
                <w:lang w:eastAsia="en-AU"/>
              </w:rPr>
              <w:t>49.7</w:t>
            </w:r>
          </w:p>
        </w:tc>
        <w:tc>
          <w:tcPr>
            <w:tcW w:w="796" w:type="pct"/>
            <w:noWrap/>
          </w:tcPr>
          <w:p w14:paraId="7DAD3ADC" w14:textId="77777777" w:rsidR="006260CA" w:rsidRPr="00461021" w:rsidRDefault="006260CA" w:rsidP="006260C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461021">
              <w:rPr>
                <w:sz w:val="20"/>
                <w:szCs w:val="20"/>
                <w:lang w:eastAsia="en-AU"/>
              </w:rPr>
              <w:t>38.3</w:t>
            </w:r>
          </w:p>
        </w:tc>
        <w:tc>
          <w:tcPr>
            <w:tcW w:w="796" w:type="pct"/>
          </w:tcPr>
          <w:p w14:paraId="79B7F272" w14:textId="77777777" w:rsidR="006260CA" w:rsidRPr="00461021" w:rsidRDefault="006260CA" w:rsidP="006260C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461021">
              <w:rPr>
                <w:sz w:val="20"/>
                <w:szCs w:val="20"/>
                <w:lang w:eastAsia="en-AU"/>
              </w:rPr>
              <w:t>40.5</w:t>
            </w:r>
          </w:p>
        </w:tc>
        <w:tc>
          <w:tcPr>
            <w:tcW w:w="796" w:type="pct"/>
          </w:tcPr>
          <w:p w14:paraId="20DCE83E" w14:textId="77777777" w:rsidR="006260CA" w:rsidRPr="00461021" w:rsidRDefault="006260CA" w:rsidP="006260CA">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461021">
              <w:rPr>
                <w:sz w:val="20"/>
                <w:szCs w:val="20"/>
                <w:lang w:eastAsia="en-AU"/>
              </w:rPr>
              <w:t>33.8</w:t>
            </w:r>
          </w:p>
        </w:tc>
      </w:tr>
      <w:tr w:rsidR="006260CA" w:rsidRPr="00461021" w14:paraId="2A7A72DE" w14:textId="77777777" w:rsidTr="00061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noWrap/>
          </w:tcPr>
          <w:p w14:paraId="3324B7EA" w14:textId="77777777" w:rsidR="006260CA" w:rsidRPr="00461021" w:rsidRDefault="006260CA" w:rsidP="006260CA">
            <w:pPr>
              <w:rPr>
                <w:sz w:val="20"/>
                <w:szCs w:val="20"/>
                <w:lang w:eastAsia="en-AU"/>
              </w:rPr>
            </w:pPr>
            <w:r w:rsidRPr="00461021">
              <w:rPr>
                <w:sz w:val="20"/>
                <w:szCs w:val="20"/>
                <w:lang w:eastAsia="en-AU"/>
              </w:rPr>
              <w:t>5 (least severe)</w:t>
            </w:r>
          </w:p>
        </w:tc>
        <w:tc>
          <w:tcPr>
            <w:tcW w:w="796" w:type="pct"/>
            <w:noWrap/>
          </w:tcPr>
          <w:p w14:paraId="22B05451"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7.6</w:t>
            </w:r>
          </w:p>
        </w:tc>
        <w:tc>
          <w:tcPr>
            <w:tcW w:w="796" w:type="pct"/>
            <w:noWrap/>
          </w:tcPr>
          <w:p w14:paraId="619F65C4"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19.1</w:t>
            </w:r>
          </w:p>
        </w:tc>
        <w:tc>
          <w:tcPr>
            <w:tcW w:w="796" w:type="pct"/>
            <w:noWrap/>
          </w:tcPr>
          <w:p w14:paraId="3B0FEED7"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4.0</w:t>
            </w:r>
          </w:p>
        </w:tc>
        <w:tc>
          <w:tcPr>
            <w:tcW w:w="796" w:type="pct"/>
          </w:tcPr>
          <w:p w14:paraId="6D4A7163"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6.4</w:t>
            </w:r>
          </w:p>
        </w:tc>
        <w:tc>
          <w:tcPr>
            <w:tcW w:w="796" w:type="pct"/>
          </w:tcPr>
          <w:p w14:paraId="5BECE783" w14:textId="77777777" w:rsidR="006260CA" w:rsidRPr="00461021" w:rsidRDefault="006260CA" w:rsidP="006260CA">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461021">
              <w:rPr>
                <w:sz w:val="20"/>
                <w:szCs w:val="20"/>
                <w:lang w:eastAsia="en-AU"/>
              </w:rPr>
              <w:t>9.8</w:t>
            </w:r>
          </w:p>
        </w:tc>
      </w:tr>
      <w:tr w:rsidR="006260CA" w:rsidRPr="001179F7" w14:paraId="20331FF7" w14:textId="77777777" w:rsidTr="000613C9">
        <w:trPr>
          <w:trHeight w:val="300"/>
        </w:trPr>
        <w:tc>
          <w:tcPr>
            <w:cnfStyle w:val="001000000000" w:firstRow="0" w:lastRow="0" w:firstColumn="1" w:lastColumn="0" w:oddVBand="0" w:evenVBand="0" w:oddHBand="0" w:evenHBand="0" w:firstRowFirstColumn="0" w:firstRowLastColumn="0" w:lastRowFirstColumn="0" w:lastRowLastColumn="0"/>
            <w:tcW w:w="1019" w:type="pct"/>
            <w:noWrap/>
            <w:hideMark/>
          </w:tcPr>
          <w:p w14:paraId="3695862A" w14:textId="77777777" w:rsidR="006260CA" w:rsidRPr="001179F7" w:rsidRDefault="006260CA" w:rsidP="006260CA">
            <w:pPr>
              <w:rPr>
                <w:sz w:val="20"/>
                <w:szCs w:val="20"/>
                <w:lang w:eastAsia="en-AU"/>
              </w:rPr>
            </w:pPr>
            <w:r w:rsidRPr="001179F7">
              <w:rPr>
                <w:sz w:val="20"/>
                <w:szCs w:val="20"/>
                <w:lang w:eastAsia="en-AU"/>
              </w:rPr>
              <w:t>Total</w:t>
            </w:r>
          </w:p>
        </w:tc>
        <w:tc>
          <w:tcPr>
            <w:tcW w:w="796" w:type="pct"/>
            <w:noWrap/>
          </w:tcPr>
          <w:p w14:paraId="2148D918" w14:textId="77777777" w:rsidR="006260CA" w:rsidRPr="001179F7"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100.0</w:t>
            </w:r>
          </w:p>
        </w:tc>
        <w:tc>
          <w:tcPr>
            <w:tcW w:w="796" w:type="pct"/>
            <w:noWrap/>
          </w:tcPr>
          <w:p w14:paraId="02BD2D69" w14:textId="77777777" w:rsidR="006260CA" w:rsidRPr="001179F7"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100.0</w:t>
            </w:r>
          </w:p>
        </w:tc>
        <w:tc>
          <w:tcPr>
            <w:tcW w:w="796" w:type="pct"/>
            <w:noWrap/>
          </w:tcPr>
          <w:p w14:paraId="2E83D7C2" w14:textId="77777777" w:rsidR="006260CA" w:rsidRPr="001179F7"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100.0</w:t>
            </w:r>
          </w:p>
        </w:tc>
        <w:tc>
          <w:tcPr>
            <w:tcW w:w="796" w:type="pct"/>
          </w:tcPr>
          <w:p w14:paraId="12F8F351" w14:textId="77777777" w:rsidR="006260CA" w:rsidRPr="001179F7"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100.0</w:t>
            </w:r>
          </w:p>
        </w:tc>
        <w:tc>
          <w:tcPr>
            <w:tcW w:w="796" w:type="pct"/>
          </w:tcPr>
          <w:p w14:paraId="739B19A1" w14:textId="77777777" w:rsidR="006260CA" w:rsidRPr="001179F7"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100.0</w:t>
            </w:r>
          </w:p>
        </w:tc>
      </w:tr>
      <w:tr w:rsidR="006260CA" w:rsidRPr="001179F7" w14:paraId="70881061" w14:textId="77777777" w:rsidTr="000613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noWrap/>
          </w:tcPr>
          <w:p w14:paraId="645DFE8D" w14:textId="77777777" w:rsidR="006260CA" w:rsidRPr="001179F7" w:rsidRDefault="006260CA" w:rsidP="006260CA">
            <w:pPr>
              <w:rPr>
                <w:sz w:val="20"/>
                <w:szCs w:val="20"/>
                <w:lang w:eastAsia="en-AU"/>
              </w:rPr>
            </w:pPr>
            <w:r w:rsidRPr="001179F7">
              <w:rPr>
                <w:sz w:val="20"/>
                <w:szCs w:val="20"/>
                <w:lang w:eastAsia="en-AU"/>
              </w:rPr>
              <w:t>Monthly cases</w:t>
            </w:r>
          </w:p>
        </w:tc>
        <w:tc>
          <w:tcPr>
            <w:tcW w:w="796" w:type="pct"/>
            <w:noWrap/>
          </w:tcPr>
          <w:p w14:paraId="04FB4D6E" w14:textId="77777777" w:rsidR="006260CA" w:rsidRPr="001179F7" w:rsidRDefault="006260CA" w:rsidP="006260CA">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1179F7">
              <w:rPr>
                <w:b/>
                <w:sz w:val="20"/>
                <w:szCs w:val="20"/>
              </w:rPr>
              <w:t>4208</w:t>
            </w:r>
          </w:p>
        </w:tc>
        <w:tc>
          <w:tcPr>
            <w:tcW w:w="796" w:type="pct"/>
            <w:noWrap/>
          </w:tcPr>
          <w:p w14:paraId="37D61F25" w14:textId="77777777" w:rsidR="006260CA" w:rsidRPr="001179F7" w:rsidRDefault="006260CA" w:rsidP="006260CA">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1179F7">
              <w:rPr>
                <w:b/>
                <w:sz w:val="20"/>
                <w:szCs w:val="20"/>
              </w:rPr>
              <w:t>195</w:t>
            </w:r>
          </w:p>
        </w:tc>
        <w:tc>
          <w:tcPr>
            <w:tcW w:w="796" w:type="pct"/>
            <w:noWrap/>
          </w:tcPr>
          <w:p w14:paraId="2C75B266" w14:textId="77777777" w:rsidR="006260CA" w:rsidRPr="001179F7" w:rsidRDefault="006260CA" w:rsidP="006260CA">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1179F7">
              <w:rPr>
                <w:b/>
                <w:sz w:val="20"/>
                <w:szCs w:val="20"/>
              </w:rPr>
              <w:t>3,207</w:t>
            </w:r>
          </w:p>
        </w:tc>
        <w:tc>
          <w:tcPr>
            <w:tcW w:w="796" w:type="pct"/>
          </w:tcPr>
          <w:p w14:paraId="3A49B25F" w14:textId="77777777" w:rsidR="006260CA" w:rsidRPr="001179F7" w:rsidRDefault="006260CA" w:rsidP="006260CA">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1179F7">
              <w:rPr>
                <w:b/>
                <w:sz w:val="20"/>
                <w:szCs w:val="20"/>
              </w:rPr>
              <w:t>7611</w:t>
            </w:r>
          </w:p>
        </w:tc>
        <w:tc>
          <w:tcPr>
            <w:tcW w:w="796" w:type="pct"/>
          </w:tcPr>
          <w:p w14:paraId="384CACA5" w14:textId="77777777" w:rsidR="006260CA" w:rsidRPr="001179F7" w:rsidRDefault="006260CA" w:rsidP="006260CA">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1179F7">
              <w:rPr>
                <w:b/>
                <w:sz w:val="20"/>
                <w:szCs w:val="20"/>
              </w:rPr>
              <w:t>167,043</w:t>
            </w:r>
          </w:p>
        </w:tc>
      </w:tr>
    </w:tbl>
    <w:p w14:paraId="2EE93C4B" w14:textId="77777777" w:rsidR="00A81011" w:rsidRDefault="00CD154F" w:rsidP="002B5A69">
      <w:pPr>
        <w:spacing w:after="0"/>
        <w:rPr>
          <w:i/>
          <w:sz w:val="18"/>
          <w:szCs w:val="18"/>
        </w:rPr>
      </w:pPr>
      <w:r w:rsidRPr="00451FD2">
        <w:rPr>
          <w:i/>
          <w:sz w:val="18"/>
          <w:szCs w:val="18"/>
        </w:rPr>
        <w:t>Source: Queensland Government Open Data Portal: Emergency Department dataset.</w:t>
      </w:r>
    </w:p>
    <w:p w14:paraId="44BAE82E" w14:textId="77777777" w:rsidR="002B5A69" w:rsidRPr="00B51060" w:rsidRDefault="00A81011" w:rsidP="002B5A69">
      <w:pPr>
        <w:spacing w:after="0"/>
        <w:rPr>
          <w:i/>
          <w:sz w:val="18"/>
          <w:szCs w:val="18"/>
        </w:rPr>
      </w:pPr>
      <w:r>
        <w:rPr>
          <w:i/>
          <w:sz w:val="18"/>
          <w:szCs w:val="18"/>
        </w:rPr>
        <w:t>Note</w:t>
      </w:r>
      <w:r w:rsidR="002B5A69">
        <w:rPr>
          <w:i/>
          <w:sz w:val="18"/>
          <w:szCs w:val="18"/>
        </w:rPr>
        <w:t>s</w:t>
      </w:r>
      <w:r>
        <w:rPr>
          <w:i/>
          <w:sz w:val="18"/>
          <w:szCs w:val="18"/>
        </w:rPr>
        <w:t xml:space="preserve">: Hinkler refers to the </w:t>
      </w:r>
      <w:r w:rsidR="00A21A30">
        <w:rPr>
          <w:i/>
          <w:sz w:val="18"/>
          <w:szCs w:val="18"/>
        </w:rPr>
        <w:t>F</w:t>
      </w:r>
      <w:r w:rsidRPr="00A81011">
        <w:rPr>
          <w:i/>
          <w:sz w:val="18"/>
          <w:szCs w:val="18"/>
        </w:rPr>
        <w:t>ederal electorate</w:t>
      </w:r>
      <w:r w:rsidR="00A21A30">
        <w:rPr>
          <w:i/>
          <w:sz w:val="18"/>
          <w:szCs w:val="18"/>
        </w:rPr>
        <w:t xml:space="preserve"> of Hinkler</w:t>
      </w:r>
      <w:r>
        <w:rPr>
          <w:i/>
          <w:sz w:val="18"/>
          <w:szCs w:val="18"/>
        </w:rPr>
        <w:t>.</w:t>
      </w:r>
      <w:r w:rsidR="002B5A69">
        <w:rPr>
          <w:i/>
          <w:sz w:val="18"/>
          <w:szCs w:val="18"/>
        </w:rPr>
        <w:t xml:space="preserve"> Due to rounding, the total percentages may not sum up exactly to 100.</w:t>
      </w:r>
    </w:p>
    <w:p w14:paraId="6C5637B6" w14:textId="77777777" w:rsidR="008D6E98" w:rsidRDefault="008D6E98">
      <w:pPr>
        <w:jc w:val="left"/>
      </w:pPr>
      <w:r>
        <w:br w:type="page"/>
      </w:r>
    </w:p>
    <w:p w14:paraId="42A428D1" w14:textId="3082A852" w:rsidR="00D63E48" w:rsidRDefault="000851DE" w:rsidP="00031074">
      <w:pPr>
        <w:pStyle w:val="Caption"/>
      </w:pPr>
      <w:bookmarkStart w:id="341" w:name="_Ref34834336"/>
      <w:bookmarkStart w:id="342" w:name="_Toc37263601"/>
      <w:r>
        <w:lastRenderedPageBreak/>
        <w:t>Table</w:t>
      </w:r>
      <w:r w:rsidR="00031074">
        <w:t xml:space="preserv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3</w:t>
      </w:r>
      <w:r w:rsidR="006C0554">
        <w:rPr>
          <w:noProof/>
        </w:rPr>
        <w:fldChar w:fldCharType="end"/>
      </w:r>
      <w:bookmarkEnd w:id="341"/>
      <w:r w:rsidR="00031074">
        <w:t xml:space="preserve">: </w:t>
      </w:r>
      <w:r w:rsidR="00D63E48">
        <w:t>Reported offences against the person in 2018</w:t>
      </w:r>
      <w:bookmarkEnd w:id="342"/>
    </w:p>
    <w:tbl>
      <w:tblPr>
        <w:tblStyle w:val="ListTable3-Accent12"/>
        <w:tblW w:w="5000" w:type="pct"/>
        <w:tblInd w:w="0" w:type="dxa"/>
        <w:tblLook w:val="04A0" w:firstRow="1" w:lastRow="0" w:firstColumn="1" w:lastColumn="0" w:noHBand="0" w:noVBand="1"/>
      </w:tblPr>
      <w:tblGrid>
        <w:gridCol w:w="4904"/>
        <w:gridCol w:w="1266"/>
        <w:gridCol w:w="1423"/>
        <w:gridCol w:w="1423"/>
      </w:tblGrid>
      <w:tr w:rsidR="006260CA" w:rsidRPr="00D14EF1" w14:paraId="6C812F83"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pct"/>
            <w:shd w:val="clear" w:color="auto" w:fill="2F5496" w:themeFill="accent5" w:themeFillShade="BF"/>
            <w:noWrap/>
          </w:tcPr>
          <w:p w14:paraId="2EBEC2C0" w14:textId="77777777" w:rsidR="006260CA" w:rsidRPr="00D14EF1" w:rsidRDefault="006260CA" w:rsidP="000613C9">
            <w:pPr>
              <w:jc w:val="center"/>
              <w:rPr>
                <w:sz w:val="20"/>
                <w:szCs w:val="20"/>
                <w:lang w:eastAsia="en-AU"/>
              </w:rPr>
            </w:pPr>
          </w:p>
        </w:tc>
        <w:tc>
          <w:tcPr>
            <w:tcW w:w="0" w:type="pct"/>
            <w:shd w:val="clear" w:color="auto" w:fill="2F5496" w:themeFill="accent5" w:themeFillShade="BF"/>
            <w:noWrap/>
          </w:tcPr>
          <w:p w14:paraId="67421E02" w14:textId="77777777" w:rsidR="006260CA" w:rsidRPr="000613C9" w:rsidRDefault="006260CA"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Bundaberg</w:t>
            </w:r>
          </w:p>
        </w:tc>
        <w:tc>
          <w:tcPr>
            <w:tcW w:w="0" w:type="pct"/>
            <w:shd w:val="clear" w:color="auto" w:fill="2F5496" w:themeFill="accent5" w:themeFillShade="BF"/>
            <w:noWrap/>
          </w:tcPr>
          <w:p w14:paraId="6E861FE5" w14:textId="77777777" w:rsidR="006260CA" w:rsidRPr="000613C9" w:rsidRDefault="006260CA"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Hervey Bay</w:t>
            </w:r>
          </w:p>
        </w:tc>
        <w:tc>
          <w:tcPr>
            <w:tcW w:w="0" w:type="pct"/>
            <w:shd w:val="clear" w:color="auto" w:fill="2F5496" w:themeFill="accent5" w:themeFillShade="BF"/>
          </w:tcPr>
          <w:p w14:paraId="2A8286FC" w14:textId="77777777" w:rsidR="006260CA" w:rsidRPr="000613C9" w:rsidRDefault="006260CA"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Queensland</w:t>
            </w:r>
          </w:p>
        </w:tc>
      </w:tr>
      <w:tr w:rsidR="006260CA" w:rsidRPr="0073003C" w14:paraId="76BA9AAE"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330896BF" w14:textId="77777777" w:rsidR="006260CA" w:rsidRPr="000613C9" w:rsidRDefault="006260CA" w:rsidP="006260CA">
            <w:pPr>
              <w:rPr>
                <w:sz w:val="20"/>
                <w:szCs w:val="20"/>
                <w:lang w:eastAsia="en-AU"/>
              </w:rPr>
            </w:pPr>
            <w:r w:rsidRPr="0073003C">
              <w:rPr>
                <w:sz w:val="20"/>
                <w:szCs w:val="20"/>
                <w:lang w:eastAsia="en-AU"/>
              </w:rPr>
              <w:t>Homicide (Murder)</w:t>
            </w:r>
          </w:p>
        </w:tc>
        <w:tc>
          <w:tcPr>
            <w:tcW w:w="702" w:type="pct"/>
            <w:noWrap/>
          </w:tcPr>
          <w:p w14:paraId="6B8BF56D" w14:textId="77777777" w:rsidR="006260CA" w:rsidRPr="0073003C" w:rsidRDefault="006260CA" w:rsidP="006260CA">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73003C">
              <w:rPr>
                <w:b/>
                <w:sz w:val="20"/>
                <w:szCs w:val="20"/>
                <w:lang w:eastAsia="en-AU"/>
              </w:rPr>
              <w:t>1</w:t>
            </w:r>
          </w:p>
        </w:tc>
        <w:tc>
          <w:tcPr>
            <w:tcW w:w="789" w:type="pct"/>
            <w:noWrap/>
          </w:tcPr>
          <w:p w14:paraId="735340D8" w14:textId="77777777" w:rsidR="006260CA" w:rsidRPr="0073003C" w:rsidRDefault="006260CA" w:rsidP="006260CA">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73003C">
              <w:rPr>
                <w:b/>
                <w:sz w:val="20"/>
                <w:szCs w:val="20"/>
                <w:lang w:eastAsia="en-AU"/>
              </w:rPr>
              <w:t>1</w:t>
            </w:r>
          </w:p>
        </w:tc>
        <w:tc>
          <w:tcPr>
            <w:tcW w:w="790" w:type="pct"/>
          </w:tcPr>
          <w:p w14:paraId="5BEB8E2F" w14:textId="77777777" w:rsidR="006260CA" w:rsidRPr="0073003C" w:rsidRDefault="006260CA" w:rsidP="006260CA">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73003C">
              <w:rPr>
                <w:b/>
                <w:sz w:val="20"/>
                <w:szCs w:val="20"/>
                <w:lang w:eastAsia="en-AU"/>
              </w:rPr>
              <w:t>41</w:t>
            </w:r>
          </w:p>
        </w:tc>
      </w:tr>
      <w:tr w:rsidR="006260CA" w:rsidRPr="00D14EF1" w14:paraId="0D8D7245"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6FCCFDD8" w14:textId="77777777" w:rsidR="006260CA" w:rsidRPr="00611957" w:rsidRDefault="006260CA" w:rsidP="006260CA">
            <w:pPr>
              <w:rPr>
                <w:sz w:val="20"/>
                <w:szCs w:val="20"/>
                <w:lang w:eastAsia="en-AU"/>
              </w:rPr>
            </w:pPr>
            <w:r w:rsidRPr="00611957">
              <w:rPr>
                <w:sz w:val="20"/>
                <w:szCs w:val="20"/>
                <w:lang w:eastAsia="en-AU"/>
              </w:rPr>
              <w:t>Other Homicide</w:t>
            </w:r>
          </w:p>
        </w:tc>
        <w:tc>
          <w:tcPr>
            <w:tcW w:w="702" w:type="pct"/>
            <w:noWrap/>
          </w:tcPr>
          <w:p w14:paraId="26333265"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0613C9">
              <w:rPr>
                <w:b/>
                <w:sz w:val="20"/>
                <w:szCs w:val="20"/>
                <w:lang w:eastAsia="en-AU"/>
              </w:rPr>
              <w:t>0</w:t>
            </w:r>
          </w:p>
        </w:tc>
        <w:tc>
          <w:tcPr>
            <w:tcW w:w="789" w:type="pct"/>
            <w:noWrap/>
          </w:tcPr>
          <w:p w14:paraId="152107F6"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0613C9">
              <w:rPr>
                <w:b/>
                <w:sz w:val="20"/>
                <w:szCs w:val="20"/>
                <w:lang w:eastAsia="en-AU"/>
              </w:rPr>
              <w:t>2</w:t>
            </w:r>
          </w:p>
        </w:tc>
        <w:tc>
          <w:tcPr>
            <w:tcW w:w="790" w:type="pct"/>
          </w:tcPr>
          <w:p w14:paraId="2F3B35D8"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0613C9">
              <w:rPr>
                <w:b/>
                <w:sz w:val="20"/>
                <w:szCs w:val="20"/>
                <w:lang w:eastAsia="en-AU"/>
              </w:rPr>
              <w:t>68</w:t>
            </w:r>
          </w:p>
        </w:tc>
      </w:tr>
      <w:tr w:rsidR="006260CA" w:rsidRPr="00D14EF1" w14:paraId="3B9675AE"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06656988" w14:textId="77777777" w:rsidR="006260CA" w:rsidRPr="000613C9" w:rsidRDefault="006260CA" w:rsidP="006260CA">
            <w:pPr>
              <w:rPr>
                <w:b w:val="0"/>
                <w:bCs w:val="0"/>
                <w:i/>
                <w:sz w:val="20"/>
                <w:szCs w:val="20"/>
                <w:lang w:eastAsia="en-AU"/>
              </w:rPr>
            </w:pPr>
            <w:r w:rsidRPr="000613C9">
              <w:rPr>
                <w:i/>
                <w:sz w:val="20"/>
                <w:szCs w:val="20"/>
                <w:lang w:eastAsia="en-AU"/>
              </w:rPr>
              <w:t>Attempted Murder</w:t>
            </w:r>
          </w:p>
        </w:tc>
        <w:tc>
          <w:tcPr>
            <w:tcW w:w="702" w:type="pct"/>
            <w:noWrap/>
          </w:tcPr>
          <w:p w14:paraId="7B8E3D2D"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89" w:type="pct"/>
            <w:noWrap/>
          </w:tcPr>
          <w:p w14:paraId="1ACDDF16"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w:t>
            </w:r>
          </w:p>
        </w:tc>
        <w:tc>
          <w:tcPr>
            <w:tcW w:w="790" w:type="pct"/>
          </w:tcPr>
          <w:p w14:paraId="66F40CA8"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35</w:t>
            </w:r>
          </w:p>
        </w:tc>
      </w:tr>
      <w:tr w:rsidR="006260CA" w:rsidRPr="00D14EF1" w14:paraId="4706DAF8"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162D563A" w14:textId="77777777" w:rsidR="006260CA" w:rsidRPr="000613C9" w:rsidRDefault="006260CA" w:rsidP="006260CA">
            <w:pPr>
              <w:rPr>
                <w:b w:val="0"/>
                <w:bCs w:val="0"/>
                <w:i/>
                <w:sz w:val="20"/>
                <w:szCs w:val="20"/>
                <w:lang w:eastAsia="en-AU"/>
              </w:rPr>
            </w:pPr>
            <w:r w:rsidRPr="000613C9">
              <w:rPr>
                <w:i/>
                <w:sz w:val="20"/>
                <w:szCs w:val="20"/>
                <w:lang w:eastAsia="en-AU"/>
              </w:rPr>
              <w:t>Conspiracy to Murder</w:t>
            </w:r>
          </w:p>
        </w:tc>
        <w:tc>
          <w:tcPr>
            <w:tcW w:w="702" w:type="pct"/>
            <w:noWrap/>
          </w:tcPr>
          <w:p w14:paraId="6451A385"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789" w:type="pct"/>
            <w:noWrap/>
          </w:tcPr>
          <w:p w14:paraId="2AFB04DA"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790" w:type="pct"/>
          </w:tcPr>
          <w:p w14:paraId="7AF5E95F"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r>
      <w:tr w:rsidR="006260CA" w:rsidRPr="00D14EF1" w14:paraId="208CA15D"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6D0B46DD" w14:textId="77777777" w:rsidR="006260CA" w:rsidRPr="000613C9" w:rsidRDefault="006260CA" w:rsidP="006260CA">
            <w:pPr>
              <w:rPr>
                <w:b w:val="0"/>
                <w:bCs w:val="0"/>
                <w:i/>
                <w:sz w:val="20"/>
                <w:szCs w:val="20"/>
                <w:lang w:eastAsia="en-AU"/>
              </w:rPr>
            </w:pPr>
            <w:r w:rsidRPr="000613C9">
              <w:rPr>
                <w:i/>
                <w:sz w:val="20"/>
                <w:szCs w:val="20"/>
                <w:lang w:eastAsia="en-AU"/>
              </w:rPr>
              <w:t>Manslaughter (excl. by driving)</w:t>
            </w:r>
          </w:p>
        </w:tc>
        <w:tc>
          <w:tcPr>
            <w:tcW w:w="702" w:type="pct"/>
            <w:noWrap/>
          </w:tcPr>
          <w:p w14:paraId="64AA8644"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89" w:type="pct"/>
            <w:noWrap/>
          </w:tcPr>
          <w:p w14:paraId="7CEDD3D0"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90" w:type="pct"/>
          </w:tcPr>
          <w:p w14:paraId="4AE3CF18"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8</w:t>
            </w:r>
          </w:p>
        </w:tc>
      </w:tr>
      <w:tr w:rsidR="006260CA" w:rsidRPr="00D14EF1" w14:paraId="48F99BA1"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4E1737DD" w14:textId="77777777" w:rsidR="006260CA" w:rsidRPr="000613C9" w:rsidRDefault="006260CA" w:rsidP="006260CA">
            <w:pPr>
              <w:rPr>
                <w:b w:val="0"/>
                <w:bCs w:val="0"/>
                <w:i/>
                <w:sz w:val="20"/>
                <w:szCs w:val="20"/>
                <w:lang w:eastAsia="en-AU"/>
              </w:rPr>
            </w:pPr>
            <w:r w:rsidRPr="000613C9">
              <w:rPr>
                <w:i/>
                <w:sz w:val="20"/>
                <w:szCs w:val="20"/>
                <w:lang w:eastAsia="en-AU"/>
              </w:rPr>
              <w:t>Manslaughter Unlawful Striking Causing Death</w:t>
            </w:r>
          </w:p>
        </w:tc>
        <w:tc>
          <w:tcPr>
            <w:tcW w:w="702" w:type="pct"/>
            <w:noWrap/>
          </w:tcPr>
          <w:p w14:paraId="6BC6F346"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789" w:type="pct"/>
            <w:noWrap/>
          </w:tcPr>
          <w:p w14:paraId="4A6FA40A"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790" w:type="pct"/>
          </w:tcPr>
          <w:p w14:paraId="37F4E4C8"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25</w:t>
            </w:r>
          </w:p>
        </w:tc>
      </w:tr>
      <w:tr w:rsidR="006260CA" w:rsidRPr="00D14EF1" w14:paraId="2A267726"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2AD45A90" w14:textId="77777777" w:rsidR="006260CA" w:rsidRPr="000613C9" w:rsidRDefault="006260CA" w:rsidP="006260CA">
            <w:pPr>
              <w:rPr>
                <w:b w:val="0"/>
                <w:bCs w:val="0"/>
                <w:i/>
                <w:sz w:val="20"/>
                <w:szCs w:val="20"/>
                <w:lang w:eastAsia="en-AU"/>
              </w:rPr>
            </w:pPr>
            <w:r w:rsidRPr="000613C9">
              <w:rPr>
                <w:i/>
                <w:sz w:val="20"/>
                <w:szCs w:val="20"/>
                <w:lang w:eastAsia="en-AU"/>
              </w:rPr>
              <w:t>Driving Causing Death</w:t>
            </w:r>
          </w:p>
        </w:tc>
        <w:tc>
          <w:tcPr>
            <w:tcW w:w="702" w:type="pct"/>
            <w:noWrap/>
          </w:tcPr>
          <w:p w14:paraId="2FA30F72"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89" w:type="pct"/>
            <w:noWrap/>
          </w:tcPr>
          <w:p w14:paraId="1D9446AF"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90" w:type="pct"/>
          </w:tcPr>
          <w:p w14:paraId="5C6858E0"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r>
      <w:tr w:rsidR="006260CA" w:rsidRPr="0073003C" w14:paraId="346B77DA"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20B5A441" w14:textId="77777777" w:rsidR="006260CA" w:rsidRPr="000613C9" w:rsidRDefault="006260CA" w:rsidP="006260CA">
            <w:pPr>
              <w:rPr>
                <w:sz w:val="20"/>
                <w:szCs w:val="20"/>
                <w:lang w:eastAsia="en-AU"/>
              </w:rPr>
            </w:pPr>
            <w:r w:rsidRPr="0073003C">
              <w:rPr>
                <w:sz w:val="20"/>
                <w:szCs w:val="20"/>
                <w:lang w:eastAsia="en-AU"/>
              </w:rPr>
              <w:t>Assault</w:t>
            </w:r>
          </w:p>
        </w:tc>
        <w:tc>
          <w:tcPr>
            <w:tcW w:w="702" w:type="pct"/>
            <w:noWrap/>
          </w:tcPr>
          <w:p w14:paraId="736B14F9" w14:textId="77777777" w:rsidR="006260CA" w:rsidRPr="0073003C"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73003C">
              <w:rPr>
                <w:b/>
                <w:sz w:val="20"/>
                <w:szCs w:val="20"/>
                <w:lang w:eastAsia="en-AU"/>
              </w:rPr>
              <w:t>299</w:t>
            </w:r>
          </w:p>
        </w:tc>
        <w:tc>
          <w:tcPr>
            <w:tcW w:w="789" w:type="pct"/>
            <w:noWrap/>
          </w:tcPr>
          <w:p w14:paraId="6E10799C" w14:textId="77777777" w:rsidR="006260CA" w:rsidRPr="0073003C"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73003C">
              <w:rPr>
                <w:b/>
                <w:sz w:val="20"/>
                <w:szCs w:val="20"/>
                <w:lang w:eastAsia="en-AU"/>
              </w:rPr>
              <w:t>244</w:t>
            </w:r>
          </w:p>
        </w:tc>
        <w:tc>
          <w:tcPr>
            <w:tcW w:w="790" w:type="pct"/>
          </w:tcPr>
          <w:p w14:paraId="091637E8" w14:textId="77777777" w:rsidR="006260CA" w:rsidRPr="0073003C"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73003C">
              <w:rPr>
                <w:b/>
                <w:sz w:val="20"/>
                <w:szCs w:val="20"/>
                <w:lang w:eastAsia="en-AU"/>
              </w:rPr>
              <w:t>23,615</w:t>
            </w:r>
          </w:p>
        </w:tc>
      </w:tr>
      <w:tr w:rsidR="006260CA" w:rsidRPr="00DC18EA" w14:paraId="4A21703E"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19E1C55B" w14:textId="77777777" w:rsidR="006260CA" w:rsidRPr="000613C9" w:rsidRDefault="006260CA" w:rsidP="006260CA">
            <w:pPr>
              <w:rPr>
                <w:b w:val="0"/>
                <w:bCs w:val="0"/>
                <w:i/>
                <w:sz w:val="20"/>
                <w:szCs w:val="20"/>
                <w:lang w:eastAsia="en-AU"/>
              </w:rPr>
            </w:pPr>
            <w:r w:rsidRPr="000613C9">
              <w:rPr>
                <w:i/>
                <w:sz w:val="20"/>
                <w:szCs w:val="20"/>
                <w:lang w:eastAsia="en-AU"/>
              </w:rPr>
              <w:t>Grievous Assault</w:t>
            </w:r>
          </w:p>
        </w:tc>
        <w:tc>
          <w:tcPr>
            <w:tcW w:w="702" w:type="pct"/>
            <w:noWrap/>
          </w:tcPr>
          <w:p w14:paraId="055D01C3"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19</w:t>
            </w:r>
          </w:p>
        </w:tc>
        <w:tc>
          <w:tcPr>
            <w:tcW w:w="789" w:type="pct"/>
            <w:noWrap/>
          </w:tcPr>
          <w:p w14:paraId="5C19572D"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14</w:t>
            </w:r>
          </w:p>
        </w:tc>
        <w:tc>
          <w:tcPr>
            <w:tcW w:w="790" w:type="pct"/>
          </w:tcPr>
          <w:p w14:paraId="5332422C"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933</w:t>
            </w:r>
          </w:p>
        </w:tc>
      </w:tr>
      <w:tr w:rsidR="006260CA" w:rsidRPr="00DC18EA" w14:paraId="157726D4"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7FDBE7B1" w14:textId="77777777" w:rsidR="006260CA" w:rsidRPr="000613C9" w:rsidRDefault="006260CA" w:rsidP="006260CA">
            <w:pPr>
              <w:rPr>
                <w:b w:val="0"/>
                <w:bCs w:val="0"/>
                <w:i/>
                <w:sz w:val="20"/>
                <w:szCs w:val="20"/>
                <w:lang w:eastAsia="en-AU"/>
              </w:rPr>
            </w:pPr>
            <w:r w:rsidRPr="000613C9">
              <w:rPr>
                <w:i/>
                <w:sz w:val="20"/>
                <w:szCs w:val="20"/>
                <w:lang w:eastAsia="en-AU"/>
              </w:rPr>
              <w:t>Serious Assault</w:t>
            </w:r>
          </w:p>
        </w:tc>
        <w:tc>
          <w:tcPr>
            <w:tcW w:w="702" w:type="pct"/>
            <w:noWrap/>
          </w:tcPr>
          <w:p w14:paraId="32546418"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143</w:t>
            </w:r>
          </w:p>
        </w:tc>
        <w:tc>
          <w:tcPr>
            <w:tcW w:w="789" w:type="pct"/>
            <w:noWrap/>
          </w:tcPr>
          <w:p w14:paraId="6A90AAAF"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120</w:t>
            </w:r>
          </w:p>
        </w:tc>
        <w:tc>
          <w:tcPr>
            <w:tcW w:w="790" w:type="pct"/>
          </w:tcPr>
          <w:p w14:paraId="4AF0DDBB"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11,274</w:t>
            </w:r>
          </w:p>
        </w:tc>
      </w:tr>
      <w:tr w:rsidR="006260CA" w:rsidRPr="00DC18EA" w14:paraId="60CF50BD"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171948F8" w14:textId="77777777" w:rsidR="006260CA" w:rsidRPr="000613C9" w:rsidRDefault="006260CA" w:rsidP="006260CA">
            <w:pPr>
              <w:rPr>
                <w:b w:val="0"/>
                <w:bCs w:val="0"/>
                <w:i/>
                <w:sz w:val="20"/>
                <w:szCs w:val="20"/>
                <w:lang w:eastAsia="en-AU"/>
              </w:rPr>
            </w:pPr>
            <w:r w:rsidRPr="000613C9">
              <w:rPr>
                <w:i/>
                <w:sz w:val="20"/>
                <w:szCs w:val="20"/>
                <w:lang w:eastAsia="en-AU"/>
              </w:rPr>
              <w:t>Serious Assault (Other)</w:t>
            </w:r>
          </w:p>
        </w:tc>
        <w:tc>
          <w:tcPr>
            <w:tcW w:w="702" w:type="pct"/>
            <w:noWrap/>
          </w:tcPr>
          <w:p w14:paraId="4010FD2E"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39</w:t>
            </w:r>
          </w:p>
        </w:tc>
        <w:tc>
          <w:tcPr>
            <w:tcW w:w="789" w:type="pct"/>
            <w:noWrap/>
          </w:tcPr>
          <w:p w14:paraId="66CD9231"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43</w:t>
            </w:r>
          </w:p>
        </w:tc>
        <w:tc>
          <w:tcPr>
            <w:tcW w:w="790" w:type="pct"/>
          </w:tcPr>
          <w:p w14:paraId="776E62C0"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3,224</w:t>
            </w:r>
          </w:p>
        </w:tc>
      </w:tr>
      <w:tr w:rsidR="006260CA" w:rsidRPr="00DC18EA" w14:paraId="0A8FEBE4"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0C595F92" w14:textId="77777777" w:rsidR="006260CA" w:rsidRPr="000613C9" w:rsidRDefault="006260CA" w:rsidP="006260CA">
            <w:pPr>
              <w:rPr>
                <w:b w:val="0"/>
                <w:bCs w:val="0"/>
                <w:i/>
                <w:sz w:val="20"/>
                <w:szCs w:val="20"/>
                <w:lang w:eastAsia="en-AU"/>
              </w:rPr>
            </w:pPr>
            <w:r w:rsidRPr="000613C9">
              <w:rPr>
                <w:i/>
                <w:sz w:val="20"/>
                <w:szCs w:val="20"/>
                <w:lang w:eastAsia="en-AU"/>
              </w:rPr>
              <w:t>Common Assault'</w:t>
            </w:r>
          </w:p>
        </w:tc>
        <w:tc>
          <w:tcPr>
            <w:tcW w:w="702" w:type="pct"/>
            <w:noWrap/>
          </w:tcPr>
          <w:p w14:paraId="5BB40FA5"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98</w:t>
            </w:r>
          </w:p>
        </w:tc>
        <w:tc>
          <w:tcPr>
            <w:tcW w:w="789" w:type="pct"/>
            <w:noWrap/>
          </w:tcPr>
          <w:p w14:paraId="25C92235"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67</w:t>
            </w:r>
          </w:p>
        </w:tc>
        <w:tc>
          <w:tcPr>
            <w:tcW w:w="790" w:type="pct"/>
          </w:tcPr>
          <w:p w14:paraId="303208FF"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8,184</w:t>
            </w:r>
          </w:p>
        </w:tc>
      </w:tr>
      <w:tr w:rsidR="006260CA" w:rsidRPr="00461021" w14:paraId="38EEADAB"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4E5947B8" w14:textId="77777777" w:rsidR="006260CA" w:rsidRPr="00D219B8" w:rsidRDefault="006260CA" w:rsidP="006260CA">
            <w:pPr>
              <w:rPr>
                <w:bCs w:val="0"/>
                <w:sz w:val="20"/>
                <w:szCs w:val="20"/>
                <w:lang w:eastAsia="en-AU"/>
              </w:rPr>
            </w:pPr>
            <w:r w:rsidRPr="004913F7">
              <w:rPr>
                <w:sz w:val="20"/>
                <w:szCs w:val="20"/>
                <w:lang w:eastAsia="en-AU"/>
              </w:rPr>
              <w:t>Sexual Offences</w:t>
            </w:r>
          </w:p>
        </w:tc>
        <w:tc>
          <w:tcPr>
            <w:tcW w:w="702" w:type="pct"/>
            <w:noWrap/>
          </w:tcPr>
          <w:p w14:paraId="52213908" w14:textId="77777777" w:rsidR="006260CA" w:rsidRPr="0073003C" w:rsidRDefault="006260CA" w:rsidP="006260CA">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73003C">
              <w:rPr>
                <w:b/>
                <w:sz w:val="20"/>
                <w:szCs w:val="20"/>
                <w:lang w:eastAsia="en-AU"/>
              </w:rPr>
              <w:t>95</w:t>
            </w:r>
          </w:p>
        </w:tc>
        <w:tc>
          <w:tcPr>
            <w:tcW w:w="789" w:type="pct"/>
            <w:noWrap/>
          </w:tcPr>
          <w:p w14:paraId="5F95C3EB" w14:textId="77777777" w:rsidR="006260CA" w:rsidRPr="0073003C" w:rsidRDefault="006260CA" w:rsidP="006260CA">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73003C">
              <w:rPr>
                <w:b/>
                <w:sz w:val="20"/>
                <w:szCs w:val="20"/>
                <w:lang w:eastAsia="en-AU"/>
              </w:rPr>
              <w:t>87</w:t>
            </w:r>
          </w:p>
        </w:tc>
        <w:tc>
          <w:tcPr>
            <w:tcW w:w="790" w:type="pct"/>
          </w:tcPr>
          <w:p w14:paraId="0F89EA50" w14:textId="77777777" w:rsidR="006260CA" w:rsidRPr="0073003C" w:rsidRDefault="006260CA" w:rsidP="006260CA">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73003C">
              <w:rPr>
                <w:b/>
                <w:sz w:val="20"/>
                <w:szCs w:val="20"/>
                <w:lang w:eastAsia="en-AU"/>
              </w:rPr>
              <w:t>6,780</w:t>
            </w:r>
          </w:p>
        </w:tc>
      </w:tr>
      <w:tr w:rsidR="006260CA" w:rsidRPr="0073003C" w14:paraId="5F4999D8"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37895236" w14:textId="77777777" w:rsidR="006260CA" w:rsidRPr="000613C9" w:rsidRDefault="006260CA" w:rsidP="006260CA">
            <w:pPr>
              <w:rPr>
                <w:b w:val="0"/>
                <w:bCs w:val="0"/>
                <w:i/>
                <w:sz w:val="20"/>
                <w:szCs w:val="20"/>
                <w:lang w:eastAsia="en-AU"/>
              </w:rPr>
            </w:pPr>
            <w:r w:rsidRPr="000613C9">
              <w:rPr>
                <w:i/>
                <w:sz w:val="20"/>
                <w:szCs w:val="20"/>
                <w:lang w:eastAsia="en-AU"/>
              </w:rPr>
              <w:t>Rape and Attempted Rape</w:t>
            </w:r>
          </w:p>
        </w:tc>
        <w:tc>
          <w:tcPr>
            <w:tcW w:w="702" w:type="pct"/>
            <w:noWrap/>
          </w:tcPr>
          <w:p w14:paraId="2A23BA55"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34</w:t>
            </w:r>
          </w:p>
        </w:tc>
        <w:tc>
          <w:tcPr>
            <w:tcW w:w="789" w:type="pct"/>
            <w:noWrap/>
          </w:tcPr>
          <w:p w14:paraId="37B02B1E"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26</w:t>
            </w:r>
          </w:p>
        </w:tc>
        <w:tc>
          <w:tcPr>
            <w:tcW w:w="790" w:type="pct"/>
          </w:tcPr>
          <w:p w14:paraId="7C72E860"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2,281</w:t>
            </w:r>
          </w:p>
        </w:tc>
      </w:tr>
      <w:tr w:rsidR="006260CA" w:rsidRPr="0073003C" w14:paraId="048DA148"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259FCDC2" w14:textId="77777777" w:rsidR="006260CA" w:rsidRPr="000613C9" w:rsidRDefault="006260CA" w:rsidP="006260CA">
            <w:pPr>
              <w:rPr>
                <w:b w:val="0"/>
                <w:bCs w:val="0"/>
                <w:i/>
                <w:sz w:val="20"/>
                <w:szCs w:val="20"/>
                <w:lang w:eastAsia="en-AU"/>
              </w:rPr>
            </w:pPr>
            <w:r w:rsidRPr="000613C9">
              <w:rPr>
                <w:i/>
                <w:sz w:val="20"/>
                <w:szCs w:val="20"/>
                <w:lang w:eastAsia="en-AU"/>
              </w:rPr>
              <w:t>Other Sexual Offences</w:t>
            </w:r>
          </w:p>
        </w:tc>
        <w:tc>
          <w:tcPr>
            <w:tcW w:w="702" w:type="pct"/>
            <w:noWrap/>
          </w:tcPr>
          <w:p w14:paraId="7EA56097"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61</w:t>
            </w:r>
          </w:p>
        </w:tc>
        <w:tc>
          <w:tcPr>
            <w:tcW w:w="789" w:type="pct"/>
            <w:noWrap/>
          </w:tcPr>
          <w:p w14:paraId="29778E3F"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61</w:t>
            </w:r>
          </w:p>
        </w:tc>
        <w:tc>
          <w:tcPr>
            <w:tcW w:w="790" w:type="pct"/>
          </w:tcPr>
          <w:p w14:paraId="6A98D76F"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4,499</w:t>
            </w:r>
          </w:p>
        </w:tc>
      </w:tr>
      <w:tr w:rsidR="006260CA" w:rsidRPr="0073003C" w14:paraId="25ED0742"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48710678" w14:textId="77777777" w:rsidR="006260CA" w:rsidRPr="000613C9" w:rsidRDefault="006260CA" w:rsidP="006260CA">
            <w:pPr>
              <w:rPr>
                <w:sz w:val="20"/>
                <w:szCs w:val="20"/>
                <w:lang w:eastAsia="en-AU"/>
              </w:rPr>
            </w:pPr>
            <w:r w:rsidRPr="0073003C">
              <w:rPr>
                <w:sz w:val="20"/>
                <w:szCs w:val="20"/>
                <w:lang w:eastAsia="en-AU"/>
              </w:rPr>
              <w:t>Robbery</w:t>
            </w:r>
          </w:p>
        </w:tc>
        <w:tc>
          <w:tcPr>
            <w:tcW w:w="702" w:type="pct"/>
            <w:noWrap/>
          </w:tcPr>
          <w:p w14:paraId="33121617" w14:textId="77777777" w:rsidR="006260CA" w:rsidRPr="0073003C"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73003C">
              <w:rPr>
                <w:b/>
                <w:sz w:val="20"/>
                <w:szCs w:val="20"/>
                <w:lang w:eastAsia="en-AU"/>
              </w:rPr>
              <w:t>22</w:t>
            </w:r>
          </w:p>
        </w:tc>
        <w:tc>
          <w:tcPr>
            <w:tcW w:w="789" w:type="pct"/>
            <w:noWrap/>
          </w:tcPr>
          <w:p w14:paraId="57E64ACB" w14:textId="77777777" w:rsidR="006260CA" w:rsidRPr="0073003C"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73003C">
              <w:rPr>
                <w:b/>
                <w:sz w:val="20"/>
                <w:szCs w:val="20"/>
                <w:lang w:eastAsia="en-AU"/>
              </w:rPr>
              <w:t>28</w:t>
            </w:r>
          </w:p>
        </w:tc>
        <w:tc>
          <w:tcPr>
            <w:tcW w:w="790" w:type="pct"/>
          </w:tcPr>
          <w:p w14:paraId="38D030CD" w14:textId="77777777" w:rsidR="006260CA" w:rsidRPr="0073003C"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73003C">
              <w:rPr>
                <w:b/>
                <w:sz w:val="20"/>
                <w:szCs w:val="20"/>
                <w:lang w:eastAsia="en-AU"/>
              </w:rPr>
              <w:t>2,189</w:t>
            </w:r>
          </w:p>
        </w:tc>
      </w:tr>
      <w:tr w:rsidR="006260CA" w:rsidRPr="0073003C" w14:paraId="143718E5"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113C4034" w14:textId="77777777" w:rsidR="006260CA" w:rsidRPr="000613C9" w:rsidRDefault="006260CA" w:rsidP="006260CA">
            <w:pPr>
              <w:rPr>
                <w:b w:val="0"/>
                <w:bCs w:val="0"/>
                <w:i/>
                <w:sz w:val="20"/>
                <w:szCs w:val="20"/>
                <w:lang w:eastAsia="en-AU"/>
              </w:rPr>
            </w:pPr>
            <w:r w:rsidRPr="000613C9">
              <w:rPr>
                <w:i/>
                <w:sz w:val="20"/>
                <w:szCs w:val="20"/>
                <w:lang w:eastAsia="en-AU"/>
              </w:rPr>
              <w:t>Armed Robbery</w:t>
            </w:r>
          </w:p>
        </w:tc>
        <w:tc>
          <w:tcPr>
            <w:tcW w:w="702" w:type="pct"/>
            <w:noWrap/>
          </w:tcPr>
          <w:p w14:paraId="4F77BA78"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16</w:t>
            </w:r>
          </w:p>
        </w:tc>
        <w:tc>
          <w:tcPr>
            <w:tcW w:w="789" w:type="pct"/>
            <w:noWrap/>
          </w:tcPr>
          <w:p w14:paraId="3F39748C"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17</w:t>
            </w:r>
          </w:p>
        </w:tc>
        <w:tc>
          <w:tcPr>
            <w:tcW w:w="790" w:type="pct"/>
          </w:tcPr>
          <w:p w14:paraId="1A38E85E"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1,092</w:t>
            </w:r>
          </w:p>
        </w:tc>
      </w:tr>
      <w:tr w:rsidR="006260CA" w:rsidRPr="0073003C" w14:paraId="0ECAFFEE"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20C2CC41" w14:textId="77777777" w:rsidR="006260CA" w:rsidRPr="000613C9" w:rsidRDefault="006260CA" w:rsidP="006260CA">
            <w:pPr>
              <w:rPr>
                <w:b w:val="0"/>
                <w:bCs w:val="0"/>
                <w:i/>
                <w:sz w:val="20"/>
                <w:szCs w:val="20"/>
                <w:lang w:eastAsia="en-AU"/>
              </w:rPr>
            </w:pPr>
            <w:r w:rsidRPr="000613C9">
              <w:rPr>
                <w:i/>
                <w:sz w:val="20"/>
                <w:szCs w:val="20"/>
                <w:lang w:eastAsia="en-AU"/>
              </w:rPr>
              <w:t>Unarmed Robbery</w:t>
            </w:r>
          </w:p>
        </w:tc>
        <w:tc>
          <w:tcPr>
            <w:tcW w:w="702" w:type="pct"/>
            <w:noWrap/>
          </w:tcPr>
          <w:p w14:paraId="6C22A2E4"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w:t>
            </w:r>
          </w:p>
        </w:tc>
        <w:tc>
          <w:tcPr>
            <w:tcW w:w="789" w:type="pct"/>
            <w:noWrap/>
          </w:tcPr>
          <w:p w14:paraId="07CFF766"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11</w:t>
            </w:r>
          </w:p>
        </w:tc>
        <w:tc>
          <w:tcPr>
            <w:tcW w:w="790" w:type="pct"/>
          </w:tcPr>
          <w:p w14:paraId="5052AD31"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1,097</w:t>
            </w:r>
          </w:p>
        </w:tc>
      </w:tr>
      <w:tr w:rsidR="006260CA" w:rsidRPr="00461021" w14:paraId="197DDF37"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1CC8F9BF" w14:textId="77777777" w:rsidR="006260CA" w:rsidRPr="000613C9" w:rsidRDefault="006260CA" w:rsidP="006260CA">
            <w:pPr>
              <w:rPr>
                <w:sz w:val="20"/>
                <w:szCs w:val="20"/>
                <w:lang w:eastAsia="en-AU"/>
              </w:rPr>
            </w:pPr>
            <w:r w:rsidRPr="0073003C">
              <w:rPr>
                <w:sz w:val="20"/>
                <w:szCs w:val="20"/>
                <w:lang w:eastAsia="en-AU"/>
              </w:rPr>
              <w:t>Other Offences Against the Person</w:t>
            </w:r>
          </w:p>
        </w:tc>
        <w:tc>
          <w:tcPr>
            <w:tcW w:w="702" w:type="pct"/>
            <w:noWrap/>
          </w:tcPr>
          <w:p w14:paraId="6521D546" w14:textId="77777777" w:rsidR="006260CA" w:rsidRPr="0073003C" w:rsidRDefault="006260CA" w:rsidP="006260CA">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73003C">
              <w:rPr>
                <w:b/>
                <w:sz w:val="20"/>
                <w:szCs w:val="20"/>
                <w:lang w:eastAsia="en-AU"/>
              </w:rPr>
              <w:t>61</w:t>
            </w:r>
          </w:p>
        </w:tc>
        <w:tc>
          <w:tcPr>
            <w:tcW w:w="789" w:type="pct"/>
            <w:noWrap/>
          </w:tcPr>
          <w:p w14:paraId="5DFFC3CE" w14:textId="77777777" w:rsidR="006260CA" w:rsidRPr="0073003C" w:rsidRDefault="006260CA" w:rsidP="006260CA">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73003C">
              <w:rPr>
                <w:b/>
                <w:sz w:val="20"/>
                <w:szCs w:val="20"/>
                <w:lang w:eastAsia="en-AU"/>
              </w:rPr>
              <w:t>62</w:t>
            </w:r>
          </w:p>
        </w:tc>
        <w:tc>
          <w:tcPr>
            <w:tcW w:w="790" w:type="pct"/>
          </w:tcPr>
          <w:p w14:paraId="3807ACD3" w14:textId="77777777" w:rsidR="006260CA" w:rsidRPr="0073003C" w:rsidRDefault="006260CA" w:rsidP="006260CA">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73003C">
              <w:rPr>
                <w:b/>
                <w:sz w:val="20"/>
                <w:szCs w:val="20"/>
                <w:lang w:eastAsia="en-AU"/>
              </w:rPr>
              <w:t>4,558</w:t>
            </w:r>
          </w:p>
        </w:tc>
      </w:tr>
      <w:tr w:rsidR="006260CA" w:rsidRPr="006A7B83" w14:paraId="50B59C4C"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0CE8FC2D" w14:textId="77777777" w:rsidR="006260CA" w:rsidRPr="000613C9" w:rsidRDefault="006260CA" w:rsidP="006260CA">
            <w:pPr>
              <w:rPr>
                <w:b w:val="0"/>
                <w:bCs w:val="0"/>
                <w:i/>
                <w:sz w:val="20"/>
                <w:szCs w:val="20"/>
                <w:lang w:eastAsia="en-AU"/>
              </w:rPr>
            </w:pPr>
            <w:r w:rsidRPr="000613C9">
              <w:rPr>
                <w:i/>
                <w:sz w:val="20"/>
                <w:szCs w:val="20"/>
                <w:lang w:eastAsia="en-AU"/>
              </w:rPr>
              <w:t>Kidnapping &amp; Abduction etc.</w:t>
            </w:r>
          </w:p>
        </w:tc>
        <w:tc>
          <w:tcPr>
            <w:tcW w:w="702" w:type="pct"/>
            <w:noWrap/>
          </w:tcPr>
          <w:p w14:paraId="611F10DA"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w:t>
            </w:r>
          </w:p>
        </w:tc>
        <w:tc>
          <w:tcPr>
            <w:tcW w:w="789" w:type="pct"/>
            <w:noWrap/>
          </w:tcPr>
          <w:p w14:paraId="7FD67879"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w:t>
            </w:r>
          </w:p>
        </w:tc>
        <w:tc>
          <w:tcPr>
            <w:tcW w:w="790" w:type="pct"/>
          </w:tcPr>
          <w:p w14:paraId="61D8AEC5"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315</w:t>
            </w:r>
          </w:p>
        </w:tc>
      </w:tr>
      <w:tr w:rsidR="006260CA" w:rsidRPr="006A7B83" w14:paraId="689FB1C0"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6239FC8E" w14:textId="77777777" w:rsidR="006260CA" w:rsidRPr="000613C9" w:rsidRDefault="006260CA" w:rsidP="006260CA">
            <w:pPr>
              <w:rPr>
                <w:b w:val="0"/>
                <w:bCs w:val="0"/>
                <w:i/>
                <w:sz w:val="20"/>
                <w:szCs w:val="20"/>
                <w:lang w:eastAsia="en-AU"/>
              </w:rPr>
            </w:pPr>
            <w:r w:rsidRPr="000613C9">
              <w:rPr>
                <w:i/>
                <w:sz w:val="20"/>
                <w:szCs w:val="20"/>
                <w:lang w:eastAsia="en-AU"/>
              </w:rPr>
              <w:t>Extortion</w:t>
            </w:r>
          </w:p>
        </w:tc>
        <w:tc>
          <w:tcPr>
            <w:tcW w:w="702" w:type="pct"/>
            <w:noWrap/>
          </w:tcPr>
          <w:p w14:paraId="659AB178"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w:t>
            </w:r>
          </w:p>
        </w:tc>
        <w:tc>
          <w:tcPr>
            <w:tcW w:w="789" w:type="pct"/>
            <w:noWrap/>
          </w:tcPr>
          <w:p w14:paraId="7A973948"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90" w:type="pct"/>
          </w:tcPr>
          <w:p w14:paraId="167D868E"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90</w:t>
            </w:r>
          </w:p>
        </w:tc>
      </w:tr>
      <w:tr w:rsidR="006260CA" w:rsidRPr="006A7B83" w14:paraId="408989F7"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51730D7B" w14:textId="77777777" w:rsidR="006260CA" w:rsidRPr="000613C9" w:rsidRDefault="006260CA" w:rsidP="006260CA">
            <w:pPr>
              <w:rPr>
                <w:b w:val="0"/>
                <w:bCs w:val="0"/>
                <w:i/>
                <w:sz w:val="20"/>
                <w:szCs w:val="20"/>
                <w:lang w:eastAsia="en-AU"/>
              </w:rPr>
            </w:pPr>
            <w:r w:rsidRPr="000613C9">
              <w:rPr>
                <w:i/>
                <w:sz w:val="20"/>
                <w:szCs w:val="20"/>
                <w:lang w:eastAsia="en-AU"/>
              </w:rPr>
              <w:t>Stalking</w:t>
            </w:r>
          </w:p>
        </w:tc>
        <w:tc>
          <w:tcPr>
            <w:tcW w:w="702" w:type="pct"/>
            <w:noWrap/>
          </w:tcPr>
          <w:p w14:paraId="45D915C1"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5</w:t>
            </w:r>
          </w:p>
        </w:tc>
        <w:tc>
          <w:tcPr>
            <w:tcW w:w="789" w:type="pct"/>
            <w:noWrap/>
          </w:tcPr>
          <w:p w14:paraId="3424606F"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w:t>
            </w:r>
          </w:p>
        </w:tc>
        <w:tc>
          <w:tcPr>
            <w:tcW w:w="790" w:type="pct"/>
          </w:tcPr>
          <w:p w14:paraId="72945B90" w14:textId="77777777" w:rsidR="006260CA" w:rsidRPr="000613C9" w:rsidRDefault="006260CA" w:rsidP="006260CA">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684</w:t>
            </w:r>
          </w:p>
        </w:tc>
      </w:tr>
      <w:tr w:rsidR="006260CA" w:rsidRPr="006A7B83" w14:paraId="522CA9A1" w14:textId="77777777" w:rsidTr="000613C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777E9CDF" w14:textId="77777777" w:rsidR="006260CA" w:rsidRPr="000613C9" w:rsidRDefault="006260CA" w:rsidP="006260CA">
            <w:pPr>
              <w:rPr>
                <w:b w:val="0"/>
                <w:bCs w:val="0"/>
                <w:i/>
                <w:sz w:val="20"/>
                <w:szCs w:val="20"/>
                <w:lang w:eastAsia="en-AU"/>
              </w:rPr>
            </w:pPr>
            <w:r w:rsidRPr="000613C9">
              <w:rPr>
                <w:i/>
                <w:sz w:val="20"/>
                <w:szCs w:val="20"/>
                <w:lang w:eastAsia="en-AU"/>
              </w:rPr>
              <w:t>Life Endangering Acts</w:t>
            </w:r>
          </w:p>
        </w:tc>
        <w:tc>
          <w:tcPr>
            <w:tcW w:w="702" w:type="pct"/>
            <w:noWrap/>
          </w:tcPr>
          <w:p w14:paraId="4F55168A"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51</w:t>
            </w:r>
          </w:p>
        </w:tc>
        <w:tc>
          <w:tcPr>
            <w:tcW w:w="789" w:type="pct"/>
            <w:noWrap/>
          </w:tcPr>
          <w:p w14:paraId="0E4E8BF8"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50</w:t>
            </w:r>
          </w:p>
        </w:tc>
        <w:tc>
          <w:tcPr>
            <w:tcW w:w="790" w:type="pct"/>
          </w:tcPr>
          <w:p w14:paraId="765C68C8" w14:textId="77777777" w:rsidR="006260CA" w:rsidRPr="000613C9" w:rsidRDefault="006260CA" w:rsidP="006260CA">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3,469</w:t>
            </w:r>
          </w:p>
        </w:tc>
      </w:tr>
      <w:tr w:rsidR="006260CA" w:rsidRPr="001179F7" w14:paraId="1ABFE30D" w14:textId="77777777" w:rsidTr="000613C9">
        <w:trPr>
          <w:trHeight w:val="321"/>
        </w:trPr>
        <w:tc>
          <w:tcPr>
            <w:cnfStyle w:val="001000000000" w:firstRow="0" w:lastRow="0" w:firstColumn="1" w:lastColumn="0" w:oddVBand="0" w:evenVBand="0" w:oddHBand="0" w:evenHBand="0" w:firstRowFirstColumn="0" w:firstRowLastColumn="0" w:lastRowFirstColumn="0" w:lastRowLastColumn="0"/>
            <w:tcW w:w="2720" w:type="pct"/>
            <w:noWrap/>
            <w:hideMark/>
          </w:tcPr>
          <w:p w14:paraId="167471C3" w14:textId="77777777" w:rsidR="006260CA" w:rsidRPr="001179F7" w:rsidRDefault="006260CA" w:rsidP="006260CA">
            <w:pPr>
              <w:rPr>
                <w:sz w:val="20"/>
                <w:szCs w:val="20"/>
                <w:lang w:eastAsia="en-AU"/>
              </w:rPr>
            </w:pPr>
            <w:r w:rsidRPr="001179F7">
              <w:rPr>
                <w:sz w:val="20"/>
                <w:szCs w:val="20"/>
                <w:lang w:eastAsia="en-AU"/>
              </w:rPr>
              <w:t>Total Offences Against the Person</w:t>
            </w:r>
          </w:p>
        </w:tc>
        <w:tc>
          <w:tcPr>
            <w:tcW w:w="702" w:type="pct"/>
            <w:noWrap/>
          </w:tcPr>
          <w:p w14:paraId="0C3D0B60" w14:textId="77777777" w:rsidR="006260CA" w:rsidRPr="001179F7"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478</w:t>
            </w:r>
          </w:p>
        </w:tc>
        <w:tc>
          <w:tcPr>
            <w:tcW w:w="789" w:type="pct"/>
            <w:noWrap/>
          </w:tcPr>
          <w:p w14:paraId="1CEA2AEF" w14:textId="77777777" w:rsidR="006260CA" w:rsidRPr="001179F7"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424</w:t>
            </w:r>
          </w:p>
        </w:tc>
        <w:tc>
          <w:tcPr>
            <w:tcW w:w="790" w:type="pct"/>
          </w:tcPr>
          <w:p w14:paraId="5E7DCA1F" w14:textId="77777777" w:rsidR="006260CA" w:rsidRPr="001179F7" w:rsidRDefault="006260CA" w:rsidP="006260CA">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37,251</w:t>
            </w:r>
          </w:p>
        </w:tc>
      </w:tr>
    </w:tbl>
    <w:p w14:paraId="4E7630C1" w14:textId="77777777" w:rsidR="00D63E48" w:rsidRDefault="00D63E48" w:rsidP="00561030">
      <w:pPr>
        <w:spacing w:after="0"/>
        <w:rPr>
          <w:i/>
          <w:sz w:val="18"/>
          <w:szCs w:val="18"/>
          <w:lang w:val="en"/>
        </w:rPr>
      </w:pPr>
      <w:bookmarkStart w:id="343" w:name="_Hlk36157758"/>
      <w:r w:rsidRPr="00461021">
        <w:rPr>
          <w:i/>
          <w:sz w:val="18"/>
          <w:szCs w:val="18"/>
        </w:rPr>
        <w:t xml:space="preserve">Source: </w:t>
      </w:r>
      <w:r w:rsidR="00441432" w:rsidRPr="00461021">
        <w:rPr>
          <w:i/>
          <w:sz w:val="18"/>
          <w:szCs w:val="18"/>
          <w:lang w:val="en"/>
        </w:rPr>
        <w:t>QPS offence</w:t>
      </w:r>
      <w:r w:rsidRPr="00461021">
        <w:rPr>
          <w:i/>
          <w:sz w:val="18"/>
          <w:szCs w:val="18"/>
          <w:lang w:val="en"/>
        </w:rPr>
        <w:t xml:space="preserve"> statistics</w:t>
      </w:r>
      <w:r w:rsidR="00E8435D">
        <w:rPr>
          <w:i/>
          <w:sz w:val="18"/>
          <w:szCs w:val="18"/>
          <w:lang w:val="en"/>
        </w:rPr>
        <w:t xml:space="preserve"> reported offences number</w:t>
      </w:r>
      <w:r w:rsidRPr="00461021">
        <w:rPr>
          <w:i/>
          <w:sz w:val="18"/>
          <w:szCs w:val="18"/>
          <w:lang w:val="en"/>
        </w:rPr>
        <w:t>.</w:t>
      </w:r>
    </w:p>
    <w:p w14:paraId="27393D72" w14:textId="77777777" w:rsidR="0007733D" w:rsidRPr="00B86993" w:rsidRDefault="0007733D" w:rsidP="0007733D">
      <w:pPr>
        <w:rPr>
          <w:i/>
          <w:sz w:val="18"/>
          <w:szCs w:val="18"/>
          <w:lang w:val="en"/>
        </w:rPr>
      </w:pPr>
      <w:r>
        <w:rPr>
          <w:i/>
          <w:sz w:val="18"/>
          <w:szCs w:val="18"/>
          <w:lang w:val="en"/>
        </w:rPr>
        <w:t xml:space="preserve">Note: </w:t>
      </w:r>
      <w:r w:rsidRPr="00B86993">
        <w:rPr>
          <w:i/>
          <w:sz w:val="18"/>
          <w:szCs w:val="18"/>
          <w:lang w:val="en"/>
        </w:rPr>
        <w:t xml:space="preserve">Bundaberg and Hervey Bay are identified by using the QPS </w:t>
      </w:r>
      <w:r>
        <w:rPr>
          <w:i/>
          <w:sz w:val="18"/>
          <w:szCs w:val="18"/>
          <w:lang w:val="en"/>
        </w:rPr>
        <w:t xml:space="preserve">Statistics </w:t>
      </w:r>
      <w:r w:rsidRPr="00B86993">
        <w:rPr>
          <w:i/>
          <w:sz w:val="18"/>
          <w:szCs w:val="18"/>
          <w:lang w:val="en"/>
        </w:rPr>
        <w:t>geographical classification at the division level.</w:t>
      </w:r>
    </w:p>
    <w:p w14:paraId="7E5D3DA4" w14:textId="77777777" w:rsidR="008D6E98" w:rsidRDefault="008D6E98">
      <w:pPr>
        <w:jc w:val="left"/>
        <w:rPr>
          <w:rFonts w:cstheme="minorHAnsi"/>
          <w:b/>
          <w:bCs/>
          <w:caps/>
          <w:sz w:val="20"/>
          <w:szCs w:val="18"/>
        </w:rPr>
      </w:pPr>
      <w:bookmarkStart w:id="344" w:name="_Ref34834339"/>
      <w:bookmarkEnd w:id="343"/>
      <w:r>
        <w:br w:type="page"/>
      </w:r>
    </w:p>
    <w:p w14:paraId="5A12A7CD" w14:textId="4975A347" w:rsidR="00D63E48" w:rsidRDefault="000851DE" w:rsidP="00031074">
      <w:pPr>
        <w:pStyle w:val="Caption"/>
      </w:pPr>
      <w:bookmarkStart w:id="345" w:name="_Ref35851231"/>
      <w:bookmarkStart w:id="346" w:name="_Toc37263602"/>
      <w:r>
        <w:lastRenderedPageBreak/>
        <w:t>Table</w:t>
      </w:r>
      <w:r w:rsidR="00031074">
        <w:t xml:space="preserv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4</w:t>
      </w:r>
      <w:r w:rsidR="006C0554">
        <w:rPr>
          <w:noProof/>
        </w:rPr>
        <w:fldChar w:fldCharType="end"/>
      </w:r>
      <w:bookmarkEnd w:id="344"/>
      <w:bookmarkEnd w:id="345"/>
      <w:r w:rsidR="00031074">
        <w:t xml:space="preserve">: </w:t>
      </w:r>
      <w:r w:rsidR="00D63E48">
        <w:t>Reported offences against property in 2018</w:t>
      </w:r>
      <w:bookmarkEnd w:id="346"/>
    </w:p>
    <w:tbl>
      <w:tblPr>
        <w:tblStyle w:val="ListTable3-Accent12"/>
        <w:tblW w:w="5028" w:type="pct"/>
        <w:tblInd w:w="0" w:type="dxa"/>
        <w:tblLayout w:type="fixed"/>
        <w:tblLook w:val="04A0" w:firstRow="1" w:lastRow="0" w:firstColumn="1" w:lastColumn="0" w:noHBand="0" w:noVBand="1"/>
      </w:tblPr>
      <w:tblGrid>
        <w:gridCol w:w="4957"/>
        <w:gridCol w:w="1275"/>
        <w:gridCol w:w="1418"/>
        <w:gridCol w:w="1416"/>
      </w:tblGrid>
      <w:tr w:rsidR="00E74E33" w:rsidRPr="00D14EF1" w14:paraId="720F43B9" w14:textId="77777777" w:rsidTr="006C0554">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100" w:firstRow="0" w:lastRow="0" w:firstColumn="1" w:lastColumn="0" w:oddVBand="0" w:evenVBand="0" w:oddHBand="0" w:evenHBand="0" w:firstRowFirstColumn="1" w:firstRowLastColumn="0" w:lastRowFirstColumn="0" w:lastRowLastColumn="0"/>
            <w:tcW w:w="2734" w:type="pct"/>
            <w:shd w:val="clear" w:color="auto" w:fill="2F5496" w:themeFill="accent5" w:themeFillShade="BF"/>
            <w:noWrap/>
          </w:tcPr>
          <w:p w14:paraId="18BC3A9E" w14:textId="77777777" w:rsidR="005F6827" w:rsidRPr="00D14EF1" w:rsidRDefault="005F6827" w:rsidP="000613C9">
            <w:pPr>
              <w:jc w:val="center"/>
              <w:rPr>
                <w:sz w:val="20"/>
                <w:szCs w:val="20"/>
                <w:lang w:eastAsia="en-AU"/>
              </w:rPr>
            </w:pPr>
          </w:p>
        </w:tc>
        <w:tc>
          <w:tcPr>
            <w:tcW w:w="703" w:type="pct"/>
            <w:shd w:val="clear" w:color="auto" w:fill="2F5496" w:themeFill="accent5" w:themeFillShade="BF"/>
            <w:noWrap/>
          </w:tcPr>
          <w:p w14:paraId="08217C65" w14:textId="77777777" w:rsidR="005F6827" w:rsidRPr="000613C9" w:rsidRDefault="005F6827"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Bundaberg</w:t>
            </w:r>
          </w:p>
        </w:tc>
        <w:tc>
          <w:tcPr>
            <w:tcW w:w="782" w:type="pct"/>
            <w:shd w:val="clear" w:color="auto" w:fill="2F5496" w:themeFill="accent5" w:themeFillShade="BF"/>
            <w:noWrap/>
          </w:tcPr>
          <w:p w14:paraId="07ADDCA0" w14:textId="77777777" w:rsidR="005F6827" w:rsidRPr="000613C9" w:rsidRDefault="005F6827"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Hervey Bay</w:t>
            </w:r>
          </w:p>
        </w:tc>
        <w:tc>
          <w:tcPr>
            <w:tcW w:w="781" w:type="pct"/>
            <w:shd w:val="clear" w:color="auto" w:fill="2F5496" w:themeFill="accent5" w:themeFillShade="BF"/>
          </w:tcPr>
          <w:p w14:paraId="33F5A6DD" w14:textId="77777777" w:rsidR="005F6827" w:rsidRPr="000613C9" w:rsidRDefault="005F6827"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Queensland</w:t>
            </w:r>
          </w:p>
        </w:tc>
      </w:tr>
      <w:tr w:rsidR="005F6827" w:rsidRPr="00452BB2" w14:paraId="708FA407"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tcPr>
          <w:p w14:paraId="4EA60F6F" w14:textId="77777777" w:rsidR="005F6827" w:rsidRPr="000613C9" w:rsidRDefault="005F6827" w:rsidP="005F6827">
            <w:pPr>
              <w:rPr>
                <w:sz w:val="20"/>
                <w:szCs w:val="20"/>
                <w:lang w:eastAsia="en-AU"/>
              </w:rPr>
            </w:pPr>
            <w:r w:rsidRPr="00452BB2">
              <w:rPr>
                <w:sz w:val="20"/>
                <w:szCs w:val="20"/>
                <w:lang w:eastAsia="en-AU"/>
              </w:rPr>
              <w:t>Unlawful Entry</w:t>
            </w:r>
          </w:p>
        </w:tc>
        <w:tc>
          <w:tcPr>
            <w:tcW w:w="703" w:type="pct"/>
            <w:noWrap/>
          </w:tcPr>
          <w:p w14:paraId="53AAFFA6"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499</w:t>
            </w:r>
          </w:p>
        </w:tc>
        <w:tc>
          <w:tcPr>
            <w:tcW w:w="782" w:type="pct"/>
            <w:noWrap/>
          </w:tcPr>
          <w:p w14:paraId="621E537A"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458</w:t>
            </w:r>
          </w:p>
        </w:tc>
        <w:tc>
          <w:tcPr>
            <w:tcW w:w="781" w:type="pct"/>
          </w:tcPr>
          <w:p w14:paraId="407556CC"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38,782</w:t>
            </w:r>
          </w:p>
        </w:tc>
      </w:tr>
      <w:tr w:rsidR="005F6827" w:rsidRPr="00452BB2" w14:paraId="7512698F"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51948B2A" w14:textId="77777777" w:rsidR="005F6827" w:rsidRPr="000613C9" w:rsidRDefault="005F6827" w:rsidP="005F6827">
            <w:pPr>
              <w:rPr>
                <w:b w:val="0"/>
                <w:bCs w:val="0"/>
                <w:i/>
                <w:sz w:val="20"/>
                <w:szCs w:val="20"/>
                <w:lang w:eastAsia="en-AU"/>
              </w:rPr>
            </w:pPr>
            <w:r w:rsidRPr="000613C9">
              <w:rPr>
                <w:i/>
                <w:sz w:val="20"/>
                <w:szCs w:val="20"/>
                <w:lang w:eastAsia="en-AU"/>
              </w:rPr>
              <w:t>Unlawful Entry With Intent - Dwelling</w:t>
            </w:r>
          </w:p>
        </w:tc>
        <w:tc>
          <w:tcPr>
            <w:tcW w:w="703" w:type="pct"/>
            <w:noWrap/>
          </w:tcPr>
          <w:p w14:paraId="4AABB661"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286</w:t>
            </w:r>
          </w:p>
        </w:tc>
        <w:tc>
          <w:tcPr>
            <w:tcW w:w="782" w:type="pct"/>
            <w:noWrap/>
          </w:tcPr>
          <w:p w14:paraId="38808533"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295</w:t>
            </w:r>
          </w:p>
        </w:tc>
        <w:tc>
          <w:tcPr>
            <w:tcW w:w="781" w:type="pct"/>
          </w:tcPr>
          <w:p w14:paraId="3582C6D3"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23,588</w:t>
            </w:r>
          </w:p>
        </w:tc>
      </w:tr>
      <w:tr w:rsidR="005F6827" w:rsidRPr="002446C7" w14:paraId="060026C4"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5E689C24" w14:textId="77777777" w:rsidR="005F6827" w:rsidRPr="000613C9" w:rsidRDefault="005F6827" w:rsidP="000613C9">
            <w:pPr>
              <w:ind w:left="322"/>
              <w:jc w:val="left"/>
              <w:rPr>
                <w:b w:val="0"/>
                <w:bCs w:val="0"/>
                <w:i/>
                <w:sz w:val="18"/>
                <w:szCs w:val="20"/>
                <w:lang w:eastAsia="en-AU"/>
              </w:rPr>
            </w:pPr>
            <w:r w:rsidRPr="000613C9">
              <w:rPr>
                <w:i/>
                <w:sz w:val="18"/>
                <w:szCs w:val="20"/>
                <w:lang w:eastAsia="en-AU"/>
              </w:rPr>
              <w:t>Unlawful Entry Without Violence - Dwelling</w:t>
            </w:r>
          </w:p>
        </w:tc>
        <w:tc>
          <w:tcPr>
            <w:tcW w:w="703" w:type="pct"/>
            <w:noWrap/>
          </w:tcPr>
          <w:p w14:paraId="6E3B0165" w14:textId="77777777" w:rsidR="005F6827" w:rsidRPr="000613C9" w:rsidRDefault="005F6827" w:rsidP="000613C9">
            <w:pPr>
              <w:ind w:left="322"/>
              <w:jc w:val="right"/>
              <w:cnfStyle w:val="000000100000" w:firstRow="0" w:lastRow="0" w:firstColumn="0" w:lastColumn="0" w:oddVBand="0" w:evenVBand="0" w:oddHBand="1" w:evenHBand="0" w:firstRowFirstColumn="0" w:firstRowLastColumn="0" w:lastRowFirstColumn="0" w:lastRowLastColumn="0"/>
              <w:rPr>
                <w:i/>
                <w:sz w:val="18"/>
                <w:szCs w:val="20"/>
                <w:lang w:eastAsia="en-AU"/>
              </w:rPr>
            </w:pPr>
            <w:r w:rsidRPr="000613C9">
              <w:rPr>
                <w:i/>
                <w:sz w:val="18"/>
                <w:szCs w:val="20"/>
                <w:lang w:eastAsia="en-AU"/>
              </w:rPr>
              <w:t>279</w:t>
            </w:r>
          </w:p>
        </w:tc>
        <w:tc>
          <w:tcPr>
            <w:tcW w:w="782" w:type="pct"/>
            <w:noWrap/>
          </w:tcPr>
          <w:p w14:paraId="68B1643E" w14:textId="77777777" w:rsidR="005F6827" w:rsidRPr="000613C9" w:rsidRDefault="005F6827" w:rsidP="000613C9">
            <w:pPr>
              <w:ind w:left="322"/>
              <w:jc w:val="right"/>
              <w:cnfStyle w:val="000000100000" w:firstRow="0" w:lastRow="0" w:firstColumn="0" w:lastColumn="0" w:oddVBand="0" w:evenVBand="0" w:oddHBand="1" w:evenHBand="0" w:firstRowFirstColumn="0" w:firstRowLastColumn="0" w:lastRowFirstColumn="0" w:lastRowLastColumn="0"/>
              <w:rPr>
                <w:i/>
                <w:sz w:val="18"/>
                <w:szCs w:val="20"/>
                <w:lang w:eastAsia="en-AU"/>
              </w:rPr>
            </w:pPr>
            <w:r w:rsidRPr="000613C9">
              <w:rPr>
                <w:i/>
                <w:sz w:val="18"/>
                <w:szCs w:val="20"/>
                <w:lang w:eastAsia="en-AU"/>
              </w:rPr>
              <w:t>283</w:t>
            </w:r>
          </w:p>
        </w:tc>
        <w:tc>
          <w:tcPr>
            <w:tcW w:w="781" w:type="pct"/>
          </w:tcPr>
          <w:p w14:paraId="785F95BB" w14:textId="77777777" w:rsidR="005F6827" w:rsidRPr="000613C9" w:rsidRDefault="005F6827" w:rsidP="000613C9">
            <w:pPr>
              <w:ind w:left="322"/>
              <w:jc w:val="right"/>
              <w:cnfStyle w:val="000000100000" w:firstRow="0" w:lastRow="0" w:firstColumn="0" w:lastColumn="0" w:oddVBand="0" w:evenVBand="0" w:oddHBand="1" w:evenHBand="0" w:firstRowFirstColumn="0" w:firstRowLastColumn="0" w:lastRowFirstColumn="0" w:lastRowLastColumn="0"/>
              <w:rPr>
                <w:i/>
                <w:sz w:val="18"/>
                <w:szCs w:val="20"/>
                <w:lang w:eastAsia="en-AU"/>
              </w:rPr>
            </w:pPr>
            <w:r w:rsidRPr="000613C9">
              <w:rPr>
                <w:i/>
                <w:sz w:val="18"/>
                <w:szCs w:val="20"/>
                <w:lang w:eastAsia="en-AU"/>
              </w:rPr>
              <w:t>22,879</w:t>
            </w:r>
          </w:p>
        </w:tc>
      </w:tr>
      <w:tr w:rsidR="005F6827" w:rsidRPr="002446C7" w14:paraId="284A449D"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4EDBDC2F" w14:textId="77777777" w:rsidR="005F6827" w:rsidRPr="000613C9" w:rsidRDefault="005F6827" w:rsidP="000613C9">
            <w:pPr>
              <w:ind w:left="322"/>
              <w:jc w:val="left"/>
              <w:rPr>
                <w:b w:val="0"/>
                <w:bCs w:val="0"/>
                <w:i/>
                <w:sz w:val="18"/>
                <w:szCs w:val="20"/>
                <w:lang w:eastAsia="en-AU"/>
              </w:rPr>
            </w:pPr>
            <w:r w:rsidRPr="000613C9">
              <w:rPr>
                <w:i/>
                <w:sz w:val="18"/>
                <w:szCs w:val="20"/>
                <w:lang w:eastAsia="en-AU"/>
              </w:rPr>
              <w:t>Unlawful Entry With Violence - Dwelling</w:t>
            </w:r>
          </w:p>
        </w:tc>
        <w:tc>
          <w:tcPr>
            <w:tcW w:w="703" w:type="pct"/>
            <w:noWrap/>
          </w:tcPr>
          <w:p w14:paraId="639ACCA4" w14:textId="77777777" w:rsidR="005F6827" w:rsidRPr="000613C9" w:rsidRDefault="005F6827" w:rsidP="000613C9">
            <w:pPr>
              <w:ind w:left="322"/>
              <w:jc w:val="right"/>
              <w:cnfStyle w:val="000000000000" w:firstRow="0" w:lastRow="0" w:firstColumn="0" w:lastColumn="0" w:oddVBand="0" w:evenVBand="0" w:oddHBand="0" w:evenHBand="0" w:firstRowFirstColumn="0" w:firstRowLastColumn="0" w:lastRowFirstColumn="0" w:lastRowLastColumn="0"/>
              <w:rPr>
                <w:i/>
                <w:sz w:val="18"/>
                <w:szCs w:val="20"/>
                <w:lang w:eastAsia="en-AU"/>
              </w:rPr>
            </w:pPr>
            <w:r w:rsidRPr="000613C9">
              <w:rPr>
                <w:i/>
                <w:sz w:val="18"/>
                <w:szCs w:val="20"/>
                <w:lang w:eastAsia="en-AU"/>
              </w:rPr>
              <w:t>7</w:t>
            </w:r>
          </w:p>
        </w:tc>
        <w:tc>
          <w:tcPr>
            <w:tcW w:w="782" w:type="pct"/>
            <w:noWrap/>
          </w:tcPr>
          <w:p w14:paraId="44A99A0D" w14:textId="77777777" w:rsidR="005F6827" w:rsidRPr="000613C9" w:rsidRDefault="005F6827" w:rsidP="000613C9">
            <w:pPr>
              <w:ind w:left="322"/>
              <w:jc w:val="right"/>
              <w:cnfStyle w:val="000000000000" w:firstRow="0" w:lastRow="0" w:firstColumn="0" w:lastColumn="0" w:oddVBand="0" w:evenVBand="0" w:oddHBand="0" w:evenHBand="0" w:firstRowFirstColumn="0" w:firstRowLastColumn="0" w:lastRowFirstColumn="0" w:lastRowLastColumn="0"/>
              <w:rPr>
                <w:i/>
                <w:sz w:val="18"/>
                <w:szCs w:val="20"/>
                <w:lang w:eastAsia="en-AU"/>
              </w:rPr>
            </w:pPr>
            <w:r w:rsidRPr="000613C9">
              <w:rPr>
                <w:i/>
                <w:sz w:val="18"/>
                <w:szCs w:val="20"/>
                <w:lang w:eastAsia="en-AU"/>
              </w:rPr>
              <w:t>12</w:t>
            </w:r>
          </w:p>
        </w:tc>
        <w:tc>
          <w:tcPr>
            <w:tcW w:w="781" w:type="pct"/>
          </w:tcPr>
          <w:p w14:paraId="3987C2D5" w14:textId="77777777" w:rsidR="005F6827" w:rsidRPr="000613C9" w:rsidRDefault="005F6827" w:rsidP="000613C9">
            <w:pPr>
              <w:ind w:left="322"/>
              <w:jc w:val="right"/>
              <w:cnfStyle w:val="000000000000" w:firstRow="0" w:lastRow="0" w:firstColumn="0" w:lastColumn="0" w:oddVBand="0" w:evenVBand="0" w:oddHBand="0" w:evenHBand="0" w:firstRowFirstColumn="0" w:firstRowLastColumn="0" w:lastRowFirstColumn="0" w:lastRowLastColumn="0"/>
              <w:rPr>
                <w:i/>
                <w:sz w:val="18"/>
                <w:szCs w:val="20"/>
                <w:lang w:eastAsia="en-AU"/>
              </w:rPr>
            </w:pPr>
            <w:r w:rsidRPr="000613C9">
              <w:rPr>
                <w:i/>
                <w:sz w:val="18"/>
                <w:szCs w:val="20"/>
                <w:lang w:eastAsia="en-AU"/>
              </w:rPr>
              <w:t>709</w:t>
            </w:r>
          </w:p>
        </w:tc>
      </w:tr>
      <w:tr w:rsidR="005F6827" w:rsidRPr="00452BB2" w14:paraId="3D586D1D"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44370FB4" w14:textId="77777777" w:rsidR="005F6827" w:rsidRPr="000613C9" w:rsidRDefault="005F6827" w:rsidP="005F6827">
            <w:pPr>
              <w:rPr>
                <w:b w:val="0"/>
                <w:bCs w:val="0"/>
                <w:i/>
                <w:sz w:val="20"/>
                <w:szCs w:val="20"/>
                <w:lang w:eastAsia="en-AU"/>
              </w:rPr>
            </w:pPr>
            <w:r w:rsidRPr="000613C9">
              <w:rPr>
                <w:i/>
                <w:sz w:val="20"/>
                <w:szCs w:val="20"/>
                <w:lang w:eastAsia="en-AU"/>
              </w:rPr>
              <w:t>Unlawful Entry With Intent - Shop</w:t>
            </w:r>
          </w:p>
        </w:tc>
        <w:tc>
          <w:tcPr>
            <w:tcW w:w="703" w:type="pct"/>
            <w:noWrap/>
          </w:tcPr>
          <w:p w14:paraId="0F624FF9"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28</w:t>
            </w:r>
          </w:p>
        </w:tc>
        <w:tc>
          <w:tcPr>
            <w:tcW w:w="782" w:type="pct"/>
            <w:noWrap/>
          </w:tcPr>
          <w:p w14:paraId="49A2C64B"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15</w:t>
            </w:r>
          </w:p>
        </w:tc>
        <w:tc>
          <w:tcPr>
            <w:tcW w:w="781" w:type="pct"/>
          </w:tcPr>
          <w:p w14:paraId="049E05FD"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2,012</w:t>
            </w:r>
          </w:p>
        </w:tc>
      </w:tr>
      <w:tr w:rsidR="005F6827" w:rsidRPr="00452BB2" w14:paraId="74CA693F"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045EBFD7" w14:textId="77777777" w:rsidR="005F6827" w:rsidRPr="000613C9" w:rsidRDefault="005F6827" w:rsidP="005F6827">
            <w:pPr>
              <w:rPr>
                <w:b w:val="0"/>
                <w:bCs w:val="0"/>
                <w:i/>
                <w:sz w:val="20"/>
                <w:szCs w:val="20"/>
                <w:lang w:eastAsia="en-AU"/>
              </w:rPr>
            </w:pPr>
            <w:r w:rsidRPr="000613C9">
              <w:rPr>
                <w:i/>
                <w:sz w:val="20"/>
                <w:szCs w:val="20"/>
                <w:lang w:eastAsia="en-AU"/>
              </w:rPr>
              <w:t>Unlawful Entry With Intent - Other</w:t>
            </w:r>
          </w:p>
        </w:tc>
        <w:tc>
          <w:tcPr>
            <w:tcW w:w="703" w:type="pct"/>
            <w:noWrap/>
          </w:tcPr>
          <w:p w14:paraId="41F24777"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185</w:t>
            </w:r>
          </w:p>
        </w:tc>
        <w:tc>
          <w:tcPr>
            <w:tcW w:w="782" w:type="pct"/>
            <w:noWrap/>
          </w:tcPr>
          <w:p w14:paraId="06AC6817"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148</w:t>
            </w:r>
          </w:p>
        </w:tc>
        <w:tc>
          <w:tcPr>
            <w:tcW w:w="781" w:type="pct"/>
          </w:tcPr>
          <w:p w14:paraId="1F21F540"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13,182</w:t>
            </w:r>
          </w:p>
        </w:tc>
      </w:tr>
      <w:tr w:rsidR="005F6827" w:rsidRPr="00452BB2" w14:paraId="2C0FA157"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14347D4A" w14:textId="77777777" w:rsidR="005F6827" w:rsidRPr="000613C9" w:rsidRDefault="005F6827" w:rsidP="005F6827">
            <w:pPr>
              <w:rPr>
                <w:sz w:val="20"/>
                <w:szCs w:val="20"/>
                <w:lang w:eastAsia="en-AU"/>
              </w:rPr>
            </w:pPr>
            <w:r w:rsidRPr="00452BB2">
              <w:rPr>
                <w:sz w:val="20"/>
                <w:szCs w:val="20"/>
                <w:lang w:eastAsia="en-AU"/>
              </w:rPr>
              <w:t>Arson</w:t>
            </w:r>
          </w:p>
        </w:tc>
        <w:tc>
          <w:tcPr>
            <w:tcW w:w="703" w:type="pct"/>
            <w:noWrap/>
          </w:tcPr>
          <w:p w14:paraId="3CB74CD6"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11</w:t>
            </w:r>
          </w:p>
        </w:tc>
        <w:tc>
          <w:tcPr>
            <w:tcW w:w="782" w:type="pct"/>
            <w:noWrap/>
          </w:tcPr>
          <w:p w14:paraId="5F0B761F"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11</w:t>
            </w:r>
          </w:p>
        </w:tc>
        <w:tc>
          <w:tcPr>
            <w:tcW w:w="781" w:type="pct"/>
          </w:tcPr>
          <w:p w14:paraId="55BF6EEF"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1,297</w:t>
            </w:r>
          </w:p>
        </w:tc>
      </w:tr>
      <w:tr w:rsidR="005F6827" w:rsidRPr="00452BB2" w14:paraId="6781B853"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6EAD4A43" w14:textId="77777777" w:rsidR="005F6827" w:rsidRPr="000613C9" w:rsidRDefault="005F6827" w:rsidP="005F6827">
            <w:pPr>
              <w:rPr>
                <w:sz w:val="20"/>
                <w:szCs w:val="20"/>
                <w:lang w:eastAsia="en-AU"/>
              </w:rPr>
            </w:pPr>
            <w:r w:rsidRPr="00452BB2">
              <w:rPr>
                <w:sz w:val="20"/>
                <w:szCs w:val="20"/>
                <w:lang w:eastAsia="en-AU"/>
              </w:rPr>
              <w:t>Other Property Damage</w:t>
            </w:r>
          </w:p>
        </w:tc>
        <w:tc>
          <w:tcPr>
            <w:tcW w:w="703" w:type="pct"/>
            <w:noWrap/>
          </w:tcPr>
          <w:p w14:paraId="0906ED5F" w14:textId="77777777" w:rsidR="005F6827" w:rsidRPr="000A099C" w:rsidRDefault="005F6827" w:rsidP="005F6827">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0A099C">
              <w:rPr>
                <w:b/>
                <w:sz w:val="20"/>
                <w:szCs w:val="20"/>
                <w:lang w:eastAsia="en-AU"/>
              </w:rPr>
              <w:t>594</w:t>
            </w:r>
          </w:p>
        </w:tc>
        <w:tc>
          <w:tcPr>
            <w:tcW w:w="782" w:type="pct"/>
            <w:noWrap/>
          </w:tcPr>
          <w:p w14:paraId="69CD00E5" w14:textId="77777777" w:rsidR="005F6827" w:rsidRPr="000A099C" w:rsidRDefault="005F6827" w:rsidP="005F6827">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0A099C">
              <w:rPr>
                <w:b/>
                <w:sz w:val="20"/>
                <w:szCs w:val="20"/>
                <w:lang w:eastAsia="en-AU"/>
              </w:rPr>
              <w:t>472</w:t>
            </w:r>
          </w:p>
        </w:tc>
        <w:tc>
          <w:tcPr>
            <w:tcW w:w="781" w:type="pct"/>
          </w:tcPr>
          <w:p w14:paraId="78A8318C" w14:textId="77777777" w:rsidR="005F6827" w:rsidRPr="000A099C" w:rsidRDefault="005F6827" w:rsidP="005F6827">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0A099C">
              <w:rPr>
                <w:b/>
                <w:sz w:val="20"/>
                <w:szCs w:val="20"/>
                <w:lang w:eastAsia="en-AU"/>
              </w:rPr>
              <w:t>36,781</w:t>
            </w:r>
          </w:p>
        </w:tc>
      </w:tr>
      <w:tr w:rsidR="005F6827" w:rsidRPr="00452BB2" w14:paraId="2D0BE0D6"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76893AB7" w14:textId="77777777" w:rsidR="005F6827" w:rsidRPr="000613C9" w:rsidRDefault="005F6827" w:rsidP="005F6827">
            <w:pPr>
              <w:rPr>
                <w:sz w:val="20"/>
                <w:szCs w:val="20"/>
                <w:lang w:eastAsia="en-AU"/>
              </w:rPr>
            </w:pPr>
            <w:r w:rsidRPr="00452BB2">
              <w:rPr>
                <w:sz w:val="20"/>
                <w:szCs w:val="20"/>
                <w:lang w:eastAsia="en-AU"/>
              </w:rPr>
              <w:t>Unlawful Use of Motor Vehicle</w:t>
            </w:r>
          </w:p>
        </w:tc>
        <w:tc>
          <w:tcPr>
            <w:tcW w:w="703" w:type="pct"/>
            <w:noWrap/>
          </w:tcPr>
          <w:p w14:paraId="099E7445"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136</w:t>
            </w:r>
          </w:p>
        </w:tc>
        <w:tc>
          <w:tcPr>
            <w:tcW w:w="782" w:type="pct"/>
            <w:noWrap/>
          </w:tcPr>
          <w:p w14:paraId="1EDF433A"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138</w:t>
            </w:r>
          </w:p>
        </w:tc>
        <w:tc>
          <w:tcPr>
            <w:tcW w:w="781" w:type="pct"/>
          </w:tcPr>
          <w:p w14:paraId="7622B879"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13,960</w:t>
            </w:r>
          </w:p>
        </w:tc>
      </w:tr>
      <w:tr w:rsidR="005F6827" w:rsidRPr="00452BB2" w14:paraId="3DA329F4"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3BBD345B" w14:textId="77777777" w:rsidR="005F6827" w:rsidRPr="000613C9" w:rsidRDefault="005F6827" w:rsidP="005F6827">
            <w:pPr>
              <w:rPr>
                <w:sz w:val="20"/>
                <w:szCs w:val="20"/>
                <w:lang w:eastAsia="en-AU"/>
              </w:rPr>
            </w:pPr>
            <w:r w:rsidRPr="00452BB2">
              <w:rPr>
                <w:sz w:val="20"/>
                <w:szCs w:val="20"/>
                <w:lang w:eastAsia="en-AU"/>
              </w:rPr>
              <w:t>Other Theft (excl. Unlawful Entry)</w:t>
            </w:r>
          </w:p>
        </w:tc>
        <w:tc>
          <w:tcPr>
            <w:tcW w:w="703" w:type="pct"/>
            <w:noWrap/>
          </w:tcPr>
          <w:p w14:paraId="648E4CE4" w14:textId="77777777" w:rsidR="005F6827" w:rsidRPr="000A099C" w:rsidRDefault="005F6827" w:rsidP="005F6827">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0A099C">
              <w:rPr>
                <w:b/>
                <w:sz w:val="20"/>
                <w:szCs w:val="20"/>
                <w:lang w:eastAsia="en-AU"/>
              </w:rPr>
              <w:t>1,716</w:t>
            </w:r>
          </w:p>
        </w:tc>
        <w:tc>
          <w:tcPr>
            <w:tcW w:w="782" w:type="pct"/>
            <w:noWrap/>
          </w:tcPr>
          <w:p w14:paraId="4228ABC2" w14:textId="77777777" w:rsidR="005F6827" w:rsidRPr="000A099C" w:rsidRDefault="005F6827" w:rsidP="005F6827">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0A099C">
              <w:rPr>
                <w:b/>
                <w:sz w:val="20"/>
                <w:szCs w:val="20"/>
                <w:lang w:eastAsia="en-AU"/>
              </w:rPr>
              <w:t>1,249</w:t>
            </w:r>
          </w:p>
        </w:tc>
        <w:tc>
          <w:tcPr>
            <w:tcW w:w="781" w:type="pct"/>
          </w:tcPr>
          <w:p w14:paraId="2D51FEA7" w14:textId="77777777" w:rsidR="005F6827" w:rsidRPr="000A099C" w:rsidRDefault="005F6827" w:rsidP="005F6827">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0A099C">
              <w:rPr>
                <w:b/>
                <w:sz w:val="20"/>
                <w:szCs w:val="20"/>
                <w:lang w:eastAsia="en-AU"/>
              </w:rPr>
              <w:t>126,400</w:t>
            </w:r>
          </w:p>
        </w:tc>
      </w:tr>
      <w:tr w:rsidR="005F6827" w:rsidRPr="00452BB2" w14:paraId="6E6A1920"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378D54F3" w14:textId="77777777" w:rsidR="005F6827" w:rsidRPr="000613C9" w:rsidRDefault="005F6827" w:rsidP="005F6827">
            <w:pPr>
              <w:rPr>
                <w:b w:val="0"/>
                <w:bCs w:val="0"/>
                <w:i/>
                <w:sz w:val="20"/>
                <w:szCs w:val="20"/>
                <w:lang w:eastAsia="en-AU"/>
              </w:rPr>
            </w:pPr>
            <w:r w:rsidRPr="000613C9">
              <w:rPr>
                <w:i/>
                <w:sz w:val="20"/>
                <w:szCs w:val="20"/>
                <w:lang w:eastAsia="en-AU"/>
              </w:rPr>
              <w:t>Stealing from Dwellings</w:t>
            </w:r>
          </w:p>
        </w:tc>
        <w:tc>
          <w:tcPr>
            <w:tcW w:w="703" w:type="pct"/>
            <w:noWrap/>
          </w:tcPr>
          <w:p w14:paraId="4400C9EA"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181</w:t>
            </w:r>
          </w:p>
        </w:tc>
        <w:tc>
          <w:tcPr>
            <w:tcW w:w="782" w:type="pct"/>
            <w:noWrap/>
          </w:tcPr>
          <w:p w14:paraId="6D4EF577"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148</w:t>
            </w:r>
          </w:p>
        </w:tc>
        <w:tc>
          <w:tcPr>
            <w:tcW w:w="781" w:type="pct"/>
          </w:tcPr>
          <w:p w14:paraId="092BBFCF"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8,681</w:t>
            </w:r>
          </w:p>
        </w:tc>
      </w:tr>
      <w:tr w:rsidR="005F6827" w:rsidRPr="00452BB2" w14:paraId="0F32273D"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7752D1EA" w14:textId="77777777" w:rsidR="005F6827" w:rsidRPr="000613C9" w:rsidRDefault="005F6827" w:rsidP="005F6827">
            <w:pPr>
              <w:rPr>
                <w:b w:val="0"/>
                <w:bCs w:val="0"/>
                <w:i/>
                <w:sz w:val="20"/>
                <w:szCs w:val="20"/>
                <w:lang w:eastAsia="en-AU"/>
              </w:rPr>
            </w:pPr>
            <w:r w:rsidRPr="000613C9">
              <w:rPr>
                <w:i/>
                <w:sz w:val="20"/>
                <w:szCs w:val="20"/>
                <w:lang w:eastAsia="en-AU"/>
              </w:rPr>
              <w:t>Shop Stealing</w:t>
            </w:r>
          </w:p>
        </w:tc>
        <w:tc>
          <w:tcPr>
            <w:tcW w:w="703" w:type="pct"/>
            <w:noWrap/>
          </w:tcPr>
          <w:p w14:paraId="3F4BF06C"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483</w:t>
            </w:r>
          </w:p>
        </w:tc>
        <w:tc>
          <w:tcPr>
            <w:tcW w:w="782" w:type="pct"/>
            <w:noWrap/>
          </w:tcPr>
          <w:p w14:paraId="5F534729"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255</w:t>
            </w:r>
          </w:p>
        </w:tc>
        <w:tc>
          <w:tcPr>
            <w:tcW w:w="781" w:type="pct"/>
          </w:tcPr>
          <w:p w14:paraId="18DDC743"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24,489</w:t>
            </w:r>
          </w:p>
        </w:tc>
      </w:tr>
      <w:tr w:rsidR="005F6827" w:rsidRPr="00452BB2" w14:paraId="0E63B683"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12181718" w14:textId="77777777" w:rsidR="005F6827" w:rsidRPr="000613C9" w:rsidRDefault="005F6827" w:rsidP="005F6827">
            <w:pPr>
              <w:rPr>
                <w:b w:val="0"/>
                <w:bCs w:val="0"/>
                <w:i/>
                <w:sz w:val="20"/>
                <w:szCs w:val="20"/>
                <w:lang w:eastAsia="en-AU"/>
              </w:rPr>
            </w:pPr>
            <w:r w:rsidRPr="000613C9">
              <w:rPr>
                <w:i/>
                <w:sz w:val="20"/>
                <w:szCs w:val="20"/>
                <w:lang w:eastAsia="en-AU"/>
              </w:rPr>
              <w:t>Vehicles (steal from/enter with intent)</w:t>
            </w:r>
          </w:p>
        </w:tc>
        <w:tc>
          <w:tcPr>
            <w:tcW w:w="703" w:type="pct"/>
            <w:noWrap/>
          </w:tcPr>
          <w:p w14:paraId="413AB595"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395</w:t>
            </w:r>
          </w:p>
        </w:tc>
        <w:tc>
          <w:tcPr>
            <w:tcW w:w="782" w:type="pct"/>
            <w:noWrap/>
          </w:tcPr>
          <w:p w14:paraId="0454E202"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303</w:t>
            </w:r>
          </w:p>
        </w:tc>
        <w:tc>
          <w:tcPr>
            <w:tcW w:w="781" w:type="pct"/>
          </w:tcPr>
          <w:p w14:paraId="476F2824"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31,058</w:t>
            </w:r>
          </w:p>
        </w:tc>
      </w:tr>
      <w:tr w:rsidR="005F6827" w:rsidRPr="00452BB2" w14:paraId="651153EC"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225D735E" w14:textId="77777777" w:rsidR="005F6827" w:rsidRPr="000613C9" w:rsidRDefault="005F6827" w:rsidP="005F6827">
            <w:pPr>
              <w:rPr>
                <w:b w:val="0"/>
                <w:bCs w:val="0"/>
                <w:i/>
                <w:sz w:val="20"/>
                <w:szCs w:val="20"/>
                <w:lang w:eastAsia="en-AU"/>
              </w:rPr>
            </w:pPr>
            <w:r w:rsidRPr="000613C9">
              <w:rPr>
                <w:i/>
                <w:sz w:val="20"/>
                <w:szCs w:val="20"/>
                <w:lang w:eastAsia="en-AU"/>
              </w:rPr>
              <w:t>Other Stealing</w:t>
            </w:r>
          </w:p>
        </w:tc>
        <w:tc>
          <w:tcPr>
            <w:tcW w:w="703" w:type="pct"/>
            <w:noWrap/>
          </w:tcPr>
          <w:p w14:paraId="761FA454"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657</w:t>
            </w:r>
          </w:p>
        </w:tc>
        <w:tc>
          <w:tcPr>
            <w:tcW w:w="782" w:type="pct"/>
            <w:noWrap/>
          </w:tcPr>
          <w:p w14:paraId="36F019C9"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543</w:t>
            </w:r>
          </w:p>
        </w:tc>
        <w:tc>
          <w:tcPr>
            <w:tcW w:w="781" w:type="pct"/>
          </w:tcPr>
          <w:p w14:paraId="341A03D2"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62,172</w:t>
            </w:r>
          </w:p>
        </w:tc>
      </w:tr>
      <w:tr w:rsidR="005F6827" w:rsidRPr="00452BB2" w14:paraId="04108E09"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64CD6D42" w14:textId="77777777" w:rsidR="005F6827" w:rsidRPr="000613C9" w:rsidRDefault="005F6827" w:rsidP="005F6827">
            <w:pPr>
              <w:rPr>
                <w:sz w:val="20"/>
                <w:szCs w:val="20"/>
                <w:lang w:eastAsia="en-AU"/>
              </w:rPr>
            </w:pPr>
            <w:r w:rsidRPr="00452BB2">
              <w:rPr>
                <w:sz w:val="20"/>
                <w:szCs w:val="20"/>
                <w:lang w:eastAsia="en-AU"/>
              </w:rPr>
              <w:t>Fraud</w:t>
            </w:r>
          </w:p>
        </w:tc>
        <w:tc>
          <w:tcPr>
            <w:tcW w:w="703" w:type="pct"/>
            <w:noWrap/>
          </w:tcPr>
          <w:p w14:paraId="37E565BA"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390</w:t>
            </w:r>
          </w:p>
        </w:tc>
        <w:tc>
          <w:tcPr>
            <w:tcW w:w="782" w:type="pct"/>
            <w:noWrap/>
          </w:tcPr>
          <w:p w14:paraId="767C67DC"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363</w:t>
            </w:r>
          </w:p>
        </w:tc>
        <w:tc>
          <w:tcPr>
            <w:tcW w:w="781" w:type="pct"/>
          </w:tcPr>
          <w:p w14:paraId="1DA95437"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29,145</w:t>
            </w:r>
          </w:p>
        </w:tc>
      </w:tr>
      <w:tr w:rsidR="005F6827" w:rsidRPr="00452BB2" w14:paraId="046657A3"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0A25B0C3" w14:textId="77777777" w:rsidR="005F6827" w:rsidRPr="000613C9" w:rsidRDefault="005F6827" w:rsidP="005F6827">
            <w:pPr>
              <w:rPr>
                <w:b w:val="0"/>
                <w:bCs w:val="0"/>
                <w:i/>
                <w:sz w:val="20"/>
                <w:szCs w:val="20"/>
                <w:lang w:eastAsia="en-AU"/>
              </w:rPr>
            </w:pPr>
            <w:r w:rsidRPr="000613C9">
              <w:rPr>
                <w:i/>
                <w:sz w:val="20"/>
                <w:szCs w:val="20"/>
                <w:lang w:eastAsia="en-AU"/>
              </w:rPr>
              <w:t>Fraud by Computer</w:t>
            </w:r>
          </w:p>
        </w:tc>
        <w:tc>
          <w:tcPr>
            <w:tcW w:w="703" w:type="pct"/>
            <w:noWrap/>
          </w:tcPr>
          <w:p w14:paraId="62FAD2DF"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w:t>
            </w:r>
          </w:p>
        </w:tc>
        <w:tc>
          <w:tcPr>
            <w:tcW w:w="782" w:type="pct"/>
            <w:noWrap/>
          </w:tcPr>
          <w:p w14:paraId="4B78B164"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7</w:t>
            </w:r>
          </w:p>
        </w:tc>
        <w:tc>
          <w:tcPr>
            <w:tcW w:w="781" w:type="pct"/>
          </w:tcPr>
          <w:p w14:paraId="703A373F"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626</w:t>
            </w:r>
          </w:p>
        </w:tc>
      </w:tr>
      <w:tr w:rsidR="005F6827" w:rsidRPr="00452BB2" w14:paraId="4E653F94"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653CC37B" w14:textId="77777777" w:rsidR="005F6827" w:rsidRPr="000613C9" w:rsidRDefault="005F6827" w:rsidP="005F6827">
            <w:pPr>
              <w:rPr>
                <w:b w:val="0"/>
                <w:bCs w:val="0"/>
                <w:i/>
                <w:sz w:val="20"/>
                <w:szCs w:val="20"/>
                <w:lang w:eastAsia="en-AU"/>
              </w:rPr>
            </w:pPr>
            <w:r w:rsidRPr="000613C9">
              <w:rPr>
                <w:i/>
                <w:sz w:val="20"/>
                <w:szCs w:val="20"/>
                <w:lang w:eastAsia="en-AU"/>
              </w:rPr>
              <w:t>Fraud by Cheque</w:t>
            </w:r>
          </w:p>
        </w:tc>
        <w:tc>
          <w:tcPr>
            <w:tcW w:w="703" w:type="pct"/>
            <w:noWrap/>
          </w:tcPr>
          <w:p w14:paraId="67243985"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82" w:type="pct"/>
            <w:noWrap/>
          </w:tcPr>
          <w:p w14:paraId="73BF9C79"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w:t>
            </w:r>
          </w:p>
        </w:tc>
        <w:tc>
          <w:tcPr>
            <w:tcW w:w="781" w:type="pct"/>
          </w:tcPr>
          <w:p w14:paraId="18E2C326"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124</w:t>
            </w:r>
          </w:p>
        </w:tc>
      </w:tr>
      <w:tr w:rsidR="005F6827" w:rsidRPr="00452BB2" w14:paraId="7BDD238A"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1D44E224" w14:textId="77777777" w:rsidR="005F6827" w:rsidRPr="000613C9" w:rsidRDefault="005F6827" w:rsidP="005F6827">
            <w:pPr>
              <w:rPr>
                <w:b w:val="0"/>
                <w:bCs w:val="0"/>
                <w:i/>
                <w:sz w:val="20"/>
                <w:szCs w:val="20"/>
                <w:lang w:eastAsia="en-AU"/>
              </w:rPr>
            </w:pPr>
            <w:r w:rsidRPr="000613C9">
              <w:rPr>
                <w:i/>
                <w:sz w:val="20"/>
                <w:szCs w:val="20"/>
                <w:lang w:eastAsia="en-AU"/>
              </w:rPr>
              <w:t>Fraud by Credit Card</w:t>
            </w:r>
          </w:p>
        </w:tc>
        <w:tc>
          <w:tcPr>
            <w:tcW w:w="703" w:type="pct"/>
            <w:noWrap/>
          </w:tcPr>
          <w:p w14:paraId="76A43C97"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300</w:t>
            </w:r>
          </w:p>
        </w:tc>
        <w:tc>
          <w:tcPr>
            <w:tcW w:w="782" w:type="pct"/>
            <w:noWrap/>
          </w:tcPr>
          <w:p w14:paraId="15B571EE"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218</w:t>
            </w:r>
          </w:p>
        </w:tc>
        <w:tc>
          <w:tcPr>
            <w:tcW w:w="781" w:type="pct"/>
          </w:tcPr>
          <w:p w14:paraId="6CE081B6"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15,375</w:t>
            </w:r>
          </w:p>
        </w:tc>
      </w:tr>
      <w:tr w:rsidR="005F6827" w:rsidRPr="00452BB2" w14:paraId="1AC91179"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6DA97238" w14:textId="77777777" w:rsidR="005F6827" w:rsidRPr="000613C9" w:rsidRDefault="005F6827" w:rsidP="005F6827">
            <w:pPr>
              <w:rPr>
                <w:b w:val="0"/>
                <w:bCs w:val="0"/>
                <w:i/>
                <w:sz w:val="20"/>
                <w:szCs w:val="20"/>
                <w:lang w:eastAsia="en-AU"/>
              </w:rPr>
            </w:pPr>
            <w:r w:rsidRPr="000613C9">
              <w:rPr>
                <w:i/>
                <w:sz w:val="20"/>
                <w:szCs w:val="20"/>
                <w:lang w:eastAsia="en-AU"/>
              </w:rPr>
              <w:t>Identity Fraud</w:t>
            </w:r>
          </w:p>
        </w:tc>
        <w:tc>
          <w:tcPr>
            <w:tcW w:w="703" w:type="pct"/>
            <w:noWrap/>
          </w:tcPr>
          <w:p w14:paraId="188FCFBF"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7</w:t>
            </w:r>
          </w:p>
        </w:tc>
        <w:tc>
          <w:tcPr>
            <w:tcW w:w="782" w:type="pct"/>
            <w:noWrap/>
          </w:tcPr>
          <w:p w14:paraId="6021A089"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16</w:t>
            </w:r>
          </w:p>
        </w:tc>
        <w:tc>
          <w:tcPr>
            <w:tcW w:w="781" w:type="pct"/>
          </w:tcPr>
          <w:p w14:paraId="051892EC"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2,114</w:t>
            </w:r>
          </w:p>
        </w:tc>
      </w:tr>
      <w:tr w:rsidR="005F6827" w:rsidRPr="00452BB2" w14:paraId="4A4BD429"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2EB0091A" w14:textId="77777777" w:rsidR="005F6827" w:rsidRPr="000613C9" w:rsidRDefault="005F6827" w:rsidP="005F6827">
            <w:pPr>
              <w:rPr>
                <w:b w:val="0"/>
                <w:bCs w:val="0"/>
                <w:i/>
                <w:sz w:val="20"/>
                <w:szCs w:val="20"/>
                <w:lang w:eastAsia="en-AU"/>
              </w:rPr>
            </w:pPr>
            <w:r w:rsidRPr="000613C9">
              <w:rPr>
                <w:i/>
                <w:sz w:val="20"/>
                <w:szCs w:val="20"/>
                <w:lang w:eastAsia="en-AU"/>
              </w:rPr>
              <w:t>Other Fraud</w:t>
            </w:r>
          </w:p>
        </w:tc>
        <w:tc>
          <w:tcPr>
            <w:tcW w:w="703" w:type="pct"/>
            <w:noWrap/>
          </w:tcPr>
          <w:p w14:paraId="325A027D"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80</w:t>
            </w:r>
          </w:p>
        </w:tc>
        <w:tc>
          <w:tcPr>
            <w:tcW w:w="782" w:type="pct"/>
            <w:noWrap/>
          </w:tcPr>
          <w:p w14:paraId="421E394C"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121</w:t>
            </w:r>
          </w:p>
        </w:tc>
        <w:tc>
          <w:tcPr>
            <w:tcW w:w="781" w:type="pct"/>
          </w:tcPr>
          <w:p w14:paraId="1C88E1D1"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10,906</w:t>
            </w:r>
          </w:p>
        </w:tc>
      </w:tr>
      <w:tr w:rsidR="005F6827" w:rsidRPr="00452BB2" w14:paraId="17F08330"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5A16FC70" w14:textId="77777777" w:rsidR="005F6827" w:rsidRPr="000613C9" w:rsidRDefault="005F6827" w:rsidP="005F6827">
            <w:pPr>
              <w:rPr>
                <w:sz w:val="20"/>
                <w:szCs w:val="20"/>
                <w:lang w:eastAsia="en-AU"/>
              </w:rPr>
            </w:pPr>
            <w:r w:rsidRPr="00452BB2">
              <w:rPr>
                <w:sz w:val="20"/>
                <w:szCs w:val="20"/>
                <w:lang w:eastAsia="en-AU"/>
              </w:rPr>
              <w:t>Handling Stolen Goods</w:t>
            </w:r>
          </w:p>
        </w:tc>
        <w:tc>
          <w:tcPr>
            <w:tcW w:w="703" w:type="pct"/>
            <w:noWrap/>
          </w:tcPr>
          <w:p w14:paraId="3EDF42D5"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62</w:t>
            </w:r>
          </w:p>
        </w:tc>
        <w:tc>
          <w:tcPr>
            <w:tcW w:w="782" w:type="pct"/>
            <w:noWrap/>
          </w:tcPr>
          <w:p w14:paraId="1613BFAC"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68</w:t>
            </w:r>
          </w:p>
        </w:tc>
        <w:tc>
          <w:tcPr>
            <w:tcW w:w="781" w:type="pct"/>
          </w:tcPr>
          <w:p w14:paraId="0EACD83E" w14:textId="77777777" w:rsidR="005F6827" w:rsidRPr="000A099C" w:rsidRDefault="005F6827" w:rsidP="005F6827">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A099C">
              <w:rPr>
                <w:b/>
                <w:sz w:val="20"/>
                <w:szCs w:val="20"/>
                <w:lang w:eastAsia="en-AU"/>
              </w:rPr>
              <w:t>6,469</w:t>
            </w:r>
          </w:p>
        </w:tc>
      </w:tr>
      <w:tr w:rsidR="005F6827" w:rsidRPr="00452BB2" w14:paraId="19A857B0"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00E598EA" w14:textId="77777777" w:rsidR="005F6827" w:rsidRPr="000613C9" w:rsidRDefault="005F6827" w:rsidP="005F6827">
            <w:pPr>
              <w:rPr>
                <w:b w:val="0"/>
                <w:bCs w:val="0"/>
                <w:i/>
                <w:sz w:val="20"/>
                <w:szCs w:val="20"/>
                <w:lang w:eastAsia="en-AU"/>
              </w:rPr>
            </w:pPr>
            <w:r w:rsidRPr="000613C9">
              <w:rPr>
                <w:i/>
                <w:sz w:val="20"/>
                <w:szCs w:val="20"/>
                <w:lang w:eastAsia="en-AU"/>
              </w:rPr>
              <w:t>Possess Property Suspected Stolen</w:t>
            </w:r>
          </w:p>
        </w:tc>
        <w:tc>
          <w:tcPr>
            <w:tcW w:w="703" w:type="pct"/>
            <w:noWrap/>
          </w:tcPr>
          <w:p w14:paraId="0327FFA2"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35</w:t>
            </w:r>
          </w:p>
        </w:tc>
        <w:tc>
          <w:tcPr>
            <w:tcW w:w="782" w:type="pct"/>
            <w:noWrap/>
          </w:tcPr>
          <w:p w14:paraId="3086AD4A"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22</w:t>
            </w:r>
          </w:p>
        </w:tc>
        <w:tc>
          <w:tcPr>
            <w:tcW w:w="781" w:type="pct"/>
          </w:tcPr>
          <w:p w14:paraId="39B2C124"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2,919</w:t>
            </w:r>
          </w:p>
        </w:tc>
      </w:tr>
      <w:tr w:rsidR="005F6827" w:rsidRPr="00452BB2" w14:paraId="6F324908"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6A38AF63" w14:textId="77777777" w:rsidR="005F6827" w:rsidRPr="000613C9" w:rsidRDefault="005F6827" w:rsidP="005F6827">
            <w:pPr>
              <w:rPr>
                <w:b w:val="0"/>
                <w:bCs w:val="0"/>
                <w:i/>
                <w:sz w:val="20"/>
                <w:szCs w:val="20"/>
                <w:lang w:eastAsia="en-AU"/>
              </w:rPr>
            </w:pPr>
            <w:r w:rsidRPr="000613C9">
              <w:rPr>
                <w:i/>
                <w:sz w:val="20"/>
                <w:szCs w:val="20"/>
                <w:lang w:eastAsia="en-AU"/>
              </w:rPr>
              <w:t>Receiving Stolen Property</w:t>
            </w:r>
          </w:p>
        </w:tc>
        <w:tc>
          <w:tcPr>
            <w:tcW w:w="703" w:type="pct"/>
            <w:noWrap/>
          </w:tcPr>
          <w:p w14:paraId="1BAD4880"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5</w:t>
            </w:r>
          </w:p>
        </w:tc>
        <w:tc>
          <w:tcPr>
            <w:tcW w:w="782" w:type="pct"/>
            <w:noWrap/>
          </w:tcPr>
          <w:p w14:paraId="61C320AD"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4</w:t>
            </w:r>
          </w:p>
        </w:tc>
        <w:tc>
          <w:tcPr>
            <w:tcW w:w="781" w:type="pct"/>
          </w:tcPr>
          <w:p w14:paraId="15C9864F"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387</w:t>
            </w:r>
          </w:p>
        </w:tc>
      </w:tr>
      <w:tr w:rsidR="005F6827" w:rsidRPr="00452BB2" w14:paraId="5F276A94"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7728AAEB" w14:textId="77777777" w:rsidR="005F6827" w:rsidRPr="000613C9" w:rsidRDefault="005F6827" w:rsidP="005F6827">
            <w:pPr>
              <w:rPr>
                <w:b w:val="0"/>
                <w:bCs w:val="0"/>
                <w:i/>
                <w:sz w:val="20"/>
                <w:szCs w:val="20"/>
                <w:lang w:eastAsia="en-AU"/>
              </w:rPr>
            </w:pPr>
            <w:r w:rsidRPr="000613C9">
              <w:rPr>
                <w:i/>
                <w:sz w:val="20"/>
                <w:szCs w:val="20"/>
                <w:lang w:eastAsia="en-AU"/>
              </w:rPr>
              <w:t>Possess etc. Tainted Property</w:t>
            </w:r>
          </w:p>
        </w:tc>
        <w:tc>
          <w:tcPr>
            <w:tcW w:w="703" w:type="pct"/>
            <w:noWrap/>
          </w:tcPr>
          <w:p w14:paraId="6E31F2AD"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22</w:t>
            </w:r>
          </w:p>
        </w:tc>
        <w:tc>
          <w:tcPr>
            <w:tcW w:w="782" w:type="pct"/>
            <w:noWrap/>
          </w:tcPr>
          <w:p w14:paraId="0D37DA0D"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41</w:t>
            </w:r>
          </w:p>
        </w:tc>
        <w:tc>
          <w:tcPr>
            <w:tcW w:w="781" w:type="pct"/>
          </w:tcPr>
          <w:p w14:paraId="32B4DA4C" w14:textId="77777777" w:rsidR="005F6827" w:rsidRPr="000613C9" w:rsidRDefault="005F6827" w:rsidP="005F6827">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3,088</w:t>
            </w:r>
          </w:p>
        </w:tc>
      </w:tr>
      <w:tr w:rsidR="005F6827" w:rsidRPr="00452BB2" w14:paraId="7BE9998C" w14:textId="77777777" w:rsidTr="00A4064D">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063088DC" w14:textId="77777777" w:rsidR="005F6827" w:rsidRPr="000613C9" w:rsidRDefault="005F6827" w:rsidP="005F6827">
            <w:pPr>
              <w:rPr>
                <w:b w:val="0"/>
                <w:bCs w:val="0"/>
                <w:i/>
                <w:sz w:val="20"/>
                <w:szCs w:val="20"/>
                <w:lang w:eastAsia="en-AU"/>
              </w:rPr>
            </w:pPr>
            <w:r w:rsidRPr="000613C9">
              <w:rPr>
                <w:i/>
                <w:sz w:val="20"/>
                <w:szCs w:val="20"/>
                <w:lang w:eastAsia="en-AU"/>
              </w:rPr>
              <w:t>Other Handling Stolen Goods</w:t>
            </w:r>
          </w:p>
        </w:tc>
        <w:tc>
          <w:tcPr>
            <w:tcW w:w="703" w:type="pct"/>
            <w:noWrap/>
          </w:tcPr>
          <w:p w14:paraId="0EFF1247"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82" w:type="pct"/>
            <w:noWrap/>
          </w:tcPr>
          <w:p w14:paraId="6A6CE3AA"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w:t>
            </w:r>
          </w:p>
        </w:tc>
        <w:tc>
          <w:tcPr>
            <w:tcW w:w="781" w:type="pct"/>
          </w:tcPr>
          <w:p w14:paraId="6E66E199" w14:textId="77777777" w:rsidR="005F6827" w:rsidRPr="000613C9" w:rsidRDefault="005F6827" w:rsidP="005F6827">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75</w:t>
            </w:r>
          </w:p>
        </w:tc>
      </w:tr>
      <w:tr w:rsidR="005F6827" w:rsidRPr="001179F7" w14:paraId="49C5B840" w14:textId="77777777" w:rsidTr="00A4064D">
        <w:trPr>
          <w:trHeight w:val="306"/>
        </w:trPr>
        <w:tc>
          <w:tcPr>
            <w:cnfStyle w:val="001000000000" w:firstRow="0" w:lastRow="0" w:firstColumn="1" w:lastColumn="0" w:oddVBand="0" w:evenVBand="0" w:oddHBand="0" w:evenHBand="0" w:firstRowFirstColumn="0" w:firstRowLastColumn="0" w:lastRowFirstColumn="0" w:lastRowLastColumn="0"/>
            <w:tcW w:w="2734" w:type="pct"/>
            <w:noWrap/>
            <w:hideMark/>
          </w:tcPr>
          <w:p w14:paraId="4BB49083" w14:textId="77777777" w:rsidR="005F6827" w:rsidRPr="001179F7" w:rsidRDefault="005F6827" w:rsidP="005F6827">
            <w:pPr>
              <w:rPr>
                <w:sz w:val="20"/>
                <w:szCs w:val="20"/>
                <w:lang w:eastAsia="en-AU"/>
              </w:rPr>
            </w:pPr>
            <w:r w:rsidRPr="001179F7">
              <w:rPr>
                <w:sz w:val="20"/>
                <w:szCs w:val="20"/>
                <w:lang w:eastAsia="en-AU"/>
              </w:rPr>
              <w:t>Total Offences Against Property</w:t>
            </w:r>
          </w:p>
        </w:tc>
        <w:tc>
          <w:tcPr>
            <w:tcW w:w="703" w:type="pct"/>
            <w:noWrap/>
          </w:tcPr>
          <w:p w14:paraId="6918C6C8" w14:textId="77777777" w:rsidR="005F6827" w:rsidRPr="001179F7" w:rsidRDefault="005F6827" w:rsidP="005F6827">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3,408</w:t>
            </w:r>
          </w:p>
        </w:tc>
        <w:tc>
          <w:tcPr>
            <w:tcW w:w="782" w:type="pct"/>
            <w:noWrap/>
          </w:tcPr>
          <w:p w14:paraId="768ED4A6" w14:textId="77777777" w:rsidR="005F6827" w:rsidRPr="001179F7" w:rsidRDefault="005F6827" w:rsidP="005F6827">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2,759</w:t>
            </w:r>
          </w:p>
        </w:tc>
        <w:tc>
          <w:tcPr>
            <w:tcW w:w="781" w:type="pct"/>
          </w:tcPr>
          <w:p w14:paraId="6080D705" w14:textId="77777777" w:rsidR="005F6827" w:rsidRPr="001179F7" w:rsidRDefault="005F6827" w:rsidP="005F6827">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252,834</w:t>
            </w:r>
          </w:p>
        </w:tc>
      </w:tr>
    </w:tbl>
    <w:p w14:paraId="413A5C7F" w14:textId="77777777" w:rsidR="00E8435D" w:rsidRPr="00561030" w:rsidRDefault="00E8435D" w:rsidP="00561030">
      <w:pPr>
        <w:spacing w:after="0"/>
        <w:rPr>
          <w:i/>
          <w:sz w:val="18"/>
          <w:szCs w:val="18"/>
        </w:rPr>
      </w:pPr>
      <w:r w:rsidRPr="00461021">
        <w:rPr>
          <w:i/>
          <w:sz w:val="18"/>
          <w:szCs w:val="18"/>
        </w:rPr>
        <w:t xml:space="preserve">Source: </w:t>
      </w:r>
      <w:r w:rsidRPr="00561030">
        <w:rPr>
          <w:i/>
          <w:sz w:val="18"/>
          <w:szCs w:val="18"/>
        </w:rPr>
        <w:t>QPS offence statistics reported offences number.</w:t>
      </w:r>
    </w:p>
    <w:p w14:paraId="76FB4787" w14:textId="77777777" w:rsidR="0007733D" w:rsidRPr="0007733D" w:rsidRDefault="0007733D" w:rsidP="0007733D">
      <w:pPr>
        <w:rPr>
          <w:i/>
          <w:sz w:val="18"/>
          <w:szCs w:val="18"/>
          <w:lang w:val="en"/>
        </w:rPr>
      </w:pPr>
      <w:r>
        <w:rPr>
          <w:i/>
          <w:sz w:val="18"/>
          <w:szCs w:val="18"/>
          <w:lang w:val="en"/>
        </w:rPr>
        <w:t xml:space="preserve">Note: </w:t>
      </w:r>
      <w:r w:rsidRPr="0007733D">
        <w:rPr>
          <w:i/>
          <w:sz w:val="18"/>
          <w:szCs w:val="18"/>
          <w:lang w:val="en"/>
        </w:rPr>
        <w:t xml:space="preserve">Bundaberg and Hervey Bay are identified by using the QPS </w:t>
      </w:r>
      <w:r>
        <w:rPr>
          <w:i/>
          <w:sz w:val="18"/>
          <w:szCs w:val="18"/>
          <w:lang w:val="en"/>
        </w:rPr>
        <w:t xml:space="preserve">Statistics </w:t>
      </w:r>
      <w:r w:rsidRPr="0007733D">
        <w:rPr>
          <w:i/>
          <w:sz w:val="18"/>
          <w:szCs w:val="18"/>
          <w:lang w:val="en"/>
        </w:rPr>
        <w:t xml:space="preserve">geographical classification at the division level. </w:t>
      </w:r>
    </w:p>
    <w:p w14:paraId="5F6C200B" w14:textId="77777777" w:rsidR="008D6E98" w:rsidRDefault="008D6E98">
      <w:pPr>
        <w:jc w:val="left"/>
        <w:rPr>
          <w:rFonts w:cstheme="minorHAnsi"/>
          <w:b/>
          <w:bCs/>
          <w:caps/>
          <w:sz w:val="20"/>
          <w:szCs w:val="18"/>
        </w:rPr>
      </w:pPr>
      <w:bookmarkStart w:id="347" w:name="_Ref34834340"/>
      <w:r>
        <w:br w:type="page"/>
      </w:r>
    </w:p>
    <w:p w14:paraId="52163411" w14:textId="373E307D" w:rsidR="00D63E48" w:rsidRDefault="000851DE" w:rsidP="00031074">
      <w:pPr>
        <w:pStyle w:val="Caption"/>
      </w:pPr>
      <w:bookmarkStart w:id="348" w:name="_Ref36652910"/>
      <w:bookmarkStart w:id="349" w:name="_Toc37263603"/>
      <w:r>
        <w:lastRenderedPageBreak/>
        <w:t>Table</w:t>
      </w:r>
      <w:r w:rsidR="00031074">
        <w:t xml:space="preserv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5</w:t>
      </w:r>
      <w:r w:rsidR="006C0554">
        <w:rPr>
          <w:noProof/>
        </w:rPr>
        <w:fldChar w:fldCharType="end"/>
      </w:r>
      <w:bookmarkEnd w:id="347"/>
      <w:bookmarkEnd w:id="348"/>
      <w:r w:rsidR="00031074">
        <w:t xml:space="preserve">: </w:t>
      </w:r>
      <w:r w:rsidR="00D63E48">
        <w:t>Reported other offences in 2018</w:t>
      </w:r>
      <w:bookmarkEnd w:id="349"/>
    </w:p>
    <w:tbl>
      <w:tblPr>
        <w:tblStyle w:val="ListTable3-Accent12"/>
        <w:tblW w:w="5000" w:type="pct"/>
        <w:tblInd w:w="0" w:type="dxa"/>
        <w:tblLayout w:type="fixed"/>
        <w:tblLook w:val="04A0" w:firstRow="1" w:lastRow="0" w:firstColumn="1" w:lastColumn="0" w:noHBand="0" w:noVBand="1"/>
      </w:tblPr>
      <w:tblGrid>
        <w:gridCol w:w="4957"/>
        <w:gridCol w:w="1275"/>
        <w:gridCol w:w="1277"/>
        <w:gridCol w:w="1507"/>
      </w:tblGrid>
      <w:tr w:rsidR="00E74E33" w:rsidRPr="00D14EF1" w14:paraId="708726EF" w14:textId="77777777" w:rsidTr="006C0554">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100" w:firstRow="0" w:lastRow="0" w:firstColumn="1" w:lastColumn="0" w:oddVBand="0" w:evenVBand="0" w:oddHBand="0" w:evenHBand="0" w:firstRowFirstColumn="1" w:firstRowLastColumn="0" w:lastRowFirstColumn="0" w:lastRowLastColumn="0"/>
            <w:tcW w:w="2749" w:type="pct"/>
            <w:shd w:val="clear" w:color="auto" w:fill="2F5496" w:themeFill="accent5" w:themeFillShade="BF"/>
            <w:noWrap/>
          </w:tcPr>
          <w:p w14:paraId="38D8437F" w14:textId="77777777" w:rsidR="00081953" w:rsidRPr="000613C9" w:rsidRDefault="00081953" w:rsidP="000613C9">
            <w:pPr>
              <w:jc w:val="center"/>
              <w:rPr>
                <w:sz w:val="20"/>
                <w:szCs w:val="20"/>
                <w:lang w:eastAsia="en-AU"/>
              </w:rPr>
            </w:pPr>
          </w:p>
        </w:tc>
        <w:tc>
          <w:tcPr>
            <w:tcW w:w="707" w:type="pct"/>
            <w:shd w:val="clear" w:color="auto" w:fill="2F5496" w:themeFill="accent5" w:themeFillShade="BF"/>
            <w:noWrap/>
          </w:tcPr>
          <w:p w14:paraId="5BA23860" w14:textId="77777777" w:rsidR="00081953" w:rsidRPr="000613C9" w:rsidRDefault="00081953"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Bundaberg</w:t>
            </w:r>
          </w:p>
        </w:tc>
        <w:tc>
          <w:tcPr>
            <w:tcW w:w="708" w:type="pct"/>
            <w:shd w:val="clear" w:color="auto" w:fill="2F5496" w:themeFill="accent5" w:themeFillShade="BF"/>
            <w:noWrap/>
          </w:tcPr>
          <w:p w14:paraId="7959A186" w14:textId="77777777" w:rsidR="00081953" w:rsidRPr="000613C9" w:rsidRDefault="00081953"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Hervey Bay</w:t>
            </w:r>
          </w:p>
        </w:tc>
        <w:tc>
          <w:tcPr>
            <w:tcW w:w="836" w:type="pct"/>
            <w:shd w:val="clear" w:color="auto" w:fill="2F5496" w:themeFill="accent5" w:themeFillShade="BF"/>
          </w:tcPr>
          <w:p w14:paraId="7E968C09" w14:textId="77777777" w:rsidR="00081953" w:rsidRPr="000613C9" w:rsidRDefault="00081953"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Queensland</w:t>
            </w:r>
          </w:p>
        </w:tc>
      </w:tr>
      <w:tr w:rsidR="00081953" w:rsidRPr="00EC76B9" w14:paraId="1379C5C0"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tcPr>
          <w:p w14:paraId="0BED8DCC" w14:textId="77777777" w:rsidR="00081953" w:rsidRPr="000613C9" w:rsidRDefault="00081953" w:rsidP="00081953">
            <w:pPr>
              <w:rPr>
                <w:sz w:val="20"/>
                <w:szCs w:val="20"/>
                <w:lang w:eastAsia="en-AU"/>
              </w:rPr>
            </w:pPr>
            <w:r w:rsidRPr="00EC76B9">
              <w:rPr>
                <w:sz w:val="20"/>
                <w:szCs w:val="20"/>
                <w:lang w:eastAsia="en-AU"/>
              </w:rPr>
              <w:t>Drug Offences</w:t>
            </w:r>
          </w:p>
        </w:tc>
        <w:tc>
          <w:tcPr>
            <w:tcW w:w="707" w:type="pct"/>
            <w:noWrap/>
          </w:tcPr>
          <w:p w14:paraId="33657F09"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1</w:t>
            </w:r>
            <w:r w:rsidR="00E92818" w:rsidRPr="00EC76B9">
              <w:rPr>
                <w:b/>
                <w:sz w:val="20"/>
                <w:szCs w:val="20"/>
                <w:lang w:eastAsia="en-AU"/>
              </w:rPr>
              <w:t>,</w:t>
            </w:r>
            <w:r w:rsidRPr="00EC76B9">
              <w:rPr>
                <w:b/>
                <w:sz w:val="20"/>
                <w:szCs w:val="20"/>
                <w:lang w:eastAsia="en-AU"/>
              </w:rPr>
              <w:t>088</w:t>
            </w:r>
          </w:p>
        </w:tc>
        <w:tc>
          <w:tcPr>
            <w:tcW w:w="708" w:type="pct"/>
            <w:noWrap/>
          </w:tcPr>
          <w:p w14:paraId="57C75163"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930</w:t>
            </w:r>
          </w:p>
        </w:tc>
        <w:tc>
          <w:tcPr>
            <w:tcW w:w="836" w:type="pct"/>
          </w:tcPr>
          <w:p w14:paraId="148A29FF"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81</w:t>
            </w:r>
            <w:r w:rsidR="00E92818" w:rsidRPr="00EC76B9">
              <w:rPr>
                <w:b/>
                <w:sz w:val="20"/>
                <w:szCs w:val="20"/>
                <w:lang w:eastAsia="en-AU"/>
              </w:rPr>
              <w:t>,</w:t>
            </w:r>
            <w:r w:rsidRPr="00EC76B9">
              <w:rPr>
                <w:b/>
                <w:sz w:val="20"/>
                <w:szCs w:val="20"/>
                <w:lang w:eastAsia="en-AU"/>
              </w:rPr>
              <w:t>659</w:t>
            </w:r>
          </w:p>
        </w:tc>
      </w:tr>
      <w:tr w:rsidR="00081953" w:rsidRPr="00EC76B9" w14:paraId="2201538D"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41A40D5F" w14:textId="77777777" w:rsidR="00081953" w:rsidRPr="000613C9" w:rsidRDefault="00081953" w:rsidP="00081953">
            <w:pPr>
              <w:rPr>
                <w:b w:val="0"/>
                <w:bCs w:val="0"/>
                <w:i/>
                <w:sz w:val="20"/>
                <w:szCs w:val="20"/>
                <w:lang w:eastAsia="en-AU"/>
              </w:rPr>
            </w:pPr>
            <w:r w:rsidRPr="000613C9">
              <w:rPr>
                <w:i/>
                <w:sz w:val="20"/>
                <w:szCs w:val="20"/>
                <w:lang w:eastAsia="en-AU"/>
              </w:rPr>
              <w:t>Trafficking Drugs</w:t>
            </w:r>
          </w:p>
        </w:tc>
        <w:tc>
          <w:tcPr>
            <w:tcW w:w="707" w:type="pct"/>
            <w:noWrap/>
          </w:tcPr>
          <w:p w14:paraId="4DA1DF4F"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w:t>
            </w:r>
          </w:p>
        </w:tc>
        <w:tc>
          <w:tcPr>
            <w:tcW w:w="708" w:type="pct"/>
            <w:noWrap/>
          </w:tcPr>
          <w:p w14:paraId="5600C5D2"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w:t>
            </w:r>
          </w:p>
        </w:tc>
        <w:tc>
          <w:tcPr>
            <w:tcW w:w="836" w:type="pct"/>
          </w:tcPr>
          <w:p w14:paraId="76B1E73F"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575</w:t>
            </w:r>
          </w:p>
        </w:tc>
      </w:tr>
      <w:tr w:rsidR="00081953" w:rsidRPr="00EC76B9" w14:paraId="0FF82656"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27EEFED9" w14:textId="77777777" w:rsidR="00081953" w:rsidRPr="000613C9" w:rsidRDefault="00081953" w:rsidP="00081953">
            <w:pPr>
              <w:rPr>
                <w:b w:val="0"/>
                <w:bCs w:val="0"/>
                <w:i/>
                <w:sz w:val="20"/>
                <w:szCs w:val="20"/>
                <w:lang w:eastAsia="en-AU"/>
              </w:rPr>
            </w:pPr>
            <w:r w:rsidRPr="000613C9">
              <w:rPr>
                <w:i/>
                <w:sz w:val="20"/>
                <w:szCs w:val="20"/>
                <w:lang w:eastAsia="en-AU"/>
              </w:rPr>
              <w:t>Possess Drugs</w:t>
            </w:r>
          </w:p>
        </w:tc>
        <w:tc>
          <w:tcPr>
            <w:tcW w:w="707" w:type="pct"/>
            <w:noWrap/>
          </w:tcPr>
          <w:p w14:paraId="16B38E45"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506</w:t>
            </w:r>
          </w:p>
        </w:tc>
        <w:tc>
          <w:tcPr>
            <w:tcW w:w="708" w:type="pct"/>
            <w:noWrap/>
          </w:tcPr>
          <w:p w14:paraId="0165B2D4"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418</w:t>
            </w:r>
          </w:p>
        </w:tc>
        <w:tc>
          <w:tcPr>
            <w:tcW w:w="836" w:type="pct"/>
          </w:tcPr>
          <w:p w14:paraId="358A269D"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35</w:t>
            </w:r>
            <w:r w:rsidR="00E92818" w:rsidRPr="000613C9">
              <w:rPr>
                <w:i/>
                <w:sz w:val="20"/>
                <w:szCs w:val="20"/>
                <w:lang w:eastAsia="en-AU"/>
              </w:rPr>
              <w:t>,</w:t>
            </w:r>
            <w:r w:rsidRPr="000613C9">
              <w:rPr>
                <w:i/>
                <w:sz w:val="20"/>
                <w:szCs w:val="20"/>
                <w:lang w:eastAsia="en-AU"/>
              </w:rPr>
              <w:t>349</w:t>
            </w:r>
          </w:p>
        </w:tc>
      </w:tr>
      <w:tr w:rsidR="00081953" w:rsidRPr="00EC76B9" w14:paraId="5D62C680"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3DE37341" w14:textId="77777777" w:rsidR="00081953" w:rsidRPr="000613C9" w:rsidRDefault="00081953" w:rsidP="00081953">
            <w:pPr>
              <w:rPr>
                <w:b w:val="0"/>
                <w:bCs w:val="0"/>
                <w:i/>
                <w:sz w:val="20"/>
                <w:szCs w:val="20"/>
                <w:lang w:eastAsia="en-AU"/>
              </w:rPr>
            </w:pPr>
            <w:r w:rsidRPr="000613C9">
              <w:rPr>
                <w:i/>
                <w:sz w:val="20"/>
                <w:szCs w:val="20"/>
                <w:lang w:eastAsia="en-AU"/>
              </w:rPr>
              <w:t>Produce Drugs</w:t>
            </w:r>
          </w:p>
        </w:tc>
        <w:tc>
          <w:tcPr>
            <w:tcW w:w="707" w:type="pct"/>
            <w:noWrap/>
          </w:tcPr>
          <w:p w14:paraId="59C95F6D"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32</w:t>
            </w:r>
          </w:p>
        </w:tc>
        <w:tc>
          <w:tcPr>
            <w:tcW w:w="708" w:type="pct"/>
            <w:noWrap/>
          </w:tcPr>
          <w:p w14:paraId="1D5EB822"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30</w:t>
            </w:r>
          </w:p>
        </w:tc>
        <w:tc>
          <w:tcPr>
            <w:tcW w:w="836" w:type="pct"/>
          </w:tcPr>
          <w:p w14:paraId="55CABA8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w:t>
            </w:r>
            <w:r w:rsidR="00E92818" w:rsidRPr="000613C9">
              <w:rPr>
                <w:i/>
                <w:sz w:val="20"/>
                <w:szCs w:val="20"/>
                <w:lang w:eastAsia="en-AU"/>
              </w:rPr>
              <w:t>,</w:t>
            </w:r>
            <w:r w:rsidRPr="000613C9">
              <w:rPr>
                <w:i/>
                <w:sz w:val="20"/>
                <w:szCs w:val="20"/>
                <w:lang w:eastAsia="en-AU"/>
              </w:rPr>
              <w:t>638</w:t>
            </w:r>
          </w:p>
        </w:tc>
      </w:tr>
      <w:tr w:rsidR="00081953" w:rsidRPr="00EC76B9" w14:paraId="6C6CB6BF"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31660733" w14:textId="77777777" w:rsidR="00081953" w:rsidRPr="000613C9" w:rsidRDefault="00081953" w:rsidP="00081953">
            <w:pPr>
              <w:rPr>
                <w:b w:val="0"/>
                <w:bCs w:val="0"/>
                <w:i/>
                <w:sz w:val="20"/>
                <w:szCs w:val="20"/>
                <w:lang w:eastAsia="en-AU"/>
              </w:rPr>
            </w:pPr>
            <w:r w:rsidRPr="000613C9">
              <w:rPr>
                <w:i/>
                <w:sz w:val="20"/>
                <w:szCs w:val="20"/>
                <w:lang w:eastAsia="en-AU"/>
              </w:rPr>
              <w:t>Sell Supply Drugs</w:t>
            </w:r>
          </w:p>
        </w:tc>
        <w:tc>
          <w:tcPr>
            <w:tcW w:w="707" w:type="pct"/>
            <w:noWrap/>
          </w:tcPr>
          <w:p w14:paraId="322EFC2E"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29</w:t>
            </w:r>
          </w:p>
        </w:tc>
        <w:tc>
          <w:tcPr>
            <w:tcW w:w="708" w:type="pct"/>
            <w:noWrap/>
          </w:tcPr>
          <w:p w14:paraId="4F8D4395"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30</w:t>
            </w:r>
          </w:p>
        </w:tc>
        <w:tc>
          <w:tcPr>
            <w:tcW w:w="836" w:type="pct"/>
          </w:tcPr>
          <w:p w14:paraId="796680EB"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7023</w:t>
            </w:r>
          </w:p>
        </w:tc>
      </w:tr>
      <w:tr w:rsidR="00081953" w:rsidRPr="00EC76B9" w14:paraId="14A34C67"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21ABB580" w14:textId="77777777" w:rsidR="00081953" w:rsidRPr="000613C9" w:rsidRDefault="00081953" w:rsidP="00081953">
            <w:pPr>
              <w:rPr>
                <w:b w:val="0"/>
                <w:bCs w:val="0"/>
                <w:i/>
                <w:sz w:val="20"/>
                <w:szCs w:val="20"/>
                <w:lang w:eastAsia="en-AU"/>
              </w:rPr>
            </w:pPr>
            <w:r w:rsidRPr="000613C9">
              <w:rPr>
                <w:i/>
                <w:sz w:val="20"/>
                <w:szCs w:val="20"/>
                <w:lang w:eastAsia="en-AU"/>
              </w:rPr>
              <w:t>Other Drug Offences</w:t>
            </w:r>
          </w:p>
        </w:tc>
        <w:tc>
          <w:tcPr>
            <w:tcW w:w="707" w:type="pct"/>
            <w:noWrap/>
          </w:tcPr>
          <w:p w14:paraId="535EA992"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517</w:t>
            </w:r>
          </w:p>
        </w:tc>
        <w:tc>
          <w:tcPr>
            <w:tcW w:w="708" w:type="pct"/>
            <w:noWrap/>
          </w:tcPr>
          <w:p w14:paraId="719C171C"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448</w:t>
            </w:r>
          </w:p>
        </w:tc>
        <w:tc>
          <w:tcPr>
            <w:tcW w:w="836" w:type="pct"/>
          </w:tcPr>
          <w:p w14:paraId="0C2F7B8B"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37</w:t>
            </w:r>
            <w:r w:rsidR="00E92818" w:rsidRPr="000613C9">
              <w:rPr>
                <w:i/>
                <w:sz w:val="20"/>
                <w:szCs w:val="20"/>
                <w:lang w:eastAsia="en-AU"/>
              </w:rPr>
              <w:t>,</w:t>
            </w:r>
            <w:r w:rsidRPr="000613C9">
              <w:rPr>
                <w:i/>
                <w:sz w:val="20"/>
                <w:szCs w:val="20"/>
                <w:lang w:eastAsia="en-AU"/>
              </w:rPr>
              <w:t>074</w:t>
            </w:r>
          </w:p>
        </w:tc>
      </w:tr>
      <w:tr w:rsidR="00081953" w:rsidRPr="00EC76B9" w14:paraId="4D5174D7"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57B6DB24" w14:textId="77777777" w:rsidR="00081953" w:rsidRPr="000613C9" w:rsidRDefault="00081953" w:rsidP="00081953">
            <w:pPr>
              <w:rPr>
                <w:sz w:val="20"/>
                <w:szCs w:val="20"/>
                <w:lang w:eastAsia="en-AU"/>
              </w:rPr>
            </w:pPr>
            <w:r w:rsidRPr="00EC76B9">
              <w:rPr>
                <w:sz w:val="20"/>
                <w:szCs w:val="20"/>
                <w:lang w:eastAsia="en-AU"/>
              </w:rPr>
              <w:t>Prostitution Offences</w:t>
            </w:r>
          </w:p>
        </w:tc>
        <w:tc>
          <w:tcPr>
            <w:tcW w:w="707" w:type="pct"/>
            <w:noWrap/>
          </w:tcPr>
          <w:p w14:paraId="1D01D81C"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0</w:t>
            </w:r>
          </w:p>
        </w:tc>
        <w:tc>
          <w:tcPr>
            <w:tcW w:w="708" w:type="pct"/>
            <w:noWrap/>
          </w:tcPr>
          <w:p w14:paraId="6ACC7074"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2</w:t>
            </w:r>
          </w:p>
        </w:tc>
        <w:tc>
          <w:tcPr>
            <w:tcW w:w="836" w:type="pct"/>
          </w:tcPr>
          <w:p w14:paraId="4002FA84"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85</w:t>
            </w:r>
          </w:p>
        </w:tc>
      </w:tr>
      <w:tr w:rsidR="00081953" w:rsidRPr="00461021" w14:paraId="775EE4A0"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48FC429B" w14:textId="77777777" w:rsidR="00081953" w:rsidRPr="000613C9" w:rsidRDefault="00081953" w:rsidP="00081953">
            <w:pPr>
              <w:rPr>
                <w:b w:val="0"/>
                <w:bCs w:val="0"/>
                <w:i/>
                <w:sz w:val="20"/>
                <w:szCs w:val="20"/>
                <w:lang w:eastAsia="en-AU"/>
              </w:rPr>
            </w:pPr>
            <w:r w:rsidRPr="000613C9">
              <w:rPr>
                <w:i/>
                <w:sz w:val="20"/>
                <w:szCs w:val="20"/>
                <w:lang w:eastAsia="en-AU"/>
              </w:rPr>
              <w:t>Found in Places Used for Purpose of Prostitution Offences</w:t>
            </w:r>
          </w:p>
        </w:tc>
        <w:tc>
          <w:tcPr>
            <w:tcW w:w="707" w:type="pct"/>
            <w:noWrap/>
          </w:tcPr>
          <w:p w14:paraId="109420BC"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708" w:type="pct"/>
            <w:noWrap/>
          </w:tcPr>
          <w:p w14:paraId="1DB8796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836" w:type="pct"/>
          </w:tcPr>
          <w:p w14:paraId="49164B9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r>
      <w:tr w:rsidR="00081953" w:rsidRPr="00461021" w14:paraId="6998A876"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0E75C93C" w14:textId="77777777" w:rsidR="00081953" w:rsidRPr="000613C9" w:rsidRDefault="00081953" w:rsidP="00081953">
            <w:pPr>
              <w:rPr>
                <w:b w:val="0"/>
                <w:bCs w:val="0"/>
                <w:i/>
                <w:sz w:val="20"/>
                <w:szCs w:val="20"/>
                <w:lang w:eastAsia="en-AU"/>
              </w:rPr>
            </w:pPr>
            <w:r w:rsidRPr="000613C9">
              <w:rPr>
                <w:i/>
                <w:sz w:val="20"/>
                <w:szCs w:val="20"/>
                <w:lang w:eastAsia="en-AU"/>
              </w:rPr>
              <w:t>Have Interest in Premises Used for Prostitution Offences</w:t>
            </w:r>
          </w:p>
        </w:tc>
        <w:tc>
          <w:tcPr>
            <w:tcW w:w="707" w:type="pct"/>
            <w:noWrap/>
          </w:tcPr>
          <w:p w14:paraId="57B5C70E"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08" w:type="pct"/>
            <w:noWrap/>
          </w:tcPr>
          <w:p w14:paraId="73A25021"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836" w:type="pct"/>
          </w:tcPr>
          <w:p w14:paraId="34E8FF58"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w:t>
            </w:r>
          </w:p>
        </w:tc>
      </w:tr>
      <w:tr w:rsidR="00081953" w:rsidRPr="00461021" w14:paraId="5B288BCF"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20839A60" w14:textId="77777777" w:rsidR="00081953" w:rsidRPr="000613C9" w:rsidRDefault="00081953" w:rsidP="00081953">
            <w:pPr>
              <w:rPr>
                <w:b w:val="0"/>
                <w:bCs w:val="0"/>
                <w:i/>
                <w:sz w:val="20"/>
                <w:szCs w:val="20"/>
                <w:lang w:eastAsia="en-AU"/>
              </w:rPr>
            </w:pPr>
            <w:r w:rsidRPr="000613C9">
              <w:rPr>
                <w:i/>
                <w:sz w:val="20"/>
                <w:szCs w:val="20"/>
                <w:lang w:eastAsia="en-AU"/>
              </w:rPr>
              <w:t>Knowingly Participate in Provision Prostitution Offences</w:t>
            </w:r>
          </w:p>
        </w:tc>
        <w:tc>
          <w:tcPr>
            <w:tcW w:w="707" w:type="pct"/>
            <w:noWrap/>
          </w:tcPr>
          <w:p w14:paraId="73C610BD"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708" w:type="pct"/>
            <w:noWrap/>
          </w:tcPr>
          <w:p w14:paraId="107D27E3"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w:t>
            </w:r>
          </w:p>
        </w:tc>
        <w:tc>
          <w:tcPr>
            <w:tcW w:w="836" w:type="pct"/>
          </w:tcPr>
          <w:p w14:paraId="2C6FE172"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48</w:t>
            </w:r>
          </w:p>
        </w:tc>
      </w:tr>
      <w:tr w:rsidR="00081953" w:rsidRPr="00461021" w14:paraId="40B9FEB1"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3D886349" w14:textId="77777777" w:rsidR="00081953" w:rsidRPr="000613C9" w:rsidRDefault="00081953" w:rsidP="00081953">
            <w:pPr>
              <w:rPr>
                <w:b w:val="0"/>
                <w:bCs w:val="0"/>
                <w:i/>
                <w:sz w:val="20"/>
                <w:szCs w:val="20"/>
                <w:lang w:eastAsia="en-AU"/>
              </w:rPr>
            </w:pPr>
            <w:r w:rsidRPr="000613C9">
              <w:rPr>
                <w:i/>
                <w:sz w:val="20"/>
                <w:szCs w:val="20"/>
                <w:lang w:eastAsia="en-AU"/>
              </w:rPr>
              <w:t>Public Soliciting</w:t>
            </w:r>
          </w:p>
        </w:tc>
        <w:tc>
          <w:tcPr>
            <w:tcW w:w="707" w:type="pct"/>
            <w:noWrap/>
          </w:tcPr>
          <w:p w14:paraId="3455AE41"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08" w:type="pct"/>
            <w:noWrap/>
          </w:tcPr>
          <w:p w14:paraId="560AB912"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836" w:type="pct"/>
          </w:tcPr>
          <w:p w14:paraId="746ACFFC"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r>
      <w:tr w:rsidR="00081953" w:rsidRPr="00461021" w14:paraId="5235D014"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3A6CA7CA" w14:textId="77777777" w:rsidR="00081953" w:rsidRPr="000613C9" w:rsidRDefault="00081953" w:rsidP="00081953">
            <w:pPr>
              <w:rPr>
                <w:b w:val="0"/>
                <w:bCs w:val="0"/>
                <w:i/>
                <w:sz w:val="20"/>
                <w:szCs w:val="20"/>
                <w:lang w:eastAsia="en-AU"/>
              </w:rPr>
            </w:pPr>
            <w:r w:rsidRPr="000613C9">
              <w:rPr>
                <w:i/>
                <w:sz w:val="20"/>
                <w:szCs w:val="20"/>
                <w:lang w:eastAsia="en-AU"/>
              </w:rPr>
              <w:t>Procuring Prostitution</w:t>
            </w:r>
          </w:p>
        </w:tc>
        <w:tc>
          <w:tcPr>
            <w:tcW w:w="707" w:type="pct"/>
            <w:noWrap/>
          </w:tcPr>
          <w:p w14:paraId="756DC1E7"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708" w:type="pct"/>
            <w:noWrap/>
          </w:tcPr>
          <w:p w14:paraId="0EB4ACBD"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836" w:type="pct"/>
          </w:tcPr>
          <w:p w14:paraId="44537ED7"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w:t>
            </w:r>
          </w:p>
        </w:tc>
      </w:tr>
      <w:tr w:rsidR="00081953" w:rsidRPr="00461021" w14:paraId="0A552705"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757C5E2A" w14:textId="77777777" w:rsidR="00081953" w:rsidRPr="000613C9" w:rsidRDefault="00081953" w:rsidP="00081953">
            <w:pPr>
              <w:rPr>
                <w:b w:val="0"/>
                <w:bCs w:val="0"/>
                <w:i/>
                <w:sz w:val="20"/>
                <w:szCs w:val="20"/>
                <w:lang w:eastAsia="en-AU"/>
              </w:rPr>
            </w:pPr>
            <w:r w:rsidRPr="000613C9">
              <w:rPr>
                <w:i/>
                <w:sz w:val="20"/>
                <w:szCs w:val="20"/>
                <w:lang w:eastAsia="en-AU"/>
              </w:rPr>
              <w:t>Permit Minor to be at a Place Used for Prostitution Offences</w:t>
            </w:r>
          </w:p>
        </w:tc>
        <w:tc>
          <w:tcPr>
            <w:tcW w:w="707" w:type="pct"/>
            <w:noWrap/>
          </w:tcPr>
          <w:p w14:paraId="3F35555D"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08" w:type="pct"/>
            <w:noWrap/>
          </w:tcPr>
          <w:p w14:paraId="7C189E08"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836" w:type="pct"/>
          </w:tcPr>
          <w:p w14:paraId="5773A386"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r>
      <w:tr w:rsidR="00081953" w:rsidRPr="00461021" w14:paraId="51670127"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7FC6AE66" w14:textId="77777777" w:rsidR="00081953" w:rsidRPr="000613C9" w:rsidRDefault="00081953" w:rsidP="00081953">
            <w:pPr>
              <w:rPr>
                <w:b w:val="0"/>
                <w:bCs w:val="0"/>
                <w:i/>
                <w:sz w:val="20"/>
                <w:szCs w:val="20"/>
                <w:lang w:eastAsia="en-AU"/>
              </w:rPr>
            </w:pPr>
            <w:r w:rsidRPr="000613C9">
              <w:rPr>
                <w:i/>
                <w:sz w:val="20"/>
                <w:szCs w:val="20"/>
                <w:lang w:eastAsia="en-AU"/>
              </w:rPr>
              <w:t>Advertising Prostitution</w:t>
            </w:r>
          </w:p>
        </w:tc>
        <w:tc>
          <w:tcPr>
            <w:tcW w:w="707" w:type="pct"/>
            <w:noWrap/>
          </w:tcPr>
          <w:p w14:paraId="041D791E"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708" w:type="pct"/>
            <w:noWrap/>
          </w:tcPr>
          <w:p w14:paraId="79BC2353"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836" w:type="pct"/>
          </w:tcPr>
          <w:p w14:paraId="41A4268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w:t>
            </w:r>
          </w:p>
        </w:tc>
      </w:tr>
      <w:tr w:rsidR="00081953" w:rsidRPr="00461021" w14:paraId="0F80D833"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77A41586" w14:textId="77777777" w:rsidR="00081953" w:rsidRPr="000613C9" w:rsidRDefault="00081953" w:rsidP="00081953">
            <w:pPr>
              <w:rPr>
                <w:b w:val="0"/>
                <w:bCs w:val="0"/>
                <w:i/>
                <w:sz w:val="20"/>
                <w:szCs w:val="20"/>
                <w:lang w:eastAsia="en-AU"/>
              </w:rPr>
            </w:pPr>
            <w:r w:rsidRPr="000613C9">
              <w:rPr>
                <w:i/>
                <w:sz w:val="20"/>
                <w:szCs w:val="20"/>
                <w:lang w:eastAsia="en-AU"/>
              </w:rPr>
              <w:t>Other Prostitution Offences</w:t>
            </w:r>
          </w:p>
        </w:tc>
        <w:tc>
          <w:tcPr>
            <w:tcW w:w="707" w:type="pct"/>
            <w:noWrap/>
          </w:tcPr>
          <w:p w14:paraId="6CDAA625"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w:t>
            </w:r>
          </w:p>
        </w:tc>
        <w:tc>
          <w:tcPr>
            <w:tcW w:w="708" w:type="pct"/>
            <w:noWrap/>
          </w:tcPr>
          <w:p w14:paraId="1B24CC02"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w:t>
            </w:r>
          </w:p>
        </w:tc>
        <w:tc>
          <w:tcPr>
            <w:tcW w:w="836" w:type="pct"/>
          </w:tcPr>
          <w:p w14:paraId="6DB33839"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29</w:t>
            </w:r>
          </w:p>
        </w:tc>
      </w:tr>
      <w:tr w:rsidR="00081953" w:rsidRPr="00EC76B9" w14:paraId="508FC317"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5CF2C8CF" w14:textId="77777777" w:rsidR="00081953" w:rsidRPr="000613C9" w:rsidRDefault="00081953" w:rsidP="00081953">
            <w:pPr>
              <w:rPr>
                <w:sz w:val="20"/>
                <w:szCs w:val="20"/>
                <w:lang w:eastAsia="en-AU"/>
              </w:rPr>
            </w:pPr>
            <w:r w:rsidRPr="00EC76B9">
              <w:rPr>
                <w:sz w:val="20"/>
                <w:szCs w:val="20"/>
                <w:lang w:eastAsia="en-AU"/>
              </w:rPr>
              <w:t>Liquor (excl. Drunkenness)</w:t>
            </w:r>
          </w:p>
        </w:tc>
        <w:tc>
          <w:tcPr>
            <w:tcW w:w="707" w:type="pct"/>
            <w:noWrap/>
          </w:tcPr>
          <w:p w14:paraId="690E9473"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33</w:t>
            </w:r>
          </w:p>
        </w:tc>
        <w:tc>
          <w:tcPr>
            <w:tcW w:w="708" w:type="pct"/>
            <w:noWrap/>
          </w:tcPr>
          <w:p w14:paraId="6F61E527"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31</w:t>
            </w:r>
          </w:p>
        </w:tc>
        <w:tc>
          <w:tcPr>
            <w:tcW w:w="836" w:type="pct"/>
          </w:tcPr>
          <w:p w14:paraId="19A10028"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3</w:t>
            </w:r>
            <w:r w:rsidR="00E92818" w:rsidRPr="00EC76B9">
              <w:rPr>
                <w:b/>
                <w:sz w:val="20"/>
                <w:szCs w:val="20"/>
                <w:lang w:eastAsia="en-AU"/>
              </w:rPr>
              <w:t>,</w:t>
            </w:r>
            <w:r w:rsidRPr="00EC76B9">
              <w:rPr>
                <w:b/>
                <w:sz w:val="20"/>
                <w:szCs w:val="20"/>
                <w:lang w:eastAsia="en-AU"/>
              </w:rPr>
              <w:t>961</w:t>
            </w:r>
          </w:p>
        </w:tc>
      </w:tr>
      <w:tr w:rsidR="00081953" w:rsidRPr="00EC76B9" w14:paraId="738CCF99"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363C2AEA" w14:textId="77777777" w:rsidR="00081953" w:rsidRPr="000613C9" w:rsidRDefault="00081953" w:rsidP="00081953">
            <w:pPr>
              <w:rPr>
                <w:sz w:val="20"/>
                <w:szCs w:val="20"/>
                <w:lang w:eastAsia="en-AU"/>
              </w:rPr>
            </w:pPr>
            <w:r w:rsidRPr="00EC76B9">
              <w:rPr>
                <w:sz w:val="20"/>
                <w:szCs w:val="20"/>
                <w:lang w:eastAsia="en-AU"/>
              </w:rPr>
              <w:t>Gaming Racing &amp; Betting Offences</w:t>
            </w:r>
          </w:p>
        </w:tc>
        <w:tc>
          <w:tcPr>
            <w:tcW w:w="707" w:type="pct"/>
            <w:noWrap/>
          </w:tcPr>
          <w:p w14:paraId="3D471984"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0</w:t>
            </w:r>
          </w:p>
        </w:tc>
        <w:tc>
          <w:tcPr>
            <w:tcW w:w="708" w:type="pct"/>
            <w:noWrap/>
          </w:tcPr>
          <w:p w14:paraId="6BAAB3DE"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0</w:t>
            </w:r>
          </w:p>
        </w:tc>
        <w:tc>
          <w:tcPr>
            <w:tcW w:w="836" w:type="pct"/>
          </w:tcPr>
          <w:p w14:paraId="0EC34077"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1</w:t>
            </w:r>
          </w:p>
        </w:tc>
      </w:tr>
      <w:tr w:rsidR="00081953" w:rsidRPr="00EC76B9" w14:paraId="13BBC643"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7C050D86" w14:textId="77777777" w:rsidR="00081953" w:rsidRPr="000613C9" w:rsidRDefault="00081953" w:rsidP="00081953">
            <w:pPr>
              <w:rPr>
                <w:sz w:val="20"/>
                <w:szCs w:val="20"/>
                <w:lang w:eastAsia="en-AU"/>
              </w:rPr>
            </w:pPr>
            <w:r w:rsidRPr="00EC76B9">
              <w:rPr>
                <w:sz w:val="20"/>
                <w:szCs w:val="20"/>
                <w:lang w:eastAsia="en-AU"/>
              </w:rPr>
              <w:t>Breach Domestic Violence Protection Order</w:t>
            </w:r>
          </w:p>
        </w:tc>
        <w:tc>
          <w:tcPr>
            <w:tcW w:w="707" w:type="pct"/>
            <w:noWrap/>
          </w:tcPr>
          <w:p w14:paraId="68E4D213"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469</w:t>
            </w:r>
          </w:p>
        </w:tc>
        <w:tc>
          <w:tcPr>
            <w:tcW w:w="708" w:type="pct"/>
            <w:noWrap/>
          </w:tcPr>
          <w:p w14:paraId="2D5C219C"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401</w:t>
            </w:r>
          </w:p>
        </w:tc>
        <w:tc>
          <w:tcPr>
            <w:tcW w:w="836" w:type="pct"/>
          </w:tcPr>
          <w:p w14:paraId="42821711"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27</w:t>
            </w:r>
            <w:r w:rsidR="00E92818" w:rsidRPr="00EC76B9">
              <w:rPr>
                <w:b/>
                <w:sz w:val="20"/>
                <w:szCs w:val="20"/>
                <w:lang w:eastAsia="en-AU"/>
              </w:rPr>
              <w:t>,</w:t>
            </w:r>
            <w:r w:rsidRPr="00EC76B9">
              <w:rPr>
                <w:b/>
                <w:sz w:val="20"/>
                <w:szCs w:val="20"/>
                <w:lang w:eastAsia="en-AU"/>
              </w:rPr>
              <w:t>463</w:t>
            </w:r>
          </w:p>
        </w:tc>
      </w:tr>
      <w:tr w:rsidR="00081953" w:rsidRPr="00EC76B9" w14:paraId="049AE12A"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25B1BF13" w14:textId="77777777" w:rsidR="00081953" w:rsidRPr="000613C9" w:rsidRDefault="00081953" w:rsidP="00081953">
            <w:pPr>
              <w:rPr>
                <w:sz w:val="20"/>
                <w:szCs w:val="20"/>
                <w:lang w:eastAsia="en-AU"/>
              </w:rPr>
            </w:pPr>
            <w:r w:rsidRPr="00EC76B9">
              <w:rPr>
                <w:sz w:val="20"/>
                <w:szCs w:val="20"/>
                <w:lang w:eastAsia="en-AU"/>
              </w:rPr>
              <w:t>Trespassing and Vagrancy</w:t>
            </w:r>
          </w:p>
        </w:tc>
        <w:tc>
          <w:tcPr>
            <w:tcW w:w="707" w:type="pct"/>
            <w:noWrap/>
          </w:tcPr>
          <w:p w14:paraId="2EFC015D"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114</w:t>
            </w:r>
          </w:p>
        </w:tc>
        <w:tc>
          <w:tcPr>
            <w:tcW w:w="708" w:type="pct"/>
            <w:noWrap/>
          </w:tcPr>
          <w:p w14:paraId="14CD0EE0"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67</w:t>
            </w:r>
          </w:p>
        </w:tc>
        <w:tc>
          <w:tcPr>
            <w:tcW w:w="836" w:type="pct"/>
          </w:tcPr>
          <w:p w14:paraId="19C062CC"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6</w:t>
            </w:r>
            <w:r w:rsidR="00E92818" w:rsidRPr="00EC76B9">
              <w:rPr>
                <w:b/>
                <w:sz w:val="20"/>
                <w:szCs w:val="20"/>
                <w:lang w:eastAsia="en-AU"/>
              </w:rPr>
              <w:t>,</w:t>
            </w:r>
            <w:r w:rsidRPr="00EC76B9">
              <w:rPr>
                <w:b/>
                <w:sz w:val="20"/>
                <w:szCs w:val="20"/>
                <w:lang w:eastAsia="en-AU"/>
              </w:rPr>
              <w:t>182</w:t>
            </w:r>
          </w:p>
        </w:tc>
      </w:tr>
      <w:tr w:rsidR="00081953" w:rsidRPr="00EC76B9" w14:paraId="5B4697E8"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44BCAC73" w14:textId="77777777" w:rsidR="00081953" w:rsidRPr="000613C9" w:rsidRDefault="00081953" w:rsidP="00081953">
            <w:pPr>
              <w:rPr>
                <w:sz w:val="20"/>
                <w:szCs w:val="20"/>
                <w:lang w:eastAsia="en-AU"/>
              </w:rPr>
            </w:pPr>
            <w:r w:rsidRPr="00EC76B9">
              <w:rPr>
                <w:sz w:val="20"/>
                <w:szCs w:val="20"/>
                <w:lang w:eastAsia="en-AU"/>
              </w:rPr>
              <w:t>Weapons Act Offences</w:t>
            </w:r>
          </w:p>
        </w:tc>
        <w:tc>
          <w:tcPr>
            <w:tcW w:w="707" w:type="pct"/>
            <w:noWrap/>
          </w:tcPr>
          <w:p w14:paraId="1530875B"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174</w:t>
            </w:r>
          </w:p>
        </w:tc>
        <w:tc>
          <w:tcPr>
            <w:tcW w:w="708" w:type="pct"/>
            <w:noWrap/>
          </w:tcPr>
          <w:p w14:paraId="01C55DCB"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119</w:t>
            </w:r>
          </w:p>
        </w:tc>
        <w:tc>
          <w:tcPr>
            <w:tcW w:w="836" w:type="pct"/>
          </w:tcPr>
          <w:p w14:paraId="0BABDCE9"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7</w:t>
            </w:r>
            <w:r w:rsidR="00E92818" w:rsidRPr="00EC76B9">
              <w:rPr>
                <w:b/>
                <w:sz w:val="20"/>
                <w:szCs w:val="20"/>
                <w:lang w:eastAsia="en-AU"/>
              </w:rPr>
              <w:t>,</w:t>
            </w:r>
            <w:r w:rsidRPr="00EC76B9">
              <w:rPr>
                <w:b/>
                <w:sz w:val="20"/>
                <w:szCs w:val="20"/>
                <w:lang w:eastAsia="en-AU"/>
              </w:rPr>
              <w:t>421</w:t>
            </w:r>
          </w:p>
        </w:tc>
      </w:tr>
      <w:tr w:rsidR="00081953" w:rsidRPr="00EC76B9" w14:paraId="157C52C8"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3E3E9822" w14:textId="77777777" w:rsidR="00081953" w:rsidRPr="000613C9" w:rsidRDefault="00081953" w:rsidP="00081953">
            <w:pPr>
              <w:rPr>
                <w:b w:val="0"/>
                <w:bCs w:val="0"/>
                <w:i/>
                <w:sz w:val="20"/>
                <w:szCs w:val="20"/>
                <w:lang w:eastAsia="en-AU"/>
              </w:rPr>
            </w:pPr>
            <w:r w:rsidRPr="000613C9">
              <w:rPr>
                <w:i/>
                <w:sz w:val="20"/>
                <w:szCs w:val="20"/>
                <w:lang w:eastAsia="en-AU"/>
              </w:rPr>
              <w:t>Unlawful Possess Concealable Firearm</w:t>
            </w:r>
          </w:p>
        </w:tc>
        <w:tc>
          <w:tcPr>
            <w:tcW w:w="707" w:type="pct"/>
            <w:noWrap/>
          </w:tcPr>
          <w:p w14:paraId="025F1A63"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w:t>
            </w:r>
          </w:p>
        </w:tc>
        <w:tc>
          <w:tcPr>
            <w:tcW w:w="708" w:type="pct"/>
            <w:noWrap/>
          </w:tcPr>
          <w:p w14:paraId="1583E6C3"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4</w:t>
            </w:r>
          </w:p>
        </w:tc>
        <w:tc>
          <w:tcPr>
            <w:tcW w:w="836" w:type="pct"/>
          </w:tcPr>
          <w:p w14:paraId="0038936C"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148</w:t>
            </w:r>
          </w:p>
        </w:tc>
      </w:tr>
      <w:tr w:rsidR="00081953" w:rsidRPr="00EC76B9" w14:paraId="03922789"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5D806D24" w14:textId="77777777" w:rsidR="00081953" w:rsidRPr="000613C9" w:rsidRDefault="00081953" w:rsidP="00081953">
            <w:pPr>
              <w:rPr>
                <w:b w:val="0"/>
                <w:bCs w:val="0"/>
                <w:i/>
                <w:sz w:val="20"/>
                <w:szCs w:val="20"/>
                <w:lang w:eastAsia="en-AU"/>
              </w:rPr>
            </w:pPr>
            <w:r w:rsidRPr="000613C9">
              <w:rPr>
                <w:i/>
                <w:sz w:val="20"/>
                <w:szCs w:val="20"/>
                <w:lang w:eastAsia="en-AU"/>
              </w:rPr>
              <w:t>Unlawful Possess Firearm - Other</w:t>
            </w:r>
          </w:p>
        </w:tc>
        <w:tc>
          <w:tcPr>
            <w:tcW w:w="707" w:type="pct"/>
            <w:noWrap/>
          </w:tcPr>
          <w:p w14:paraId="22E7E5E9"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15</w:t>
            </w:r>
          </w:p>
        </w:tc>
        <w:tc>
          <w:tcPr>
            <w:tcW w:w="708" w:type="pct"/>
            <w:noWrap/>
          </w:tcPr>
          <w:p w14:paraId="356BF3E9"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w:t>
            </w:r>
          </w:p>
        </w:tc>
        <w:tc>
          <w:tcPr>
            <w:tcW w:w="836" w:type="pct"/>
          </w:tcPr>
          <w:p w14:paraId="09790A70"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691</w:t>
            </w:r>
          </w:p>
        </w:tc>
      </w:tr>
      <w:tr w:rsidR="00081953" w:rsidRPr="00EC76B9" w14:paraId="7E436531"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190352C4" w14:textId="77777777" w:rsidR="00081953" w:rsidRPr="000613C9" w:rsidRDefault="00081953" w:rsidP="00081953">
            <w:pPr>
              <w:rPr>
                <w:b w:val="0"/>
                <w:bCs w:val="0"/>
                <w:i/>
                <w:sz w:val="20"/>
                <w:szCs w:val="20"/>
                <w:lang w:eastAsia="en-AU"/>
              </w:rPr>
            </w:pPr>
            <w:r w:rsidRPr="000613C9">
              <w:rPr>
                <w:i/>
                <w:sz w:val="20"/>
                <w:szCs w:val="20"/>
                <w:lang w:eastAsia="en-AU"/>
              </w:rPr>
              <w:t>Bomb Possess and/or use of</w:t>
            </w:r>
          </w:p>
        </w:tc>
        <w:tc>
          <w:tcPr>
            <w:tcW w:w="707" w:type="pct"/>
            <w:noWrap/>
          </w:tcPr>
          <w:p w14:paraId="2F8AF22F"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w:t>
            </w:r>
          </w:p>
        </w:tc>
        <w:tc>
          <w:tcPr>
            <w:tcW w:w="708" w:type="pct"/>
            <w:noWrap/>
          </w:tcPr>
          <w:p w14:paraId="0079CBC5"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w:t>
            </w:r>
          </w:p>
        </w:tc>
        <w:tc>
          <w:tcPr>
            <w:tcW w:w="836" w:type="pct"/>
          </w:tcPr>
          <w:p w14:paraId="5B8AFE1C"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32</w:t>
            </w:r>
          </w:p>
        </w:tc>
      </w:tr>
      <w:tr w:rsidR="00081953" w:rsidRPr="00EC76B9" w14:paraId="00E96F62"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7A8DF91D" w14:textId="77777777" w:rsidR="00081953" w:rsidRPr="000613C9" w:rsidRDefault="00081953" w:rsidP="00081953">
            <w:pPr>
              <w:rPr>
                <w:b w:val="0"/>
                <w:bCs w:val="0"/>
                <w:i/>
                <w:sz w:val="20"/>
                <w:szCs w:val="20"/>
                <w:lang w:eastAsia="en-AU"/>
              </w:rPr>
            </w:pPr>
            <w:r w:rsidRPr="000613C9">
              <w:rPr>
                <w:i/>
                <w:sz w:val="20"/>
                <w:szCs w:val="20"/>
                <w:lang w:eastAsia="en-AU"/>
              </w:rPr>
              <w:t>Possess and/or use other weapons; restricted items</w:t>
            </w:r>
          </w:p>
        </w:tc>
        <w:tc>
          <w:tcPr>
            <w:tcW w:w="707" w:type="pct"/>
            <w:noWrap/>
          </w:tcPr>
          <w:p w14:paraId="339AD887"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36</w:t>
            </w:r>
          </w:p>
        </w:tc>
        <w:tc>
          <w:tcPr>
            <w:tcW w:w="708" w:type="pct"/>
            <w:noWrap/>
          </w:tcPr>
          <w:p w14:paraId="56718AC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32</w:t>
            </w:r>
          </w:p>
        </w:tc>
        <w:tc>
          <w:tcPr>
            <w:tcW w:w="836" w:type="pct"/>
          </w:tcPr>
          <w:p w14:paraId="5CE60F65"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w:t>
            </w:r>
            <w:r w:rsidR="00E92818" w:rsidRPr="000613C9">
              <w:rPr>
                <w:i/>
                <w:sz w:val="20"/>
                <w:szCs w:val="20"/>
                <w:lang w:eastAsia="en-AU"/>
              </w:rPr>
              <w:t>,</w:t>
            </w:r>
            <w:r w:rsidRPr="000613C9">
              <w:rPr>
                <w:i/>
                <w:sz w:val="20"/>
                <w:szCs w:val="20"/>
                <w:lang w:eastAsia="en-AU"/>
              </w:rPr>
              <w:t>280</w:t>
            </w:r>
          </w:p>
        </w:tc>
      </w:tr>
      <w:tr w:rsidR="00081953" w:rsidRPr="00EC76B9" w14:paraId="083A9E62"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1662C657" w14:textId="77777777" w:rsidR="00081953" w:rsidRPr="000613C9" w:rsidRDefault="00081953" w:rsidP="00081953">
            <w:pPr>
              <w:rPr>
                <w:b w:val="0"/>
                <w:bCs w:val="0"/>
                <w:i/>
                <w:sz w:val="20"/>
                <w:szCs w:val="20"/>
                <w:lang w:eastAsia="en-AU"/>
              </w:rPr>
            </w:pPr>
            <w:r w:rsidRPr="000613C9">
              <w:rPr>
                <w:i/>
                <w:sz w:val="20"/>
                <w:szCs w:val="20"/>
                <w:lang w:eastAsia="en-AU"/>
              </w:rPr>
              <w:t>Weapons Act Offences - Other</w:t>
            </w:r>
          </w:p>
        </w:tc>
        <w:tc>
          <w:tcPr>
            <w:tcW w:w="707" w:type="pct"/>
            <w:noWrap/>
          </w:tcPr>
          <w:p w14:paraId="665FB2DF"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118</w:t>
            </w:r>
          </w:p>
        </w:tc>
        <w:tc>
          <w:tcPr>
            <w:tcW w:w="708" w:type="pct"/>
            <w:noWrap/>
          </w:tcPr>
          <w:p w14:paraId="005E145B"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76</w:t>
            </w:r>
          </w:p>
        </w:tc>
        <w:tc>
          <w:tcPr>
            <w:tcW w:w="836" w:type="pct"/>
          </w:tcPr>
          <w:p w14:paraId="343FA21A"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4</w:t>
            </w:r>
            <w:r w:rsidR="00E92818" w:rsidRPr="000613C9">
              <w:rPr>
                <w:i/>
                <w:sz w:val="20"/>
                <w:szCs w:val="20"/>
                <w:lang w:eastAsia="en-AU"/>
              </w:rPr>
              <w:t>,</w:t>
            </w:r>
            <w:r w:rsidRPr="000613C9">
              <w:rPr>
                <w:i/>
                <w:sz w:val="20"/>
                <w:szCs w:val="20"/>
                <w:lang w:eastAsia="en-AU"/>
              </w:rPr>
              <w:t>270</w:t>
            </w:r>
          </w:p>
        </w:tc>
      </w:tr>
      <w:tr w:rsidR="00081953" w:rsidRPr="00EC76B9" w14:paraId="7096C612"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4BDADCC8" w14:textId="77777777" w:rsidR="00081953" w:rsidRPr="000613C9" w:rsidRDefault="00081953" w:rsidP="00081953">
            <w:pPr>
              <w:rPr>
                <w:sz w:val="20"/>
                <w:szCs w:val="20"/>
                <w:lang w:eastAsia="en-AU"/>
              </w:rPr>
            </w:pPr>
            <w:r w:rsidRPr="00EC76B9">
              <w:rPr>
                <w:sz w:val="20"/>
                <w:szCs w:val="20"/>
                <w:lang w:eastAsia="en-AU"/>
              </w:rPr>
              <w:t>Good Order Offences</w:t>
            </w:r>
          </w:p>
        </w:tc>
        <w:tc>
          <w:tcPr>
            <w:tcW w:w="707" w:type="pct"/>
            <w:noWrap/>
          </w:tcPr>
          <w:p w14:paraId="2654D3ED"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752</w:t>
            </w:r>
          </w:p>
        </w:tc>
        <w:tc>
          <w:tcPr>
            <w:tcW w:w="708" w:type="pct"/>
            <w:noWrap/>
          </w:tcPr>
          <w:p w14:paraId="1F52FAD3"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699</w:t>
            </w:r>
          </w:p>
        </w:tc>
        <w:tc>
          <w:tcPr>
            <w:tcW w:w="836" w:type="pct"/>
          </w:tcPr>
          <w:p w14:paraId="4D6D2E51"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54</w:t>
            </w:r>
            <w:r w:rsidR="00E92818" w:rsidRPr="00EC76B9">
              <w:rPr>
                <w:b/>
                <w:sz w:val="20"/>
                <w:szCs w:val="20"/>
                <w:lang w:eastAsia="en-AU"/>
              </w:rPr>
              <w:t>,</w:t>
            </w:r>
            <w:r w:rsidRPr="00EC76B9">
              <w:rPr>
                <w:b/>
                <w:sz w:val="20"/>
                <w:szCs w:val="20"/>
                <w:lang w:eastAsia="en-AU"/>
              </w:rPr>
              <w:t>085</w:t>
            </w:r>
          </w:p>
        </w:tc>
      </w:tr>
      <w:tr w:rsidR="00081953" w:rsidRPr="00EC76B9" w14:paraId="604DC4C0"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633988EA" w14:textId="77777777" w:rsidR="00081953" w:rsidRPr="000613C9" w:rsidRDefault="00081953" w:rsidP="00081953">
            <w:pPr>
              <w:rPr>
                <w:b w:val="0"/>
                <w:bCs w:val="0"/>
                <w:i/>
                <w:sz w:val="20"/>
                <w:szCs w:val="20"/>
                <w:lang w:eastAsia="en-AU"/>
              </w:rPr>
            </w:pPr>
            <w:r w:rsidRPr="000613C9">
              <w:rPr>
                <w:i/>
                <w:sz w:val="20"/>
                <w:szCs w:val="20"/>
                <w:lang w:eastAsia="en-AU"/>
              </w:rPr>
              <w:t>Disobey Move-on Direction</w:t>
            </w:r>
          </w:p>
        </w:tc>
        <w:tc>
          <w:tcPr>
            <w:tcW w:w="707" w:type="pct"/>
            <w:noWrap/>
          </w:tcPr>
          <w:p w14:paraId="314653E6"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6</w:t>
            </w:r>
          </w:p>
        </w:tc>
        <w:tc>
          <w:tcPr>
            <w:tcW w:w="708" w:type="pct"/>
            <w:noWrap/>
          </w:tcPr>
          <w:p w14:paraId="720D5EB1"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8</w:t>
            </w:r>
          </w:p>
        </w:tc>
        <w:tc>
          <w:tcPr>
            <w:tcW w:w="836" w:type="pct"/>
          </w:tcPr>
          <w:p w14:paraId="05F698BA"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759</w:t>
            </w:r>
          </w:p>
        </w:tc>
      </w:tr>
      <w:tr w:rsidR="00081953" w:rsidRPr="00EC76B9" w14:paraId="7317CAF8"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2281E7E6" w14:textId="77777777" w:rsidR="00081953" w:rsidRPr="000613C9" w:rsidRDefault="00081953" w:rsidP="00081953">
            <w:pPr>
              <w:rPr>
                <w:b w:val="0"/>
                <w:bCs w:val="0"/>
                <w:i/>
                <w:sz w:val="20"/>
                <w:szCs w:val="20"/>
                <w:lang w:eastAsia="en-AU"/>
              </w:rPr>
            </w:pPr>
            <w:r w:rsidRPr="000613C9">
              <w:rPr>
                <w:i/>
                <w:sz w:val="20"/>
                <w:szCs w:val="20"/>
                <w:lang w:eastAsia="en-AU"/>
              </w:rPr>
              <w:t>Resist Incite Hinder Obstruct Police</w:t>
            </w:r>
          </w:p>
        </w:tc>
        <w:tc>
          <w:tcPr>
            <w:tcW w:w="707" w:type="pct"/>
            <w:noWrap/>
          </w:tcPr>
          <w:p w14:paraId="6CAA167A"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423</w:t>
            </w:r>
          </w:p>
        </w:tc>
        <w:tc>
          <w:tcPr>
            <w:tcW w:w="708" w:type="pct"/>
            <w:noWrap/>
          </w:tcPr>
          <w:p w14:paraId="542D41CD"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420</w:t>
            </w:r>
          </w:p>
        </w:tc>
        <w:tc>
          <w:tcPr>
            <w:tcW w:w="836" w:type="pct"/>
          </w:tcPr>
          <w:p w14:paraId="67423C7F"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24</w:t>
            </w:r>
            <w:r w:rsidR="00E92818" w:rsidRPr="000613C9">
              <w:rPr>
                <w:i/>
                <w:sz w:val="20"/>
                <w:szCs w:val="20"/>
                <w:lang w:eastAsia="en-AU"/>
              </w:rPr>
              <w:t>,</w:t>
            </w:r>
            <w:r w:rsidRPr="000613C9">
              <w:rPr>
                <w:i/>
                <w:sz w:val="20"/>
                <w:szCs w:val="20"/>
                <w:lang w:eastAsia="en-AU"/>
              </w:rPr>
              <w:t>430</w:t>
            </w:r>
          </w:p>
        </w:tc>
      </w:tr>
      <w:tr w:rsidR="00081953" w:rsidRPr="00EC76B9" w14:paraId="6C217C55"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72D28F71" w14:textId="77777777" w:rsidR="00081953" w:rsidRPr="000613C9" w:rsidRDefault="00081953" w:rsidP="00081953">
            <w:pPr>
              <w:rPr>
                <w:b w:val="0"/>
                <w:bCs w:val="0"/>
                <w:i/>
                <w:sz w:val="20"/>
                <w:szCs w:val="20"/>
                <w:lang w:eastAsia="en-AU"/>
              </w:rPr>
            </w:pPr>
            <w:r w:rsidRPr="000613C9">
              <w:rPr>
                <w:i/>
                <w:sz w:val="20"/>
                <w:szCs w:val="20"/>
                <w:lang w:eastAsia="en-AU"/>
              </w:rPr>
              <w:t>Fare Evasion</w:t>
            </w:r>
          </w:p>
        </w:tc>
        <w:tc>
          <w:tcPr>
            <w:tcW w:w="707" w:type="pct"/>
            <w:noWrap/>
          </w:tcPr>
          <w:p w14:paraId="12D5CBED"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14</w:t>
            </w:r>
          </w:p>
        </w:tc>
        <w:tc>
          <w:tcPr>
            <w:tcW w:w="708" w:type="pct"/>
            <w:noWrap/>
          </w:tcPr>
          <w:p w14:paraId="2EFD0FE7"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20</w:t>
            </w:r>
          </w:p>
        </w:tc>
        <w:tc>
          <w:tcPr>
            <w:tcW w:w="836" w:type="pct"/>
          </w:tcPr>
          <w:p w14:paraId="3D57CB5D"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5</w:t>
            </w:r>
            <w:r w:rsidR="00E92818" w:rsidRPr="000613C9">
              <w:rPr>
                <w:i/>
                <w:sz w:val="20"/>
                <w:szCs w:val="20"/>
                <w:lang w:eastAsia="en-AU"/>
              </w:rPr>
              <w:t>,</w:t>
            </w:r>
            <w:r w:rsidRPr="000613C9">
              <w:rPr>
                <w:i/>
                <w:sz w:val="20"/>
                <w:szCs w:val="20"/>
                <w:lang w:eastAsia="en-AU"/>
              </w:rPr>
              <w:t>190</w:t>
            </w:r>
          </w:p>
        </w:tc>
      </w:tr>
      <w:tr w:rsidR="00081953" w:rsidRPr="00EC76B9" w14:paraId="3A92B4E1"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5BABC901" w14:textId="77777777" w:rsidR="00081953" w:rsidRPr="000613C9" w:rsidRDefault="00081953" w:rsidP="00081953">
            <w:pPr>
              <w:rPr>
                <w:b w:val="0"/>
                <w:bCs w:val="0"/>
                <w:i/>
                <w:sz w:val="20"/>
                <w:szCs w:val="20"/>
                <w:lang w:eastAsia="en-AU"/>
              </w:rPr>
            </w:pPr>
            <w:r w:rsidRPr="000613C9">
              <w:rPr>
                <w:i/>
                <w:sz w:val="20"/>
                <w:szCs w:val="20"/>
                <w:lang w:eastAsia="en-AU"/>
              </w:rPr>
              <w:t>Public Nuisance</w:t>
            </w:r>
          </w:p>
        </w:tc>
        <w:tc>
          <w:tcPr>
            <w:tcW w:w="707" w:type="pct"/>
            <w:noWrap/>
          </w:tcPr>
          <w:p w14:paraId="684B1C94"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309</w:t>
            </w:r>
          </w:p>
        </w:tc>
        <w:tc>
          <w:tcPr>
            <w:tcW w:w="708" w:type="pct"/>
            <w:noWrap/>
          </w:tcPr>
          <w:p w14:paraId="24944537"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251</w:t>
            </w:r>
          </w:p>
        </w:tc>
        <w:tc>
          <w:tcPr>
            <w:tcW w:w="836" w:type="pct"/>
          </w:tcPr>
          <w:p w14:paraId="67301496"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23</w:t>
            </w:r>
            <w:r w:rsidR="00E92818" w:rsidRPr="000613C9">
              <w:rPr>
                <w:i/>
                <w:sz w:val="20"/>
                <w:szCs w:val="20"/>
                <w:lang w:eastAsia="en-AU"/>
              </w:rPr>
              <w:t>,</w:t>
            </w:r>
            <w:r w:rsidRPr="000613C9">
              <w:rPr>
                <w:i/>
                <w:sz w:val="20"/>
                <w:szCs w:val="20"/>
                <w:lang w:eastAsia="en-AU"/>
              </w:rPr>
              <w:t>706</w:t>
            </w:r>
          </w:p>
        </w:tc>
      </w:tr>
      <w:tr w:rsidR="00081953" w:rsidRPr="00461021" w14:paraId="1DEBDAFF"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2931F548" w14:textId="77777777" w:rsidR="00081953" w:rsidRPr="000613C9" w:rsidRDefault="00081953" w:rsidP="00081953">
            <w:pPr>
              <w:rPr>
                <w:sz w:val="20"/>
                <w:szCs w:val="20"/>
                <w:lang w:eastAsia="en-AU"/>
              </w:rPr>
            </w:pPr>
            <w:r w:rsidRPr="00D14EF1">
              <w:rPr>
                <w:sz w:val="20"/>
                <w:szCs w:val="20"/>
                <w:lang w:eastAsia="en-AU"/>
              </w:rPr>
              <w:t>Stock Related Offences</w:t>
            </w:r>
          </w:p>
        </w:tc>
        <w:tc>
          <w:tcPr>
            <w:tcW w:w="707" w:type="pct"/>
            <w:noWrap/>
          </w:tcPr>
          <w:p w14:paraId="7C9B80F4" w14:textId="77777777" w:rsidR="00081953" w:rsidRPr="00081953"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81953">
              <w:rPr>
                <w:b/>
                <w:sz w:val="20"/>
                <w:szCs w:val="20"/>
                <w:lang w:eastAsia="en-AU"/>
              </w:rPr>
              <w:t>0</w:t>
            </w:r>
          </w:p>
        </w:tc>
        <w:tc>
          <w:tcPr>
            <w:tcW w:w="708" w:type="pct"/>
            <w:noWrap/>
          </w:tcPr>
          <w:p w14:paraId="74AEFA83" w14:textId="77777777" w:rsidR="00081953" w:rsidRPr="00081953"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81953">
              <w:rPr>
                <w:b/>
                <w:sz w:val="20"/>
                <w:szCs w:val="20"/>
                <w:lang w:eastAsia="en-AU"/>
              </w:rPr>
              <w:t>0</w:t>
            </w:r>
          </w:p>
        </w:tc>
        <w:tc>
          <w:tcPr>
            <w:tcW w:w="836" w:type="pct"/>
          </w:tcPr>
          <w:p w14:paraId="77CD66C0" w14:textId="77777777" w:rsidR="00081953" w:rsidRPr="00081953"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081953">
              <w:rPr>
                <w:b/>
                <w:sz w:val="20"/>
                <w:szCs w:val="20"/>
                <w:lang w:eastAsia="en-AU"/>
              </w:rPr>
              <w:t>23</w:t>
            </w:r>
          </w:p>
        </w:tc>
      </w:tr>
      <w:tr w:rsidR="00081953" w:rsidRPr="00EC76B9" w14:paraId="605BC69E"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7C3D3D3A" w14:textId="77777777" w:rsidR="00081953" w:rsidRPr="000613C9" w:rsidRDefault="00081953" w:rsidP="00081953">
            <w:pPr>
              <w:rPr>
                <w:sz w:val="20"/>
                <w:szCs w:val="20"/>
                <w:lang w:eastAsia="en-AU"/>
              </w:rPr>
            </w:pPr>
            <w:r w:rsidRPr="00EC76B9">
              <w:rPr>
                <w:sz w:val="20"/>
                <w:szCs w:val="20"/>
                <w:lang w:eastAsia="en-AU"/>
              </w:rPr>
              <w:t>Traffic and Related Offences</w:t>
            </w:r>
          </w:p>
        </w:tc>
        <w:tc>
          <w:tcPr>
            <w:tcW w:w="707" w:type="pct"/>
            <w:noWrap/>
          </w:tcPr>
          <w:p w14:paraId="5462DD0B"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698</w:t>
            </w:r>
          </w:p>
        </w:tc>
        <w:tc>
          <w:tcPr>
            <w:tcW w:w="708" w:type="pct"/>
            <w:noWrap/>
          </w:tcPr>
          <w:p w14:paraId="6FC6DC50"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467</w:t>
            </w:r>
          </w:p>
        </w:tc>
        <w:tc>
          <w:tcPr>
            <w:tcW w:w="836" w:type="pct"/>
          </w:tcPr>
          <w:p w14:paraId="3AFEE9CA"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43</w:t>
            </w:r>
            <w:r w:rsidR="00E92818" w:rsidRPr="00EC76B9">
              <w:rPr>
                <w:b/>
                <w:sz w:val="20"/>
                <w:szCs w:val="20"/>
                <w:lang w:eastAsia="en-AU"/>
              </w:rPr>
              <w:t>,</w:t>
            </w:r>
            <w:r w:rsidRPr="00EC76B9">
              <w:rPr>
                <w:b/>
                <w:sz w:val="20"/>
                <w:szCs w:val="20"/>
                <w:lang w:eastAsia="en-AU"/>
              </w:rPr>
              <w:t>152</w:t>
            </w:r>
          </w:p>
        </w:tc>
      </w:tr>
      <w:tr w:rsidR="00081953" w:rsidRPr="00EC76B9" w14:paraId="5AF0D6C7"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3BDF8C3E" w14:textId="77777777" w:rsidR="00081953" w:rsidRPr="000613C9" w:rsidRDefault="00081953" w:rsidP="00081953">
            <w:pPr>
              <w:rPr>
                <w:b w:val="0"/>
                <w:bCs w:val="0"/>
                <w:i/>
                <w:sz w:val="20"/>
                <w:szCs w:val="20"/>
                <w:lang w:eastAsia="en-AU"/>
              </w:rPr>
            </w:pPr>
            <w:r w:rsidRPr="000613C9">
              <w:rPr>
                <w:i/>
                <w:sz w:val="20"/>
                <w:szCs w:val="20"/>
                <w:lang w:eastAsia="en-AU"/>
              </w:rPr>
              <w:t>Dangerous Operation of a Vehicle</w:t>
            </w:r>
          </w:p>
        </w:tc>
        <w:tc>
          <w:tcPr>
            <w:tcW w:w="707" w:type="pct"/>
            <w:noWrap/>
          </w:tcPr>
          <w:p w14:paraId="0A13EF22"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30</w:t>
            </w:r>
          </w:p>
        </w:tc>
        <w:tc>
          <w:tcPr>
            <w:tcW w:w="708" w:type="pct"/>
            <w:noWrap/>
          </w:tcPr>
          <w:p w14:paraId="39C99F34"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15</w:t>
            </w:r>
          </w:p>
        </w:tc>
        <w:tc>
          <w:tcPr>
            <w:tcW w:w="836" w:type="pct"/>
          </w:tcPr>
          <w:p w14:paraId="06ED5C0B"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w:t>
            </w:r>
            <w:r w:rsidR="00E92818" w:rsidRPr="000613C9">
              <w:rPr>
                <w:i/>
                <w:sz w:val="20"/>
                <w:szCs w:val="20"/>
                <w:lang w:eastAsia="en-AU"/>
              </w:rPr>
              <w:t>,</w:t>
            </w:r>
            <w:r w:rsidRPr="000613C9">
              <w:rPr>
                <w:i/>
                <w:sz w:val="20"/>
                <w:szCs w:val="20"/>
                <w:lang w:eastAsia="en-AU"/>
              </w:rPr>
              <w:t>198</w:t>
            </w:r>
          </w:p>
        </w:tc>
      </w:tr>
      <w:tr w:rsidR="00081953" w:rsidRPr="00EC76B9" w14:paraId="24CC016A"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646C86C1" w14:textId="77777777" w:rsidR="00081953" w:rsidRPr="000613C9" w:rsidRDefault="00081953" w:rsidP="00081953">
            <w:pPr>
              <w:rPr>
                <w:b w:val="0"/>
                <w:bCs w:val="0"/>
                <w:i/>
                <w:sz w:val="20"/>
                <w:szCs w:val="20"/>
                <w:lang w:eastAsia="en-AU"/>
              </w:rPr>
            </w:pPr>
            <w:r w:rsidRPr="000613C9">
              <w:rPr>
                <w:i/>
                <w:sz w:val="20"/>
                <w:szCs w:val="20"/>
                <w:lang w:eastAsia="en-AU"/>
              </w:rPr>
              <w:t>Drink Driving</w:t>
            </w:r>
          </w:p>
        </w:tc>
        <w:tc>
          <w:tcPr>
            <w:tcW w:w="707" w:type="pct"/>
            <w:noWrap/>
          </w:tcPr>
          <w:p w14:paraId="327A7A9F"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537</w:t>
            </w:r>
          </w:p>
        </w:tc>
        <w:tc>
          <w:tcPr>
            <w:tcW w:w="708" w:type="pct"/>
            <w:noWrap/>
          </w:tcPr>
          <w:p w14:paraId="1FBEFDCE"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368</w:t>
            </w:r>
          </w:p>
        </w:tc>
        <w:tc>
          <w:tcPr>
            <w:tcW w:w="836" w:type="pct"/>
          </w:tcPr>
          <w:p w14:paraId="7D1B8BB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30</w:t>
            </w:r>
            <w:r w:rsidR="00E92818" w:rsidRPr="000613C9">
              <w:rPr>
                <w:i/>
                <w:sz w:val="20"/>
                <w:szCs w:val="20"/>
                <w:lang w:eastAsia="en-AU"/>
              </w:rPr>
              <w:t>,</w:t>
            </w:r>
            <w:r w:rsidRPr="000613C9">
              <w:rPr>
                <w:i/>
                <w:sz w:val="20"/>
                <w:szCs w:val="20"/>
                <w:lang w:eastAsia="en-AU"/>
              </w:rPr>
              <w:t>668</w:t>
            </w:r>
          </w:p>
        </w:tc>
      </w:tr>
      <w:tr w:rsidR="00081953" w:rsidRPr="00EC76B9" w14:paraId="59A72C33"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415F04D1" w14:textId="77777777" w:rsidR="00081953" w:rsidRPr="000613C9" w:rsidRDefault="00081953" w:rsidP="00081953">
            <w:pPr>
              <w:rPr>
                <w:b w:val="0"/>
                <w:bCs w:val="0"/>
                <w:i/>
                <w:sz w:val="20"/>
                <w:szCs w:val="20"/>
                <w:lang w:eastAsia="en-AU"/>
              </w:rPr>
            </w:pPr>
            <w:r w:rsidRPr="000613C9">
              <w:rPr>
                <w:i/>
                <w:sz w:val="20"/>
                <w:szCs w:val="20"/>
                <w:lang w:eastAsia="en-AU"/>
              </w:rPr>
              <w:t>Disqualified Driving</w:t>
            </w:r>
          </w:p>
        </w:tc>
        <w:tc>
          <w:tcPr>
            <w:tcW w:w="707" w:type="pct"/>
            <w:noWrap/>
          </w:tcPr>
          <w:p w14:paraId="7548A070"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131</w:t>
            </w:r>
          </w:p>
        </w:tc>
        <w:tc>
          <w:tcPr>
            <w:tcW w:w="708" w:type="pct"/>
            <w:noWrap/>
          </w:tcPr>
          <w:p w14:paraId="7E3FD2B5"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84</w:t>
            </w:r>
          </w:p>
        </w:tc>
        <w:tc>
          <w:tcPr>
            <w:tcW w:w="836" w:type="pct"/>
          </w:tcPr>
          <w:p w14:paraId="71836ADA"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10</w:t>
            </w:r>
            <w:r w:rsidR="00E92818" w:rsidRPr="000613C9">
              <w:rPr>
                <w:i/>
                <w:sz w:val="20"/>
                <w:szCs w:val="20"/>
                <w:lang w:eastAsia="en-AU"/>
              </w:rPr>
              <w:t>,</w:t>
            </w:r>
            <w:r w:rsidRPr="000613C9">
              <w:rPr>
                <w:i/>
                <w:sz w:val="20"/>
                <w:szCs w:val="20"/>
                <w:lang w:eastAsia="en-AU"/>
              </w:rPr>
              <w:t>265</w:t>
            </w:r>
          </w:p>
        </w:tc>
      </w:tr>
      <w:tr w:rsidR="00081953" w:rsidRPr="00EC76B9" w14:paraId="40956115"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7D5775DE" w14:textId="77777777" w:rsidR="00081953" w:rsidRPr="000613C9" w:rsidRDefault="00081953" w:rsidP="00081953">
            <w:pPr>
              <w:rPr>
                <w:b w:val="0"/>
                <w:bCs w:val="0"/>
                <w:i/>
                <w:sz w:val="20"/>
                <w:szCs w:val="20"/>
                <w:lang w:eastAsia="en-AU"/>
              </w:rPr>
            </w:pPr>
            <w:r w:rsidRPr="000613C9">
              <w:rPr>
                <w:i/>
                <w:sz w:val="20"/>
                <w:szCs w:val="20"/>
                <w:lang w:eastAsia="en-AU"/>
              </w:rPr>
              <w:t>Interfere with Mechanism of Motor Vehicle</w:t>
            </w:r>
          </w:p>
        </w:tc>
        <w:tc>
          <w:tcPr>
            <w:tcW w:w="707" w:type="pct"/>
            <w:noWrap/>
          </w:tcPr>
          <w:p w14:paraId="1F51C195"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708" w:type="pct"/>
            <w:noWrap/>
          </w:tcPr>
          <w:p w14:paraId="1E7C3564"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w:t>
            </w:r>
          </w:p>
        </w:tc>
        <w:tc>
          <w:tcPr>
            <w:tcW w:w="836" w:type="pct"/>
          </w:tcPr>
          <w:p w14:paraId="1E190304"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21</w:t>
            </w:r>
          </w:p>
        </w:tc>
      </w:tr>
      <w:tr w:rsidR="00081953" w:rsidRPr="00EC76B9" w14:paraId="77A251E5" w14:textId="77777777" w:rsidTr="00A4064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3DBA380C" w14:textId="77777777" w:rsidR="00081953" w:rsidRPr="000613C9" w:rsidRDefault="00081953" w:rsidP="00081953">
            <w:pPr>
              <w:rPr>
                <w:sz w:val="20"/>
                <w:szCs w:val="20"/>
                <w:lang w:eastAsia="en-AU"/>
              </w:rPr>
            </w:pPr>
            <w:r w:rsidRPr="00EC76B9">
              <w:rPr>
                <w:sz w:val="20"/>
                <w:szCs w:val="20"/>
                <w:lang w:eastAsia="en-AU"/>
              </w:rPr>
              <w:t>Miscellaneous Offences</w:t>
            </w:r>
          </w:p>
        </w:tc>
        <w:tc>
          <w:tcPr>
            <w:tcW w:w="707" w:type="pct"/>
            <w:noWrap/>
          </w:tcPr>
          <w:p w14:paraId="2C0500E6"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50</w:t>
            </w:r>
          </w:p>
        </w:tc>
        <w:tc>
          <w:tcPr>
            <w:tcW w:w="708" w:type="pct"/>
            <w:noWrap/>
          </w:tcPr>
          <w:p w14:paraId="5700378B"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51</w:t>
            </w:r>
          </w:p>
        </w:tc>
        <w:tc>
          <w:tcPr>
            <w:tcW w:w="836" w:type="pct"/>
          </w:tcPr>
          <w:p w14:paraId="3E5FADFB"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3</w:t>
            </w:r>
            <w:r w:rsidR="00E92818" w:rsidRPr="00EC76B9">
              <w:rPr>
                <w:b/>
                <w:sz w:val="20"/>
                <w:szCs w:val="20"/>
                <w:lang w:eastAsia="en-AU"/>
              </w:rPr>
              <w:t>,</w:t>
            </w:r>
            <w:r w:rsidRPr="00EC76B9">
              <w:rPr>
                <w:b/>
                <w:sz w:val="20"/>
                <w:szCs w:val="20"/>
                <w:lang w:eastAsia="en-AU"/>
              </w:rPr>
              <w:t>973</w:t>
            </w:r>
          </w:p>
        </w:tc>
      </w:tr>
      <w:tr w:rsidR="00081953" w:rsidRPr="001179F7" w14:paraId="50C14B6C" w14:textId="77777777" w:rsidTr="00A4064D">
        <w:trPr>
          <w:trHeight w:val="324"/>
        </w:trPr>
        <w:tc>
          <w:tcPr>
            <w:cnfStyle w:val="001000000000" w:firstRow="0" w:lastRow="0" w:firstColumn="1" w:lastColumn="0" w:oddVBand="0" w:evenVBand="0" w:oddHBand="0" w:evenHBand="0" w:firstRowFirstColumn="0" w:firstRowLastColumn="0" w:lastRowFirstColumn="0" w:lastRowLastColumn="0"/>
            <w:tcW w:w="2749" w:type="pct"/>
            <w:noWrap/>
            <w:hideMark/>
          </w:tcPr>
          <w:p w14:paraId="292CA49F" w14:textId="77777777" w:rsidR="00081953" w:rsidRPr="001179F7" w:rsidRDefault="00081953" w:rsidP="00081953">
            <w:pPr>
              <w:rPr>
                <w:sz w:val="20"/>
                <w:szCs w:val="20"/>
                <w:lang w:eastAsia="en-AU"/>
              </w:rPr>
            </w:pPr>
            <w:r w:rsidRPr="001179F7">
              <w:rPr>
                <w:sz w:val="20"/>
                <w:szCs w:val="20"/>
                <w:lang w:eastAsia="en-AU"/>
              </w:rPr>
              <w:t>Total Other Offences</w:t>
            </w:r>
          </w:p>
        </w:tc>
        <w:tc>
          <w:tcPr>
            <w:tcW w:w="707" w:type="pct"/>
            <w:noWrap/>
          </w:tcPr>
          <w:p w14:paraId="30B426ED" w14:textId="77777777" w:rsidR="00081953" w:rsidRPr="001179F7"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3</w:t>
            </w:r>
            <w:r w:rsidR="00E92818" w:rsidRPr="001179F7">
              <w:rPr>
                <w:b/>
                <w:sz w:val="20"/>
                <w:szCs w:val="20"/>
                <w:lang w:eastAsia="en-AU"/>
              </w:rPr>
              <w:t>,</w:t>
            </w:r>
            <w:r w:rsidRPr="001179F7">
              <w:rPr>
                <w:b/>
                <w:sz w:val="20"/>
                <w:szCs w:val="20"/>
                <w:lang w:eastAsia="en-AU"/>
              </w:rPr>
              <w:t>378</w:t>
            </w:r>
          </w:p>
        </w:tc>
        <w:tc>
          <w:tcPr>
            <w:tcW w:w="708" w:type="pct"/>
            <w:noWrap/>
          </w:tcPr>
          <w:p w14:paraId="0A4630A9" w14:textId="77777777" w:rsidR="00081953" w:rsidRPr="001179F7"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2767</w:t>
            </w:r>
          </w:p>
        </w:tc>
        <w:tc>
          <w:tcPr>
            <w:tcW w:w="836" w:type="pct"/>
          </w:tcPr>
          <w:p w14:paraId="41C57FB6" w14:textId="77777777" w:rsidR="00081953" w:rsidRPr="001179F7"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228</w:t>
            </w:r>
            <w:r w:rsidR="00E92818" w:rsidRPr="001179F7">
              <w:rPr>
                <w:b/>
                <w:sz w:val="20"/>
                <w:szCs w:val="20"/>
                <w:lang w:eastAsia="en-AU"/>
              </w:rPr>
              <w:t>,</w:t>
            </w:r>
            <w:r w:rsidRPr="001179F7">
              <w:rPr>
                <w:b/>
                <w:sz w:val="20"/>
                <w:szCs w:val="20"/>
                <w:lang w:eastAsia="en-AU"/>
              </w:rPr>
              <w:t>005</w:t>
            </w:r>
          </w:p>
        </w:tc>
      </w:tr>
    </w:tbl>
    <w:p w14:paraId="22775410" w14:textId="77777777" w:rsidR="00E8435D" w:rsidRPr="00561030" w:rsidRDefault="00E8435D" w:rsidP="00561030">
      <w:pPr>
        <w:spacing w:after="0"/>
        <w:rPr>
          <w:i/>
          <w:sz w:val="18"/>
          <w:szCs w:val="18"/>
        </w:rPr>
      </w:pPr>
      <w:r w:rsidRPr="00461021">
        <w:rPr>
          <w:i/>
          <w:sz w:val="18"/>
          <w:szCs w:val="18"/>
        </w:rPr>
        <w:t xml:space="preserve">Source: </w:t>
      </w:r>
      <w:r w:rsidRPr="00561030">
        <w:rPr>
          <w:i/>
          <w:sz w:val="18"/>
          <w:szCs w:val="18"/>
        </w:rPr>
        <w:t>QPS offence statistics reported offences number.</w:t>
      </w:r>
    </w:p>
    <w:p w14:paraId="56E0BDE2" w14:textId="77777777" w:rsidR="00931C9E" w:rsidRPr="00931C9E" w:rsidRDefault="00931C9E" w:rsidP="00931C9E">
      <w:pPr>
        <w:rPr>
          <w:i/>
          <w:sz w:val="18"/>
          <w:szCs w:val="18"/>
          <w:lang w:val="en"/>
        </w:rPr>
      </w:pPr>
      <w:r>
        <w:rPr>
          <w:i/>
          <w:sz w:val="18"/>
          <w:szCs w:val="18"/>
          <w:lang w:val="en"/>
        </w:rPr>
        <w:t xml:space="preserve">Note: </w:t>
      </w:r>
      <w:r w:rsidRPr="00931C9E">
        <w:rPr>
          <w:i/>
          <w:sz w:val="18"/>
          <w:szCs w:val="18"/>
          <w:lang w:val="en"/>
        </w:rPr>
        <w:t xml:space="preserve">Bundaberg and Hervey Bay are identified by using the QPS </w:t>
      </w:r>
      <w:r w:rsidR="00A52802">
        <w:rPr>
          <w:i/>
          <w:sz w:val="18"/>
          <w:szCs w:val="18"/>
          <w:lang w:val="en"/>
        </w:rPr>
        <w:t xml:space="preserve">statistics </w:t>
      </w:r>
      <w:r w:rsidRPr="00931C9E">
        <w:rPr>
          <w:i/>
          <w:sz w:val="18"/>
          <w:szCs w:val="18"/>
          <w:lang w:val="en"/>
        </w:rPr>
        <w:t>geographical classification at the division level.</w:t>
      </w:r>
    </w:p>
    <w:p w14:paraId="06E1594D" w14:textId="064F461E" w:rsidR="00D63E48" w:rsidRDefault="000851DE" w:rsidP="00F1161D">
      <w:pPr>
        <w:pStyle w:val="Caption"/>
      </w:pPr>
      <w:bookmarkStart w:id="350" w:name="_Toc37263604"/>
      <w:r>
        <w:lastRenderedPageBreak/>
        <w:t>Table</w:t>
      </w:r>
      <w:r w:rsidR="00F1161D">
        <w:t xml:space="preserv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6</w:t>
      </w:r>
      <w:r w:rsidR="006C0554">
        <w:rPr>
          <w:noProof/>
        </w:rPr>
        <w:fldChar w:fldCharType="end"/>
      </w:r>
      <w:r w:rsidR="00F1161D">
        <w:t xml:space="preserve">: </w:t>
      </w:r>
      <w:r w:rsidR="00D63E48">
        <w:t>Reported offence rate against the person in 2018 (per 100,000 population)</w:t>
      </w:r>
      <w:bookmarkEnd w:id="350"/>
    </w:p>
    <w:tbl>
      <w:tblPr>
        <w:tblStyle w:val="ListTable3-Accent12"/>
        <w:tblW w:w="5000" w:type="pct"/>
        <w:tblInd w:w="0" w:type="dxa"/>
        <w:tblLayout w:type="fixed"/>
        <w:tblLook w:val="04A0" w:firstRow="1" w:lastRow="0" w:firstColumn="1" w:lastColumn="0" w:noHBand="0" w:noVBand="1"/>
      </w:tblPr>
      <w:tblGrid>
        <w:gridCol w:w="4815"/>
        <w:gridCol w:w="1417"/>
        <w:gridCol w:w="1417"/>
        <w:gridCol w:w="1367"/>
      </w:tblGrid>
      <w:tr w:rsidR="00081953" w:rsidRPr="00D14EF1" w14:paraId="7B4307BC"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670" w:type="pct"/>
            <w:shd w:val="clear" w:color="auto" w:fill="2F5496" w:themeFill="accent5" w:themeFillShade="BF"/>
            <w:noWrap/>
          </w:tcPr>
          <w:p w14:paraId="0E2B9C6B" w14:textId="77777777" w:rsidR="00081953" w:rsidRPr="00D14EF1" w:rsidRDefault="00081953" w:rsidP="000613C9">
            <w:pPr>
              <w:jc w:val="center"/>
              <w:rPr>
                <w:sz w:val="20"/>
                <w:szCs w:val="20"/>
                <w:lang w:eastAsia="en-AU"/>
              </w:rPr>
            </w:pPr>
          </w:p>
        </w:tc>
        <w:tc>
          <w:tcPr>
            <w:tcW w:w="786" w:type="pct"/>
            <w:shd w:val="clear" w:color="auto" w:fill="2F5496" w:themeFill="accent5" w:themeFillShade="BF"/>
            <w:noWrap/>
          </w:tcPr>
          <w:p w14:paraId="3A1C6640" w14:textId="77777777" w:rsidR="00081953" w:rsidRPr="000613C9" w:rsidRDefault="00081953"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Bundaberg</w:t>
            </w:r>
          </w:p>
        </w:tc>
        <w:tc>
          <w:tcPr>
            <w:tcW w:w="786" w:type="pct"/>
            <w:shd w:val="clear" w:color="auto" w:fill="2F5496" w:themeFill="accent5" w:themeFillShade="BF"/>
            <w:noWrap/>
          </w:tcPr>
          <w:p w14:paraId="6E8B739F" w14:textId="77777777" w:rsidR="00081953" w:rsidRPr="000613C9" w:rsidRDefault="00081953"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Hervey Bay</w:t>
            </w:r>
          </w:p>
        </w:tc>
        <w:tc>
          <w:tcPr>
            <w:tcW w:w="758" w:type="pct"/>
            <w:shd w:val="clear" w:color="auto" w:fill="2F5496" w:themeFill="accent5" w:themeFillShade="BF"/>
          </w:tcPr>
          <w:p w14:paraId="76DF9AD0" w14:textId="77777777" w:rsidR="00081953" w:rsidRPr="000613C9" w:rsidRDefault="00081953"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Queensland</w:t>
            </w:r>
          </w:p>
        </w:tc>
      </w:tr>
      <w:tr w:rsidR="00081953" w:rsidRPr="00EC76B9" w14:paraId="280EC48A"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558C9FF9" w14:textId="77777777" w:rsidR="00081953" w:rsidRPr="000613C9" w:rsidRDefault="00081953" w:rsidP="00081953">
            <w:pPr>
              <w:rPr>
                <w:sz w:val="20"/>
                <w:szCs w:val="20"/>
                <w:lang w:eastAsia="en-AU"/>
              </w:rPr>
            </w:pPr>
            <w:r w:rsidRPr="00EC76B9">
              <w:rPr>
                <w:sz w:val="20"/>
                <w:szCs w:val="20"/>
                <w:lang w:eastAsia="en-AU"/>
              </w:rPr>
              <w:t>Homicide (Murder)</w:t>
            </w:r>
          </w:p>
        </w:tc>
        <w:tc>
          <w:tcPr>
            <w:tcW w:w="786" w:type="pct"/>
            <w:noWrap/>
          </w:tcPr>
          <w:p w14:paraId="0EE1E3DC"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1.65</w:t>
            </w:r>
          </w:p>
        </w:tc>
        <w:tc>
          <w:tcPr>
            <w:tcW w:w="786" w:type="pct"/>
            <w:noWrap/>
          </w:tcPr>
          <w:p w14:paraId="0AEF1E94"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1.66</w:t>
            </w:r>
          </w:p>
        </w:tc>
        <w:tc>
          <w:tcPr>
            <w:tcW w:w="758" w:type="pct"/>
          </w:tcPr>
          <w:p w14:paraId="1274DB53"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0.82</w:t>
            </w:r>
          </w:p>
        </w:tc>
      </w:tr>
      <w:tr w:rsidR="00081953" w:rsidRPr="00EC76B9" w14:paraId="200C1DC6"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59969D40" w14:textId="77777777" w:rsidR="00081953" w:rsidRPr="000613C9" w:rsidRDefault="00081953" w:rsidP="00081953">
            <w:pPr>
              <w:rPr>
                <w:sz w:val="20"/>
                <w:szCs w:val="20"/>
                <w:lang w:eastAsia="en-AU"/>
              </w:rPr>
            </w:pPr>
            <w:r w:rsidRPr="00EC76B9">
              <w:rPr>
                <w:sz w:val="20"/>
                <w:szCs w:val="20"/>
                <w:lang w:eastAsia="en-AU"/>
              </w:rPr>
              <w:t>Other Homicide</w:t>
            </w:r>
          </w:p>
        </w:tc>
        <w:tc>
          <w:tcPr>
            <w:tcW w:w="786" w:type="pct"/>
            <w:noWrap/>
          </w:tcPr>
          <w:p w14:paraId="021B8628"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0.00</w:t>
            </w:r>
          </w:p>
        </w:tc>
        <w:tc>
          <w:tcPr>
            <w:tcW w:w="786" w:type="pct"/>
            <w:noWrap/>
          </w:tcPr>
          <w:p w14:paraId="74F66134"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3.32</w:t>
            </w:r>
          </w:p>
        </w:tc>
        <w:tc>
          <w:tcPr>
            <w:tcW w:w="758" w:type="pct"/>
          </w:tcPr>
          <w:p w14:paraId="2AFBFC55"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1.36</w:t>
            </w:r>
          </w:p>
        </w:tc>
      </w:tr>
      <w:tr w:rsidR="00081953" w:rsidRPr="00EC76B9" w14:paraId="18C9F987"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BDF070E" w14:textId="77777777" w:rsidR="00081953" w:rsidRPr="000613C9" w:rsidRDefault="00081953" w:rsidP="00081953">
            <w:pPr>
              <w:rPr>
                <w:b w:val="0"/>
                <w:bCs w:val="0"/>
                <w:i/>
                <w:sz w:val="20"/>
                <w:szCs w:val="20"/>
                <w:lang w:eastAsia="en-AU"/>
              </w:rPr>
            </w:pPr>
            <w:r w:rsidRPr="000613C9">
              <w:rPr>
                <w:i/>
                <w:sz w:val="20"/>
                <w:szCs w:val="20"/>
                <w:lang w:eastAsia="en-AU"/>
              </w:rPr>
              <w:t>Attempted Murder</w:t>
            </w:r>
          </w:p>
        </w:tc>
        <w:tc>
          <w:tcPr>
            <w:tcW w:w="786" w:type="pct"/>
            <w:noWrap/>
          </w:tcPr>
          <w:p w14:paraId="061E5A90"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0.00</w:t>
            </w:r>
          </w:p>
        </w:tc>
        <w:tc>
          <w:tcPr>
            <w:tcW w:w="786" w:type="pct"/>
            <w:noWrap/>
          </w:tcPr>
          <w:p w14:paraId="5584FBCF"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3.32</w:t>
            </w:r>
          </w:p>
        </w:tc>
        <w:tc>
          <w:tcPr>
            <w:tcW w:w="758" w:type="pct"/>
          </w:tcPr>
          <w:p w14:paraId="69BD2890"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0.70</w:t>
            </w:r>
          </w:p>
        </w:tc>
      </w:tr>
      <w:tr w:rsidR="00081953" w:rsidRPr="00EC76B9" w14:paraId="10953DE7"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7766206" w14:textId="77777777" w:rsidR="00081953" w:rsidRPr="000613C9" w:rsidRDefault="00081953" w:rsidP="00081953">
            <w:pPr>
              <w:rPr>
                <w:b w:val="0"/>
                <w:bCs w:val="0"/>
                <w:i/>
                <w:sz w:val="20"/>
                <w:szCs w:val="20"/>
                <w:lang w:eastAsia="en-AU"/>
              </w:rPr>
            </w:pPr>
            <w:r w:rsidRPr="000613C9">
              <w:rPr>
                <w:i/>
                <w:sz w:val="20"/>
                <w:szCs w:val="20"/>
                <w:lang w:eastAsia="en-AU"/>
              </w:rPr>
              <w:t>Conspiracy to Murder</w:t>
            </w:r>
          </w:p>
        </w:tc>
        <w:tc>
          <w:tcPr>
            <w:tcW w:w="786" w:type="pct"/>
            <w:noWrap/>
          </w:tcPr>
          <w:p w14:paraId="339B3993"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0.00</w:t>
            </w:r>
          </w:p>
        </w:tc>
        <w:tc>
          <w:tcPr>
            <w:tcW w:w="786" w:type="pct"/>
            <w:noWrap/>
          </w:tcPr>
          <w:p w14:paraId="64FC9B7C"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0.00</w:t>
            </w:r>
          </w:p>
        </w:tc>
        <w:tc>
          <w:tcPr>
            <w:tcW w:w="758" w:type="pct"/>
          </w:tcPr>
          <w:p w14:paraId="49E5D124"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0.00</w:t>
            </w:r>
          </w:p>
        </w:tc>
      </w:tr>
      <w:tr w:rsidR="00081953" w:rsidRPr="00EC76B9" w14:paraId="284EEB1D"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48748901" w14:textId="77777777" w:rsidR="00081953" w:rsidRPr="000613C9" w:rsidRDefault="00081953" w:rsidP="00081953">
            <w:pPr>
              <w:rPr>
                <w:b w:val="0"/>
                <w:bCs w:val="0"/>
                <w:i/>
                <w:sz w:val="20"/>
                <w:szCs w:val="20"/>
                <w:lang w:eastAsia="en-AU"/>
              </w:rPr>
            </w:pPr>
            <w:r w:rsidRPr="000613C9">
              <w:rPr>
                <w:i/>
                <w:sz w:val="20"/>
                <w:szCs w:val="20"/>
                <w:lang w:eastAsia="en-AU"/>
              </w:rPr>
              <w:t>Manslaughter (excl. by driving)</w:t>
            </w:r>
          </w:p>
        </w:tc>
        <w:tc>
          <w:tcPr>
            <w:tcW w:w="786" w:type="pct"/>
            <w:noWrap/>
          </w:tcPr>
          <w:p w14:paraId="39B8CD25"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0.00</w:t>
            </w:r>
          </w:p>
        </w:tc>
        <w:tc>
          <w:tcPr>
            <w:tcW w:w="786" w:type="pct"/>
            <w:noWrap/>
          </w:tcPr>
          <w:p w14:paraId="01A2DFDC"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0.00</w:t>
            </w:r>
          </w:p>
        </w:tc>
        <w:tc>
          <w:tcPr>
            <w:tcW w:w="758" w:type="pct"/>
          </w:tcPr>
          <w:p w14:paraId="60729F1C"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0.16</w:t>
            </w:r>
          </w:p>
        </w:tc>
      </w:tr>
      <w:tr w:rsidR="00081953" w:rsidRPr="00EC76B9" w14:paraId="7794F20B"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69E72BA" w14:textId="77777777" w:rsidR="00081953" w:rsidRPr="000613C9" w:rsidRDefault="00081953" w:rsidP="00081953">
            <w:pPr>
              <w:rPr>
                <w:b w:val="0"/>
                <w:bCs w:val="0"/>
                <w:i/>
                <w:sz w:val="20"/>
                <w:szCs w:val="20"/>
                <w:lang w:eastAsia="en-AU"/>
              </w:rPr>
            </w:pPr>
            <w:r w:rsidRPr="000613C9">
              <w:rPr>
                <w:i/>
                <w:sz w:val="20"/>
                <w:szCs w:val="20"/>
                <w:lang w:eastAsia="en-AU"/>
              </w:rPr>
              <w:t>Manslaughter Unlawful Striking Causing Death</w:t>
            </w:r>
          </w:p>
        </w:tc>
        <w:tc>
          <w:tcPr>
            <w:tcW w:w="786" w:type="pct"/>
            <w:noWrap/>
          </w:tcPr>
          <w:p w14:paraId="37A43671"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0.00</w:t>
            </w:r>
          </w:p>
        </w:tc>
        <w:tc>
          <w:tcPr>
            <w:tcW w:w="786" w:type="pct"/>
            <w:noWrap/>
          </w:tcPr>
          <w:p w14:paraId="31C9640B"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0.00</w:t>
            </w:r>
          </w:p>
        </w:tc>
        <w:tc>
          <w:tcPr>
            <w:tcW w:w="758" w:type="pct"/>
          </w:tcPr>
          <w:p w14:paraId="160FCF6B"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0.50</w:t>
            </w:r>
          </w:p>
        </w:tc>
      </w:tr>
      <w:tr w:rsidR="00081953" w:rsidRPr="00EC76B9" w14:paraId="6E7AFB0C"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816765A" w14:textId="77777777" w:rsidR="00081953" w:rsidRPr="000613C9" w:rsidRDefault="00081953" w:rsidP="00081953">
            <w:pPr>
              <w:rPr>
                <w:b w:val="0"/>
                <w:bCs w:val="0"/>
                <w:i/>
                <w:sz w:val="20"/>
                <w:szCs w:val="20"/>
                <w:lang w:eastAsia="en-AU"/>
              </w:rPr>
            </w:pPr>
            <w:r w:rsidRPr="000613C9">
              <w:rPr>
                <w:i/>
                <w:sz w:val="20"/>
                <w:szCs w:val="20"/>
                <w:lang w:eastAsia="en-AU"/>
              </w:rPr>
              <w:t>Driving Causing Death</w:t>
            </w:r>
          </w:p>
        </w:tc>
        <w:tc>
          <w:tcPr>
            <w:tcW w:w="786" w:type="pct"/>
            <w:noWrap/>
          </w:tcPr>
          <w:p w14:paraId="00C712F8"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0.00</w:t>
            </w:r>
          </w:p>
        </w:tc>
        <w:tc>
          <w:tcPr>
            <w:tcW w:w="786" w:type="pct"/>
            <w:noWrap/>
          </w:tcPr>
          <w:p w14:paraId="702F7760"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0.00</w:t>
            </w:r>
          </w:p>
        </w:tc>
        <w:tc>
          <w:tcPr>
            <w:tcW w:w="758" w:type="pct"/>
          </w:tcPr>
          <w:p w14:paraId="6803A26C"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0.00</w:t>
            </w:r>
          </w:p>
        </w:tc>
      </w:tr>
      <w:tr w:rsidR="00081953" w:rsidRPr="00EC76B9" w14:paraId="0281ADD4"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EFDF830" w14:textId="77777777" w:rsidR="00081953" w:rsidRPr="000613C9" w:rsidRDefault="00081953" w:rsidP="00081953">
            <w:pPr>
              <w:rPr>
                <w:sz w:val="20"/>
                <w:szCs w:val="20"/>
                <w:lang w:eastAsia="en-AU"/>
              </w:rPr>
            </w:pPr>
            <w:r w:rsidRPr="00EC76B9">
              <w:rPr>
                <w:sz w:val="20"/>
                <w:szCs w:val="20"/>
                <w:lang w:eastAsia="en-AU"/>
              </w:rPr>
              <w:t>Assault</w:t>
            </w:r>
          </w:p>
        </w:tc>
        <w:tc>
          <w:tcPr>
            <w:tcW w:w="786" w:type="pct"/>
            <w:noWrap/>
          </w:tcPr>
          <w:p w14:paraId="70273AF4"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492.37</w:t>
            </w:r>
          </w:p>
        </w:tc>
        <w:tc>
          <w:tcPr>
            <w:tcW w:w="786" w:type="pct"/>
            <w:noWrap/>
          </w:tcPr>
          <w:p w14:paraId="2C0D83AD"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405.19</w:t>
            </w:r>
          </w:p>
        </w:tc>
        <w:tc>
          <w:tcPr>
            <w:tcW w:w="758" w:type="pct"/>
          </w:tcPr>
          <w:p w14:paraId="1D814004"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471.24</w:t>
            </w:r>
          </w:p>
        </w:tc>
      </w:tr>
      <w:tr w:rsidR="00081953" w:rsidRPr="00EC76B9" w14:paraId="705BEDB3"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43F63F5C" w14:textId="77777777" w:rsidR="00081953" w:rsidRPr="000613C9" w:rsidRDefault="00081953" w:rsidP="00081953">
            <w:pPr>
              <w:rPr>
                <w:b w:val="0"/>
                <w:bCs w:val="0"/>
                <w:i/>
                <w:sz w:val="20"/>
                <w:szCs w:val="20"/>
                <w:lang w:eastAsia="en-AU"/>
              </w:rPr>
            </w:pPr>
            <w:r w:rsidRPr="000613C9">
              <w:rPr>
                <w:i/>
                <w:sz w:val="20"/>
                <w:szCs w:val="20"/>
                <w:lang w:eastAsia="en-AU"/>
              </w:rPr>
              <w:t>Grievous Assault</w:t>
            </w:r>
          </w:p>
        </w:tc>
        <w:tc>
          <w:tcPr>
            <w:tcW w:w="786" w:type="pct"/>
            <w:noWrap/>
          </w:tcPr>
          <w:p w14:paraId="58E97FBE"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31.29</w:t>
            </w:r>
          </w:p>
        </w:tc>
        <w:tc>
          <w:tcPr>
            <w:tcW w:w="786" w:type="pct"/>
            <w:noWrap/>
          </w:tcPr>
          <w:p w14:paraId="10D68C45"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23.25</w:t>
            </w:r>
          </w:p>
        </w:tc>
        <w:tc>
          <w:tcPr>
            <w:tcW w:w="758" w:type="pct"/>
          </w:tcPr>
          <w:p w14:paraId="11CFEA4B"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18.62</w:t>
            </w:r>
          </w:p>
        </w:tc>
      </w:tr>
      <w:tr w:rsidR="00081953" w:rsidRPr="00EC76B9" w14:paraId="6C0253BE"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1BADD8C" w14:textId="77777777" w:rsidR="00081953" w:rsidRPr="000613C9" w:rsidRDefault="00081953" w:rsidP="00081953">
            <w:pPr>
              <w:rPr>
                <w:b w:val="0"/>
                <w:bCs w:val="0"/>
                <w:i/>
                <w:sz w:val="20"/>
                <w:szCs w:val="20"/>
                <w:lang w:eastAsia="en-AU"/>
              </w:rPr>
            </w:pPr>
            <w:r w:rsidRPr="000613C9">
              <w:rPr>
                <w:i/>
                <w:sz w:val="20"/>
                <w:szCs w:val="20"/>
                <w:lang w:eastAsia="en-AU"/>
              </w:rPr>
              <w:t>Serious Assault</w:t>
            </w:r>
          </w:p>
        </w:tc>
        <w:tc>
          <w:tcPr>
            <w:tcW w:w="786" w:type="pct"/>
            <w:noWrap/>
          </w:tcPr>
          <w:p w14:paraId="48D1FE87"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235.48</w:t>
            </w:r>
          </w:p>
        </w:tc>
        <w:tc>
          <w:tcPr>
            <w:tcW w:w="786" w:type="pct"/>
            <w:noWrap/>
          </w:tcPr>
          <w:p w14:paraId="3B1E6380"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199.28</w:t>
            </w:r>
          </w:p>
        </w:tc>
        <w:tc>
          <w:tcPr>
            <w:tcW w:w="758" w:type="pct"/>
          </w:tcPr>
          <w:p w14:paraId="17DBF2E7"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224.98</w:t>
            </w:r>
          </w:p>
        </w:tc>
      </w:tr>
      <w:tr w:rsidR="00081953" w:rsidRPr="00EC76B9" w14:paraId="6FD05E4D"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0539955" w14:textId="77777777" w:rsidR="00081953" w:rsidRPr="000613C9" w:rsidRDefault="00081953" w:rsidP="00081953">
            <w:pPr>
              <w:rPr>
                <w:b w:val="0"/>
                <w:bCs w:val="0"/>
                <w:i/>
                <w:sz w:val="20"/>
                <w:szCs w:val="20"/>
                <w:lang w:eastAsia="en-AU"/>
              </w:rPr>
            </w:pPr>
            <w:r w:rsidRPr="000613C9">
              <w:rPr>
                <w:i/>
                <w:sz w:val="20"/>
                <w:szCs w:val="20"/>
                <w:lang w:eastAsia="en-AU"/>
              </w:rPr>
              <w:t>Serious Assault (Other)</w:t>
            </w:r>
          </w:p>
        </w:tc>
        <w:tc>
          <w:tcPr>
            <w:tcW w:w="786" w:type="pct"/>
            <w:noWrap/>
          </w:tcPr>
          <w:p w14:paraId="122E2EB8"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64.22</w:t>
            </w:r>
          </w:p>
        </w:tc>
        <w:tc>
          <w:tcPr>
            <w:tcW w:w="786" w:type="pct"/>
            <w:noWrap/>
          </w:tcPr>
          <w:p w14:paraId="10C2FE59"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71.41</w:t>
            </w:r>
          </w:p>
        </w:tc>
        <w:tc>
          <w:tcPr>
            <w:tcW w:w="758" w:type="pct"/>
          </w:tcPr>
          <w:p w14:paraId="23A443F9"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64.34</w:t>
            </w:r>
          </w:p>
        </w:tc>
      </w:tr>
      <w:tr w:rsidR="00081953" w:rsidRPr="00EC76B9" w14:paraId="1EBFBB43"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7BEAEAE" w14:textId="77777777" w:rsidR="00081953" w:rsidRPr="000613C9" w:rsidRDefault="00081953" w:rsidP="00081953">
            <w:pPr>
              <w:rPr>
                <w:b w:val="0"/>
                <w:bCs w:val="0"/>
                <w:i/>
                <w:sz w:val="20"/>
                <w:szCs w:val="20"/>
                <w:lang w:eastAsia="en-AU"/>
              </w:rPr>
            </w:pPr>
            <w:r w:rsidRPr="000613C9">
              <w:rPr>
                <w:i/>
                <w:sz w:val="20"/>
                <w:szCs w:val="20"/>
                <w:lang w:eastAsia="en-AU"/>
              </w:rPr>
              <w:t>Common Assault</w:t>
            </w:r>
          </w:p>
        </w:tc>
        <w:tc>
          <w:tcPr>
            <w:tcW w:w="786" w:type="pct"/>
            <w:noWrap/>
          </w:tcPr>
          <w:p w14:paraId="594002AE"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161.38</w:t>
            </w:r>
          </w:p>
        </w:tc>
        <w:tc>
          <w:tcPr>
            <w:tcW w:w="786" w:type="pct"/>
            <w:noWrap/>
          </w:tcPr>
          <w:p w14:paraId="07B3B344"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111.26</w:t>
            </w:r>
          </w:p>
        </w:tc>
        <w:tc>
          <w:tcPr>
            <w:tcW w:w="758" w:type="pct"/>
          </w:tcPr>
          <w:p w14:paraId="13F0FA51"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163.31</w:t>
            </w:r>
          </w:p>
        </w:tc>
      </w:tr>
      <w:tr w:rsidR="00081953" w:rsidRPr="00EC76B9" w14:paraId="52B4FEF0"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C7FB7E8" w14:textId="77777777" w:rsidR="00081953" w:rsidRPr="000613C9" w:rsidRDefault="00081953" w:rsidP="00081953">
            <w:pPr>
              <w:rPr>
                <w:sz w:val="20"/>
                <w:szCs w:val="20"/>
                <w:lang w:eastAsia="en-AU"/>
              </w:rPr>
            </w:pPr>
            <w:r w:rsidRPr="00EC76B9">
              <w:rPr>
                <w:sz w:val="20"/>
                <w:szCs w:val="20"/>
                <w:lang w:eastAsia="en-AU"/>
              </w:rPr>
              <w:t>Sexual Offences</w:t>
            </w:r>
          </w:p>
        </w:tc>
        <w:tc>
          <w:tcPr>
            <w:tcW w:w="786" w:type="pct"/>
            <w:noWrap/>
          </w:tcPr>
          <w:p w14:paraId="0ABF0C76"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156.44</w:t>
            </w:r>
          </w:p>
        </w:tc>
        <w:tc>
          <w:tcPr>
            <w:tcW w:w="786" w:type="pct"/>
            <w:noWrap/>
          </w:tcPr>
          <w:p w14:paraId="5E4DC1CA"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144.48</w:t>
            </w:r>
          </w:p>
        </w:tc>
        <w:tc>
          <w:tcPr>
            <w:tcW w:w="758" w:type="pct"/>
          </w:tcPr>
          <w:p w14:paraId="681041B1"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135.30</w:t>
            </w:r>
          </w:p>
        </w:tc>
      </w:tr>
      <w:tr w:rsidR="00081953" w:rsidRPr="00EC76B9" w14:paraId="54DF0529"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4A51CA6" w14:textId="77777777" w:rsidR="00081953" w:rsidRPr="000613C9" w:rsidRDefault="00081953" w:rsidP="00081953">
            <w:pPr>
              <w:rPr>
                <w:b w:val="0"/>
                <w:bCs w:val="0"/>
                <w:i/>
                <w:sz w:val="20"/>
                <w:szCs w:val="20"/>
                <w:lang w:eastAsia="en-AU"/>
              </w:rPr>
            </w:pPr>
            <w:r w:rsidRPr="000613C9">
              <w:rPr>
                <w:i/>
                <w:sz w:val="20"/>
                <w:szCs w:val="20"/>
                <w:lang w:eastAsia="en-AU"/>
              </w:rPr>
              <w:t>Rape and Attempted Rape</w:t>
            </w:r>
          </w:p>
        </w:tc>
        <w:tc>
          <w:tcPr>
            <w:tcW w:w="786" w:type="pct"/>
            <w:noWrap/>
          </w:tcPr>
          <w:p w14:paraId="4D48CF84"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55.99</w:t>
            </w:r>
          </w:p>
        </w:tc>
        <w:tc>
          <w:tcPr>
            <w:tcW w:w="786" w:type="pct"/>
            <w:noWrap/>
          </w:tcPr>
          <w:p w14:paraId="7D4DD22B"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43.18</w:t>
            </w:r>
          </w:p>
        </w:tc>
        <w:tc>
          <w:tcPr>
            <w:tcW w:w="758" w:type="pct"/>
          </w:tcPr>
          <w:p w14:paraId="2D84A5F2"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45.52</w:t>
            </w:r>
          </w:p>
        </w:tc>
      </w:tr>
      <w:tr w:rsidR="00081953" w:rsidRPr="00EC76B9" w14:paraId="13BEE5A9"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AD5E458" w14:textId="77777777" w:rsidR="00081953" w:rsidRPr="000613C9" w:rsidRDefault="00081953" w:rsidP="00081953">
            <w:pPr>
              <w:rPr>
                <w:b w:val="0"/>
                <w:bCs w:val="0"/>
                <w:i/>
                <w:sz w:val="20"/>
                <w:szCs w:val="20"/>
                <w:lang w:eastAsia="en-AU"/>
              </w:rPr>
            </w:pPr>
            <w:r w:rsidRPr="000613C9">
              <w:rPr>
                <w:i/>
                <w:sz w:val="20"/>
                <w:szCs w:val="20"/>
                <w:lang w:eastAsia="en-AU"/>
              </w:rPr>
              <w:t>Other Sexual Offences</w:t>
            </w:r>
          </w:p>
        </w:tc>
        <w:tc>
          <w:tcPr>
            <w:tcW w:w="786" w:type="pct"/>
            <w:noWrap/>
          </w:tcPr>
          <w:p w14:paraId="4AA5AD67"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100.45</w:t>
            </w:r>
          </w:p>
        </w:tc>
        <w:tc>
          <w:tcPr>
            <w:tcW w:w="786" w:type="pct"/>
            <w:noWrap/>
          </w:tcPr>
          <w:p w14:paraId="50FA336A"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101.30</w:t>
            </w:r>
          </w:p>
        </w:tc>
        <w:tc>
          <w:tcPr>
            <w:tcW w:w="758" w:type="pct"/>
          </w:tcPr>
          <w:p w14:paraId="29935209"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89.78</w:t>
            </w:r>
          </w:p>
        </w:tc>
      </w:tr>
      <w:tr w:rsidR="00081953" w:rsidRPr="00EC76B9" w14:paraId="070D0A37"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D7D3553" w14:textId="77777777" w:rsidR="00081953" w:rsidRPr="000613C9" w:rsidRDefault="00081953" w:rsidP="00081953">
            <w:pPr>
              <w:rPr>
                <w:sz w:val="20"/>
                <w:szCs w:val="20"/>
                <w:lang w:eastAsia="en-AU"/>
              </w:rPr>
            </w:pPr>
            <w:r w:rsidRPr="00EC76B9">
              <w:rPr>
                <w:sz w:val="20"/>
                <w:szCs w:val="20"/>
                <w:lang w:eastAsia="en-AU"/>
              </w:rPr>
              <w:t>Robbery</w:t>
            </w:r>
          </w:p>
        </w:tc>
        <w:tc>
          <w:tcPr>
            <w:tcW w:w="786" w:type="pct"/>
            <w:noWrap/>
          </w:tcPr>
          <w:p w14:paraId="67737C14"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36.23</w:t>
            </w:r>
          </w:p>
        </w:tc>
        <w:tc>
          <w:tcPr>
            <w:tcW w:w="786" w:type="pct"/>
            <w:noWrap/>
          </w:tcPr>
          <w:p w14:paraId="546BFDAE"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46.50</w:t>
            </w:r>
          </w:p>
        </w:tc>
        <w:tc>
          <w:tcPr>
            <w:tcW w:w="758" w:type="pct"/>
          </w:tcPr>
          <w:p w14:paraId="4DEFE410" w14:textId="77777777" w:rsidR="00081953" w:rsidRPr="00EC76B9"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EC76B9">
              <w:rPr>
                <w:b/>
                <w:sz w:val="20"/>
                <w:szCs w:val="20"/>
                <w:lang w:eastAsia="en-AU"/>
              </w:rPr>
              <w:t>43.68</w:t>
            </w:r>
          </w:p>
        </w:tc>
      </w:tr>
      <w:tr w:rsidR="00081953" w:rsidRPr="00EC76B9" w14:paraId="1F12DC67"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A4D8FA3" w14:textId="77777777" w:rsidR="00081953" w:rsidRPr="000613C9" w:rsidRDefault="00081953" w:rsidP="00081953">
            <w:pPr>
              <w:rPr>
                <w:b w:val="0"/>
                <w:bCs w:val="0"/>
                <w:i/>
                <w:sz w:val="20"/>
                <w:szCs w:val="20"/>
                <w:lang w:eastAsia="en-AU"/>
              </w:rPr>
            </w:pPr>
            <w:r w:rsidRPr="000613C9">
              <w:rPr>
                <w:i/>
                <w:sz w:val="20"/>
                <w:szCs w:val="20"/>
                <w:lang w:eastAsia="en-AU"/>
              </w:rPr>
              <w:t>Armed Robbery</w:t>
            </w:r>
          </w:p>
        </w:tc>
        <w:tc>
          <w:tcPr>
            <w:tcW w:w="786" w:type="pct"/>
            <w:noWrap/>
          </w:tcPr>
          <w:p w14:paraId="2C8C27C6"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26.35</w:t>
            </w:r>
          </w:p>
        </w:tc>
        <w:tc>
          <w:tcPr>
            <w:tcW w:w="786" w:type="pct"/>
            <w:noWrap/>
          </w:tcPr>
          <w:p w14:paraId="17DE9C51"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28.23</w:t>
            </w:r>
          </w:p>
        </w:tc>
        <w:tc>
          <w:tcPr>
            <w:tcW w:w="758" w:type="pct"/>
          </w:tcPr>
          <w:p w14:paraId="521F8A8B"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21.79</w:t>
            </w:r>
          </w:p>
        </w:tc>
      </w:tr>
      <w:tr w:rsidR="00081953" w:rsidRPr="00EC76B9" w14:paraId="6B8A108E"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19E1018" w14:textId="77777777" w:rsidR="00081953" w:rsidRPr="000613C9" w:rsidRDefault="00081953" w:rsidP="00081953">
            <w:pPr>
              <w:rPr>
                <w:b w:val="0"/>
                <w:bCs w:val="0"/>
                <w:i/>
                <w:sz w:val="20"/>
                <w:szCs w:val="20"/>
                <w:lang w:eastAsia="en-AU"/>
              </w:rPr>
            </w:pPr>
            <w:r w:rsidRPr="000613C9">
              <w:rPr>
                <w:i/>
                <w:sz w:val="20"/>
                <w:szCs w:val="20"/>
                <w:lang w:eastAsia="en-AU"/>
              </w:rPr>
              <w:t>Unarmed Robbery</w:t>
            </w:r>
          </w:p>
        </w:tc>
        <w:tc>
          <w:tcPr>
            <w:tcW w:w="786" w:type="pct"/>
            <w:noWrap/>
          </w:tcPr>
          <w:p w14:paraId="17DC36CC"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9.88</w:t>
            </w:r>
          </w:p>
        </w:tc>
        <w:tc>
          <w:tcPr>
            <w:tcW w:w="786" w:type="pct"/>
            <w:noWrap/>
          </w:tcPr>
          <w:p w14:paraId="762EEDEC"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18.27</w:t>
            </w:r>
          </w:p>
        </w:tc>
        <w:tc>
          <w:tcPr>
            <w:tcW w:w="758" w:type="pct"/>
          </w:tcPr>
          <w:p w14:paraId="016A7152"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21.89</w:t>
            </w:r>
          </w:p>
        </w:tc>
      </w:tr>
      <w:tr w:rsidR="00081953" w:rsidRPr="00EC76B9" w14:paraId="475F9953"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AAA1984" w14:textId="77777777" w:rsidR="00081953" w:rsidRPr="00522405" w:rsidRDefault="00081953" w:rsidP="00081953">
            <w:pPr>
              <w:rPr>
                <w:sz w:val="20"/>
                <w:szCs w:val="20"/>
                <w:lang w:eastAsia="en-AU"/>
              </w:rPr>
            </w:pPr>
            <w:r w:rsidRPr="00522405">
              <w:rPr>
                <w:sz w:val="20"/>
                <w:szCs w:val="20"/>
                <w:lang w:eastAsia="en-AU"/>
              </w:rPr>
              <w:t>Other Offences Against the Person</w:t>
            </w:r>
          </w:p>
        </w:tc>
        <w:tc>
          <w:tcPr>
            <w:tcW w:w="786" w:type="pct"/>
            <w:noWrap/>
          </w:tcPr>
          <w:p w14:paraId="5AA19A9E"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100.45</w:t>
            </w:r>
          </w:p>
        </w:tc>
        <w:tc>
          <w:tcPr>
            <w:tcW w:w="786" w:type="pct"/>
            <w:noWrap/>
          </w:tcPr>
          <w:p w14:paraId="04B58C0C"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102.96</w:t>
            </w:r>
          </w:p>
        </w:tc>
        <w:tc>
          <w:tcPr>
            <w:tcW w:w="758" w:type="pct"/>
          </w:tcPr>
          <w:p w14:paraId="43CA6A5F" w14:textId="77777777" w:rsidR="00081953" w:rsidRPr="00EC76B9" w:rsidRDefault="00081953" w:rsidP="00081953">
            <w:pPr>
              <w:jc w:val="right"/>
              <w:cnfStyle w:val="000000100000" w:firstRow="0" w:lastRow="0" w:firstColumn="0" w:lastColumn="0" w:oddVBand="0" w:evenVBand="0" w:oddHBand="1" w:evenHBand="0" w:firstRowFirstColumn="0" w:firstRowLastColumn="0" w:lastRowFirstColumn="0" w:lastRowLastColumn="0"/>
              <w:rPr>
                <w:b/>
                <w:sz w:val="20"/>
                <w:szCs w:val="20"/>
                <w:lang w:eastAsia="en-AU"/>
              </w:rPr>
            </w:pPr>
            <w:r w:rsidRPr="00EC76B9">
              <w:rPr>
                <w:b/>
                <w:sz w:val="20"/>
                <w:szCs w:val="20"/>
                <w:lang w:eastAsia="en-AU"/>
              </w:rPr>
              <w:t>90.96</w:t>
            </w:r>
          </w:p>
        </w:tc>
      </w:tr>
      <w:tr w:rsidR="00081953" w:rsidRPr="00EC76B9" w14:paraId="391E5DFB"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989E4B0" w14:textId="77777777" w:rsidR="00081953" w:rsidRPr="000613C9" w:rsidRDefault="00081953" w:rsidP="00081953">
            <w:pPr>
              <w:rPr>
                <w:b w:val="0"/>
                <w:bCs w:val="0"/>
                <w:i/>
                <w:sz w:val="20"/>
                <w:szCs w:val="20"/>
                <w:lang w:eastAsia="en-AU"/>
              </w:rPr>
            </w:pPr>
            <w:r w:rsidRPr="000613C9">
              <w:rPr>
                <w:i/>
                <w:sz w:val="20"/>
                <w:szCs w:val="20"/>
                <w:lang w:eastAsia="en-AU"/>
              </w:rPr>
              <w:t>Kidnapping &amp; Abduction etc.</w:t>
            </w:r>
          </w:p>
        </w:tc>
        <w:tc>
          <w:tcPr>
            <w:tcW w:w="786" w:type="pct"/>
            <w:noWrap/>
          </w:tcPr>
          <w:p w14:paraId="7A16FE1D"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6.59</w:t>
            </w:r>
          </w:p>
        </w:tc>
        <w:tc>
          <w:tcPr>
            <w:tcW w:w="786" w:type="pct"/>
            <w:noWrap/>
          </w:tcPr>
          <w:p w14:paraId="5F1F97FE"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9.96</w:t>
            </w:r>
          </w:p>
        </w:tc>
        <w:tc>
          <w:tcPr>
            <w:tcW w:w="758" w:type="pct"/>
          </w:tcPr>
          <w:p w14:paraId="5A16D60C"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6.29</w:t>
            </w:r>
          </w:p>
        </w:tc>
      </w:tr>
      <w:tr w:rsidR="00081953" w:rsidRPr="00EC76B9" w14:paraId="24967AFD"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5D0834EF" w14:textId="77777777" w:rsidR="00081953" w:rsidRPr="000613C9" w:rsidRDefault="00081953" w:rsidP="00081953">
            <w:pPr>
              <w:rPr>
                <w:b w:val="0"/>
                <w:bCs w:val="0"/>
                <w:i/>
                <w:sz w:val="20"/>
                <w:szCs w:val="20"/>
                <w:lang w:eastAsia="en-AU"/>
              </w:rPr>
            </w:pPr>
            <w:r w:rsidRPr="000613C9">
              <w:rPr>
                <w:i/>
                <w:sz w:val="20"/>
                <w:szCs w:val="20"/>
                <w:lang w:eastAsia="en-AU"/>
              </w:rPr>
              <w:t>Extortion</w:t>
            </w:r>
          </w:p>
        </w:tc>
        <w:tc>
          <w:tcPr>
            <w:tcW w:w="786" w:type="pct"/>
            <w:noWrap/>
          </w:tcPr>
          <w:p w14:paraId="1EE38AFE"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1.65</w:t>
            </w:r>
          </w:p>
        </w:tc>
        <w:tc>
          <w:tcPr>
            <w:tcW w:w="786" w:type="pct"/>
            <w:noWrap/>
          </w:tcPr>
          <w:p w14:paraId="1A5807C5"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0.00</w:t>
            </w:r>
          </w:p>
        </w:tc>
        <w:tc>
          <w:tcPr>
            <w:tcW w:w="758" w:type="pct"/>
          </w:tcPr>
          <w:p w14:paraId="3E2ECDB5"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1.80</w:t>
            </w:r>
          </w:p>
        </w:tc>
      </w:tr>
      <w:tr w:rsidR="00081953" w:rsidRPr="00EC76B9" w14:paraId="60D8F13E"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BF8F468" w14:textId="77777777" w:rsidR="00081953" w:rsidRPr="000613C9" w:rsidRDefault="00081953" w:rsidP="00081953">
            <w:pPr>
              <w:rPr>
                <w:b w:val="0"/>
                <w:bCs w:val="0"/>
                <w:i/>
                <w:sz w:val="20"/>
                <w:szCs w:val="20"/>
                <w:lang w:eastAsia="en-AU"/>
              </w:rPr>
            </w:pPr>
            <w:r w:rsidRPr="000613C9">
              <w:rPr>
                <w:i/>
                <w:sz w:val="20"/>
                <w:szCs w:val="20"/>
                <w:lang w:eastAsia="en-AU"/>
              </w:rPr>
              <w:t>Stalking</w:t>
            </w:r>
          </w:p>
        </w:tc>
        <w:tc>
          <w:tcPr>
            <w:tcW w:w="786" w:type="pct"/>
            <w:noWrap/>
          </w:tcPr>
          <w:p w14:paraId="58C511F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8.23</w:t>
            </w:r>
          </w:p>
        </w:tc>
        <w:tc>
          <w:tcPr>
            <w:tcW w:w="786" w:type="pct"/>
            <w:noWrap/>
          </w:tcPr>
          <w:p w14:paraId="1B4F4F4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9.96</w:t>
            </w:r>
          </w:p>
        </w:tc>
        <w:tc>
          <w:tcPr>
            <w:tcW w:w="758" w:type="pct"/>
          </w:tcPr>
          <w:p w14:paraId="4CA13E1E"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i/>
                <w:sz w:val="20"/>
                <w:szCs w:val="20"/>
                <w:lang w:eastAsia="en-AU"/>
              </w:rPr>
            </w:pPr>
            <w:r w:rsidRPr="000613C9">
              <w:rPr>
                <w:i/>
                <w:sz w:val="20"/>
                <w:szCs w:val="20"/>
                <w:lang w:eastAsia="en-AU"/>
              </w:rPr>
              <w:t>13.65</w:t>
            </w:r>
          </w:p>
        </w:tc>
      </w:tr>
      <w:tr w:rsidR="00081953" w:rsidRPr="00EC76B9" w14:paraId="05D583DF" w14:textId="77777777" w:rsidTr="00A4064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DABCA63" w14:textId="77777777" w:rsidR="00081953" w:rsidRPr="000613C9" w:rsidRDefault="00081953" w:rsidP="00081953">
            <w:pPr>
              <w:rPr>
                <w:b w:val="0"/>
                <w:bCs w:val="0"/>
                <w:i/>
                <w:sz w:val="20"/>
                <w:szCs w:val="20"/>
                <w:lang w:eastAsia="en-AU"/>
              </w:rPr>
            </w:pPr>
            <w:r w:rsidRPr="000613C9">
              <w:rPr>
                <w:i/>
                <w:sz w:val="20"/>
                <w:szCs w:val="20"/>
                <w:lang w:eastAsia="en-AU"/>
              </w:rPr>
              <w:t>Life Endangering Acts</w:t>
            </w:r>
          </w:p>
        </w:tc>
        <w:tc>
          <w:tcPr>
            <w:tcW w:w="786" w:type="pct"/>
            <w:noWrap/>
          </w:tcPr>
          <w:p w14:paraId="42802343"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83.98</w:t>
            </w:r>
          </w:p>
        </w:tc>
        <w:tc>
          <w:tcPr>
            <w:tcW w:w="786" w:type="pct"/>
            <w:noWrap/>
          </w:tcPr>
          <w:p w14:paraId="48D59F60"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83.03</w:t>
            </w:r>
          </w:p>
        </w:tc>
        <w:tc>
          <w:tcPr>
            <w:tcW w:w="758" w:type="pct"/>
          </w:tcPr>
          <w:p w14:paraId="464FFE24"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i/>
                <w:sz w:val="20"/>
                <w:szCs w:val="20"/>
                <w:lang w:eastAsia="en-AU"/>
              </w:rPr>
            </w:pPr>
            <w:r w:rsidRPr="000613C9">
              <w:rPr>
                <w:i/>
                <w:sz w:val="20"/>
                <w:szCs w:val="20"/>
                <w:lang w:eastAsia="en-AU"/>
              </w:rPr>
              <w:t>69.22</w:t>
            </w:r>
          </w:p>
        </w:tc>
      </w:tr>
      <w:tr w:rsidR="00081953" w:rsidRPr="001179F7" w14:paraId="0D0D57C4" w14:textId="77777777" w:rsidTr="00A4064D">
        <w:trPr>
          <w:trHeight w:val="323"/>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B30BEDA" w14:textId="77777777" w:rsidR="00081953" w:rsidRPr="001179F7" w:rsidRDefault="00081953" w:rsidP="00081953">
            <w:pPr>
              <w:rPr>
                <w:sz w:val="20"/>
                <w:szCs w:val="20"/>
                <w:lang w:eastAsia="en-AU"/>
              </w:rPr>
            </w:pPr>
            <w:r w:rsidRPr="001179F7">
              <w:rPr>
                <w:sz w:val="20"/>
                <w:szCs w:val="20"/>
                <w:lang w:eastAsia="en-AU"/>
              </w:rPr>
              <w:t>Total Offences Against the Person</w:t>
            </w:r>
          </w:p>
        </w:tc>
        <w:tc>
          <w:tcPr>
            <w:tcW w:w="786" w:type="pct"/>
            <w:noWrap/>
          </w:tcPr>
          <w:p w14:paraId="48169DEB" w14:textId="77777777" w:rsidR="00081953" w:rsidRPr="001179F7"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787.13</w:t>
            </w:r>
          </w:p>
        </w:tc>
        <w:tc>
          <w:tcPr>
            <w:tcW w:w="786" w:type="pct"/>
            <w:noWrap/>
          </w:tcPr>
          <w:p w14:paraId="26B5096E" w14:textId="77777777" w:rsidR="00081953" w:rsidRPr="001179F7"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704.11</w:t>
            </w:r>
          </w:p>
        </w:tc>
        <w:tc>
          <w:tcPr>
            <w:tcW w:w="758" w:type="pct"/>
          </w:tcPr>
          <w:p w14:paraId="0A377843" w14:textId="77777777" w:rsidR="00081953" w:rsidRPr="001179F7" w:rsidRDefault="00081953" w:rsidP="00081953">
            <w:pPr>
              <w:jc w:val="right"/>
              <w:cnfStyle w:val="000000000000" w:firstRow="0" w:lastRow="0" w:firstColumn="0" w:lastColumn="0" w:oddVBand="0" w:evenVBand="0" w:oddHBand="0" w:evenHBand="0" w:firstRowFirstColumn="0" w:firstRowLastColumn="0" w:lastRowFirstColumn="0" w:lastRowLastColumn="0"/>
              <w:rPr>
                <w:b/>
                <w:sz w:val="20"/>
                <w:szCs w:val="20"/>
                <w:lang w:eastAsia="en-AU"/>
              </w:rPr>
            </w:pPr>
            <w:r w:rsidRPr="001179F7">
              <w:rPr>
                <w:b/>
                <w:sz w:val="20"/>
                <w:szCs w:val="20"/>
                <w:lang w:eastAsia="en-AU"/>
              </w:rPr>
              <w:t>743.35</w:t>
            </w:r>
          </w:p>
        </w:tc>
      </w:tr>
    </w:tbl>
    <w:p w14:paraId="53ECC13C" w14:textId="77777777" w:rsidR="00E8435D" w:rsidRPr="00561030" w:rsidRDefault="00E8435D" w:rsidP="00561030">
      <w:pPr>
        <w:spacing w:after="0"/>
        <w:rPr>
          <w:i/>
          <w:sz w:val="18"/>
          <w:szCs w:val="18"/>
        </w:rPr>
      </w:pPr>
      <w:r w:rsidRPr="00461021">
        <w:rPr>
          <w:i/>
          <w:sz w:val="18"/>
          <w:szCs w:val="18"/>
        </w:rPr>
        <w:t xml:space="preserve">Source: </w:t>
      </w:r>
      <w:r w:rsidRPr="00561030">
        <w:rPr>
          <w:i/>
          <w:sz w:val="18"/>
          <w:szCs w:val="18"/>
        </w:rPr>
        <w:t>QPS offence statistics reported offences rates.</w:t>
      </w:r>
    </w:p>
    <w:p w14:paraId="3CBDFC21" w14:textId="77777777" w:rsidR="00931C9E" w:rsidRPr="00931C9E" w:rsidRDefault="00931C9E" w:rsidP="00931C9E">
      <w:pPr>
        <w:rPr>
          <w:i/>
          <w:sz w:val="18"/>
          <w:szCs w:val="18"/>
          <w:lang w:val="en"/>
        </w:rPr>
      </w:pPr>
      <w:r>
        <w:rPr>
          <w:i/>
          <w:sz w:val="18"/>
          <w:szCs w:val="18"/>
          <w:lang w:val="en"/>
        </w:rPr>
        <w:t xml:space="preserve">Notes: </w:t>
      </w:r>
      <w:r w:rsidRPr="00931C9E">
        <w:rPr>
          <w:i/>
          <w:sz w:val="18"/>
          <w:szCs w:val="18"/>
          <w:lang w:val="en"/>
        </w:rPr>
        <w:t>Bundaberg and Hervey Bay are identified by using the QPS</w:t>
      </w:r>
      <w:r w:rsidR="0007733D">
        <w:rPr>
          <w:i/>
          <w:sz w:val="18"/>
          <w:szCs w:val="18"/>
          <w:lang w:val="en"/>
        </w:rPr>
        <w:t xml:space="preserve"> Statistics</w:t>
      </w:r>
      <w:r w:rsidRPr="00931C9E">
        <w:rPr>
          <w:i/>
          <w:sz w:val="18"/>
          <w:szCs w:val="18"/>
          <w:lang w:val="en"/>
        </w:rPr>
        <w:t xml:space="preserve"> geographical classification at the division level. </w:t>
      </w:r>
      <w:r w:rsidRPr="00931C9E">
        <w:rPr>
          <w:i/>
          <w:sz w:val="18"/>
          <w:szCs w:val="18"/>
        </w:rPr>
        <w:t>Due to rounding, the total percentage may not be exactly the same as the sum of each row.</w:t>
      </w:r>
    </w:p>
    <w:p w14:paraId="7D2AAF0F" w14:textId="77777777" w:rsidR="008D6E98" w:rsidRDefault="008D6E98">
      <w:pPr>
        <w:jc w:val="left"/>
        <w:rPr>
          <w:rFonts w:cstheme="minorHAnsi"/>
          <w:b/>
          <w:bCs/>
          <w:caps/>
          <w:sz w:val="20"/>
          <w:szCs w:val="18"/>
        </w:rPr>
      </w:pPr>
      <w:r>
        <w:br w:type="page"/>
      </w:r>
    </w:p>
    <w:p w14:paraId="698ABDAB" w14:textId="57582C21" w:rsidR="00D63E48" w:rsidRDefault="000851DE" w:rsidP="00F1161D">
      <w:pPr>
        <w:pStyle w:val="Caption"/>
      </w:pPr>
      <w:bookmarkStart w:id="351" w:name="_Toc37263605"/>
      <w:r>
        <w:lastRenderedPageBreak/>
        <w:t>Table</w:t>
      </w:r>
      <w:r w:rsidR="00F1161D">
        <w:t xml:space="preserv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7</w:t>
      </w:r>
      <w:r w:rsidR="006C0554">
        <w:rPr>
          <w:noProof/>
        </w:rPr>
        <w:fldChar w:fldCharType="end"/>
      </w:r>
      <w:r w:rsidR="00F1161D">
        <w:t xml:space="preserve">: </w:t>
      </w:r>
      <w:r w:rsidR="00D63E48">
        <w:t>Reported offence rate against property in 2018 (per 100,000 population)</w:t>
      </w:r>
      <w:bookmarkEnd w:id="351"/>
    </w:p>
    <w:tbl>
      <w:tblPr>
        <w:tblStyle w:val="ListTable3-Accent12"/>
        <w:tblW w:w="5000" w:type="pct"/>
        <w:tblInd w:w="0" w:type="dxa"/>
        <w:tblLayout w:type="fixed"/>
        <w:tblLook w:val="04A0" w:firstRow="1" w:lastRow="0" w:firstColumn="1" w:lastColumn="0" w:noHBand="0" w:noVBand="1"/>
      </w:tblPr>
      <w:tblGrid>
        <w:gridCol w:w="4815"/>
        <w:gridCol w:w="1437"/>
        <w:gridCol w:w="1397"/>
        <w:gridCol w:w="1367"/>
      </w:tblGrid>
      <w:tr w:rsidR="00081953" w:rsidRPr="00D14EF1" w14:paraId="70DD5E2D" w14:textId="77777777" w:rsidTr="006C0554">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100" w:firstRow="0" w:lastRow="0" w:firstColumn="1" w:lastColumn="0" w:oddVBand="0" w:evenVBand="0" w:oddHBand="0" w:evenHBand="0" w:firstRowFirstColumn="1" w:firstRowLastColumn="0" w:lastRowFirstColumn="0" w:lastRowLastColumn="0"/>
            <w:tcW w:w="2670" w:type="pct"/>
            <w:shd w:val="clear" w:color="auto" w:fill="2F5496" w:themeFill="accent5" w:themeFillShade="BF"/>
            <w:noWrap/>
          </w:tcPr>
          <w:p w14:paraId="0A9B46A1" w14:textId="77777777" w:rsidR="00081953" w:rsidRPr="00D14EF1" w:rsidRDefault="00081953" w:rsidP="000613C9">
            <w:pPr>
              <w:jc w:val="center"/>
              <w:rPr>
                <w:sz w:val="20"/>
                <w:szCs w:val="20"/>
                <w:lang w:eastAsia="en-AU"/>
              </w:rPr>
            </w:pPr>
          </w:p>
        </w:tc>
        <w:tc>
          <w:tcPr>
            <w:tcW w:w="797" w:type="pct"/>
            <w:shd w:val="clear" w:color="auto" w:fill="2F5496" w:themeFill="accent5" w:themeFillShade="BF"/>
            <w:noWrap/>
          </w:tcPr>
          <w:p w14:paraId="01F14B7C" w14:textId="77777777" w:rsidR="00081953" w:rsidRPr="000613C9" w:rsidRDefault="00081953"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Bundaberg</w:t>
            </w:r>
          </w:p>
        </w:tc>
        <w:tc>
          <w:tcPr>
            <w:tcW w:w="775" w:type="pct"/>
            <w:shd w:val="clear" w:color="auto" w:fill="2F5496" w:themeFill="accent5" w:themeFillShade="BF"/>
            <w:noWrap/>
          </w:tcPr>
          <w:p w14:paraId="20E981FB" w14:textId="77777777" w:rsidR="00081953" w:rsidRPr="000613C9" w:rsidRDefault="00081953"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Hervey Bay</w:t>
            </w:r>
          </w:p>
        </w:tc>
        <w:tc>
          <w:tcPr>
            <w:tcW w:w="758" w:type="pct"/>
            <w:shd w:val="clear" w:color="auto" w:fill="2F5496" w:themeFill="accent5" w:themeFillShade="BF"/>
          </w:tcPr>
          <w:p w14:paraId="392C3AED" w14:textId="77777777" w:rsidR="00081953" w:rsidRPr="000613C9" w:rsidRDefault="00081953"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14EF1">
              <w:rPr>
                <w:sz w:val="20"/>
                <w:szCs w:val="20"/>
                <w:lang w:eastAsia="en-AU"/>
              </w:rPr>
              <w:t>Queensland</w:t>
            </w:r>
          </w:p>
        </w:tc>
      </w:tr>
      <w:tr w:rsidR="00081953" w:rsidRPr="005871DD" w14:paraId="68979F75"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tcPr>
          <w:p w14:paraId="7772DA82" w14:textId="77777777" w:rsidR="00081953" w:rsidRPr="000613C9" w:rsidRDefault="00081953" w:rsidP="00081953">
            <w:pPr>
              <w:jc w:val="left"/>
              <w:rPr>
                <w:sz w:val="20"/>
                <w:szCs w:val="20"/>
                <w:lang w:eastAsia="en-AU"/>
              </w:rPr>
            </w:pPr>
            <w:r w:rsidRPr="005871DD">
              <w:rPr>
                <w:sz w:val="20"/>
                <w:szCs w:val="20"/>
                <w:lang w:eastAsia="en-AU"/>
              </w:rPr>
              <w:t>Unlawful Entry</w:t>
            </w:r>
          </w:p>
        </w:tc>
        <w:tc>
          <w:tcPr>
            <w:tcW w:w="797" w:type="pct"/>
            <w:noWrap/>
          </w:tcPr>
          <w:p w14:paraId="0C35984D"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821.71</w:t>
            </w:r>
          </w:p>
        </w:tc>
        <w:tc>
          <w:tcPr>
            <w:tcW w:w="775" w:type="pct"/>
            <w:noWrap/>
          </w:tcPr>
          <w:p w14:paraId="7F208B2D"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760.57</w:t>
            </w:r>
          </w:p>
        </w:tc>
        <w:tc>
          <w:tcPr>
            <w:tcW w:w="758" w:type="pct"/>
          </w:tcPr>
          <w:p w14:paraId="1E8828F2"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773.90</w:t>
            </w:r>
          </w:p>
        </w:tc>
      </w:tr>
      <w:tr w:rsidR="00081953" w:rsidRPr="005871DD" w14:paraId="781A309C"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BCD39A7" w14:textId="77777777" w:rsidR="00081953" w:rsidRPr="000613C9" w:rsidRDefault="00081953" w:rsidP="00081953">
            <w:pPr>
              <w:jc w:val="left"/>
              <w:rPr>
                <w:b w:val="0"/>
                <w:bCs w:val="0"/>
                <w:i/>
                <w:sz w:val="20"/>
                <w:szCs w:val="20"/>
                <w:lang w:eastAsia="en-AU"/>
              </w:rPr>
            </w:pPr>
            <w:r w:rsidRPr="000613C9">
              <w:rPr>
                <w:i/>
                <w:sz w:val="20"/>
                <w:szCs w:val="20"/>
                <w:lang w:eastAsia="en-AU"/>
              </w:rPr>
              <w:t>Unlawful Entry With Intent - Dwelling</w:t>
            </w:r>
          </w:p>
        </w:tc>
        <w:tc>
          <w:tcPr>
            <w:tcW w:w="797" w:type="pct"/>
            <w:noWrap/>
          </w:tcPr>
          <w:p w14:paraId="2B296F9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470.96</w:t>
            </w:r>
          </w:p>
        </w:tc>
        <w:tc>
          <w:tcPr>
            <w:tcW w:w="775" w:type="pct"/>
            <w:noWrap/>
          </w:tcPr>
          <w:p w14:paraId="6FAAEF56"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489.89</w:t>
            </w:r>
          </w:p>
        </w:tc>
        <w:tc>
          <w:tcPr>
            <w:tcW w:w="758" w:type="pct"/>
          </w:tcPr>
          <w:p w14:paraId="0BAC9D46"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470.70</w:t>
            </w:r>
          </w:p>
        </w:tc>
      </w:tr>
      <w:tr w:rsidR="00081953" w:rsidRPr="005871DD" w14:paraId="08EA28CC"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FC7DAFE" w14:textId="77777777" w:rsidR="00081953" w:rsidRPr="000613C9" w:rsidRDefault="00081953" w:rsidP="00522405">
            <w:pPr>
              <w:ind w:left="320"/>
              <w:jc w:val="left"/>
              <w:rPr>
                <w:b w:val="0"/>
                <w:bCs w:val="0"/>
                <w:i/>
                <w:sz w:val="20"/>
                <w:szCs w:val="20"/>
                <w:lang w:eastAsia="en-AU"/>
              </w:rPr>
            </w:pPr>
            <w:r w:rsidRPr="00522405">
              <w:rPr>
                <w:b w:val="0"/>
                <w:bCs w:val="0"/>
                <w:i/>
                <w:sz w:val="18"/>
                <w:szCs w:val="18"/>
                <w:lang w:eastAsia="en-AU"/>
              </w:rPr>
              <w:t>Unlawful Entry Without Violence - Dwelling</w:t>
            </w:r>
          </w:p>
        </w:tc>
        <w:tc>
          <w:tcPr>
            <w:tcW w:w="797" w:type="pct"/>
            <w:noWrap/>
          </w:tcPr>
          <w:p w14:paraId="512901BD"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BC2654">
              <w:rPr>
                <w:i/>
                <w:sz w:val="20"/>
                <w:szCs w:val="20"/>
              </w:rPr>
              <w:t>459.43</w:t>
            </w:r>
          </w:p>
        </w:tc>
        <w:tc>
          <w:tcPr>
            <w:tcW w:w="775" w:type="pct"/>
            <w:noWrap/>
          </w:tcPr>
          <w:p w14:paraId="2D3483BB"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BC2654">
              <w:rPr>
                <w:i/>
                <w:sz w:val="20"/>
                <w:szCs w:val="20"/>
              </w:rPr>
              <w:t>469.96</w:t>
            </w:r>
          </w:p>
        </w:tc>
        <w:tc>
          <w:tcPr>
            <w:tcW w:w="758" w:type="pct"/>
          </w:tcPr>
          <w:p w14:paraId="52AE6F21"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BC2654">
              <w:rPr>
                <w:i/>
                <w:sz w:val="20"/>
                <w:szCs w:val="20"/>
              </w:rPr>
              <w:t>456.56</w:t>
            </w:r>
          </w:p>
        </w:tc>
      </w:tr>
      <w:tr w:rsidR="00081953" w:rsidRPr="005871DD" w14:paraId="71F6F1D3"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A2BCB7D" w14:textId="77777777" w:rsidR="00081953" w:rsidRPr="000613C9" w:rsidRDefault="00081953" w:rsidP="00522405">
            <w:pPr>
              <w:ind w:left="320"/>
              <w:jc w:val="left"/>
              <w:rPr>
                <w:b w:val="0"/>
                <w:bCs w:val="0"/>
                <w:i/>
                <w:sz w:val="18"/>
                <w:szCs w:val="18"/>
                <w:lang w:eastAsia="en-AU"/>
              </w:rPr>
            </w:pPr>
            <w:r w:rsidRPr="00522405">
              <w:rPr>
                <w:b w:val="0"/>
                <w:bCs w:val="0"/>
                <w:i/>
                <w:sz w:val="18"/>
                <w:szCs w:val="18"/>
                <w:lang w:eastAsia="en-AU"/>
              </w:rPr>
              <w:t>Unlawful Entry With Violence - Dwelling</w:t>
            </w:r>
          </w:p>
        </w:tc>
        <w:tc>
          <w:tcPr>
            <w:tcW w:w="797" w:type="pct"/>
            <w:noWrap/>
          </w:tcPr>
          <w:p w14:paraId="1D2A48CA"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BC2654">
              <w:rPr>
                <w:i/>
                <w:sz w:val="20"/>
                <w:szCs w:val="20"/>
              </w:rPr>
              <w:t>11.53</w:t>
            </w:r>
          </w:p>
        </w:tc>
        <w:tc>
          <w:tcPr>
            <w:tcW w:w="775" w:type="pct"/>
            <w:noWrap/>
          </w:tcPr>
          <w:p w14:paraId="7A3720B5"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BC2654">
              <w:rPr>
                <w:i/>
                <w:sz w:val="20"/>
                <w:szCs w:val="20"/>
              </w:rPr>
              <w:t>19.93</w:t>
            </w:r>
          </w:p>
        </w:tc>
        <w:tc>
          <w:tcPr>
            <w:tcW w:w="758" w:type="pct"/>
          </w:tcPr>
          <w:p w14:paraId="2FEEA9DB"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BC2654">
              <w:rPr>
                <w:i/>
                <w:sz w:val="20"/>
                <w:szCs w:val="20"/>
              </w:rPr>
              <w:t>14.15</w:t>
            </w:r>
          </w:p>
        </w:tc>
      </w:tr>
      <w:tr w:rsidR="00081953" w:rsidRPr="005871DD" w14:paraId="7E130A02"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9A81F7E" w14:textId="77777777" w:rsidR="00081953" w:rsidRPr="000613C9" w:rsidRDefault="00081953" w:rsidP="00081953">
            <w:pPr>
              <w:jc w:val="left"/>
              <w:rPr>
                <w:b w:val="0"/>
                <w:bCs w:val="0"/>
                <w:i/>
                <w:sz w:val="20"/>
                <w:szCs w:val="20"/>
                <w:lang w:eastAsia="en-AU"/>
              </w:rPr>
            </w:pPr>
            <w:r w:rsidRPr="000613C9">
              <w:rPr>
                <w:i/>
                <w:sz w:val="20"/>
                <w:szCs w:val="20"/>
                <w:lang w:eastAsia="en-AU"/>
              </w:rPr>
              <w:t>Unlawful Entry With Intent - Shop</w:t>
            </w:r>
          </w:p>
        </w:tc>
        <w:tc>
          <w:tcPr>
            <w:tcW w:w="797" w:type="pct"/>
            <w:noWrap/>
          </w:tcPr>
          <w:p w14:paraId="31CCF7B8"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46.11</w:t>
            </w:r>
          </w:p>
        </w:tc>
        <w:tc>
          <w:tcPr>
            <w:tcW w:w="775" w:type="pct"/>
            <w:noWrap/>
          </w:tcPr>
          <w:p w14:paraId="1F482A9B"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24.91</w:t>
            </w:r>
          </w:p>
        </w:tc>
        <w:tc>
          <w:tcPr>
            <w:tcW w:w="758" w:type="pct"/>
          </w:tcPr>
          <w:p w14:paraId="2E975134"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40.15</w:t>
            </w:r>
          </w:p>
        </w:tc>
      </w:tr>
      <w:tr w:rsidR="00081953" w:rsidRPr="005871DD" w14:paraId="004A17F8"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B73F1ED" w14:textId="77777777" w:rsidR="00081953" w:rsidRPr="000613C9" w:rsidRDefault="00081953" w:rsidP="00081953">
            <w:pPr>
              <w:jc w:val="left"/>
              <w:rPr>
                <w:b w:val="0"/>
                <w:bCs w:val="0"/>
                <w:i/>
                <w:sz w:val="20"/>
                <w:szCs w:val="20"/>
                <w:lang w:eastAsia="en-AU"/>
              </w:rPr>
            </w:pPr>
            <w:r w:rsidRPr="000613C9">
              <w:rPr>
                <w:i/>
                <w:sz w:val="20"/>
                <w:szCs w:val="20"/>
                <w:lang w:eastAsia="en-AU"/>
              </w:rPr>
              <w:t>Unlawful Entry With Intent - Other</w:t>
            </w:r>
          </w:p>
        </w:tc>
        <w:tc>
          <w:tcPr>
            <w:tcW w:w="797" w:type="pct"/>
            <w:noWrap/>
          </w:tcPr>
          <w:p w14:paraId="6A14ED0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304.64</w:t>
            </w:r>
          </w:p>
        </w:tc>
        <w:tc>
          <w:tcPr>
            <w:tcW w:w="775" w:type="pct"/>
            <w:noWrap/>
          </w:tcPr>
          <w:p w14:paraId="3FD6473D"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245.77</w:t>
            </w:r>
          </w:p>
        </w:tc>
        <w:tc>
          <w:tcPr>
            <w:tcW w:w="758" w:type="pct"/>
          </w:tcPr>
          <w:p w14:paraId="1A77C841"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263.05</w:t>
            </w:r>
          </w:p>
        </w:tc>
      </w:tr>
      <w:tr w:rsidR="00081953" w:rsidRPr="005871DD" w14:paraId="67D87294"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5863AF8" w14:textId="77777777" w:rsidR="00081953" w:rsidRPr="000613C9" w:rsidRDefault="00081953" w:rsidP="00081953">
            <w:pPr>
              <w:jc w:val="left"/>
              <w:rPr>
                <w:sz w:val="20"/>
                <w:szCs w:val="20"/>
                <w:lang w:eastAsia="en-AU"/>
              </w:rPr>
            </w:pPr>
            <w:r w:rsidRPr="005871DD">
              <w:rPr>
                <w:sz w:val="20"/>
                <w:szCs w:val="20"/>
                <w:lang w:eastAsia="en-AU"/>
              </w:rPr>
              <w:t>Arson</w:t>
            </w:r>
          </w:p>
        </w:tc>
        <w:tc>
          <w:tcPr>
            <w:tcW w:w="797" w:type="pct"/>
            <w:noWrap/>
          </w:tcPr>
          <w:p w14:paraId="79910692"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18.11</w:t>
            </w:r>
          </w:p>
        </w:tc>
        <w:tc>
          <w:tcPr>
            <w:tcW w:w="775" w:type="pct"/>
            <w:noWrap/>
          </w:tcPr>
          <w:p w14:paraId="4BB60C65"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18.27</w:t>
            </w:r>
          </w:p>
        </w:tc>
        <w:tc>
          <w:tcPr>
            <w:tcW w:w="758" w:type="pct"/>
          </w:tcPr>
          <w:p w14:paraId="22065430"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25.88</w:t>
            </w:r>
          </w:p>
        </w:tc>
      </w:tr>
      <w:tr w:rsidR="00081953" w:rsidRPr="005871DD" w14:paraId="7EE17859"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5B079FE" w14:textId="77777777" w:rsidR="00081953" w:rsidRPr="000613C9" w:rsidRDefault="00081953" w:rsidP="00081953">
            <w:pPr>
              <w:jc w:val="left"/>
              <w:rPr>
                <w:sz w:val="20"/>
                <w:szCs w:val="20"/>
                <w:lang w:eastAsia="en-AU"/>
              </w:rPr>
            </w:pPr>
            <w:r w:rsidRPr="005871DD">
              <w:rPr>
                <w:sz w:val="20"/>
                <w:szCs w:val="20"/>
                <w:lang w:eastAsia="en-AU"/>
              </w:rPr>
              <w:t>Other Property Damage</w:t>
            </w:r>
          </w:p>
        </w:tc>
        <w:tc>
          <w:tcPr>
            <w:tcW w:w="797" w:type="pct"/>
            <w:noWrap/>
          </w:tcPr>
          <w:p w14:paraId="0E450A80"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BC2654">
              <w:rPr>
                <w:b/>
                <w:sz w:val="20"/>
                <w:szCs w:val="20"/>
              </w:rPr>
              <w:t>978.15</w:t>
            </w:r>
          </w:p>
        </w:tc>
        <w:tc>
          <w:tcPr>
            <w:tcW w:w="775" w:type="pct"/>
            <w:noWrap/>
          </w:tcPr>
          <w:p w14:paraId="09B0827B"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BC2654">
              <w:rPr>
                <w:b/>
                <w:sz w:val="20"/>
                <w:szCs w:val="20"/>
              </w:rPr>
              <w:t>783.82</w:t>
            </w:r>
          </w:p>
        </w:tc>
        <w:tc>
          <w:tcPr>
            <w:tcW w:w="758" w:type="pct"/>
          </w:tcPr>
          <w:p w14:paraId="538A6214"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BC2654">
              <w:rPr>
                <w:b/>
                <w:sz w:val="20"/>
                <w:szCs w:val="20"/>
              </w:rPr>
              <w:t>733.97</w:t>
            </w:r>
          </w:p>
        </w:tc>
      </w:tr>
      <w:tr w:rsidR="00081953" w:rsidRPr="005871DD" w14:paraId="47F16445"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AD2DB6E" w14:textId="77777777" w:rsidR="00081953" w:rsidRPr="000613C9" w:rsidRDefault="00081953" w:rsidP="00081953">
            <w:pPr>
              <w:jc w:val="left"/>
              <w:rPr>
                <w:sz w:val="20"/>
                <w:szCs w:val="20"/>
                <w:lang w:eastAsia="en-AU"/>
              </w:rPr>
            </w:pPr>
            <w:r w:rsidRPr="005871DD">
              <w:rPr>
                <w:sz w:val="20"/>
                <w:szCs w:val="20"/>
                <w:lang w:eastAsia="en-AU"/>
              </w:rPr>
              <w:t>Unlawful Use of Motor Vehicle</w:t>
            </w:r>
          </w:p>
        </w:tc>
        <w:tc>
          <w:tcPr>
            <w:tcW w:w="797" w:type="pct"/>
            <w:noWrap/>
          </w:tcPr>
          <w:p w14:paraId="7638D06B"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223.95</w:t>
            </w:r>
          </w:p>
        </w:tc>
        <w:tc>
          <w:tcPr>
            <w:tcW w:w="775" w:type="pct"/>
            <w:noWrap/>
          </w:tcPr>
          <w:p w14:paraId="7CA08151"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229.17</w:t>
            </w:r>
          </w:p>
        </w:tc>
        <w:tc>
          <w:tcPr>
            <w:tcW w:w="758" w:type="pct"/>
          </w:tcPr>
          <w:p w14:paraId="348E08B9"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278.58</w:t>
            </w:r>
          </w:p>
        </w:tc>
      </w:tr>
      <w:tr w:rsidR="00081953" w:rsidRPr="005871DD" w14:paraId="03003BA3"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2A07459" w14:textId="77777777" w:rsidR="00081953" w:rsidRPr="000613C9" w:rsidRDefault="00081953" w:rsidP="00081953">
            <w:pPr>
              <w:jc w:val="left"/>
              <w:rPr>
                <w:sz w:val="20"/>
                <w:szCs w:val="20"/>
                <w:lang w:eastAsia="en-AU"/>
              </w:rPr>
            </w:pPr>
            <w:r w:rsidRPr="005871DD">
              <w:rPr>
                <w:sz w:val="20"/>
                <w:szCs w:val="20"/>
                <w:lang w:eastAsia="en-AU"/>
              </w:rPr>
              <w:t>Other Theft (excl. Unlawful Entry)</w:t>
            </w:r>
          </w:p>
        </w:tc>
        <w:tc>
          <w:tcPr>
            <w:tcW w:w="797" w:type="pct"/>
            <w:noWrap/>
          </w:tcPr>
          <w:p w14:paraId="309C4689"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BC2654">
              <w:rPr>
                <w:b/>
                <w:sz w:val="20"/>
                <w:szCs w:val="20"/>
              </w:rPr>
              <w:t>2,825.76</w:t>
            </w:r>
          </w:p>
        </w:tc>
        <w:tc>
          <w:tcPr>
            <w:tcW w:w="775" w:type="pct"/>
            <w:noWrap/>
          </w:tcPr>
          <w:p w14:paraId="764AC531"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BC2654">
              <w:rPr>
                <w:b/>
                <w:sz w:val="20"/>
                <w:szCs w:val="20"/>
              </w:rPr>
              <w:t>2,074.13</w:t>
            </w:r>
          </w:p>
        </w:tc>
        <w:tc>
          <w:tcPr>
            <w:tcW w:w="758" w:type="pct"/>
          </w:tcPr>
          <w:p w14:paraId="2D7BD752"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BC2654">
              <w:rPr>
                <w:b/>
                <w:sz w:val="20"/>
                <w:szCs w:val="20"/>
              </w:rPr>
              <w:t>2,522.34</w:t>
            </w:r>
          </w:p>
        </w:tc>
      </w:tr>
      <w:tr w:rsidR="00081953" w:rsidRPr="005871DD" w14:paraId="3378B43C"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AFC7D55" w14:textId="77777777" w:rsidR="00081953" w:rsidRPr="000613C9" w:rsidRDefault="00081953" w:rsidP="00081953">
            <w:pPr>
              <w:jc w:val="left"/>
              <w:rPr>
                <w:b w:val="0"/>
                <w:bCs w:val="0"/>
                <w:i/>
                <w:sz w:val="20"/>
                <w:szCs w:val="20"/>
                <w:lang w:eastAsia="en-AU"/>
              </w:rPr>
            </w:pPr>
            <w:r w:rsidRPr="000613C9">
              <w:rPr>
                <w:i/>
                <w:sz w:val="20"/>
                <w:szCs w:val="20"/>
                <w:lang w:eastAsia="en-AU"/>
              </w:rPr>
              <w:t>Stealing from Dwellings</w:t>
            </w:r>
          </w:p>
        </w:tc>
        <w:tc>
          <w:tcPr>
            <w:tcW w:w="797" w:type="pct"/>
            <w:noWrap/>
          </w:tcPr>
          <w:p w14:paraId="03610AAA"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298.06</w:t>
            </w:r>
          </w:p>
        </w:tc>
        <w:tc>
          <w:tcPr>
            <w:tcW w:w="775" w:type="pct"/>
            <w:noWrap/>
          </w:tcPr>
          <w:p w14:paraId="3CE2CBA3"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245.77</w:t>
            </w:r>
          </w:p>
        </w:tc>
        <w:tc>
          <w:tcPr>
            <w:tcW w:w="758" w:type="pct"/>
          </w:tcPr>
          <w:p w14:paraId="63AB08AD"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173.23</w:t>
            </w:r>
          </w:p>
        </w:tc>
      </w:tr>
      <w:tr w:rsidR="00081953" w:rsidRPr="005871DD" w14:paraId="7D9404C2"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8A71E0A" w14:textId="77777777" w:rsidR="00081953" w:rsidRPr="000613C9" w:rsidRDefault="00081953" w:rsidP="00081953">
            <w:pPr>
              <w:jc w:val="left"/>
              <w:rPr>
                <w:b w:val="0"/>
                <w:bCs w:val="0"/>
                <w:i/>
                <w:sz w:val="20"/>
                <w:szCs w:val="20"/>
                <w:lang w:eastAsia="en-AU"/>
              </w:rPr>
            </w:pPr>
            <w:r w:rsidRPr="000613C9">
              <w:rPr>
                <w:i/>
                <w:sz w:val="20"/>
                <w:szCs w:val="20"/>
                <w:lang w:eastAsia="en-AU"/>
              </w:rPr>
              <w:t>Shop Stealing</w:t>
            </w:r>
          </w:p>
        </w:tc>
        <w:tc>
          <w:tcPr>
            <w:tcW w:w="797" w:type="pct"/>
            <w:noWrap/>
          </w:tcPr>
          <w:p w14:paraId="7E3840F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795.36</w:t>
            </w:r>
          </w:p>
        </w:tc>
        <w:tc>
          <w:tcPr>
            <w:tcW w:w="775" w:type="pct"/>
            <w:noWrap/>
          </w:tcPr>
          <w:p w14:paraId="4F21540B"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423.46</w:t>
            </w:r>
          </w:p>
        </w:tc>
        <w:tc>
          <w:tcPr>
            <w:tcW w:w="758" w:type="pct"/>
          </w:tcPr>
          <w:p w14:paraId="4CA1FDD7"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488.68</w:t>
            </w:r>
          </w:p>
        </w:tc>
      </w:tr>
      <w:tr w:rsidR="00081953" w:rsidRPr="005871DD" w14:paraId="5DC18BFD"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28776A5" w14:textId="77777777" w:rsidR="00081953" w:rsidRPr="000613C9" w:rsidRDefault="00081953" w:rsidP="00081953">
            <w:pPr>
              <w:jc w:val="left"/>
              <w:rPr>
                <w:b w:val="0"/>
                <w:bCs w:val="0"/>
                <w:i/>
                <w:sz w:val="20"/>
                <w:szCs w:val="20"/>
                <w:lang w:eastAsia="en-AU"/>
              </w:rPr>
            </w:pPr>
            <w:r w:rsidRPr="000613C9">
              <w:rPr>
                <w:i/>
                <w:sz w:val="20"/>
                <w:szCs w:val="20"/>
                <w:lang w:eastAsia="en-AU"/>
              </w:rPr>
              <w:t>Vehicles (steal from/enter with intent)</w:t>
            </w:r>
          </w:p>
        </w:tc>
        <w:tc>
          <w:tcPr>
            <w:tcW w:w="797" w:type="pct"/>
            <w:noWrap/>
          </w:tcPr>
          <w:p w14:paraId="11DF6EA3"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650.45</w:t>
            </w:r>
          </w:p>
        </w:tc>
        <w:tc>
          <w:tcPr>
            <w:tcW w:w="775" w:type="pct"/>
            <w:noWrap/>
          </w:tcPr>
          <w:p w14:paraId="43A41CC3"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503.17</w:t>
            </w:r>
          </w:p>
        </w:tc>
        <w:tc>
          <w:tcPr>
            <w:tcW w:w="758" w:type="pct"/>
          </w:tcPr>
          <w:p w14:paraId="09F02B80"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619.77</w:t>
            </w:r>
          </w:p>
        </w:tc>
      </w:tr>
      <w:tr w:rsidR="00081953" w:rsidRPr="005871DD" w14:paraId="7ADC5FB2"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524557B" w14:textId="77777777" w:rsidR="00081953" w:rsidRPr="000613C9" w:rsidRDefault="00081953" w:rsidP="00081953">
            <w:pPr>
              <w:jc w:val="left"/>
              <w:rPr>
                <w:b w:val="0"/>
                <w:bCs w:val="0"/>
                <w:i/>
                <w:sz w:val="20"/>
                <w:szCs w:val="20"/>
                <w:lang w:eastAsia="en-AU"/>
              </w:rPr>
            </w:pPr>
            <w:r w:rsidRPr="000613C9">
              <w:rPr>
                <w:i/>
                <w:sz w:val="20"/>
                <w:szCs w:val="20"/>
                <w:lang w:eastAsia="en-AU"/>
              </w:rPr>
              <w:t>Other Stealing</w:t>
            </w:r>
          </w:p>
        </w:tc>
        <w:tc>
          <w:tcPr>
            <w:tcW w:w="797" w:type="pct"/>
            <w:noWrap/>
          </w:tcPr>
          <w:p w14:paraId="3DF03117"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1,081.89</w:t>
            </w:r>
          </w:p>
        </w:tc>
        <w:tc>
          <w:tcPr>
            <w:tcW w:w="775" w:type="pct"/>
            <w:noWrap/>
          </w:tcPr>
          <w:p w14:paraId="42981E4A"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901.72</w:t>
            </w:r>
          </w:p>
        </w:tc>
        <w:tc>
          <w:tcPr>
            <w:tcW w:w="758" w:type="pct"/>
          </w:tcPr>
          <w:p w14:paraId="60CEDC0A"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1,240.66</w:t>
            </w:r>
          </w:p>
        </w:tc>
      </w:tr>
      <w:tr w:rsidR="00081953" w:rsidRPr="005871DD" w14:paraId="39A1052B"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350175D" w14:textId="77777777" w:rsidR="00081953" w:rsidRPr="000613C9" w:rsidRDefault="00081953" w:rsidP="00081953">
            <w:pPr>
              <w:jc w:val="left"/>
              <w:rPr>
                <w:sz w:val="20"/>
                <w:szCs w:val="20"/>
                <w:lang w:eastAsia="en-AU"/>
              </w:rPr>
            </w:pPr>
            <w:r w:rsidRPr="00554BD6">
              <w:rPr>
                <w:sz w:val="20"/>
                <w:szCs w:val="20"/>
                <w:lang w:eastAsia="en-AU"/>
              </w:rPr>
              <w:t>Fraud</w:t>
            </w:r>
          </w:p>
        </w:tc>
        <w:tc>
          <w:tcPr>
            <w:tcW w:w="797" w:type="pct"/>
            <w:noWrap/>
          </w:tcPr>
          <w:p w14:paraId="629D339C"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642.22</w:t>
            </w:r>
          </w:p>
        </w:tc>
        <w:tc>
          <w:tcPr>
            <w:tcW w:w="775" w:type="pct"/>
            <w:noWrap/>
          </w:tcPr>
          <w:p w14:paraId="43D1C602"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602.81</w:t>
            </w:r>
          </w:p>
        </w:tc>
        <w:tc>
          <w:tcPr>
            <w:tcW w:w="758" w:type="pct"/>
          </w:tcPr>
          <w:p w14:paraId="61A60880"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581.60</w:t>
            </w:r>
          </w:p>
        </w:tc>
      </w:tr>
      <w:tr w:rsidR="00081953" w:rsidRPr="005871DD" w14:paraId="674F6B94"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1502752" w14:textId="77777777" w:rsidR="00081953" w:rsidRPr="000613C9" w:rsidRDefault="00081953" w:rsidP="00081953">
            <w:pPr>
              <w:jc w:val="left"/>
              <w:rPr>
                <w:b w:val="0"/>
                <w:bCs w:val="0"/>
                <w:i/>
                <w:sz w:val="20"/>
                <w:szCs w:val="20"/>
                <w:lang w:eastAsia="en-AU"/>
              </w:rPr>
            </w:pPr>
            <w:r w:rsidRPr="000613C9">
              <w:rPr>
                <w:i/>
                <w:sz w:val="20"/>
                <w:szCs w:val="20"/>
                <w:lang w:eastAsia="en-AU"/>
              </w:rPr>
              <w:t>Fraud by Computer</w:t>
            </w:r>
          </w:p>
        </w:tc>
        <w:tc>
          <w:tcPr>
            <w:tcW w:w="797" w:type="pct"/>
            <w:noWrap/>
          </w:tcPr>
          <w:p w14:paraId="2B0179CA"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4.94</w:t>
            </w:r>
          </w:p>
        </w:tc>
        <w:tc>
          <w:tcPr>
            <w:tcW w:w="775" w:type="pct"/>
            <w:noWrap/>
          </w:tcPr>
          <w:p w14:paraId="72A9FDBE"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11.62</w:t>
            </w:r>
          </w:p>
        </w:tc>
        <w:tc>
          <w:tcPr>
            <w:tcW w:w="758" w:type="pct"/>
          </w:tcPr>
          <w:p w14:paraId="7E78472C"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12.49</w:t>
            </w:r>
          </w:p>
        </w:tc>
      </w:tr>
      <w:tr w:rsidR="00081953" w:rsidRPr="005871DD" w14:paraId="793CF91C"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CDEEBB3" w14:textId="77777777" w:rsidR="00081953" w:rsidRPr="000613C9" w:rsidRDefault="00081953" w:rsidP="00081953">
            <w:pPr>
              <w:jc w:val="left"/>
              <w:rPr>
                <w:b w:val="0"/>
                <w:bCs w:val="0"/>
                <w:i/>
                <w:sz w:val="20"/>
                <w:szCs w:val="20"/>
                <w:lang w:eastAsia="en-AU"/>
              </w:rPr>
            </w:pPr>
            <w:r w:rsidRPr="000613C9">
              <w:rPr>
                <w:i/>
                <w:sz w:val="20"/>
                <w:szCs w:val="20"/>
                <w:lang w:eastAsia="en-AU"/>
              </w:rPr>
              <w:t>Fraud by Cheque</w:t>
            </w:r>
          </w:p>
        </w:tc>
        <w:tc>
          <w:tcPr>
            <w:tcW w:w="797" w:type="pct"/>
            <w:noWrap/>
          </w:tcPr>
          <w:p w14:paraId="3F051130"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75" w:type="pct"/>
            <w:noWrap/>
          </w:tcPr>
          <w:p w14:paraId="40712C4A"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1.66</w:t>
            </w:r>
          </w:p>
        </w:tc>
        <w:tc>
          <w:tcPr>
            <w:tcW w:w="758" w:type="pct"/>
          </w:tcPr>
          <w:p w14:paraId="50BCE228"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2.47</w:t>
            </w:r>
          </w:p>
        </w:tc>
      </w:tr>
      <w:tr w:rsidR="00081953" w:rsidRPr="005871DD" w14:paraId="2C516047"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32DAC8C" w14:textId="77777777" w:rsidR="00081953" w:rsidRPr="000613C9" w:rsidRDefault="00081953" w:rsidP="00081953">
            <w:pPr>
              <w:jc w:val="left"/>
              <w:rPr>
                <w:b w:val="0"/>
                <w:bCs w:val="0"/>
                <w:i/>
                <w:sz w:val="20"/>
                <w:szCs w:val="20"/>
                <w:lang w:eastAsia="en-AU"/>
              </w:rPr>
            </w:pPr>
            <w:r w:rsidRPr="000613C9">
              <w:rPr>
                <w:i/>
                <w:sz w:val="20"/>
                <w:szCs w:val="20"/>
                <w:lang w:eastAsia="en-AU"/>
              </w:rPr>
              <w:t>Fraud by Credit Card</w:t>
            </w:r>
          </w:p>
        </w:tc>
        <w:tc>
          <w:tcPr>
            <w:tcW w:w="797" w:type="pct"/>
            <w:noWrap/>
          </w:tcPr>
          <w:p w14:paraId="7A41369F"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494.01</w:t>
            </w:r>
          </w:p>
        </w:tc>
        <w:tc>
          <w:tcPr>
            <w:tcW w:w="775" w:type="pct"/>
            <w:noWrap/>
          </w:tcPr>
          <w:p w14:paraId="32D961B5"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362.02</w:t>
            </w:r>
          </w:p>
        </w:tc>
        <w:tc>
          <w:tcPr>
            <w:tcW w:w="758" w:type="pct"/>
          </w:tcPr>
          <w:p w14:paraId="58861E9D"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306.81</w:t>
            </w:r>
          </w:p>
        </w:tc>
      </w:tr>
      <w:tr w:rsidR="00081953" w:rsidRPr="005871DD" w14:paraId="00548B9D"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48E74535" w14:textId="77777777" w:rsidR="00081953" w:rsidRPr="000613C9" w:rsidRDefault="00081953" w:rsidP="00081953">
            <w:pPr>
              <w:jc w:val="left"/>
              <w:rPr>
                <w:b w:val="0"/>
                <w:bCs w:val="0"/>
                <w:i/>
                <w:sz w:val="20"/>
                <w:szCs w:val="20"/>
                <w:lang w:eastAsia="en-AU"/>
              </w:rPr>
            </w:pPr>
            <w:r w:rsidRPr="000613C9">
              <w:rPr>
                <w:i/>
                <w:sz w:val="20"/>
                <w:szCs w:val="20"/>
                <w:lang w:eastAsia="en-AU"/>
              </w:rPr>
              <w:t>Identity Fraud</w:t>
            </w:r>
          </w:p>
        </w:tc>
        <w:tc>
          <w:tcPr>
            <w:tcW w:w="797" w:type="pct"/>
            <w:noWrap/>
          </w:tcPr>
          <w:p w14:paraId="6B56CBAE"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11.53</w:t>
            </w:r>
          </w:p>
        </w:tc>
        <w:tc>
          <w:tcPr>
            <w:tcW w:w="775" w:type="pct"/>
            <w:noWrap/>
          </w:tcPr>
          <w:p w14:paraId="7BD0D2B6"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26.57</w:t>
            </w:r>
          </w:p>
        </w:tc>
        <w:tc>
          <w:tcPr>
            <w:tcW w:w="758" w:type="pct"/>
          </w:tcPr>
          <w:p w14:paraId="15307DBD"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42.19</w:t>
            </w:r>
          </w:p>
        </w:tc>
      </w:tr>
      <w:tr w:rsidR="00081953" w:rsidRPr="005871DD" w14:paraId="468947F0"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467CB23E" w14:textId="77777777" w:rsidR="00081953" w:rsidRPr="000613C9" w:rsidRDefault="00081953" w:rsidP="00081953">
            <w:pPr>
              <w:jc w:val="left"/>
              <w:rPr>
                <w:b w:val="0"/>
                <w:bCs w:val="0"/>
                <w:i/>
                <w:sz w:val="20"/>
                <w:szCs w:val="20"/>
                <w:lang w:eastAsia="en-AU"/>
              </w:rPr>
            </w:pPr>
            <w:r w:rsidRPr="000613C9">
              <w:rPr>
                <w:i/>
                <w:sz w:val="20"/>
                <w:szCs w:val="20"/>
                <w:lang w:eastAsia="en-AU"/>
              </w:rPr>
              <w:t>Other Fraud</w:t>
            </w:r>
          </w:p>
        </w:tc>
        <w:tc>
          <w:tcPr>
            <w:tcW w:w="797" w:type="pct"/>
            <w:noWrap/>
          </w:tcPr>
          <w:p w14:paraId="38CED4CF"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131.74</w:t>
            </w:r>
          </w:p>
        </w:tc>
        <w:tc>
          <w:tcPr>
            <w:tcW w:w="775" w:type="pct"/>
            <w:noWrap/>
          </w:tcPr>
          <w:p w14:paraId="71C6DAB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200.94</w:t>
            </w:r>
          </w:p>
        </w:tc>
        <w:tc>
          <w:tcPr>
            <w:tcW w:w="758" w:type="pct"/>
          </w:tcPr>
          <w:p w14:paraId="74C1B6A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217.63</w:t>
            </w:r>
          </w:p>
        </w:tc>
      </w:tr>
      <w:tr w:rsidR="00081953" w:rsidRPr="005871DD" w14:paraId="718EE2E8"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B99943D" w14:textId="77777777" w:rsidR="00081953" w:rsidRPr="000613C9" w:rsidRDefault="00081953" w:rsidP="00081953">
            <w:pPr>
              <w:jc w:val="left"/>
              <w:rPr>
                <w:sz w:val="20"/>
                <w:szCs w:val="20"/>
                <w:lang w:eastAsia="en-AU"/>
              </w:rPr>
            </w:pPr>
            <w:r w:rsidRPr="005871DD">
              <w:rPr>
                <w:sz w:val="20"/>
                <w:szCs w:val="20"/>
                <w:lang w:eastAsia="en-AU"/>
              </w:rPr>
              <w:t>Handling Stolen Goods</w:t>
            </w:r>
          </w:p>
        </w:tc>
        <w:tc>
          <w:tcPr>
            <w:tcW w:w="797" w:type="pct"/>
            <w:noWrap/>
          </w:tcPr>
          <w:p w14:paraId="6DD897AA"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102.10</w:t>
            </w:r>
          </w:p>
        </w:tc>
        <w:tc>
          <w:tcPr>
            <w:tcW w:w="775" w:type="pct"/>
            <w:noWrap/>
          </w:tcPr>
          <w:p w14:paraId="293F34BE"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112.92</w:t>
            </w:r>
          </w:p>
        </w:tc>
        <w:tc>
          <w:tcPr>
            <w:tcW w:w="758" w:type="pct"/>
          </w:tcPr>
          <w:p w14:paraId="78D72AB9" w14:textId="77777777" w:rsidR="00081953" w:rsidRPr="00BC2654"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BC2654">
              <w:rPr>
                <w:b/>
                <w:sz w:val="20"/>
                <w:szCs w:val="20"/>
              </w:rPr>
              <w:t>129.09</w:t>
            </w:r>
          </w:p>
        </w:tc>
      </w:tr>
      <w:tr w:rsidR="00081953" w:rsidRPr="005871DD" w14:paraId="1266AB03"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1A3C71C" w14:textId="77777777" w:rsidR="00081953" w:rsidRPr="000613C9" w:rsidRDefault="00081953" w:rsidP="00081953">
            <w:pPr>
              <w:jc w:val="left"/>
              <w:rPr>
                <w:b w:val="0"/>
                <w:bCs w:val="0"/>
                <w:i/>
                <w:sz w:val="20"/>
                <w:szCs w:val="20"/>
                <w:lang w:eastAsia="en-AU"/>
              </w:rPr>
            </w:pPr>
            <w:r w:rsidRPr="000613C9">
              <w:rPr>
                <w:i/>
                <w:sz w:val="20"/>
                <w:szCs w:val="20"/>
                <w:lang w:eastAsia="en-AU"/>
              </w:rPr>
              <w:t>Possess Property Suspected Stolen</w:t>
            </w:r>
          </w:p>
        </w:tc>
        <w:tc>
          <w:tcPr>
            <w:tcW w:w="797" w:type="pct"/>
            <w:noWrap/>
          </w:tcPr>
          <w:p w14:paraId="531A3524"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57.63</w:t>
            </w:r>
          </w:p>
        </w:tc>
        <w:tc>
          <w:tcPr>
            <w:tcW w:w="775" w:type="pct"/>
            <w:noWrap/>
          </w:tcPr>
          <w:p w14:paraId="2F759A38"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36.53</w:t>
            </w:r>
          </w:p>
        </w:tc>
        <w:tc>
          <w:tcPr>
            <w:tcW w:w="758" w:type="pct"/>
          </w:tcPr>
          <w:p w14:paraId="4DAA1EA6"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58.25</w:t>
            </w:r>
          </w:p>
        </w:tc>
      </w:tr>
      <w:tr w:rsidR="00081953" w:rsidRPr="005871DD" w14:paraId="040B48B2"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7BB4A5D" w14:textId="77777777" w:rsidR="00081953" w:rsidRPr="000613C9" w:rsidRDefault="00081953" w:rsidP="00081953">
            <w:pPr>
              <w:jc w:val="left"/>
              <w:rPr>
                <w:b w:val="0"/>
                <w:bCs w:val="0"/>
                <w:i/>
                <w:sz w:val="20"/>
                <w:szCs w:val="20"/>
                <w:lang w:eastAsia="en-AU"/>
              </w:rPr>
            </w:pPr>
            <w:r w:rsidRPr="000613C9">
              <w:rPr>
                <w:i/>
                <w:sz w:val="20"/>
                <w:szCs w:val="20"/>
                <w:lang w:eastAsia="en-AU"/>
              </w:rPr>
              <w:t>Receiving Stolen Property</w:t>
            </w:r>
          </w:p>
        </w:tc>
        <w:tc>
          <w:tcPr>
            <w:tcW w:w="797" w:type="pct"/>
            <w:noWrap/>
          </w:tcPr>
          <w:p w14:paraId="37209512"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8.23</w:t>
            </w:r>
          </w:p>
        </w:tc>
        <w:tc>
          <w:tcPr>
            <w:tcW w:w="775" w:type="pct"/>
            <w:noWrap/>
          </w:tcPr>
          <w:p w14:paraId="7803B1B9"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6.64</w:t>
            </w:r>
          </w:p>
        </w:tc>
        <w:tc>
          <w:tcPr>
            <w:tcW w:w="758" w:type="pct"/>
          </w:tcPr>
          <w:p w14:paraId="40C5EC69"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7.72</w:t>
            </w:r>
          </w:p>
        </w:tc>
      </w:tr>
      <w:tr w:rsidR="00081953" w:rsidRPr="005871DD" w14:paraId="0FCB82E8"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FF09241" w14:textId="77777777" w:rsidR="00081953" w:rsidRPr="000613C9" w:rsidRDefault="00081953" w:rsidP="00081953">
            <w:pPr>
              <w:jc w:val="left"/>
              <w:rPr>
                <w:b w:val="0"/>
                <w:bCs w:val="0"/>
                <w:i/>
                <w:sz w:val="20"/>
                <w:szCs w:val="20"/>
                <w:lang w:eastAsia="en-AU"/>
              </w:rPr>
            </w:pPr>
            <w:r w:rsidRPr="000613C9">
              <w:rPr>
                <w:i/>
                <w:sz w:val="20"/>
                <w:szCs w:val="20"/>
                <w:lang w:eastAsia="en-AU"/>
              </w:rPr>
              <w:t>Possess etc. Tainted Property</w:t>
            </w:r>
          </w:p>
        </w:tc>
        <w:tc>
          <w:tcPr>
            <w:tcW w:w="797" w:type="pct"/>
            <w:noWrap/>
          </w:tcPr>
          <w:p w14:paraId="0B27AD4B"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36.23</w:t>
            </w:r>
          </w:p>
        </w:tc>
        <w:tc>
          <w:tcPr>
            <w:tcW w:w="775" w:type="pct"/>
            <w:noWrap/>
          </w:tcPr>
          <w:p w14:paraId="0C2FDC62"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68.09</w:t>
            </w:r>
          </w:p>
        </w:tc>
        <w:tc>
          <w:tcPr>
            <w:tcW w:w="758" w:type="pct"/>
          </w:tcPr>
          <w:p w14:paraId="23264FAE" w14:textId="77777777" w:rsidR="00081953" w:rsidRPr="000613C9"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61.62</w:t>
            </w:r>
          </w:p>
        </w:tc>
      </w:tr>
      <w:tr w:rsidR="00081953" w:rsidRPr="005871DD" w14:paraId="18DB0270" w14:textId="77777777" w:rsidTr="00A4064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D69B6B5" w14:textId="77777777" w:rsidR="00081953" w:rsidRPr="000613C9" w:rsidRDefault="00081953" w:rsidP="00081953">
            <w:pPr>
              <w:jc w:val="left"/>
              <w:rPr>
                <w:b w:val="0"/>
                <w:bCs w:val="0"/>
                <w:i/>
                <w:sz w:val="20"/>
                <w:szCs w:val="20"/>
                <w:lang w:eastAsia="en-AU"/>
              </w:rPr>
            </w:pPr>
            <w:r w:rsidRPr="000613C9">
              <w:rPr>
                <w:i/>
                <w:sz w:val="20"/>
                <w:szCs w:val="20"/>
                <w:lang w:eastAsia="en-AU"/>
              </w:rPr>
              <w:t>Other Handling Stolen Goods</w:t>
            </w:r>
          </w:p>
        </w:tc>
        <w:tc>
          <w:tcPr>
            <w:tcW w:w="797" w:type="pct"/>
            <w:noWrap/>
          </w:tcPr>
          <w:p w14:paraId="2B92E89D"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75" w:type="pct"/>
            <w:noWrap/>
          </w:tcPr>
          <w:p w14:paraId="3DF2A4FA"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1.66</w:t>
            </w:r>
          </w:p>
        </w:tc>
        <w:tc>
          <w:tcPr>
            <w:tcW w:w="758" w:type="pct"/>
          </w:tcPr>
          <w:p w14:paraId="20AFF1C6" w14:textId="77777777" w:rsidR="00081953" w:rsidRPr="000613C9" w:rsidRDefault="00081953" w:rsidP="00081953">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1.50</w:t>
            </w:r>
          </w:p>
        </w:tc>
      </w:tr>
      <w:tr w:rsidR="00081953" w:rsidRPr="005871DD" w14:paraId="61C607C7" w14:textId="77777777" w:rsidTr="00A4064D">
        <w:trPr>
          <w:trHeight w:val="316"/>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4F93D6F" w14:textId="77777777" w:rsidR="00081953" w:rsidRPr="00BC2654" w:rsidRDefault="00081953" w:rsidP="00081953">
            <w:pPr>
              <w:jc w:val="left"/>
              <w:rPr>
                <w:sz w:val="20"/>
                <w:szCs w:val="20"/>
                <w:lang w:eastAsia="en-AU"/>
              </w:rPr>
            </w:pPr>
            <w:r w:rsidRPr="00BC2654">
              <w:rPr>
                <w:sz w:val="20"/>
                <w:szCs w:val="20"/>
                <w:lang w:eastAsia="en-AU"/>
              </w:rPr>
              <w:t>Total Offences Against Property</w:t>
            </w:r>
          </w:p>
        </w:tc>
        <w:tc>
          <w:tcPr>
            <w:tcW w:w="797" w:type="pct"/>
            <w:noWrap/>
          </w:tcPr>
          <w:p w14:paraId="08B68E64"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BC2654">
              <w:rPr>
                <w:b/>
                <w:sz w:val="20"/>
                <w:szCs w:val="20"/>
              </w:rPr>
              <w:t>5,612.00</w:t>
            </w:r>
          </w:p>
        </w:tc>
        <w:tc>
          <w:tcPr>
            <w:tcW w:w="775" w:type="pct"/>
            <w:noWrap/>
          </w:tcPr>
          <w:p w14:paraId="5E81353E"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BC2654">
              <w:rPr>
                <w:b/>
                <w:sz w:val="20"/>
                <w:szCs w:val="20"/>
              </w:rPr>
              <w:t>4,581.69</w:t>
            </w:r>
          </w:p>
        </w:tc>
        <w:tc>
          <w:tcPr>
            <w:tcW w:w="758" w:type="pct"/>
          </w:tcPr>
          <w:p w14:paraId="1DE47E17" w14:textId="77777777" w:rsidR="00081953" w:rsidRPr="00BC2654" w:rsidRDefault="00081953" w:rsidP="00081953">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BC2654">
              <w:rPr>
                <w:b/>
                <w:sz w:val="20"/>
                <w:szCs w:val="20"/>
              </w:rPr>
              <w:t>5,045.36</w:t>
            </w:r>
          </w:p>
        </w:tc>
      </w:tr>
    </w:tbl>
    <w:p w14:paraId="05254BD1" w14:textId="77777777" w:rsidR="00E8435D" w:rsidRPr="00561030" w:rsidRDefault="00E8435D" w:rsidP="00561030">
      <w:pPr>
        <w:spacing w:after="0"/>
        <w:rPr>
          <w:i/>
          <w:sz w:val="18"/>
          <w:szCs w:val="18"/>
        </w:rPr>
      </w:pPr>
      <w:r w:rsidRPr="00461021">
        <w:rPr>
          <w:i/>
          <w:sz w:val="18"/>
          <w:szCs w:val="18"/>
        </w:rPr>
        <w:t xml:space="preserve">Source: </w:t>
      </w:r>
      <w:r w:rsidRPr="00561030">
        <w:rPr>
          <w:i/>
          <w:sz w:val="18"/>
          <w:szCs w:val="18"/>
        </w:rPr>
        <w:t>QPS offence statistics reported offences rates.</w:t>
      </w:r>
    </w:p>
    <w:p w14:paraId="02DA4155" w14:textId="77777777" w:rsidR="00931C9E" w:rsidRPr="00931C9E" w:rsidRDefault="00931C9E" w:rsidP="00931C9E">
      <w:pPr>
        <w:rPr>
          <w:i/>
          <w:sz w:val="18"/>
          <w:szCs w:val="18"/>
          <w:lang w:val="en"/>
        </w:rPr>
      </w:pPr>
      <w:r>
        <w:rPr>
          <w:i/>
          <w:sz w:val="18"/>
          <w:szCs w:val="18"/>
          <w:lang w:val="en"/>
        </w:rPr>
        <w:t xml:space="preserve">Notes: </w:t>
      </w:r>
      <w:r w:rsidRPr="00931C9E">
        <w:rPr>
          <w:i/>
          <w:sz w:val="18"/>
          <w:szCs w:val="18"/>
          <w:lang w:val="en"/>
        </w:rPr>
        <w:t>Bundaberg and Hervey Bay are identified by using the QPS</w:t>
      </w:r>
      <w:r w:rsidR="0007733D">
        <w:rPr>
          <w:i/>
          <w:sz w:val="18"/>
          <w:szCs w:val="18"/>
          <w:lang w:val="en"/>
        </w:rPr>
        <w:t xml:space="preserve"> Statistics</w:t>
      </w:r>
      <w:r w:rsidRPr="00931C9E">
        <w:rPr>
          <w:i/>
          <w:sz w:val="18"/>
          <w:szCs w:val="18"/>
          <w:lang w:val="en"/>
        </w:rPr>
        <w:t xml:space="preserve"> geographical classification at the division level. </w:t>
      </w:r>
      <w:r w:rsidRPr="00931C9E">
        <w:rPr>
          <w:i/>
          <w:sz w:val="18"/>
          <w:szCs w:val="18"/>
        </w:rPr>
        <w:t>Due to rounding, the total percentage may not be exactly the same as the sum of each row.</w:t>
      </w:r>
    </w:p>
    <w:p w14:paraId="178D484B" w14:textId="77777777" w:rsidR="00D63E48" w:rsidRDefault="00D63E48" w:rsidP="0079482A">
      <w:r>
        <w:br w:type="page"/>
      </w:r>
    </w:p>
    <w:p w14:paraId="221B35FC" w14:textId="15410E9A" w:rsidR="00D63E48" w:rsidRDefault="000851DE" w:rsidP="00DC50F4">
      <w:pPr>
        <w:pStyle w:val="Caption"/>
      </w:pPr>
      <w:bookmarkStart w:id="352" w:name="_Toc37263606"/>
      <w:r>
        <w:lastRenderedPageBreak/>
        <w:t>Table</w:t>
      </w:r>
      <w:r w:rsidR="00DC50F4">
        <w:t xml:space="preserv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8</w:t>
      </w:r>
      <w:r w:rsidR="006C0554">
        <w:rPr>
          <w:noProof/>
        </w:rPr>
        <w:fldChar w:fldCharType="end"/>
      </w:r>
      <w:r w:rsidR="00DC50F4">
        <w:t xml:space="preserve">: </w:t>
      </w:r>
      <w:r w:rsidR="00D63E48">
        <w:t>Reported other offence rate in 2018 (per 100,000 population)</w:t>
      </w:r>
      <w:bookmarkEnd w:id="352"/>
    </w:p>
    <w:tbl>
      <w:tblPr>
        <w:tblStyle w:val="ListTable3-Accent12"/>
        <w:tblW w:w="5000" w:type="pct"/>
        <w:tblInd w:w="0" w:type="dxa"/>
        <w:tblLayout w:type="fixed"/>
        <w:tblLook w:val="04A0" w:firstRow="1" w:lastRow="0" w:firstColumn="1" w:lastColumn="0" w:noHBand="0" w:noVBand="1"/>
      </w:tblPr>
      <w:tblGrid>
        <w:gridCol w:w="4815"/>
        <w:gridCol w:w="1417"/>
        <w:gridCol w:w="1417"/>
        <w:gridCol w:w="1367"/>
      </w:tblGrid>
      <w:tr w:rsidR="00D85030" w:rsidRPr="00CF5D75" w14:paraId="0D56332E" w14:textId="77777777" w:rsidTr="006C0554">
        <w:trPr>
          <w:cnfStyle w:val="100000000000" w:firstRow="1" w:lastRow="0" w:firstColumn="0" w:lastColumn="0" w:oddVBand="0" w:evenVBand="0" w:oddHBand="0" w:evenHBand="0" w:firstRowFirstColumn="0" w:firstRowLastColumn="0" w:lastRowFirstColumn="0" w:lastRowLastColumn="0"/>
          <w:trHeight w:val="199"/>
          <w:tblHeader/>
        </w:trPr>
        <w:tc>
          <w:tcPr>
            <w:cnfStyle w:val="001000000100" w:firstRow="0" w:lastRow="0" w:firstColumn="1" w:lastColumn="0" w:oddVBand="0" w:evenVBand="0" w:oddHBand="0" w:evenHBand="0" w:firstRowFirstColumn="1" w:firstRowLastColumn="0" w:lastRowFirstColumn="0" w:lastRowLastColumn="0"/>
            <w:tcW w:w="2670" w:type="pct"/>
            <w:shd w:val="clear" w:color="auto" w:fill="2F5496" w:themeFill="accent5" w:themeFillShade="BF"/>
            <w:noWrap/>
          </w:tcPr>
          <w:p w14:paraId="08F2C061" w14:textId="77777777" w:rsidR="00D85030" w:rsidRPr="00CF5D75" w:rsidRDefault="00D85030" w:rsidP="000613C9">
            <w:pPr>
              <w:jc w:val="center"/>
              <w:rPr>
                <w:sz w:val="18"/>
                <w:szCs w:val="18"/>
                <w:lang w:eastAsia="en-AU"/>
              </w:rPr>
            </w:pPr>
          </w:p>
        </w:tc>
        <w:tc>
          <w:tcPr>
            <w:tcW w:w="786" w:type="pct"/>
            <w:shd w:val="clear" w:color="auto" w:fill="2F5496" w:themeFill="accent5" w:themeFillShade="BF"/>
            <w:noWrap/>
          </w:tcPr>
          <w:p w14:paraId="63CB116E" w14:textId="77777777" w:rsidR="00D85030" w:rsidRPr="00CF5D75" w:rsidRDefault="00D85030" w:rsidP="000613C9">
            <w:pPr>
              <w:jc w:val="center"/>
              <w:cnfStyle w:val="100000000000" w:firstRow="1" w:lastRow="0" w:firstColumn="0" w:lastColumn="0" w:oddVBand="0" w:evenVBand="0" w:oddHBand="0" w:evenHBand="0" w:firstRowFirstColumn="0" w:firstRowLastColumn="0" w:lastRowFirstColumn="0" w:lastRowLastColumn="0"/>
              <w:rPr>
                <w:sz w:val="18"/>
                <w:szCs w:val="18"/>
                <w:lang w:eastAsia="en-AU"/>
              </w:rPr>
            </w:pPr>
            <w:r w:rsidRPr="00CF5D75">
              <w:rPr>
                <w:sz w:val="20"/>
                <w:szCs w:val="20"/>
                <w:lang w:eastAsia="en-AU"/>
              </w:rPr>
              <w:t>Bundaberg</w:t>
            </w:r>
          </w:p>
        </w:tc>
        <w:tc>
          <w:tcPr>
            <w:tcW w:w="786" w:type="pct"/>
            <w:shd w:val="clear" w:color="auto" w:fill="2F5496" w:themeFill="accent5" w:themeFillShade="BF"/>
            <w:noWrap/>
          </w:tcPr>
          <w:p w14:paraId="00689666" w14:textId="77777777" w:rsidR="00D85030" w:rsidRPr="000613C9" w:rsidRDefault="00D85030"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CF5D75">
              <w:rPr>
                <w:sz w:val="20"/>
                <w:szCs w:val="20"/>
                <w:lang w:eastAsia="en-AU"/>
              </w:rPr>
              <w:t>Hervey Bay</w:t>
            </w:r>
          </w:p>
        </w:tc>
        <w:tc>
          <w:tcPr>
            <w:tcW w:w="758" w:type="pct"/>
            <w:shd w:val="clear" w:color="auto" w:fill="2F5496" w:themeFill="accent5" w:themeFillShade="BF"/>
          </w:tcPr>
          <w:p w14:paraId="475E725D" w14:textId="77777777" w:rsidR="00D85030" w:rsidRPr="000613C9" w:rsidRDefault="00D85030"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CF5D75">
              <w:rPr>
                <w:sz w:val="20"/>
                <w:szCs w:val="20"/>
                <w:lang w:eastAsia="en-AU"/>
              </w:rPr>
              <w:t>Queensland</w:t>
            </w:r>
          </w:p>
        </w:tc>
      </w:tr>
      <w:tr w:rsidR="00D85030" w:rsidRPr="00CF5D75" w14:paraId="010F358B"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tcPr>
          <w:p w14:paraId="3EF621F6" w14:textId="77777777" w:rsidR="00D85030" w:rsidRPr="000613C9" w:rsidRDefault="00D85030" w:rsidP="00D85030">
            <w:pPr>
              <w:rPr>
                <w:sz w:val="20"/>
                <w:szCs w:val="20"/>
                <w:lang w:eastAsia="en-AU"/>
              </w:rPr>
            </w:pPr>
            <w:r w:rsidRPr="00CF5D75">
              <w:rPr>
                <w:sz w:val="20"/>
                <w:szCs w:val="20"/>
                <w:lang w:eastAsia="en-AU"/>
              </w:rPr>
              <w:t>Drug Offences</w:t>
            </w:r>
          </w:p>
        </w:tc>
        <w:tc>
          <w:tcPr>
            <w:tcW w:w="786" w:type="pct"/>
            <w:noWrap/>
          </w:tcPr>
          <w:p w14:paraId="0381A154"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1791.62</w:t>
            </w:r>
          </w:p>
        </w:tc>
        <w:tc>
          <w:tcPr>
            <w:tcW w:w="786" w:type="pct"/>
            <w:noWrap/>
          </w:tcPr>
          <w:p w14:paraId="1F16C785"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1544.39</w:t>
            </w:r>
          </w:p>
        </w:tc>
        <w:tc>
          <w:tcPr>
            <w:tcW w:w="758" w:type="pct"/>
          </w:tcPr>
          <w:p w14:paraId="47F0EF0A"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1629.52</w:t>
            </w:r>
          </w:p>
        </w:tc>
      </w:tr>
      <w:tr w:rsidR="00D85030" w:rsidRPr="00CF5D75" w14:paraId="10B9E5FA"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F85BFFB" w14:textId="77777777" w:rsidR="00D85030" w:rsidRPr="000613C9" w:rsidRDefault="00D85030" w:rsidP="00D85030">
            <w:pPr>
              <w:rPr>
                <w:b w:val="0"/>
                <w:bCs w:val="0"/>
                <w:i/>
                <w:sz w:val="20"/>
                <w:szCs w:val="20"/>
                <w:lang w:eastAsia="en-AU"/>
              </w:rPr>
            </w:pPr>
            <w:r w:rsidRPr="000613C9">
              <w:rPr>
                <w:i/>
                <w:sz w:val="20"/>
                <w:szCs w:val="20"/>
                <w:lang w:eastAsia="en-AU"/>
              </w:rPr>
              <w:t>Trafficking Drugs</w:t>
            </w:r>
          </w:p>
        </w:tc>
        <w:tc>
          <w:tcPr>
            <w:tcW w:w="786" w:type="pct"/>
            <w:noWrap/>
          </w:tcPr>
          <w:p w14:paraId="0922D9A7"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6.59</w:t>
            </w:r>
          </w:p>
        </w:tc>
        <w:tc>
          <w:tcPr>
            <w:tcW w:w="786" w:type="pct"/>
            <w:noWrap/>
          </w:tcPr>
          <w:p w14:paraId="190495F7"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6.64</w:t>
            </w:r>
          </w:p>
        </w:tc>
        <w:tc>
          <w:tcPr>
            <w:tcW w:w="758" w:type="pct"/>
          </w:tcPr>
          <w:p w14:paraId="5FF9E458"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11.47</w:t>
            </w:r>
          </w:p>
        </w:tc>
      </w:tr>
      <w:tr w:rsidR="00D85030" w:rsidRPr="00CF5D75" w14:paraId="7D8ECE71"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46B871C6" w14:textId="77777777" w:rsidR="00D85030" w:rsidRPr="000613C9" w:rsidRDefault="00D85030" w:rsidP="00D85030">
            <w:pPr>
              <w:rPr>
                <w:b w:val="0"/>
                <w:bCs w:val="0"/>
                <w:i/>
                <w:sz w:val="20"/>
                <w:szCs w:val="20"/>
                <w:lang w:eastAsia="en-AU"/>
              </w:rPr>
            </w:pPr>
            <w:r w:rsidRPr="000613C9">
              <w:rPr>
                <w:i/>
                <w:sz w:val="20"/>
                <w:szCs w:val="20"/>
                <w:lang w:eastAsia="en-AU"/>
              </w:rPr>
              <w:t>Possess Drugs</w:t>
            </w:r>
          </w:p>
        </w:tc>
        <w:tc>
          <w:tcPr>
            <w:tcW w:w="786" w:type="pct"/>
            <w:noWrap/>
          </w:tcPr>
          <w:p w14:paraId="2CF19D7C"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833.24</w:t>
            </w:r>
          </w:p>
        </w:tc>
        <w:tc>
          <w:tcPr>
            <w:tcW w:w="786" w:type="pct"/>
            <w:noWrap/>
          </w:tcPr>
          <w:p w14:paraId="4C336EBF"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694.14</w:t>
            </w:r>
          </w:p>
        </w:tc>
        <w:tc>
          <w:tcPr>
            <w:tcW w:w="758" w:type="pct"/>
          </w:tcPr>
          <w:p w14:paraId="6C2C60E9"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705.40</w:t>
            </w:r>
          </w:p>
        </w:tc>
      </w:tr>
      <w:tr w:rsidR="00D85030" w:rsidRPr="00CF5D75" w14:paraId="0D1CCEFC"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A92B25E" w14:textId="77777777" w:rsidR="00D85030" w:rsidRPr="000613C9" w:rsidRDefault="00D85030" w:rsidP="00D85030">
            <w:pPr>
              <w:rPr>
                <w:b w:val="0"/>
                <w:bCs w:val="0"/>
                <w:i/>
                <w:sz w:val="20"/>
                <w:szCs w:val="20"/>
                <w:lang w:eastAsia="en-AU"/>
              </w:rPr>
            </w:pPr>
            <w:r w:rsidRPr="000613C9">
              <w:rPr>
                <w:i/>
                <w:sz w:val="20"/>
                <w:szCs w:val="20"/>
                <w:lang w:eastAsia="en-AU"/>
              </w:rPr>
              <w:t>Produce Drugs</w:t>
            </w:r>
          </w:p>
        </w:tc>
        <w:tc>
          <w:tcPr>
            <w:tcW w:w="786" w:type="pct"/>
            <w:noWrap/>
          </w:tcPr>
          <w:p w14:paraId="18D1C0F4"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52.69</w:t>
            </w:r>
          </w:p>
        </w:tc>
        <w:tc>
          <w:tcPr>
            <w:tcW w:w="786" w:type="pct"/>
            <w:noWrap/>
          </w:tcPr>
          <w:p w14:paraId="41E40D55"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49.82</w:t>
            </w:r>
          </w:p>
        </w:tc>
        <w:tc>
          <w:tcPr>
            <w:tcW w:w="758" w:type="pct"/>
          </w:tcPr>
          <w:p w14:paraId="64E054A9"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32.69</w:t>
            </w:r>
          </w:p>
        </w:tc>
      </w:tr>
      <w:tr w:rsidR="00D85030" w:rsidRPr="00CF5D75" w14:paraId="0C71DB69"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53D4921" w14:textId="77777777" w:rsidR="00D85030" w:rsidRPr="000613C9" w:rsidRDefault="00D85030" w:rsidP="00D85030">
            <w:pPr>
              <w:rPr>
                <w:b w:val="0"/>
                <w:bCs w:val="0"/>
                <w:i/>
                <w:sz w:val="20"/>
                <w:szCs w:val="20"/>
                <w:lang w:eastAsia="en-AU"/>
              </w:rPr>
            </w:pPr>
            <w:r w:rsidRPr="000613C9">
              <w:rPr>
                <w:i/>
                <w:sz w:val="20"/>
                <w:szCs w:val="20"/>
                <w:lang w:eastAsia="en-AU"/>
              </w:rPr>
              <w:t>Sell Supply Drugs</w:t>
            </w:r>
          </w:p>
        </w:tc>
        <w:tc>
          <w:tcPr>
            <w:tcW w:w="786" w:type="pct"/>
            <w:noWrap/>
          </w:tcPr>
          <w:p w14:paraId="3B2B3794"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47.75</w:t>
            </w:r>
          </w:p>
        </w:tc>
        <w:tc>
          <w:tcPr>
            <w:tcW w:w="786" w:type="pct"/>
            <w:noWrap/>
          </w:tcPr>
          <w:p w14:paraId="03FFF246"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49.82</w:t>
            </w:r>
          </w:p>
        </w:tc>
        <w:tc>
          <w:tcPr>
            <w:tcW w:w="758" w:type="pct"/>
          </w:tcPr>
          <w:p w14:paraId="0CFE222D"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140.15</w:t>
            </w:r>
          </w:p>
        </w:tc>
      </w:tr>
      <w:tr w:rsidR="00D85030" w:rsidRPr="00CF5D75" w14:paraId="63E4F7E2"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6FB146E" w14:textId="77777777" w:rsidR="00D85030" w:rsidRPr="000613C9" w:rsidRDefault="00D85030" w:rsidP="00D85030">
            <w:pPr>
              <w:rPr>
                <w:b w:val="0"/>
                <w:bCs w:val="0"/>
                <w:i/>
                <w:sz w:val="20"/>
                <w:szCs w:val="20"/>
                <w:lang w:eastAsia="en-AU"/>
              </w:rPr>
            </w:pPr>
            <w:r w:rsidRPr="000613C9">
              <w:rPr>
                <w:i/>
                <w:sz w:val="20"/>
                <w:szCs w:val="20"/>
                <w:lang w:eastAsia="en-AU"/>
              </w:rPr>
              <w:t>Other Drug Offences</w:t>
            </w:r>
          </w:p>
        </w:tc>
        <w:tc>
          <w:tcPr>
            <w:tcW w:w="786" w:type="pct"/>
            <w:noWrap/>
          </w:tcPr>
          <w:p w14:paraId="694B65CC"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851.35</w:t>
            </w:r>
          </w:p>
        </w:tc>
        <w:tc>
          <w:tcPr>
            <w:tcW w:w="786" w:type="pct"/>
            <w:noWrap/>
          </w:tcPr>
          <w:p w14:paraId="0C8D38E6"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743.96</w:t>
            </w:r>
          </w:p>
        </w:tc>
        <w:tc>
          <w:tcPr>
            <w:tcW w:w="758" w:type="pct"/>
          </w:tcPr>
          <w:p w14:paraId="20CC97B6"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739.82</w:t>
            </w:r>
          </w:p>
        </w:tc>
      </w:tr>
      <w:tr w:rsidR="00D85030" w:rsidRPr="00CF5D75" w14:paraId="2FC97ECF"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2067FFA" w14:textId="77777777" w:rsidR="00D85030" w:rsidRPr="000613C9" w:rsidRDefault="00D85030" w:rsidP="00D85030">
            <w:pPr>
              <w:rPr>
                <w:sz w:val="20"/>
                <w:szCs w:val="20"/>
                <w:lang w:eastAsia="en-AU"/>
              </w:rPr>
            </w:pPr>
            <w:r w:rsidRPr="00CF5D75">
              <w:rPr>
                <w:sz w:val="20"/>
                <w:szCs w:val="20"/>
                <w:lang w:eastAsia="en-AU"/>
              </w:rPr>
              <w:t>Prostitution Offences</w:t>
            </w:r>
          </w:p>
        </w:tc>
        <w:tc>
          <w:tcPr>
            <w:tcW w:w="786" w:type="pct"/>
            <w:noWrap/>
          </w:tcPr>
          <w:p w14:paraId="2E6882B9"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0.00</w:t>
            </w:r>
          </w:p>
        </w:tc>
        <w:tc>
          <w:tcPr>
            <w:tcW w:w="786" w:type="pct"/>
            <w:noWrap/>
          </w:tcPr>
          <w:p w14:paraId="7A6BB212"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3.32</w:t>
            </w:r>
          </w:p>
        </w:tc>
        <w:tc>
          <w:tcPr>
            <w:tcW w:w="758" w:type="pct"/>
          </w:tcPr>
          <w:p w14:paraId="109B4597"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1.70</w:t>
            </w:r>
          </w:p>
        </w:tc>
      </w:tr>
      <w:tr w:rsidR="00D85030" w:rsidRPr="00CF5D75" w14:paraId="1DD00CF7"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0129394" w14:textId="77777777" w:rsidR="00D85030" w:rsidRPr="000613C9" w:rsidRDefault="00D85030" w:rsidP="00D85030">
            <w:pPr>
              <w:rPr>
                <w:b w:val="0"/>
                <w:bCs w:val="0"/>
                <w:i/>
                <w:sz w:val="20"/>
                <w:szCs w:val="20"/>
                <w:lang w:eastAsia="en-AU"/>
              </w:rPr>
            </w:pPr>
            <w:r w:rsidRPr="000613C9">
              <w:rPr>
                <w:i/>
                <w:sz w:val="20"/>
                <w:szCs w:val="20"/>
                <w:lang w:eastAsia="en-AU"/>
              </w:rPr>
              <w:t>Found in Places Used for Purpose of Prostitution Offences</w:t>
            </w:r>
          </w:p>
        </w:tc>
        <w:tc>
          <w:tcPr>
            <w:tcW w:w="786" w:type="pct"/>
            <w:noWrap/>
          </w:tcPr>
          <w:p w14:paraId="43B48070"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86" w:type="pct"/>
            <w:noWrap/>
          </w:tcPr>
          <w:p w14:paraId="7EB02333"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58" w:type="pct"/>
          </w:tcPr>
          <w:p w14:paraId="4643458D"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0.00</w:t>
            </w:r>
          </w:p>
        </w:tc>
      </w:tr>
      <w:tr w:rsidR="00D85030" w:rsidRPr="00CF5D75" w14:paraId="677E02B1"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518E11EF" w14:textId="77777777" w:rsidR="00D85030" w:rsidRPr="000613C9" w:rsidRDefault="00D85030" w:rsidP="00D85030">
            <w:pPr>
              <w:rPr>
                <w:b w:val="0"/>
                <w:bCs w:val="0"/>
                <w:i/>
                <w:sz w:val="20"/>
                <w:szCs w:val="20"/>
                <w:lang w:eastAsia="en-AU"/>
              </w:rPr>
            </w:pPr>
            <w:r w:rsidRPr="000613C9">
              <w:rPr>
                <w:i/>
                <w:sz w:val="20"/>
                <w:szCs w:val="20"/>
                <w:lang w:eastAsia="en-AU"/>
              </w:rPr>
              <w:t>Have Interest in Premises Used for Prostitution Offences</w:t>
            </w:r>
          </w:p>
        </w:tc>
        <w:tc>
          <w:tcPr>
            <w:tcW w:w="786" w:type="pct"/>
            <w:noWrap/>
          </w:tcPr>
          <w:p w14:paraId="5252CC20"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86" w:type="pct"/>
            <w:noWrap/>
          </w:tcPr>
          <w:p w14:paraId="4D6DBA58"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58" w:type="pct"/>
          </w:tcPr>
          <w:p w14:paraId="0592B031"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0.02</w:t>
            </w:r>
          </w:p>
        </w:tc>
      </w:tr>
      <w:tr w:rsidR="00D85030" w:rsidRPr="00CF5D75" w14:paraId="025399A0"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83A37A9" w14:textId="77777777" w:rsidR="00D85030" w:rsidRPr="000613C9" w:rsidRDefault="00D85030" w:rsidP="00D85030">
            <w:pPr>
              <w:rPr>
                <w:b w:val="0"/>
                <w:bCs w:val="0"/>
                <w:i/>
                <w:sz w:val="20"/>
                <w:szCs w:val="20"/>
                <w:lang w:eastAsia="en-AU"/>
              </w:rPr>
            </w:pPr>
            <w:r w:rsidRPr="000613C9">
              <w:rPr>
                <w:i/>
                <w:sz w:val="20"/>
                <w:szCs w:val="20"/>
                <w:lang w:eastAsia="en-AU"/>
              </w:rPr>
              <w:t>Knowingly Participate in Provision Prostitution Offences</w:t>
            </w:r>
          </w:p>
        </w:tc>
        <w:tc>
          <w:tcPr>
            <w:tcW w:w="786" w:type="pct"/>
            <w:noWrap/>
          </w:tcPr>
          <w:p w14:paraId="1C7635CC"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86" w:type="pct"/>
            <w:noWrap/>
          </w:tcPr>
          <w:p w14:paraId="7DFAA00F"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1.66</w:t>
            </w:r>
          </w:p>
        </w:tc>
        <w:tc>
          <w:tcPr>
            <w:tcW w:w="758" w:type="pct"/>
          </w:tcPr>
          <w:p w14:paraId="12DB4E32"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0.96</w:t>
            </w:r>
          </w:p>
        </w:tc>
      </w:tr>
      <w:tr w:rsidR="00D85030" w:rsidRPr="00CF5D75" w14:paraId="5014ADD0"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5C395136" w14:textId="77777777" w:rsidR="00D85030" w:rsidRPr="000613C9" w:rsidRDefault="00D85030" w:rsidP="00D85030">
            <w:pPr>
              <w:rPr>
                <w:b w:val="0"/>
                <w:bCs w:val="0"/>
                <w:i/>
                <w:sz w:val="20"/>
                <w:szCs w:val="20"/>
                <w:lang w:eastAsia="en-AU"/>
              </w:rPr>
            </w:pPr>
            <w:r w:rsidRPr="000613C9">
              <w:rPr>
                <w:i/>
                <w:sz w:val="20"/>
                <w:szCs w:val="20"/>
                <w:lang w:eastAsia="en-AU"/>
              </w:rPr>
              <w:t>Public Soliciting</w:t>
            </w:r>
          </w:p>
        </w:tc>
        <w:tc>
          <w:tcPr>
            <w:tcW w:w="786" w:type="pct"/>
            <w:noWrap/>
          </w:tcPr>
          <w:p w14:paraId="1DED6667"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86" w:type="pct"/>
            <w:noWrap/>
          </w:tcPr>
          <w:p w14:paraId="377E4979"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58" w:type="pct"/>
          </w:tcPr>
          <w:p w14:paraId="02D56873"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r>
      <w:tr w:rsidR="00D85030" w:rsidRPr="00CF5D75" w14:paraId="187A9839"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445CDA95" w14:textId="77777777" w:rsidR="00D85030" w:rsidRPr="000613C9" w:rsidRDefault="00D85030" w:rsidP="00D85030">
            <w:pPr>
              <w:rPr>
                <w:b w:val="0"/>
                <w:bCs w:val="0"/>
                <w:i/>
                <w:sz w:val="20"/>
                <w:szCs w:val="20"/>
                <w:lang w:eastAsia="en-AU"/>
              </w:rPr>
            </w:pPr>
            <w:r w:rsidRPr="000613C9">
              <w:rPr>
                <w:i/>
                <w:sz w:val="20"/>
                <w:szCs w:val="20"/>
                <w:lang w:eastAsia="en-AU"/>
              </w:rPr>
              <w:t>Procuring Prostitution</w:t>
            </w:r>
          </w:p>
        </w:tc>
        <w:tc>
          <w:tcPr>
            <w:tcW w:w="786" w:type="pct"/>
            <w:noWrap/>
          </w:tcPr>
          <w:p w14:paraId="393A64B0"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86" w:type="pct"/>
            <w:noWrap/>
          </w:tcPr>
          <w:p w14:paraId="1035969F"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58" w:type="pct"/>
          </w:tcPr>
          <w:p w14:paraId="72E00DB4"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0.06</w:t>
            </w:r>
          </w:p>
        </w:tc>
      </w:tr>
      <w:tr w:rsidR="00D85030" w:rsidRPr="00CF5D75" w14:paraId="176FC407"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22E707D" w14:textId="77777777" w:rsidR="00D85030" w:rsidRPr="000613C9" w:rsidRDefault="00D85030" w:rsidP="00D85030">
            <w:pPr>
              <w:rPr>
                <w:b w:val="0"/>
                <w:bCs w:val="0"/>
                <w:i/>
                <w:sz w:val="20"/>
                <w:szCs w:val="20"/>
                <w:lang w:eastAsia="en-AU"/>
              </w:rPr>
            </w:pPr>
            <w:r w:rsidRPr="000613C9">
              <w:rPr>
                <w:i/>
                <w:sz w:val="20"/>
                <w:szCs w:val="20"/>
                <w:lang w:eastAsia="en-AU"/>
              </w:rPr>
              <w:t>Permit Minor to be at a Place Used for Prostitution Offences</w:t>
            </w:r>
          </w:p>
        </w:tc>
        <w:tc>
          <w:tcPr>
            <w:tcW w:w="786" w:type="pct"/>
            <w:noWrap/>
          </w:tcPr>
          <w:p w14:paraId="3A9E4493"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86" w:type="pct"/>
            <w:noWrap/>
          </w:tcPr>
          <w:p w14:paraId="64B99B15"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58" w:type="pct"/>
          </w:tcPr>
          <w:p w14:paraId="3F7F731C"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r>
      <w:tr w:rsidR="00D85030" w:rsidRPr="00CF5D75" w14:paraId="4DFE3D7E"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5C005A1" w14:textId="77777777" w:rsidR="00D85030" w:rsidRPr="000613C9" w:rsidRDefault="00D85030" w:rsidP="00D85030">
            <w:pPr>
              <w:rPr>
                <w:b w:val="0"/>
                <w:bCs w:val="0"/>
                <w:i/>
                <w:sz w:val="20"/>
                <w:szCs w:val="20"/>
                <w:lang w:eastAsia="en-AU"/>
              </w:rPr>
            </w:pPr>
            <w:r w:rsidRPr="000613C9">
              <w:rPr>
                <w:i/>
                <w:sz w:val="20"/>
                <w:szCs w:val="20"/>
                <w:lang w:eastAsia="en-AU"/>
              </w:rPr>
              <w:t>Advertising Prostitution</w:t>
            </w:r>
          </w:p>
        </w:tc>
        <w:tc>
          <w:tcPr>
            <w:tcW w:w="786" w:type="pct"/>
            <w:noWrap/>
          </w:tcPr>
          <w:p w14:paraId="22A4B719"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86" w:type="pct"/>
            <w:noWrap/>
          </w:tcPr>
          <w:p w14:paraId="24110A1C"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58" w:type="pct"/>
          </w:tcPr>
          <w:p w14:paraId="3CBD8759"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0.08</w:t>
            </w:r>
          </w:p>
        </w:tc>
      </w:tr>
      <w:tr w:rsidR="00D85030" w:rsidRPr="00CF5D75" w14:paraId="6D7726D6"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D89F4A6" w14:textId="77777777" w:rsidR="00D85030" w:rsidRPr="000613C9" w:rsidRDefault="00D85030" w:rsidP="00D85030">
            <w:pPr>
              <w:rPr>
                <w:b w:val="0"/>
                <w:bCs w:val="0"/>
                <w:i/>
                <w:sz w:val="20"/>
                <w:szCs w:val="20"/>
                <w:lang w:eastAsia="en-AU"/>
              </w:rPr>
            </w:pPr>
            <w:r w:rsidRPr="000613C9">
              <w:rPr>
                <w:i/>
                <w:sz w:val="20"/>
                <w:szCs w:val="20"/>
                <w:lang w:eastAsia="en-AU"/>
              </w:rPr>
              <w:t>Other Prostitution Offences</w:t>
            </w:r>
          </w:p>
        </w:tc>
        <w:tc>
          <w:tcPr>
            <w:tcW w:w="786" w:type="pct"/>
            <w:noWrap/>
          </w:tcPr>
          <w:p w14:paraId="207B5109"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86" w:type="pct"/>
            <w:noWrap/>
          </w:tcPr>
          <w:p w14:paraId="35E079BF"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1.66</w:t>
            </w:r>
          </w:p>
        </w:tc>
        <w:tc>
          <w:tcPr>
            <w:tcW w:w="758" w:type="pct"/>
          </w:tcPr>
          <w:p w14:paraId="7FAB660E"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0.58</w:t>
            </w:r>
          </w:p>
        </w:tc>
      </w:tr>
      <w:tr w:rsidR="00D85030" w:rsidRPr="00CF5D75" w14:paraId="0B5942A6"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F19D469" w14:textId="77777777" w:rsidR="00D85030" w:rsidRPr="000613C9" w:rsidRDefault="00D85030" w:rsidP="00D85030">
            <w:pPr>
              <w:rPr>
                <w:sz w:val="20"/>
                <w:szCs w:val="20"/>
                <w:lang w:eastAsia="en-AU"/>
              </w:rPr>
            </w:pPr>
            <w:r w:rsidRPr="00CF5D75">
              <w:rPr>
                <w:sz w:val="20"/>
                <w:szCs w:val="20"/>
                <w:lang w:eastAsia="en-AU"/>
              </w:rPr>
              <w:t>Liquor (excl. Drunkenness)</w:t>
            </w:r>
          </w:p>
        </w:tc>
        <w:tc>
          <w:tcPr>
            <w:tcW w:w="786" w:type="pct"/>
            <w:noWrap/>
          </w:tcPr>
          <w:p w14:paraId="6CF66C93"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54.34</w:t>
            </w:r>
          </w:p>
        </w:tc>
        <w:tc>
          <w:tcPr>
            <w:tcW w:w="786" w:type="pct"/>
            <w:noWrap/>
          </w:tcPr>
          <w:p w14:paraId="44B03897"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51.48</w:t>
            </w:r>
          </w:p>
        </w:tc>
        <w:tc>
          <w:tcPr>
            <w:tcW w:w="758" w:type="pct"/>
          </w:tcPr>
          <w:p w14:paraId="3777D5FE"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79.04</w:t>
            </w:r>
          </w:p>
        </w:tc>
      </w:tr>
      <w:tr w:rsidR="00D85030" w:rsidRPr="00CF5D75" w14:paraId="67C2426C"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A5E97D1" w14:textId="77777777" w:rsidR="00D85030" w:rsidRPr="000613C9" w:rsidRDefault="00D85030" w:rsidP="00D85030">
            <w:pPr>
              <w:rPr>
                <w:sz w:val="20"/>
                <w:szCs w:val="20"/>
                <w:lang w:eastAsia="en-AU"/>
              </w:rPr>
            </w:pPr>
            <w:r w:rsidRPr="00CF5D75">
              <w:rPr>
                <w:sz w:val="20"/>
                <w:szCs w:val="20"/>
                <w:lang w:eastAsia="en-AU"/>
              </w:rPr>
              <w:t>Gaming Racing &amp; Betting Offences</w:t>
            </w:r>
          </w:p>
        </w:tc>
        <w:tc>
          <w:tcPr>
            <w:tcW w:w="786" w:type="pct"/>
            <w:noWrap/>
          </w:tcPr>
          <w:p w14:paraId="19F33200"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0.00</w:t>
            </w:r>
          </w:p>
        </w:tc>
        <w:tc>
          <w:tcPr>
            <w:tcW w:w="786" w:type="pct"/>
            <w:noWrap/>
          </w:tcPr>
          <w:p w14:paraId="21D1F442"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0.00</w:t>
            </w:r>
          </w:p>
        </w:tc>
        <w:tc>
          <w:tcPr>
            <w:tcW w:w="758" w:type="pct"/>
          </w:tcPr>
          <w:p w14:paraId="0E943BAE"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0.02</w:t>
            </w:r>
          </w:p>
        </w:tc>
      </w:tr>
      <w:tr w:rsidR="00D85030" w:rsidRPr="00CF5D75" w14:paraId="4D1D5709"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27B1CA0" w14:textId="77777777" w:rsidR="00D85030" w:rsidRPr="000613C9" w:rsidRDefault="00D85030" w:rsidP="00D85030">
            <w:pPr>
              <w:rPr>
                <w:sz w:val="20"/>
                <w:szCs w:val="20"/>
                <w:lang w:eastAsia="en-AU"/>
              </w:rPr>
            </w:pPr>
            <w:r w:rsidRPr="00CF5D75">
              <w:rPr>
                <w:sz w:val="20"/>
                <w:szCs w:val="20"/>
                <w:lang w:eastAsia="en-AU"/>
              </w:rPr>
              <w:t>Breach Domestic Violence Protection Order</w:t>
            </w:r>
          </w:p>
        </w:tc>
        <w:tc>
          <w:tcPr>
            <w:tcW w:w="786" w:type="pct"/>
            <w:noWrap/>
          </w:tcPr>
          <w:p w14:paraId="6805F579"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772.31</w:t>
            </w:r>
          </w:p>
        </w:tc>
        <w:tc>
          <w:tcPr>
            <w:tcW w:w="786" w:type="pct"/>
            <w:noWrap/>
          </w:tcPr>
          <w:p w14:paraId="47A70A82"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665.91</w:t>
            </w:r>
          </w:p>
        </w:tc>
        <w:tc>
          <w:tcPr>
            <w:tcW w:w="758" w:type="pct"/>
          </w:tcPr>
          <w:p w14:paraId="6E4AF81D"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548.03</w:t>
            </w:r>
          </w:p>
        </w:tc>
      </w:tr>
      <w:tr w:rsidR="00D85030" w:rsidRPr="00CF5D75" w14:paraId="59674ED9"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9A0E0B0" w14:textId="77777777" w:rsidR="00D85030" w:rsidRPr="000613C9" w:rsidRDefault="00D85030" w:rsidP="00D85030">
            <w:pPr>
              <w:rPr>
                <w:sz w:val="20"/>
                <w:szCs w:val="20"/>
                <w:lang w:eastAsia="en-AU"/>
              </w:rPr>
            </w:pPr>
            <w:r w:rsidRPr="00CF5D75">
              <w:rPr>
                <w:sz w:val="20"/>
                <w:szCs w:val="20"/>
                <w:lang w:eastAsia="en-AU"/>
              </w:rPr>
              <w:t>Trespassing and Vagrancy</w:t>
            </w:r>
          </w:p>
        </w:tc>
        <w:tc>
          <w:tcPr>
            <w:tcW w:w="786" w:type="pct"/>
            <w:noWrap/>
          </w:tcPr>
          <w:p w14:paraId="2BD8B9C6"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187.73</w:t>
            </w:r>
          </w:p>
        </w:tc>
        <w:tc>
          <w:tcPr>
            <w:tcW w:w="786" w:type="pct"/>
            <w:noWrap/>
          </w:tcPr>
          <w:p w14:paraId="345BA1E5"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111.26</w:t>
            </w:r>
          </w:p>
        </w:tc>
        <w:tc>
          <w:tcPr>
            <w:tcW w:w="758" w:type="pct"/>
          </w:tcPr>
          <w:p w14:paraId="3A5E942D"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123.36</w:t>
            </w:r>
          </w:p>
        </w:tc>
      </w:tr>
      <w:tr w:rsidR="00D85030" w:rsidRPr="00CF5D75" w14:paraId="798B71FC"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B48C621" w14:textId="77777777" w:rsidR="00D85030" w:rsidRPr="000613C9" w:rsidRDefault="00D85030" w:rsidP="00D85030">
            <w:pPr>
              <w:rPr>
                <w:sz w:val="20"/>
                <w:szCs w:val="20"/>
                <w:lang w:eastAsia="en-AU"/>
              </w:rPr>
            </w:pPr>
            <w:r w:rsidRPr="00CF5D75">
              <w:rPr>
                <w:sz w:val="20"/>
                <w:szCs w:val="20"/>
                <w:lang w:eastAsia="en-AU"/>
              </w:rPr>
              <w:t>Weapons Act Offences</w:t>
            </w:r>
          </w:p>
        </w:tc>
        <w:tc>
          <w:tcPr>
            <w:tcW w:w="786" w:type="pct"/>
            <w:noWrap/>
          </w:tcPr>
          <w:p w14:paraId="61E5BE06"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286.53</w:t>
            </w:r>
          </w:p>
        </w:tc>
        <w:tc>
          <w:tcPr>
            <w:tcW w:w="786" w:type="pct"/>
            <w:noWrap/>
          </w:tcPr>
          <w:p w14:paraId="45B7C485"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197.62</w:t>
            </w:r>
          </w:p>
        </w:tc>
        <w:tc>
          <w:tcPr>
            <w:tcW w:w="758" w:type="pct"/>
          </w:tcPr>
          <w:p w14:paraId="35FB0213"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148.09</w:t>
            </w:r>
          </w:p>
        </w:tc>
      </w:tr>
      <w:tr w:rsidR="00D85030" w:rsidRPr="00CF5D75" w14:paraId="28ABDE3F"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5A0BDA4" w14:textId="77777777" w:rsidR="00D85030" w:rsidRPr="000613C9" w:rsidRDefault="00D85030" w:rsidP="00D85030">
            <w:pPr>
              <w:rPr>
                <w:b w:val="0"/>
                <w:bCs w:val="0"/>
                <w:i/>
                <w:sz w:val="20"/>
                <w:szCs w:val="20"/>
                <w:lang w:eastAsia="en-AU"/>
              </w:rPr>
            </w:pPr>
            <w:r w:rsidRPr="000613C9">
              <w:rPr>
                <w:i/>
                <w:sz w:val="20"/>
                <w:szCs w:val="20"/>
                <w:lang w:eastAsia="en-AU"/>
              </w:rPr>
              <w:t>Unlawful Possess Concealable Firearm</w:t>
            </w:r>
          </w:p>
        </w:tc>
        <w:tc>
          <w:tcPr>
            <w:tcW w:w="786" w:type="pct"/>
            <w:noWrap/>
          </w:tcPr>
          <w:p w14:paraId="32982867"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3.29</w:t>
            </w:r>
          </w:p>
        </w:tc>
        <w:tc>
          <w:tcPr>
            <w:tcW w:w="786" w:type="pct"/>
            <w:noWrap/>
          </w:tcPr>
          <w:p w14:paraId="1252B995"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6.64</w:t>
            </w:r>
          </w:p>
        </w:tc>
        <w:tc>
          <w:tcPr>
            <w:tcW w:w="758" w:type="pct"/>
          </w:tcPr>
          <w:p w14:paraId="0AA64B85"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2.95</w:t>
            </w:r>
          </w:p>
        </w:tc>
      </w:tr>
      <w:tr w:rsidR="00D85030" w:rsidRPr="00CF5D75" w14:paraId="74F5421E"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479E1D0" w14:textId="77777777" w:rsidR="00D85030" w:rsidRPr="000613C9" w:rsidRDefault="00D85030" w:rsidP="00D85030">
            <w:pPr>
              <w:rPr>
                <w:b w:val="0"/>
                <w:bCs w:val="0"/>
                <w:i/>
                <w:sz w:val="20"/>
                <w:szCs w:val="20"/>
                <w:lang w:eastAsia="en-AU"/>
              </w:rPr>
            </w:pPr>
            <w:r w:rsidRPr="000613C9">
              <w:rPr>
                <w:i/>
                <w:sz w:val="20"/>
                <w:szCs w:val="20"/>
                <w:lang w:eastAsia="en-AU"/>
              </w:rPr>
              <w:t>Unlawful Possess Firearm - Other</w:t>
            </w:r>
          </w:p>
        </w:tc>
        <w:tc>
          <w:tcPr>
            <w:tcW w:w="786" w:type="pct"/>
            <w:noWrap/>
          </w:tcPr>
          <w:p w14:paraId="32D8DAFB"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24.70</w:t>
            </w:r>
          </w:p>
        </w:tc>
        <w:tc>
          <w:tcPr>
            <w:tcW w:w="786" w:type="pct"/>
            <w:noWrap/>
          </w:tcPr>
          <w:p w14:paraId="445590AC"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9.96</w:t>
            </w:r>
          </w:p>
        </w:tc>
        <w:tc>
          <w:tcPr>
            <w:tcW w:w="758" w:type="pct"/>
          </w:tcPr>
          <w:p w14:paraId="219BE6E2"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13.79</w:t>
            </w:r>
          </w:p>
        </w:tc>
      </w:tr>
      <w:tr w:rsidR="00D85030" w:rsidRPr="00CF5D75" w14:paraId="03CC16FD"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7FF666D1" w14:textId="77777777" w:rsidR="00D85030" w:rsidRPr="000613C9" w:rsidRDefault="00D85030" w:rsidP="00D85030">
            <w:pPr>
              <w:rPr>
                <w:b w:val="0"/>
                <w:bCs w:val="0"/>
                <w:i/>
                <w:sz w:val="20"/>
                <w:szCs w:val="20"/>
                <w:lang w:eastAsia="en-AU"/>
              </w:rPr>
            </w:pPr>
            <w:r w:rsidRPr="000613C9">
              <w:rPr>
                <w:i/>
                <w:sz w:val="20"/>
                <w:szCs w:val="20"/>
                <w:lang w:eastAsia="en-AU"/>
              </w:rPr>
              <w:t>Bomb Possess and/or use of</w:t>
            </w:r>
          </w:p>
        </w:tc>
        <w:tc>
          <w:tcPr>
            <w:tcW w:w="786" w:type="pct"/>
            <w:noWrap/>
          </w:tcPr>
          <w:p w14:paraId="2AD34BC0"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4.94</w:t>
            </w:r>
          </w:p>
        </w:tc>
        <w:tc>
          <w:tcPr>
            <w:tcW w:w="786" w:type="pct"/>
            <w:noWrap/>
          </w:tcPr>
          <w:p w14:paraId="070DC6EA"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1.66</w:t>
            </w:r>
          </w:p>
        </w:tc>
        <w:tc>
          <w:tcPr>
            <w:tcW w:w="758" w:type="pct"/>
          </w:tcPr>
          <w:p w14:paraId="3694C165"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0.64</w:t>
            </w:r>
          </w:p>
        </w:tc>
      </w:tr>
      <w:tr w:rsidR="00D85030" w:rsidRPr="00CF5D75" w14:paraId="08EA9518"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479A8C7A" w14:textId="77777777" w:rsidR="00D85030" w:rsidRPr="000613C9" w:rsidRDefault="00D85030" w:rsidP="00D85030">
            <w:pPr>
              <w:rPr>
                <w:b w:val="0"/>
                <w:bCs w:val="0"/>
                <w:i/>
                <w:sz w:val="20"/>
                <w:szCs w:val="20"/>
                <w:lang w:eastAsia="en-AU"/>
              </w:rPr>
            </w:pPr>
            <w:r w:rsidRPr="000613C9">
              <w:rPr>
                <w:i/>
                <w:sz w:val="20"/>
                <w:szCs w:val="20"/>
                <w:lang w:eastAsia="en-AU"/>
              </w:rPr>
              <w:t>Possess and/or use other weapons; restricted items</w:t>
            </w:r>
          </w:p>
        </w:tc>
        <w:tc>
          <w:tcPr>
            <w:tcW w:w="786" w:type="pct"/>
            <w:noWrap/>
          </w:tcPr>
          <w:p w14:paraId="0F0BF060"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59.28</w:t>
            </w:r>
          </w:p>
        </w:tc>
        <w:tc>
          <w:tcPr>
            <w:tcW w:w="786" w:type="pct"/>
            <w:noWrap/>
          </w:tcPr>
          <w:p w14:paraId="5811545C"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53.14</w:t>
            </w:r>
          </w:p>
        </w:tc>
        <w:tc>
          <w:tcPr>
            <w:tcW w:w="758" w:type="pct"/>
          </w:tcPr>
          <w:p w14:paraId="2BDE442F"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45.50</w:t>
            </w:r>
          </w:p>
        </w:tc>
      </w:tr>
      <w:tr w:rsidR="00D85030" w:rsidRPr="00CF5D75" w14:paraId="53840968"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A668147" w14:textId="77777777" w:rsidR="00D85030" w:rsidRPr="000613C9" w:rsidRDefault="00D85030" w:rsidP="00D85030">
            <w:pPr>
              <w:rPr>
                <w:b w:val="0"/>
                <w:bCs w:val="0"/>
                <w:i/>
                <w:sz w:val="20"/>
                <w:szCs w:val="20"/>
                <w:lang w:eastAsia="en-AU"/>
              </w:rPr>
            </w:pPr>
            <w:r w:rsidRPr="000613C9">
              <w:rPr>
                <w:i/>
                <w:sz w:val="20"/>
                <w:szCs w:val="20"/>
                <w:lang w:eastAsia="en-AU"/>
              </w:rPr>
              <w:t>Weapons Act Offences - Other</w:t>
            </w:r>
          </w:p>
        </w:tc>
        <w:tc>
          <w:tcPr>
            <w:tcW w:w="786" w:type="pct"/>
            <w:noWrap/>
          </w:tcPr>
          <w:p w14:paraId="397A462D"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194.31</w:t>
            </w:r>
          </w:p>
        </w:tc>
        <w:tc>
          <w:tcPr>
            <w:tcW w:w="786" w:type="pct"/>
            <w:noWrap/>
          </w:tcPr>
          <w:p w14:paraId="22E30DD5"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126.21</w:t>
            </w:r>
          </w:p>
        </w:tc>
        <w:tc>
          <w:tcPr>
            <w:tcW w:w="758" w:type="pct"/>
          </w:tcPr>
          <w:p w14:paraId="7B9663EA"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85.21</w:t>
            </w:r>
          </w:p>
        </w:tc>
      </w:tr>
      <w:tr w:rsidR="00D85030" w:rsidRPr="00CF5D75" w14:paraId="7C5B1CBC"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B69CF4C" w14:textId="77777777" w:rsidR="00D85030" w:rsidRPr="000613C9" w:rsidRDefault="00D85030" w:rsidP="00D85030">
            <w:pPr>
              <w:rPr>
                <w:sz w:val="20"/>
                <w:szCs w:val="20"/>
                <w:lang w:eastAsia="en-AU"/>
              </w:rPr>
            </w:pPr>
            <w:r w:rsidRPr="00CF5D75">
              <w:rPr>
                <w:sz w:val="20"/>
                <w:szCs w:val="20"/>
                <w:lang w:eastAsia="en-AU"/>
              </w:rPr>
              <w:t>Good Order Offences</w:t>
            </w:r>
          </w:p>
        </w:tc>
        <w:tc>
          <w:tcPr>
            <w:tcW w:w="786" w:type="pct"/>
            <w:noWrap/>
          </w:tcPr>
          <w:p w14:paraId="75425B64"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1238.33</w:t>
            </w:r>
          </w:p>
        </w:tc>
        <w:tc>
          <w:tcPr>
            <w:tcW w:w="786" w:type="pct"/>
            <w:noWrap/>
          </w:tcPr>
          <w:p w14:paraId="0DB901CB"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1160.78</w:t>
            </w:r>
          </w:p>
        </w:tc>
        <w:tc>
          <w:tcPr>
            <w:tcW w:w="758" w:type="pct"/>
          </w:tcPr>
          <w:p w14:paraId="0D8682F8"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1079.28</w:t>
            </w:r>
          </w:p>
        </w:tc>
      </w:tr>
      <w:tr w:rsidR="00D85030" w:rsidRPr="00CF5D75" w14:paraId="011857EC"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4E6A64C9" w14:textId="77777777" w:rsidR="00D85030" w:rsidRPr="000613C9" w:rsidRDefault="00D85030" w:rsidP="00D85030">
            <w:pPr>
              <w:rPr>
                <w:b w:val="0"/>
                <w:bCs w:val="0"/>
                <w:i/>
                <w:sz w:val="20"/>
                <w:szCs w:val="20"/>
                <w:lang w:eastAsia="en-AU"/>
              </w:rPr>
            </w:pPr>
            <w:r w:rsidRPr="000613C9">
              <w:rPr>
                <w:i/>
                <w:sz w:val="20"/>
                <w:szCs w:val="20"/>
                <w:lang w:eastAsia="en-AU"/>
              </w:rPr>
              <w:t>Disobey Move-on Direction</w:t>
            </w:r>
          </w:p>
        </w:tc>
        <w:tc>
          <w:tcPr>
            <w:tcW w:w="786" w:type="pct"/>
            <w:noWrap/>
          </w:tcPr>
          <w:p w14:paraId="62A96309"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9.88</w:t>
            </w:r>
          </w:p>
        </w:tc>
        <w:tc>
          <w:tcPr>
            <w:tcW w:w="786" w:type="pct"/>
            <w:noWrap/>
          </w:tcPr>
          <w:p w14:paraId="17493F51"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13.29</w:t>
            </w:r>
          </w:p>
        </w:tc>
        <w:tc>
          <w:tcPr>
            <w:tcW w:w="758" w:type="pct"/>
          </w:tcPr>
          <w:p w14:paraId="700EC13E"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15.15</w:t>
            </w:r>
          </w:p>
        </w:tc>
      </w:tr>
      <w:tr w:rsidR="00D85030" w:rsidRPr="00CF5D75" w14:paraId="7A7D5D17"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1DF19788" w14:textId="77777777" w:rsidR="00D85030" w:rsidRPr="000613C9" w:rsidRDefault="00D85030" w:rsidP="00D85030">
            <w:pPr>
              <w:rPr>
                <w:b w:val="0"/>
                <w:bCs w:val="0"/>
                <w:i/>
                <w:sz w:val="20"/>
                <w:szCs w:val="20"/>
                <w:lang w:eastAsia="en-AU"/>
              </w:rPr>
            </w:pPr>
            <w:r w:rsidRPr="000613C9">
              <w:rPr>
                <w:i/>
                <w:sz w:val="20"/>
                <w:szCs w:val="20"/>
                <w:lang w:eastAsia="en-AU"/>
              </w:rPr>
              <w:t>Resist Incite Hinder Obstruct Police</w:t>
            </w:r>
          </w:p>
        </w:tc>
        <w:tc>
          <w:tcPr>
            <w:tcW w:w="786" w:type="pct"/>
            <w:noWrap/>
          </w:tcPr>
          <w:p w14:paraId="584F08FC"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696.56</w:t>
            </w:r>
          </w:p>
        </w:tc>
        <w:tc>
          <w:tcPr>
            <w:tcW w:w="786" w:type="pct"/>
            <w:noWrap/>
          </w:tcPr>
          <w:p w14:paraId="6B1882F3"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697.47</w:t>
            </w:r>
          </w:p>
        </w:tc>
        <w:tc>
          <w:tcPr>
            <w:tcW w:w="758" w:type="pct"/>
          </w:tcPr>
          <w:p w14:paraId="26648CE1"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487.51</w:t>
            </w:r>
          </w:p>
        </w:tc>
      </w:tr>
      <w:tr w:rsidR="00D85030" w:rsidRPr="00CF5D75" w14:paraId="3D47F7C0"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66934E4" w14:textId="77777777" w:rsidR="00D85030" w:rsidRPr="000613C9" w:rsidRDefault="00D85030" w:rsidP="00D85030">
            <w:pPr>
              <w:rPr>
                <w:b w:val="0"/>
                <w:bCs w:val="0"/>
                <w:i/>
                <w:sz w:val="20"/>
                <w:szCs w:val="20"/>
                <w:lang w:eastAsia="en-AU"/>
              </w:rPr>
            </w:pPr>
            <w:r w:rsidRPr="000613C9">
              <w:rPr>
                <w:i/>
                <w:sz w:val="20"/>
                <w:szCs w:val="20"/>
                <w:lang w:eastAsia="en-AU"/>
              </w:rPr>
              <w:t>Fare Evasion</w:t>
            </w:r>
          </w:p>
        </w:tc>
        <w:tc>
          <w:tcPr>
            <w:tcW w:w="786" w:type="pct"/>
            <w:noWrap/>
          </w:tcPr>
          <w:p w14:paraId="7D1EDA47"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23.05</w:t>
            </w:r>
          </w:p>
        </w:tc>
        <w:tc>
          <w:tcPr>
            <w:tcW w:w="786" w:type="pct"/>
            <w:noWrap/>
          </w:tcPr>
          <w:p w14:paraId="23A8D2A0"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33.21</w:t>
            </w:r>
          </w:p>
        </w:tc>
        <w:tc>
          <w:tcPr>
            <w:tcW w:w="758" w:type="pct"/>
          </w:tcPr>
          <w:p w14:paraId="1EA50F48"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103.57</w:t>
            </w:r>
          </w:p>
        </w:tc>
      </w:tr>
      <w:tr w:rsidR="00D85030" w:rsidRPr="00CF5D75" w14:paraId="7BBB8717"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CF85C3E" w14:textId="77777777" w:rsidR="00D85030" w:rsidRPr="000613C9" w:rsidRDefault="00D85030" w:rsidP="00D85030">
            <w:pPr>
              <w:rPr>
                <w:b w:val="0"/>
                <w:bCs w:val="0"/>
                <w:i/>
                <w:sz w:val="20"/>
                <w:szCs w:val="20"/>
                <w:lang w:eastAsia="en-AU"/>
              </w:rPr>
            </w:pPr>
            <w:r w:rsidRPr="000613C9">
              <w:rPr>
                <w:i/>
                <w:sz w:val="20"/>
                <w:szCs w:val="20"/>
                <w:lang w:eastAsia="en-AU"/>
              </w:rPr>
              <w:t>Public Nuisance</w:t>
            </w:r>
          </w:p>
        </w:tc>
        <w:tc>
          <w:tcPr>
            <w:tcW w:w="786" w:type="pct"/>
            <w:noWrap/>
          </w:tcPr>
          <w:p w14:paraId="2EF761AF"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508.83</w:t>
            </w:r>
          </w:p>
        </w:tc>
        <w:tc>
          <w:tcPr>
            <w:tcW w:w="786" w:type="pct"/>
            <w:noWrap/>
          </w:tcPr>
          <w:p w14:paraId="636B4206"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416.82</w:t>
            </w:r>
          </w:p>
        </w:tc>
        <w:tc>
          <w:tcPr>
            <w:tcW w:w="758" w:type="pct"/>
          </w:tcPr>
          <w:p w14:paraId="24D0DD03"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473.06</w:t>
            </w:r>
          </w:p>
        </w:tc>
      </w:tr>
      <w:tr w:rsidR="00D85030" w:rsidRPr="00CF5D75" w14:paraId="02CCCAF2"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43A76BD" w14:textId="77777777" w:rsidR="00D85030" w:rsidRPr="000613C9" w:rsidRDefault="00D85030" w:rsidP="00D85030">
            <w:pPr>
              <w:jc w:val="left"/>
              <w:rPr>
                <w:sz w:val="20"/>
                <w:szCs w:val="20"/>
                <w:lang w:eastAsia="en-AU"/>
              </w:rPr>
            </w:pPr>
            <w:r w:rsidRPr="00CF5D75">
              <w:rPr>
                <w:sz w:val="20"/>
                <w:szCs w:val="20"/>
                <w:lang w:eastAsia="en-AU"/>
              </w:rPr>
              <w:t>Stock Related Offences</w:t>
            </w:r>
          </w:p>
        </w:tc>
        <w:tc>
          <w:tcPr>
            <w:tcW w:w="786" w:type="pct"/>
            <w:noWrap/>
          </w:tcPr>
          <w:p w14:paraId="31EA1464"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0.00</w:t>
            </w:r>
          </w:p>
        </w:tc>
        <w:tc>
          <w:tcPr>
            <w:tcW w:w="786" w:type="pct"/>
            <w:noWrap/>
          </w:tcPr>
          <w:p w14:paraId="7C1D1119"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0.00</w:t>
            </w:r>
          </w:p>
        </w:tc>
        <w:tc>
          <w:tcPr>
            <w:tcW w:w="758" w:type="pct"/>
          </w:tcPr>
          <w:p w14:paraId="0225E4F2"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0.46</w:t>
            </w:r>
          </w:p>
        </w:tc>
      </w:tr>
      <w:tr w:rsidR="00D85030" w:rsidRPr="00CF5D75" w14:paraId="56324670"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5924DC8" w14:textId="77777777" w:rsidR="00D85030" w:rsidRPr="000613C9" w:rsidRDefault="00D85030" w:rsidP="00D85030">
            <w:pPr>
              <w:rPr>
                <w:sz w:val="20"/>
                <w:szCs w:val="20"/>
                <w:lang w:eastAsia="en-AU"/>
              </w:rPr>
            </w:pPr>
            <w:r w:rsidRPr="00CF5D75">
              <w:rPr>
                <w:sz w:val="20"/>
                <w:szCs w:val="20"/>
                <w:lang w:eastAsia="en-AU"/>
              </w:rPr>
              <w:t>Traffic and Related Offences</w:t>
            </w:r>
          </w:p>
        </w:tc>
        <w:tc>
          <w:tcPr>
            <w:tcW w:w="786" w:type="pct"/>
            <w:noWrap/>
          </w:tcPr>
          <w:p w14:paraId="58BEAE0B"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1149.41</w:t>
            </w:r>
          </w:p>
        </w:tc>
        <w:tc>
          <w:tcPr>
            <w:tcW w:w="786" w:type="pct"/>
            <w:noWrap/>
          </w:tcPr>
          <w:p w14:paraId="2627BDA5"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775.52</w:t>
            </w:r>
          </w:p>
        </w:tc>
        <w:tc>
          <w:tcPr>
            <w:tcW w:w="758" w:type="pct"/>
          </w:tcPr>
          <w:p w14:paraId="5DA320E8"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861.11</w:t>
            </w:r>
          </w:p>
        </w:tc>
      </w:tr>
      <w:tr w:rsidR="00D85030" w:rsidRPr="00CF5D75" w14:paraId="0BE73E53"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61C50E94" w14:textId="77777777" w:rsidR="00D85030" w:rsidRPr="000613C9" w:rsidRDefault="00D85030" w:rsidP="00D85030">
            <w:pPr>
              <w:rPr>
                <w:b w:val="0"/>
                <w:bCs w:val="0"/>
                <w:i/>
                <w:sz w:val="20"/>
                <w:szCs w:val="20"/>
                <w:lang w:eastAsia="en-AU"/>
              </w:rPr>
            </w:pPr>
            <w:r w:rsidRPr="000613C9">
              <w:rPr>
                <w:i/>
                <w:sz w:val="20"/>
                <w:szCs w:val="20"/>
                <w:lang w:eastAsia="en-AU"/>
              </w:rPr>
              <w:t>Dangerous Operation of a Vehicle</w:t>
            </w:r>
          </w:p>
        </w:tc>
        <w:tc>
          <w:tcPr>
            <w:tcW w:w="786" w:type="pct"/>
            <w:noWrap/>
          </w:tcPr>
          <w:p w14:paraId="5FCD2013"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49.40</w:t>
            </w:r>
          </w:p>
        </w:tc>
        <w:tc>
          <w:tcPr>
            <w:tcW w:w="786" w:type="pct"/>
            <w:noWrap/>
          </w:tcPr>
          <w:p w14:paraId="5B5470B6"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24.91</w:t>
            </w:r>
          </w:p>
        </w:tc>
        <w:tc>
          <w:tcPr>
            <w:tcW w:w="758" w:type="pct"/>
          </w:tcPr>
          <w:p w14:paraId="5174E0F7"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43.86</w:t>
            </w:r>
          </w:p>
        </w:tc>
      </w:tr>
      <w:tr w:rsidR="00D85030" w:rsidRPr="00CF5D75" w14:paraId="72E78A0C"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414E9A6B" w14:textId="77777777" w:rsidR="00D85030" w:rsidRPr="000613C9" w:rsidRDefault="00D85030" w:rsidP="00D85030">
            <w:pPr>
              <w:rPr>
                <w:b w:val="0"/>
                <w:bCs w:val="0"/>
                <w:i/>
                <w:sz w:val="20"/>
                <w:szCs w:val="20"/>
                <w:lang w:eastAsia="en-AU"/>
              </w:rPr>
            </w:pPr>
            <w:r w:rsidRPr="000613C9">
              <w:rPr>
                <w:i/>
                <w:sz w:val="20"/>
                <w:szCs w:val="20"/>
                <w:lang w:eastAsia="en-AU"/>
              </w:rPr>
              <w:t>Drink Driving</w:t>
            </w:r>
          </w:p>
        </w:tc>
        <w:tc>
          <w:tcPr>
            <w:tcW w:w="786" w:type="pct"/>
            <w:noWrap/>
          </w:tcPr>
          <w:p w14:paraId="7F86D169"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884.29</w:t>
            </w:r>
          </w:p>
        </w:tc>
        <w:tc>
          <w:tcPr>
            <w:tcW w:w="786" w:type="pct"/>
            <w:noWrap/>
          </w:tcPr>
          <w:p w14:paraId="721CA17A"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611.11</w:t>
            </w:r>
          </w:p>
        </w:tc>
        <w:tc>
          <w:tcPr>
            <w:tcW w:w="758" w:type="pct"/>
          </w:tcPr>
          <w:p w14:paraId="4F6BBABB"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611.99</w:t>
            </w:r>
          </w:p>
        </w:tc>
      </w:tr>
      <w:tr w:rsidR="00D85030" w:rsidRPr="00CF5D75" w14:paraId="77C6FF66"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37A7E0B3" w14:textId="77777777" w:rsidR="00D85030" w:rsidRPr="000613C9" w:rsidRDefault="00D85030" w:rsidP="00D85030">
            <w:pPr>
              <w:rPr>
                <w:b w:val="0"/>
                <w:bCs w:val="0"/>
                <w:i/>
                <w:sz w:val="20"/>
                <w:szCs w:val="20"/>
                <w:lang w:eastAsia="en-AU"/>
              </w:rPr>
            </w:pPr>
            <w:r w:rsidRPr="000613C9">
              <w:rPr>
                <w:i/>
                <w:sz w:val="20"/>
                <w:szCs w:val="20"/>
                <w:lang w:eastAsia="en-AU"/>
              </w:rPr>
              <w:t>Disqualified Driving</w:t>
            </w:r>
          </w:p>
        </w:tc>
        <w:tc>
          <w:tcPr>
            <w:tcW w:w="786" w:type="pct"/>
            <w:noWrap/>
          </w:tcPr>
          <w:p w14:paraId="3E64140F"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215.72</w:t>
            </w:r>
          </w:p>
        </w:tc>
        <w:tc>
          <w:tcPr>
            <w:tcW w:w="786" w:type="pct"/>
            <w:noWrap/>
          </w:tcPr>
          <w:p w14:paraId="206265E8"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139.49</w:t>
            </w:r>
          </w:p>
        </w:tc>
        <w:tc>
          <w:tcPr>
            <w:tcW w:w="758" w:type="pct"/>
          </w:tcPr>
          <w:p w14:paraId="79EC42AE" w14:textId="77777777" w:rsidR="00D85030" w:rsidRPr="000613C9"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i/>
                <w:sz w:val="20"/>
                <w:szCs w:val="20"/>
                <w:lang w:eastAsia="en-AU"/>
              </w:rPr>
            </w:pPr>
            <w:r w:rsidRPr="000613C9">
              <w:rPr>
                <w:i/>
                <w:sz w:val="20"/>
                <w:szCs w:val="20"/>
              </w:rPr>
              <w:t>204.84</w:t>
            </w:r>
          </w:p>
        </w:tc>
      </w:tr>
      <w:tr w:rsidR="00D85030" w:rsidRPr="00CF5D75" w14:paraId="1722A8D7"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840E55E" w14:textId="77777777" w:rsidR="00D85030" w:rsidRPr="000613C9" w:rsidRDefault="00D85030" w:rsidP="00D85030">
            <w:pPr>
              <w:rPr>
                <w:b w:val="0"/>
                <w:bCs w:val="0"/>
                <w:i/>
                <w:sz w:val="20"/>
                <w:szCs w:val="20"/>
                <w:lang w:eastAsia="en-AU"/>
              </w:rPr>
            </w:pPr>
            <w:r w:rsidRPr="000613C9">
              <w:rPr>
                <w:i/>
                <w:sz w:val="20"/>
                <w:szCs w:val="20"/>
                <w:lang w:eastAsia="en-AU"/>
              </w:rPr>
              <w:t>Interfere with Mechanism of Motor Vehicle</w:t>
            </w:r>
          </w:p>
        </w:tc>
        <w:tc>
          <w:tcPr>
            <w:tcW w:w="786" w:type="pct"/>
            <w:noWrap/>
          </w:tcPr>
          <w:p w14:paraId="5CABFD9F"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86" w:type="pct"/>
            <w:noWrap/>
          </w:tcPr>
          <w:p w14:paraId="4D2D98A0"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0.00</w:t>
            </w:r>
          </w:p>
        </w:tc>
        <w:tc>
          <w:tcPr>
            <w:tcW w:w="758" w:type="pct"/>
          </w:tcPr>
          <w:p w14:paraId="69450020" w14:textId="77777777" w:rsidR="00D85030" w:rsidRPr="000613C9"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i/>
                <w:sz w:val="20"/>
                <w:szCs w:val="20"/>
                <w:lang w:eastAsia="en-AU"/>
              </w:rPr>
            </w:pPr>
            <w:r w:rsidRPr="000613C9">
              <w:rPr>
                <w:i/>
                <w:sz w:val="20"/>
                <w:szCs w:val="20"/>
              </w:rPr>
              <w:t>0.42</w:t>
            </w:r>
          </w:p>
        </w:tc>
      </w:tr>
      <w:tr w:rsidR="00D85030" w:rsidRPr="00CF5D75" w14:paraId="21CE4AF7" w14:textId="77777777" w:rsidTr="00A4064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27B3F216" w14:textId="77777777" w:rsidR="00D85030" w:rsidRPr="000613C9" w:rsidRDefault="00D85030" w:rsidP="00D85030">
            <w:pPr>
              <w:jc w:val="left"/>
              <w:rPr>
                <w:sz w:val="20"/>
                <w:szCs w:val="20"/>
                <w:lang w:eastAsia="en-AU"/>
              </w:rPr>
            </w:pPr>
            <w:r w:rsidRPr="00CF5D75">
              <w:rPr>
                <w:sz w:val="20"/>
                <w:szCs w:val="20"/>
                <w:lang w:eastAsia="en-AU"/>
              </w:rPr>
              <w:t>Miscellaneous Offences</w:t>
            </w:r>
          </w:p>
        </w:tc>
        <w:tc>
          <w:tcPr>
            <w:tcW w:w="786" w:type="pct"/>
            <w:noWrap/>
          </w:tcPr>
          <w:p w14:paraId="3D5AEF63"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82.34</w:t>
            </w:r>
          </w:p>
        </w:tc>
        <w:tc>
          <w:tcPr>
            <w:tcW w:w="786" w:type="pct"/>
            <w:noWrap/>
          </w:tcPr>
          <w:p w14:paraId="649E880C"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84.69</w:t>
            </w:r>
          </w:p>
        </w:tc>
        <w:tc>
          <w:tcPr>
            <w:tcW w:w="758" w:type="pct"/>
          </w:tcPr>
          <w:p w14:paraId="30D62175" w14:textId="77777777" w:rsidR="00D85030" w:rsidRPr="00CF5D75" w:rsidRDefault="00D85030" w:rsidP="00D85030">
            <w:pPr>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en-AU"/>
              </w:rPr>
            </w:pPr>
            <w:r w:rsidRPr="00CF5D75">
              <w:rPr>
                <w:b/>
                <w:sz w:val="20"/>
                <w:szCs w:val="20"/>
              </w:rPr>
              <w:t>79.28</w:t>
            </w:r>
          </w:p>
        </w:tc>
      </w:tr>
      <w:tr w:rsidR="00D85030" w:rsidRPr="00CF5D75" w14:paraId="740D1B29" w14:textId="77777777" w:rsidTr="00A4064D">
        <w:trPr>
          <w:trHeight w:val="317"/>
        </w:trPr>
        <w:tc>
          <w:tcPr>
            <w:cnfStyle w:val="001000000000" w:firstRow="0" w:lastRow="0" w:firstColumn="1" w:lastColumn="0" w:oddVBand="0" w:evenVBand="0" w:oddHBand="0" w:evenHBand="0" w:firstRowFirstColumn="0" w:firstRowLastColumn="0" w:lastRowFirstColumn="0" w:lastRowLastColumn="0"/>
            <w:tcW w:w="2670" w:type="pct"/>
            <w:noWrap/>
            <w:hideMark/>
          </w:tcPr>
          <w:p w14:paraId="021EA7D2" w14:textId="77777777" w:rsidR="00D85030" w:rsidRPr="00CF5D75" w:rsidRDefault="00D85030" w:rsidP="00D85030">
            <w:pPr>
              <w:rPr>
                <w:sz w:val="20"/>
                <w:szCs w:val="20"/>
                <w:lang w:eastAsia="en-AU"/>
              </w:rPr>
            </w:pPr>
            <w:r w:rsidRPr="00CF5D75">
              <w:rPr>
                <w:sz w:val="20"/>
                <w:szCs w:val="20"/>
                <w:lang w:eastAsia="en-AU"/>
              </w:rPr>
              <w:t>Total Other Offences</w:t>
            </w:r>
          </w:p>
        </w:tc>
        <w:tc>
          <w:tcPr>
            <w:tcW w:w="786" w:type="pct"/>
            <w:noWrap/>
          </w:tcPr>
          <w:p w14:paraId="6D18DEB4"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5562.60</w:t>
            </w:r>
          </w:p>
        </w:tc>
        <w:tc>
          <w:tcPr>
            <w:tcW w:w="786" w:type="pct"/>
            <w:noWrap/>
          </w:tcPr>
          <w:p w14:paraId="6E24A12B"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4594.97</w:t>
            </w:r>
          </w:p>
        </w:tc>
        <w:tc>
          <w:tcPr>
            <w:tcW w:w="758" w:type="pct"/>
          </w:tcPr>
          <w:p w14:paraId="0E47D042" w14:textId="77777777" w:rsidR="00D85030" w:rsidRPr="00CF5D75" w:rsidRDefault="00D85030" w:rsidP="00D85030">
            <w:pPr>
              <w:jc w:val="right"/>
              <w:cnfStyle w:val="000000000000" w:firstRow="0" w:lastRow="0" w:firstColumn="0" w:lastColumn="0" w:oddVBand="0" w:evenVBand="0" w:oddHBand="0" w:evenHBand="0" w:firstRowFirstColumn="0" w:firstRowLastColumn="0" w:lastRowFirstColumn="0" w:lastRowLastColumn="0"/>
              <w:rPr>
                <w:rFonts w:eastAsia="Times New Roman"/>
                <w:b/>
                <w:sz w:val="20"/>
                <w:szCs w:val="20"/>
                <w:lang w:eastAsia="en-AU"/>
              </w:rPr>
            </w:pPr>
            <w:r w:rsidRPr="00CF5D75">
              <w:rPr>
                <w:b/>
                <w:sz w:val="20"/>
                <w:szCs w:val="20"/>
              </w:rPr>
              <w:t>4549.89</w:t>
            </w:r>
          </w:p>
        </w:tc>
      </w:tr>
    </w:tbl>
    <w:p w14:paraId="35D7F406" w14:textId="77777777" w:rsidR="00E8435D" w:rsidRPr="00561030" w:rsidRDefault="00E8435D" w:rsidP="00561030">
      <w:pPr>
        <w:spacing w:after="0"/>
        <w:rPr>
          <w:i/>
          <w:sz w:val="18"/>
          <w:szCs w:val="18"/>
        </w:rPr>
      </w:pPr>
      <w:r w:rsidRPr="00461021">
        <w:rPr>
          <w:i/>
          <w:sz w:val="18"/>
          <w:szCs w:val="18"/>
        </w:rPr>
        <w:t xml:space="preserve">Source: </w:t>
      </w:r>
      <w:r w:rsidRPr="00561030">
        <w:rPr>
          <w:i/>
          <w:sz w:val="18"/>
          <w:szCs w:val="18"/>
        </w:rPr>
        <w:t>QPS offence statistics reported offences rates.</w:t>
      </w:r>
    </w:p>
    <w:p w14:paraId="38B95509" w14:textId="77777777" w:rsidR="00561030" w:rsidRDefault="00DF5B7D" w:rsidP="00DF5B7D">
      <w:pPr>
        <w:rPr>
          <w:i/>
          <w:sz w:val="18"/>
          <w:szCs w:val="18"/>
        </w:rPr>
      </w:pPr>
      <w:r>
        <w:rPr>
          <w:i/>
          <w:sz w:val="18"/>
          <w:szCs w:val="18"/>
          <w:lang w:val="en"/>
        </w:rPr>
        <w:t xml:space="preserve">Notes: </w:t>
      </w:r>
      <w:r w:rsidRPr="00DF5B7D">
        <w:rPr>
          <w:i/>
          <w:sz w:val="18"/>
          <w:szCs w:val="18"/>
          <w:lang w:val="en"/>
        </w:rPr>
        <w:t>Bundaberg and Hervey Bay are identified by using the QPS</w:t>
      </w:r>
      <w:r w:rsidR="0007733D">
        <w:rPr>
          <w:i/>
          <w:sz w:val="18"/>
          <w:szCs w:val="18"/>
          <w:lang w:val="en"/>
        </w:rPr>
        <w:t xml:space="preserve"> Statistics</w:t>
      </w:r>
      <w:r w:rsidRPr="00DF5B7D">
        <w:rPr>
          <w:i/>
          <w:sz w:val="18"/>
          <w:szCs w:val="18"/>
          <w:lang w:val="en"/>
        </w:rPr>
        <w:t xml:space="preserve"> geographical classification at the division level. </w:t>
      </w:r>
      <w:r w:rsidRPr="00DF5B7D">
        <w:rPr>
          <w:i/>
          <w:sz w:val="18"/>
          <w:szCs w:val="18"/>
        </w:rPr>
        <w:t>Due to rounding, the total percentage may not be exactly the same as the sum of each row.</w:t>
      </w:r>
    </w:p>
    <w:p w14:paraId="4FF40BAB" w14:textId="5C0F1BED" w:rsidR="00461021" w:rsidRDefault="00561030" w:rsidP="00B62370">
      <w:pPr>
        <w:pStyle w:val="Caption"/>
        <w:spacing w:before="240"/>
      </w:pPr>
      <w:r>
        <w:rPr>
          <w:i/>
          <w:sz w:val="18"/>
        </w:rPr>
        <w:br w:type="page"/>
      </w:r>
      <w:bookmarkStart w:id="353" w:name="_Toc37263607"/>
      <w:r w:rsidR="000851DE">
        <w:lastRenderedPageBreak/>
        <w:t>Table</w:t>
      </w:r>
      <w:r w:rsidR="00DC50F4">
        <w:t xml:space="preserve"> </w:t>
      </w:r>
      <w:r w:rsidR="006C0554">
        <w:fldChar w:fldCharType="begin"/>
      </w:r>
      <w:r w:rsidR="006C0554">
        <w:instrText xml:space="preserve"> STYLEREF 1 \s </w:instrText>
      </w:r>
      <w:r w:rsidR="006C0554">
        <w:fldChar w:fldCharType="separate"/>
      </w:r>
      <w:r w:rsidR="008E2086">
        <w:t>5</w:t>
      </w:r>
      <w:r w:rsidR="006C0554">
        <w:fldChar w:fldCharType="end"/>
      </w:r>
      <w:r w:rsidR="002B03B4">
        <w:noBreakHyphen/>
      </w:r>
      <w:r w:rsidR="006C0554">
        <w:fldChar w:fldCharType="begin"/>
      </w:r>
      <w:r w:rsidR="006C0554">
        <w:instrText xml:space="preserve"> SEQ Table \* ARABIC \s 1 </w:instrText>
      </w:r>
      <w:r w:rsidR="006C0554">
        <w:fldChar w:fldCharType="separate"/>
      </w:r>
      <w:r w:rsidR="008E2086">
        <w:t>9</w:t>
      </w:r>
      <w:r w:rsidR="006C0554">
        <w:fldChar w:fldCharType="end"/>
      </w:r>
      <w:r w:rsidR="00DC50F4">
        <w:t xml:space="preserve">: </w:t>
      </w:r>
      <w:r w:rsidR="00461021">
        <w:t>Child development outcome</w:t>
      </w:r>
      <w:r w:rsidR="00DF2F59">
        <w:t>s</w:t>
      </w:r>
      <w:r w:rsidR="00461021">
        <w:t xml:space="preserve"> </w:t>
      </w:r>
      <w:r w:rsidR="00DF2F59">
        <w:t>o</w:t>
      </w:r>
      <w:r w:rsidR="00461021">
        <w:t>n the physical health and wellbeing domain</w:t>
      </w:r>
      <w:bookmarkEnd w:id="353"/>
    </w:p>
    <w:tbl>
      <w:tblPr>
        <w:tblStyle w:val="ListTable3-Accent12"/>
        <w:tblW w:w="8846" w:type="dxa"/>
        <w:tblInd w:w="-5" w:type="dxa"/>
        <w:tblLook w:val="04A0" w:firstRow="1" w:lastRow="0" w:firstColumn="1" w:lastColumn="0" w:noHBand="0" w:noVBand="1"/>
      </w:tblPr>
      <w:tblGrid>
        <w:gridCol w:w="709"/>
        <w:gridCol w:w="1312"/>
        <w:gridCol w:w="940"/>
        <w:gridCol w:w="976"/>
        <w:gridCol w:w="992"/>
        <w:gridCol w:w="920"/>
        <w:gridCol w:w="1065"/>
        <w:gridCol w:w="992"/>
        <w:gridCol w:w="940"/>
      </w:tblGrid>
      <w:tr w:rsidR="00461021" w:rsidRPr="00DC50F4" w14:paraId="5D466409"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60706F25" w14:textId="77777777" w:rsidR="00461021" w:rsidRPr="00DC50F4" w:rsidRDefault="00461021" w:rsidP="000613C9">
            <w:pPr>
              <w:jc w:val="center"/>
              <w:rPr>
                <w:sz w:val="20"/>
                <w:szCs w:val="20"/>
                <w:lang w:eastAsia="en-AU"/>
              </w:rPr>
            </w:pPr>
          </w:p>
        </w:tc>
        <w:tc>
          <w:tcPr>
            <w:tcW w:w="0" w:type="dxa"/>
            <w:shd w:val="clear" w:color="auto" w:fill="2F5496" w:themeFill="accent5" w:themeFillShade="BF"/>
            <w:noWrap/>
            <w:hideMark/>
          </w:tcPr>
          <w:p w14:paraId="5464B7FB" w14:textId="77777777" w:rsidR="00461021" w:rsidRPr="00DC50F4" w:rsidRDefault="00461021"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p>
        </w:tc>
        <w:tc>
          <w:tcPr>
            <w:tcW w:w="0" w:type="dxa"/>
            <w:gridSpan w:val="2"/>
            <w:shd w:val="clear" w:color="auto" w:fill="2F5496" w:themeFill="accent5" w:themeFillShade="BF"/>
            <w:noWrap/>
          </w:tcPr>
          <w:p w14:paraId="36F2F459" w14:textId="77777777" w:rsidR="00461021" w:rsidRPr="00DC50F4" w:rsidRDefault="00461021"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On track</w:t>
            </w:r>
          </w:p>
        </w:tc>
        <w:tc>
          <w:tcPr>
            <w:tcW w:w="0" w:type="dxa"/>
            <w:gridSpan w:val="2"/>
            <w:shd w:val="clear" w:color="auto" w:fill="2F5496" w:themeFill="accent5" w:themeFillShade="BF"/>
            <w:noWrap/>
          </w:tcPr>
          <w:p w14:paraId="2194BDD8" w14:textId="77777777" w:rsidR="00461021" w:rsidRPr="00DC50F4" w:rsidRDefault="00461021"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At risk</w:t>
            </w:r>
          </w:p>
        </w:tc>
        <w:tc>
          <w:tcPr>
            <w:tcW w:w="0" w:type="dxa"/>
            <w:gridSpan w:val="2"/>
            <w:shd w:val="clear" w:color="auto" w:fill="2F5496" w:themeFill="accent5" w:themeFillShade="BF"/>
            <w:noWrap/>
          </w:tcPr>
          <w:p w14:paraId="6243D432" w14:textId="77777777" w:rsidR="00461021" w:rsidRPr="00DC50F4" w:rsidRDefault="00461021"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Vulnerable</w:t>
            </w:r>
          </w:p>
        </w:tc>
        <w:tc>
          <w:tcPr>
            <w:tcW w:w="0" w:type="dxa"/>
            <w:shd w:val="clear" w:color="auto" w:fill="2F5496" w:themeFill="accent5" w:themeFillShade="BF"/>
          </w:tcPr>
          <w:p w14:paraId="5F305C00" w14:textId="77777777" w:rsidR="00461021" w:rsidRPr="00DC50F4" w:rsidRDefault="00461021"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Total</w:t>
            </w:r>
          </w:p>
        </w:tc>
      </w:tr>
      <w:tr w:rsidR="00461021" w:rsidRPr="00DC50F4" w14:paraId="313E227F"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707886A8" w14:textId="77777777" w:rsidR="00461021" w:rsidRPr="00DC50F4" w:rsidRDefault="00461021" w:rsidP="00DC50F4">
            <w:pPr>
              <w:rPr>
                <w:sz w:val="20"/>
                <w:szCs w:val="20"/>
                <w:lang w:eastAsia="en-AU"/>
              </w:rPr>
            </w:pPr>
          </w:p>
        </w:tc>
        <w:tc>
          <w:tcPr>
            <w:tcW w:w="1312" w:type="dxa"/>
            <w:noWrap/>
          </w:tcPr>
          <w:p w14:paraId="5AD2CF9E" w14:textId="77777777" w:rsidR="00461021" w:rsidRPr="00DC50F4" w:rsidRDefault="00461021" w:rsidP="00DC50F4">
            <w:pPr>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940" w:type="dxa"/>
            <w:noWrap/>
          </w:tcPr>
          <w:p w14:paraId="6473D283"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Cases</w:t>
            </w:r>
          </w:p>
        </w:tc>
        <w:tc>
          <w:tcPr>
            <w:tcW w:w="976" w:type="dxa"/>
            <w:noWrap/>
          </w:tcPr>
          <w:p w14:paraId="4A5FDDEE"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Per</w:t>
            </w:r>
            <w:r w:rsidR="00880F57">
              <w:rPr>
                <w:sz w:val="20"/>
                <w:szCs w:val="20"/>
                <w:lang w:eastAsia="en-AU"/>
              </w:rPr>
              <w:t xml:space="preserve"> </w:t>
            </w:r>
            <w:r w:rsidRPr="00DC50F4">
              <w:rPr>
                <w:sz w:val="20"/>
                <w:szCs w:val="20"/>
                <w:lang w:eastAsia="en-AU"/>
              </w:rPr>
              <w:t>cent</w:t>
            </w:r>
          </w:p>
        </w:tc>
        <w:tc>
          <w:tcPr>
            <w:tcW w:w="992" w:type="dxa"/>
            <w:noWrap/>
          </w:tcPr>
          <w:p w14:paraId="5AD1D458"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Cases</w:t>
            </w:r>
          </w:p>
        </w:tc>
        <w:tc>
          <w:tcPr>
            <w:tcW w:w="920" w:type="dxa"/>
            <w:noWrap/>
          </w:tcPr>
          <w:p w14:paraId="3ECC087D"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Per</w:t>
            </w:r>
            <w:r w:rsidR="00880F57">
              <w:rPr>
                <w:sz w:val="20"/>
                <w:szCs w:val="20"/>
                <w:lang w:eastAsia="en-AU"/>
              </w:rPr>
              <w:t xml:space="preserve"> </w:t>
            </w:r>
            <w:r w:rsidRPr="00DC50F4">
              <w:rPr>
                <w:sz w:val="20"/>
                <w:szCs w:val="20"/>
                <w:lang w:eastAsia="en-AU"/>
              </w:rPr>
              <w:t>cent</w:t>
            </w:r>
          </w:p>
        </w:tc>
        <w:tc>
          <w:tcPr>
            <w:tcW w:w="1065" w:type="dxa"/>
            <w:noWrap/>
          </w:tcPr>
          <w:p w14:paraId="346E790E"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Cases</w:t>
            </w:r>
          </w:p>
        </w:tc>
        <w:tc>
          <w:tcPr>
            <w:tcW w:w="992" w:type="dxa"/>
            <w:noWrap/>
          </w:tcPr>
          <w:p w14:paraId="0D26D92B"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Per</w:t>
            </w:r>
            <w:r w:rsidR="00880F57">
              <w:rPr>
                <w:sz w:val="20"/>
                <w:szCs w:val="20"/>
                <w:lang w:eastAsia="en-AU"/>
              </w:rPr>
              <w:t xml:space="preserve"> </w:t>
            </w:r>
            <w:r w:rsidRPr="00DC50F4">
              <w:rPr>
                <w:sz w:val="20"/>
                <w:szCs w:val="20"/>
                <w:lang w:eastAsia="en-AU"/>
              </w:rPr>
              <w:t>cent</w:t>
            </w:r>
          </w:p>
        </w:tc>
        <w:tc>
          <w:tcPr>
            <w:tcW w:w="940" w:type="dxa"/>
          </w:tcPr>
          <w:p w14:paraId="2665FA40"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Cases</w:t>
            </w:r>
          </w:p>
        </w:tc>
      </w:tr>
      <w:tr w:rsidR="00461021" w:rsidRPr="00DC50F4" w14:paraId="53436699"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7BE3349" w14:textId="77777777" w:rsidR="00461021" w:rsidRPr="00DC50F4" w:rsidRDefault="00461021" w:rsidP="00DC50F4">
            <w:pPr>
              <w:rPr>
                <w:sz w:val="20"/>
                <w:szCs w:val="20"/>
                <w:lang w:eastAsia="en-AU"/>
              </w:rPr>
            </w:pPr>
            <w:r w:rsidRPr="00DC50F4">
              <w:rPr>
                <w:sz w:val="20"/>
                <w:szCs w:val="20"/>
                <w:lang w:eastAsia="en-AU"/>
              </w:rPr>
              <w:t>2012</w:t>
            </w:r>
          </w:p>
        </w:tc>
        <w:tc>
          <w:tcPr>
            <w:tcW w:w="1312" w:type="dxa"/>
            <w:noWrap/>
          </w:tcPr>
          <w:p w14:paraId="16C2467F" w14:textId="77777777" w:rsidR="00461021" w:rsidRPr="00DC50F4" w:rsidRDefault="00461021" w:rsidP="00DC50F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Bundaberg</w:t>
            </w:r>
          </w:p>
        </w:tc>
        <w:tc>
          <w:tcPr>
            <w:tcW w:w="940" w:type="dxa"/>
            <w:noWrap/>
          </w:tcPr>
          <w:p w14:paraId="36173AD9"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745</w:t>
            </w:r>
          </w:p>
        </w:tc>
        <w:tc>
          <w:tcPr>
            <w:tcW w:w="976" w:type="dxa"/>
            <w:noWrap/>
          </w:tcPr>
          <w:p w14:paraId="34395FF7"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70.5</w:t>
            </w:r>
          </w:p>
        </w:tc>
        <w:tc>
          <w:tcPr>
            <w:tcW w:w="992" w:type="dxa"/>
            <w:noWrap/>
          </w:tcPr>
          <w:p w14:paraId="18234500"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172</w:t>
            </w:r>
          </w:p>
        </w:tc>
        <w:tc>
          <w:tcPr>
            <w:tcW w:w="920" w:type="dxa"/>
            <w:noWrap/>
          </w:tcPr>
          <w:p w14:paraId="1C1AC24E"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16.3</w:t>
            </w:r>
          </w:p>
        </w:tc>
        <w:tc>
          <w:tcPr>
            <w:tcW w:w="1065" w:type="dxa"/>
            <w:noWrap/>
          </w:tcPr>
          <w:p w14:paraId="499CF1BE"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140</w:t>
            </w:r>
          </w:p>
        </w:tc>
        <w:tc>
          <w:tcPr>
            <w:tcW w:w="992" w:type="dxa"/>
            <w:noWrap/>
          </w:tcPr>
          <w:p w14:paraId="24F2E3D6"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13.2</w:t>
            </w:r>
          </w:p>
        </w:tc>
        <w:tc>
          <w:tcPr>
            <w:tcW w:w="940" w:type="dxa"/>
          </w:tcPr>
          <w:p w14:paraId="151B4C1B"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1,057</w:t>
            </w:r>
          </w:p>
        </w:tc>
      </w:tr>
      <w:tr w:rsidR="00461021" w:rsidRPr="00DC50F4" w14:paraId="690FB4F4"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BC3DDA9" w14:textId="77777777" w:rsidR="00461021" w:rsidRPr="00DC50F4" w:rsidRDefault="00461021" w:rsidP="00DC50F4">
            <w:pPr>
              <w:rPr>
                <w:sz w:val="20"/>
                <w:szCs w:val="20"/>
                <w:lang w:eastAsia="en-AU"/>
              </w:rPr>
            </w:pPr>
          </w:p>
        </w:tc>
        <w:tc>
          <w:tcPr>
            <w:tcW w:w="1312" w:type="dxa"/>
            <w:noWrap/>
          </w:tcPr>
          <w:p w14:paraId="041B93AF" w14:textId="77777777" w:rsidR="00461021" w:rsidRPr="00DC50F4" w:rsidRDefault="00461021" w:rsidP="00DC50F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Hervey Bay</w:t>
            </w:r>
          </w:p>
        </w:tc>
        <w:tc>
          <w:tcPr>
            <w:tcW w:w="940" w:type="dxa"/>
            <w:noWrap/>
          </w:tcPr>
          <w:p w14:paraId="30FD5AA5"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495</w:t>
            </w:r>
          </w:p>
        </w:tc>
        <w:tc>
          <w:tcPr>
            <w:tcW w:w="976" w:type="dxa"/>
            <w:noWrap/>
          </w:tcPr>
          <w:p w14:paraId="028B3D05"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72.1</w:t>
            </w:r>
          </w:p>
        </w:tc>
        <w:tc>
          <w:tcPr>
            <w:tcW w:w="992" w:type="dxa"/>
            <w:noWrap/>
          </w:tcPr>
          <w:p w14:paraId="32B08A76"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113</w:t>
            </w:r>
          </w:p>
        </w:tc>
        <w:tc>
          <w:tcPr>
            <w:tcW w:w="920" w:type="dxa"/>
            <w:noWrap/>
          </w:tcPr>
          <w:p w14:paraId="39BC99B3"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16.4</w:t>
            </w:r>
          </w:p>
        </w:tc>
        <w:tc>
          <w:tcPr>
            <w:tcW w:w="1065" w:type="dxa"/>
            <w:noWrap/>
          </w:tcPr>
          <w:p w14:paraId="136147CA"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79</w:t>
            </w:r>
          </w:p>
        </w:tc>
        <w:tc>
          <w:tcPr>
            <w:tcW w:w="992" w:type="dxa"/>
            <w:noWrap/>
          </w:tcPr>
          <w:p w14:paraId="160BC91B"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11.5</w:t>
            </w:r>
          </w:p>
        </w:tc>
        <w:tc>
          <w:tcPr>
            <w:tcW w:w="940" w:type="dxa"/>
          </w:tcPr>
          <w:p w14:paraId="5D2ED78A"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687</w:t>
            </w:r>
          </w:p>
        </w:tc>
      </w:tr>
      <w:tr w:rsidR="00461021" w:rsidRPr="00DC50F4" w14:paraId="52073FA4"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1A9DDD18" w14:textId="77777777" w:rsidR="00461021" w:rsidRPr="00DC50F4" w:rsidRDefault="00461021" w:rsidP="00DC50F4">
            <w:pPr>
              <w:rPr>
                <w:sz w:val="20"/>
                <w:szCs w:val="20"/>
                <w:lang w:eastAsia="en-AU"/>
              </w:rPr>
            </w:pPr>
          </w:p>
        </w:tc>
        <w:tc>
          <w:tcPr>
            <w:tcW w:w="1312" w:type="dxa"/>
            <w:noWrap/>
          </w:tcPr>
          <w:p w14:paraId="35379D23" w14:textId="77777777" w:rsidR="00461021" w:rsidRPr="00DC50F4" w:rsidRDefault="00461021" w:rsidP="00DC50F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BHB region</w:t>
            </w:r>
          </w:p>
        </w:tc>
        <w:tc>
          <w:tcPr>
            <w:tcW w:w="940" w:type="dxa"/>
            <w:noWrap/>
          </w:tcPr>
          <w:p w14:paraId="31942321"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1,240</w:t>
            </w:r>
          </w:p>
        </w:tc>
        <w:tc>
          <w:tcPr>
            <w:tcW w:w="976" w:type="dxa"/>
            <w:noWrap/>
          </w:tcPr>
          <w:p w14:paraId="1B14738B"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71.1</w:t>
            </w:r>
          </w:p>
        </w:tc>
        <w:tc>
          <w:tcPr>
            <w:tcW w:w="992" w:type="dxa"/>
            <w:noWrap/>
          </w:tcPr>
          <w:p w14:paraId="7AA16B11"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285</w:t>
            </w:r>
          </w:p>
        </w:tc>
        <w:tc>
          <w:tcPr>
            <w:tcW w:w="920" w:type="dxa"/>
            <w:noWrap/>
          </w:tcPr>
          <w:p w14:paraId="1D9567A2"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16.3</w:t>
            </w:r>
          </w:p>
        </w:tc>
        <w:tc>
          <w:tcPr>
            <w:tcW w:w="1065" w:type="dxa"/>
            <w:noWrap/>
          </w:tcPr>
          <w:p w14:paraId="07B58075"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219</w:t>
            </w:r>
          </w:p>
        </w:tc>
        <w:tc>
          <w:tcPr>
            <w:tcW w:w="992" w:type="dxa"/>
            <w:noWrap/>
          </w:tcPr>
          <w:p w14:paraId="590DAA5F"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12.6</w:t>
            </w:r>
          </w:p>
        </w:tc>
        <w:tc>
          <w:tcPr>
            <w:tcW w:w="940" w:type="dxa"/>
          </w:tcPr>
          <w:p w14:paraId="7C4DDC3E"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1,744</w:t>
            </w:r>
          </w:p>
        </w:tc>
      </w:tr>
      <w:tr w:rsidR="00461021" w:rsidRPr="00DC50F4" w14:paraId="53F7078B"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7B216000" w14:textId="77777777" w:rsidR="00461021" w:rsidRPr="00DC50F4" w:rsidRDefault="00461021" w:rsidP="00DC50F4">
            <w:pPr>
              <w:rPr>
                <w:sz w:val="20"/>
                <w:szCs w:val="20"/>
                <w:lang w:eastAsia="en-AU"/>
              </w:rPr>
            </w:pPr>
          </w:p>
        </w:tc>
        <w:tc>
          <w:tcPr>
            <w:tcW w:w="1312" w:type="dxa"/>
            <w:noWrap/>
          </w:tcPr>
          <w:p w14:paraId="4A6CCFA5" w14:textId="77777777" w:rsidR="00461021" w:rsidRPr="00DC50F4" w:rsidRDefault="00461021" w:rsidP="00DC50F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Queensland</w:t>
            </w:r>
          </w:p>
        </w:tc>
        <w:tc>
          <w:tcPr>
            <w:tcW w:w="940" w:type="dxa"/>
            <w:noWrap/>
          </w:tcPr>
          <w:p w14:paraId="4B66B94B"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42,427</w:t>
            </w:r>
          </w:p>
        </w:tc>
        <w:tc>
          <w:tcPr>
            <w:tcW w:w="976" w:type="dxa"/>
            <w:noWrap/>
          </w:tcPr>
          <w:p w14:paraId="3EDF4F9B"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72.9</w:t>
            </w:r>
          </w:p>
        </w:tc>
        <w:tc>
          <w:tcPr>
            <w:tcW w:w="992" w:type="dxa"/>
            <w:noWrap/>
          </w:tcPr>
          <w:p w14:paraId="17FDD397"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9,023</w:t>
            </w:r>
          </w:p>
        </w:tc>
        <w:tc>
          <w:tcPr>
            <w:tcW w:w="920" w:type="dxa"/>
            <w:noWrap/>
          </w:tcPr>
          <w:p w14:paraId="7FAAF901"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15.5</w:t>
            </w:r>
          </w:p>
        </w:tc>
        <w:tc>
          <w:tcPr>
            <w:tcW w:w="1065" w:type="dxa"/>
            <w:noWrap/>
          </w:tcPr>
          <w:p w14:paraId="5D1FA18F"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6,759</w:t>
            </w:r>
          </w:p>
        </w:tc>
        <w:tc>
          <w:tcPr>
            <w:tcW w:w="992" w:type="dxa"/>
            <w:noWrap/>
          </w:tcPr>
          <w:p w14:paraId="2185D114"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11.6</w:t>
            </w:r>
          </w:p>
        </w:tc>
        <w:tc>
          <w:tcPr>
            <w:tcW w:w="940" w:type="dxa"/>
          </w:tcPr>
          <w:p w14:paraId="25B2B5D9"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58,209</w:t>
            </w:r>
          </w:p>
        </w:tc>
      </w:tr>
      <w:tr w:rsidR="00461021" w:rsidRPr="00DC50F4" w14:paraId="49C5F8A9"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46E944CD" w14:textId="77777777" w:rsidR="00461021" w:rsidRPr="00DC50F4" w:rsidRDefault="00461021" w:rsidP="00DC50F4">
            <w:pPr>
              <w:rPr>
                <w:sz w:val="20"/>
                <w:szCs w:val="20"/>
                <w:lang w:eastAsia="en-AU"/>
              </w:rPr>
            </w:pPr>
          </w:p>
        </w:tc>
        <w:tc>
          <w:tcPr>
            <w:tcW w:w="1312" w:type="dxa"/>
            <w:noWrap/>
          </w:tcPr>
          <w:p w14:paraId="7E013620" w14:textId="77777777" w:rsidR="00461021" w:rsidRPr="00DC50F4" w:rsidRDefault="00461021" w:rsidP="00DC50F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Australia</w:t>
            </w:r>
          </w:p>
        </w:tc>
        <w:tc>
          <w:tcPr>
            <w:tcW w:w="940" w:type="dxa"/>
            <w:noWrap/>
          </w:tcPr>
          <w:p w14:paraId="0F8658AC"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211,806</w:t>
            </w:r>
          </w:p>
        </w:tc>
        <w:tc>
          <w:tcPr>
            <w:tcW w:w="976" w:type="dxa"/>
            <w:noWrap/>
          </w:tcPr>
          <w:p w14:paraId="30047974"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77.3</w:t>
            </w:r>
          </w:p>
        </w:tc>
        <w:tc>
          <w:tcPr>
            <w:tcW w:w="992" w:type="dxa"/>
            <w:noWrap/>
          </w:tcPr>
          <w:p w14:paraId="36B42F1B"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36,637</w:t>
            </w:r>
          </w:p>
        </w:tc>
        <w:tc>
          <w:tcPr>
            <w:tcW w:w="920" w:type="dxa"/>
            <w:noWrap/>
          </w:tcPr>
          <w:p w14:paraId="39800217"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13.4</w:t>
            </w:r>
          </w:p>
        </w:tc>
        <w:tc>
          <w:tcPr>
            <w:tcW w:w="1065" w:type="dxa"/>
            <w:noWrap/>
          </w:tcPr>
          <w:p w14:paraId="7EDCF9AE"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25,479</w:t>
            </w:r>
          </w:p>
        </w:tc>
        <w:tc>
          <w:tcPr>
            <w:tcW w:w="992" w:type="dxa"/>
            <w:noWrap/>
          </w:tcPr>
          <w:p w14:paraId="7E63736E"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9.3</w:t>
            </w:r>
          </w:p>
        </w:tc>
        <w:tc>
          <w:tcPr>
            <w:tcW w:w="940" w:type="dxa"/>
          </w:tcPr>
          <w:p w14:paraId="48504077"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273,922</w:t>
            </w:r>
          </w:p>
        </w:tc>
      </w:tr>
      <w:tr w:rsidR="00461021" w:rsidRPr="00DC50F4" w14:paraId="338332EA"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4AE146A8" w14:textId="77777777" w:rsidR="00461021" w:rsidRPr="00DC50F4" w:rsidRDefault="00461021" w:rsidP="00DC50F4">
            <w:pPr>
              <w:rPr>
                <w:sz w:val="20"/>
                <w:szCs w:val="20"/>
                <w:lang w:eastAsia="en-AU"/>
              </w:rPr>
            </w:pPr>
            <w:r w:rsidRPr="00DC50F4">
              <w:rPr>
                <w:sz w:val="20"/>
                <w:szCs w:val="20"/>
                <w:lang w:eastAsia="en-AU"/>
              </w:rPr>
              <w:t>2015</w:t>
            </w:r>
          </w:p>
        </w:tc>
        <w:tc>
          <w:tcPr>
            <w:tcW w:w="1312" w:type="dxa"/>
            <w:noWrap/>
          </w:tcPr>
          <w:p w14:paraId="3F607E03" w14:textId="77777777" w:rsidR="00461021" w:rsidRPr="00DC50F4" w:rsidRDefault="00461021" w:rsidP="00DC50F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Bundaberg</w:t>
            </w:r>
          </w:p>
        </w:tc>
        <w:tc>
          <w:tcPr>
            <w:tcW w:w="940" w:type="dxa"/>
            <w:noWrap/>
          </w:tcPr>
          <w:p w14:paraId="73CF10E7"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775</w:t>
            </w:r>
          </w:p>
        </w:tc>
        <w:tc>
          <w:tcPr>
            <w:tcW w:w="976" w:type="dxa"/>
            <w:noWrap/>
          </w:tcPr>
          <w:p w14:paraId="69C8699F"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73</w:t>
            </w:r>
          </w:p>
        </w:tc>
        <w:tc>
          <w:tcPr>
            <w:tcW w:w="992" w:type="dxa"/>
            <w:noWrap/>
          </w:tcPr>
          <w:p w14:paraId="4888F4C5"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143</w:t>
            </w:r>
          </w:p>
        </w:tc>
        <w:tc>
          <w:tcPr>
            <w:tcW w:w="920" w:type="dxa"/>
            <w:noWrap/>
          </w:tcPr>
          <w:p w14:paraId="4922F4A5"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13.5</w:t>
            </w:r>
          </w:p>
        </w:tc>
        <w:tc>
          <w:tcPr>
            <w:tcW w:w="1065" w:type="dxa"/>
            <w:noWrap/>
          </w:tcPr>
          <w:p w14:paraId="5D1037EE"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144</w:t>
            </w:r>
          </w:p>
        </w:tc>
        <w:tc>
          <w:tcPr>
            <w:tcW w:w="992" w:type="dxa"/>
            <w:noWrap/>
          </w:tcPr>
          <w:p w14:paraId="523E8512"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13.6</w:t>
            </w:r>
          </w:p>
        </w:tc>
        <w:tc>
          <w:tcPr>
            <w:tcW w:w="940" w:type="dxa"/>
          </w:tcPr>
          <w:p w14:paraId="4383D4B0"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1,062</w:t>
            </w:r>
          </w:p>
        </w:tc>
      </w:tr>
      <w:tr w:rsidR="00461021" w:rsidRPr="00DC50F4" w14:paraId="561B4423"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4B44FFB7" w14:textId="77777777" w:rsidR="00461021" w:rsidRPr="00DC50F4" w:rsidRDefault="00461021" w:rsidP="00DC50F4">
            <w:pPr>
              <w:rPr>
                <w:sz w:val="20"/>
                <w:szCs w:val="20"/>
                <w:lang w:eastAsia="en-AU"/>
              </w:rPr>
            </w:pPr>
          </w:p>
        </w:tc>
        <w:tc>
          <w:tcPr>
            <w:tcW w:w="1312" w:type="dxa"/>
            <w:noWrap/>
          </w:tcPr>
          <w:p w14:paraId="3112FEFA" w14:textId="77777777" w:rsidR="00461021" w:rsidRPr="00DC50F4" w:rsidRDefault="00461021" w:rsidP="00DC50F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Hervey Bay</w:t>
            </w:r>
          </w:p>
        </w:tc>
        <w:tc>
          <w:tcPr>
            <w:tcW w:w="940" w:type="dxa"/>
            <w:noWrap/>
          </w:tcPr>
          <w:p w14:paraId="40CC7B16"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433</w:t>
            </w:r>
          </w:p>
        </w:tc>
        <w:tc>
          <w:tcPr>
            <w:tcW w:w="976" w:type="dxa"/>
            <w:noWrap/>
          </w:tcPr>
          <w:p w14:paraId="7F9AD2A8"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66.6</w:t>
            </w:r>
          </w:p>
        </w:tc>
        <w:tc>
          <w:tcPr>
            <w:tcW w:w="992" w:type="dxa"/>
            <w:noWrap/>
          </w:tcPr>
          <w:p w14:paraId="719064CC"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119</w:t>
            </w:r>
          </w:p>
        </w:tc>
        <w:tc>
          <w:tcPr>
            <w:tcW w:w="920" w:type="dxa"/>
            <w:noWrap/>
          </w:tcPr>
          <w:p w14:paraId="4B77EA5C"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18.3</w:t>
            </w:r>
          </w:p>
        </w:tc>
        <w:tc>
          <w:tcPr>
            <w:tcW w:w="1065" w:type="dxa"/>
            <w:noWrap/>
          </w:tcPr>
          <w:p w14:paraId="526695D3"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98</w:t>
            </w:r>
          </w:p>
        </w:tc>
        <w:tc>
          <w:tcPr>
            <w:tcW w:w="992" w:type="dxa"/>
            <w:noWrap/>
          </w:tcPr>
          <w:p w14:paraId="448EA7A7"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15.1</w:t>
            </w:r>
          </w:p>
        </w:tc>
        <w:tc>
          <w:tcPr>
            <w:tcW w:w="940" w:type="dxa"/>
          </w:tcPr>
          <w:p w14:paraId="2FC29001"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650</w:t>
            </w:r>
          </w:p>
        </w:tc>
      </w:tr>
      <w:tr w:rsidR="00461021" w:rsidRPr="00DC50F4" w14:paraId="2CD3FC38"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F11E162" w14:textId="77777777" w:rsidR="00461021" w:rsidRPr="00DC50F4" w:rsidRDefault="00461021" w:rsidP="00DC50F4">
            <w:pPr>
              <w:rPr>
                <w:sz w:val="20"/>
                <w:szCs w:val="20"/>
                <w:lang w:eastAsia="en-AU"/>
              </w:rPr>
            </w:pPr>
          </w:p>
        </w:tc>
        <w:tc>
          <w:tcPr>
            <w:tcW w:w="1312" w:type="dxa"/>
            <w:noWrap/>
          </w:tcPr>
          <w:p w14:paraId="1C00514F" w14:textId="77777777" w:rsidR="00461021" w:rsidRPr="00DC50F4" w:rsidRDefault="00461021" w:rsidP="00DC50F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BHB region</w:t>
            </w:r>
          </w:p>
        </w:tc>
        <w:tc>
          <w:tcPr>
            <w:tcW w:w="940" w:type="dxa"/>
            <w:noWrap/>
          </w:tcPr>
          <w:p w14:paraId="533BFBF8"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1,208</w:t>
            </w:r>
          </w:p>
        </w:tc>
        <w:tc>
          <w:tcPr>
            <w:tcW w:w="976" w:type="dxa"/>
            <w:noWrap/>
          </w:tcPr>
          <w:p w14:paraId="3F3E42BE"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70.6</w:t>
            </w:r>
          </w:p>
        </w:tc>
        <w:tc>
          <w:tcPr>
            <w:tcW w:w="992" w:type="dxa"/>
            <w:noWrap/>
          </w:tcPr>
          <w:p w14:paraId="52935135"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262</w:t>
            </w:r>
          </w:p>
        </w:tc>
        <w:tc>
          <w:tcPr>
            <w:tcW w:w="920" w:type="dxa"/>
            <w:noWrap/>
          </w:tcPr>
          <w:p w14:paraId="789F4474"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15.3</w:t>
            </w:r>
          </w:p>
        </w:tc>
        <w:tc>
          <w:tcPr>
            <w:tcW w:w="1065" w:type="dxa"/>
            <w:noWrap/>
          </w:tcPr>
          <w:p w14:paraId="11120D0E"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242</w:t>
            </w:r>
          </w:p>
        </w:tc>
        <w:tc>
          <w:tcPr>
            <w:tcW w:w="992" w:type="dxa"/>
            <w:noWrap/>
          </w:tcPr>
          <w:p w14:paraId="7C8B8FC0"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14.1</w:t>
            </w:r>
          </w:p>
        </w:tc>
        <w:tc>
          <w:tcPr>
            <w:tcW w:w="940" w:type="dxa"/>
          </w:tcPr>
          <w:p w14:paraId="1116A566"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1,712</w:t>
            </w:r>
          </w:p>
        </w:tc>
      </w:tr>
      <w:tr w:rsidR="00461021" w:rsidRPr="00DC50F4" w14:paraId="767E37BA"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B7FB2BB" w14:textId="77777777" w:rsidR="00461021" w:rsidRPr="00DC50F4" w:rsidRDefault="00461021" w:rsidP="00DC50F4">
            <w:pPr>
              <w:rPr>
                <w:sz w:val="20"/>
                <w:szCs w:val="20"/>
                <w:lang w:eastAsia="en-AU"/>
              </w:rPr>
            </w:pPr>
          </w:p>
        </w:tc>
        <w:tc>
          <w:tcPr>
            <w:tcW w:w="1312" w:type="dxa"/>
            <w:noWrap/>
          </w:tcPr>
          <w:p w14:paraId="4CF88739" w14:textId="77777777" w:rsidR="00461021" w:rsidRPr="00DC50F4" w:rsidRDefault="00461021" w:rsidP="00DC50F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Queensland</w:t>
            </w:r>
          </w:p>
        </w:tc>
        <w:tc>
          <w:tcPr>
            <w:tcW w:w="940" w:type="dxa"/>
            <w:noWrap/>
          </w:tcPr>
          <w:p w14:paraId="756886FF"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45,387</w:t>
            </w:r>
          </w:p>
        </w:tc>
        <w:tc>
          <w:tcPr>
            <w:tcW w:w="976" w:type="dxa"/>
            <w:noWrap/>
          </w:tcPr>
          <w:p w14:paraId="460FD70D"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73</w:t>
            </w:r>
          </w:p>
        </w:tc>
        <w:tc>
          <w:tcPr>
            <w:tcW w:w="992" w:type="dxa"/>
            <w:noWrap/>
          </w:tcPr>
          <w:p w14:paraId="68B9F5A5"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9,069</w:t>
            </w:r>
          </w:p>
        </w:tc>
        <w:tc>
          <w:tcPr>
            <w:tcW w:w="920" w:type="dxa"/>
            <w:noWrap/>
          </w:tcPr>
          <w:p w14:paraId="4111B8AC"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14.6</w:t>
            </w:r>
          </w:p>
        </w:tc>
        <w:tc>
          <w:tcPr>
            <w:tcW w:w="1065" w:type="dxa"/>
            <w:noWrap/>
          </w:tcPr>
          <w:p w14:paraId="5FE67061"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7,705</w:t>
            </w:r>
          </w:p>
        </w:tc>
        <w:tc>
          <w:tcPr>
            <w:tcW w:w="992" w:type="dxa"/>
            <w:noWrap/>
          </w:tcPr>
          <w:p w14:paraId="26722789"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12.4</w:t>
            </w:r>
          </w:p>
        </w:tc>
        <w:tc>
          <w:tcPr>
            <w:tcW w:w="940" w:type="dxa"/>
          </w:tcPr>
          <w:p w14:paraId="046374A3"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62,161</w:t>
            </w:r>
          </w:p>
        </w:tc>
      </w:tr>
      <w:tr w:rsidR="00461021" w:rsidRPr="00DC50F4" w14:paraId="433A7982"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32CC258" w14:textId="77777777" w:rsidR="00461021" w:rsidRPr="00DC50F4" w:rsidRDefault="00461021" w:rsidP="00DC50F4">
            <w:pPr>
              <w:rPr>
                <w:sz w:val="20"/>
                <w:szCs w:val="20"/>
                <w:lang w:eastAsia="en-AU"/>
              </w:rPr>
            </w:pPr>
          </w:p>
        </w:tc>
        <w:tc>
          <w:tcPr>
            <w:tcW w:w="1312" w:type="dxa"/>
            <w:noWrap/>
          </w:tcPr>
          <w:p w14:paraId="472899D6" w14:textId="77777777" w:rsidR="00461021" w:rsidRPr="00DC50F4" w:rsidRDefault="00461021" w:rsidP="00DC50F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Australia</w:t>
            </w:r>
          </w:p>
        </w:tc>
        <w:tc>
          <w:tcPr>
            <w:tcW w:w="940" w:type="dxa"/>
            <w:noWrap/>
          </w:tcPr>
          <w:p w14:paraId="7BA287D9"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221,855</w:t>
            </w:r>
          </w:p>
        </w:tc>
        <w:tc>
          <w:tcPr>
            <w:tcW w:w="976" w:type="dxa"/>
            <w:noWrap/>
          </w:tcPr>
          <w:p w14:paraId="25427942"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77.3</w:t>
            </w:r>
          </w:p>
        </w:tc>
        <w:tc>
          <w:tcPr>
            <w:tcW w:w="992" w:type="dxa"/>
            <w:noWrap/>
          </w:tcPr>
          <w:p w14:paraId="0232A256"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37,347</w:t>
            </w:r>
          </w:p>
        </w:tc>
        <w:tc>
          <w:tcPr>
            <w:tcW w:w="920" w:type="dxa"/>
            <w:noWrap/>
          </w:tcPr>
          <w:p w14:paraId="6B8A6A0C"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13</w:t>
            </w:r>
          </w:p>
        </w:tc>
        <w:tc>
          <w:tcPr>
            <w:tcW w:w="1065" w:type="dxa"/>
            <w:noWrap/>
          </w:tcPr>
          <w:p w14:paraId="38134007"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27,711</w:t>
            </w:r>
          </w:p>
        </w:tc>
        <w:tc>
          <w:tcPr>
            <w:tcW w:w="992" w:type="dxa"/>
            <w:noWrap/>
          </w:tcPr>
          <w:p w14:paraId="558C2C13"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9.7</w:t>
            </w:r>
          </w:p>
        </w:tc>
        <w:tc>
          <w:tcPr>
            <w:tcW w:w="940" w:type="dxa"/>
          </w:tcPr>
          <w:p w14:paraId="7D83C571"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286,913</w:t>
            </w:r>
          </w:p>
        </w:tc>
      </w:tr>
      <w:tr w:rsidR="00461021" w:rsidRPr="00DC50F4" w14:paraId="44191FD3"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5545B00" w14:textId="77777777" w:rsidR="00461021" w:rsidRPr="00DC50F4" w:rsidRDefault="00461021" w:rsidP="00DC50F4">
            <w:pPr>
              <w:rPr>
                <w:sz w:val="20"/>
                <w:szCs w:val="20"/>
                <w:lang w:eastAsia="en-AU"/>
              </w:rPr>
            </w:pPr>
            <w:r w:rsidRPr="00DC50F4">
              <w:rPr>
                <w:sz w:val="20"/>
                <w:szCs w:val="20"/>
                <w:lang w:eastAsia="en-AU"/>
              </w:rPr>
              <w:t>2018</w:t>
            </w:r>
          </w:p>
        </w:tc>
        <w:tc>
          <w:tcPr>
            <w:tcW w:w="1312" w:type="dxa"/>
            <w:noWrap/>
          </w:tcPr>
          <w:p w14:paraId="0033E2A0" w14:textId="77777777" w:rsidR="00461021" w:rsidRPr="00DC50F4" w:rsidRDefault="00461021" w:rsidP="00DC50F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Bundaberg</w:t>
            </w:r>
          </w:p>
        </w:tc>
        <w:tc>
          <w:tcPr>
            <w:tcW w:w="940" w:type="dxa"/>
            <w:noWrap/>
          </w:tcPr>
          <w:p w14:paraId="6189BC82"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706</w:t>
            </w:r>
          </w:p>
        </w:tc>
        <w:tc>
          <w:tcPr>
            <w:tcW w:w="976" w:type="dxa"/>
            <w:noWrap/>
          </w:tcPr>
          <w:p w14:paraId="7C11C3C1"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66</w:t>
            </w:r>
          </w:p>
        </w:tc>
        <w:tc>
          <w:tcPr>
            <w:tcW w:w="992" w:type="dxa"/>
            <w:noWrap/>
          </w:tcPr>
          <w:p w14:paraId="508FCD5B"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173</w:t>
            </w:r>
          </w:p>
        </w:tc>
        <w:tc>
          <w:tcPr>
            <w:tcW w:w="920" w:type="dxa"/>
            <w:noWrap/>
          </w:tcPr>
          <w:p w14:paraId="37C5FAD8"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16.2</w:t>
            </w:r>
          </w:p>
        </w:tc>
        <w:tc>
          <w:tcPr>
            <w:tcW w:w="1065" w:type="dxa"/>
            <w:noWrap/>
          </w:tcPr>
          <w:p w14:paraId="413501B1"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190</w:t>
            </w:r>
          </w:p>
        </w:tc>
        <w:tc>
          <w:tcPr>
            <w:tcW w:w="992" w:type="dxa"/>
            <w:noWrap/>
          </w:tcPr>
          <w:p w14:paraId="298EB93F"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17.8</w:t>
            </w:r>
          </w:p>
        </w:tc>
        <w:tc>
          <w:tcPr>
            <w:tcW w:w="940" w:type="dxa"/>
          </w:tcPr>
          <w:p w14:paraId="63656679"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1,069</w:t>
            </w:r>
          </w:p>
        </w:tc>
      </w:tr>
      <w:tr w:rsidR="00461021" w:rsidRPr="00DC50F4" w14:paraId="39500B43"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12E6C2C3" w14:textId="77777777" w:rsidR="00461021" w:rsidRPr="00DC50F4" w:rsidRDefault="00461021" w:rsidP="00DC50F4">
            <w:pPr>
              <w:rPr>
                <w:sz w:val="20"/>
                <w:szCs w:val="20"/>
                <w:lang w:eastAsia="en-AU"/>
              </w:rPr>
            </w:pPr>
          </w:p>
        </w:tc>
        <w:tc>
          <w:tcPr>
            <w:tcW w:w="1312" w:type="dxa"/>
            <w:noWrap/>
          </w:tcPr>
          <w:p w14:paraId="39CA75E7" w14:textId="77777777" w:rsidR="00461021" w:rsidRPr="00DC50F4" w:rsidRDefault="00461021" w:rsidP="00DC50F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Hervey Bay</w:t>
            </w:r>
          </w:p>
        </w:tc>
        <w:tc>
          <w:tcPr>
            <w:tcW w:w="940" w:type="dxa"/>
            <w:noWrap/>
          </w:tcPr>
          <w:p w14:paraId="2719E833"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317</w:t>
            </w:r>
          </w:p>
        </w:tc>
        <w:tc>
          <w:tcPr>
            <w:tcW w:w="976" w:type="dxa"/>
            <w:noWrap/>
          </w:tcPr>
          <w:p w14:paraId="27EDB8BB"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53.9</w:t>
            </w:r>
          </w:p>
        </w:tc>
        <w:tc>
          <w:tcPr>
            <w:tcW w:w="992" w:type="dxa"/>
            <w:noWrap/>
          </w:tcPr>
          <w:p w14:paraId="65D4AD5B"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114</w:t>
            </w:r>
          </w:p>
        </w:tc>
        <w:tc>
          <w:tcPr>
            <w:tcW w:w="920" w:type="dxa"/>
            <w:noWrap/>
          </w:tcPr>
          <w:p w14:paraId="2B0B6A94"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19.4</w:t>
            </w:r>
          </w:p>
        </w:tc>
        <w:tc>
          <w:tcPr>
            <w:tcW w:w="1065" w:type="dxa"/>
            <w:noWrap/>
          </w:tcPr>
          <w:p w14:paraId="70048688"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157</w:t>
            </w:r>
          </w:p>
        </w:tc>
        <w:tc>
          <w:tcPr>
            <w:tcW w:w="992" w:type="dxa"/>
            <w:noWrap/>
          </w:tcPr>
          <w:p w14:paraId="78A9F648"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26.7</w:t>
            </w:r>
          </w:p>
        </w:tc>
        <w:tc>
          <w:tcPr>
            <w:tcW w:w="940" w:type="dxa"/>
          </w:tcPr>
          <w:p w14:paraId="2B5A1122"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588</w:t>
            </w:r>
          </w:p>
        </w:tc>
      </w:tr>
      <w:tr w:rsidR="00461021" w:rsidRPr="00DC50F4" w14:paraId="3CD91D4D"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4ECCCEDF" w14:textId="77777777" w:rsidR="00461021" w:rsidRPr="00DC50F4" w:rsidRDefault="00461021" w:rsidP="00DC50F4">
            <w:pPr>
              <w:rPr>
                <w:sz w:val="20"/>
                <w:szCs w:val="20"/>
                <w:lang w:eastAsia="en-AU"/>
              </w:rPr>
            </w:pPr>
          </w:p>
        </w:tc>
        <w:tc>
          <w:tcPr>
            <w:tcW w:w="1312" w:type="dxa"/>
            <w:noWrap/>
          </w:tcPr>
          <w:p w14:paraId="2229306F" w14:textId="77777777" w:rsidR="00461021" w:rsidRPr="00DC50F4" w:rsidRDefault="00461021" w:rsidP="00DC50F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BHB region</w:t>
            </w:r>
          </w:p>
        </w:tc>
        <w:tc>
          <w:tcPr>
            <w:tcW w:w="940" w:type="dxa"/>
            <w:noWrap/>
          </w:tcPr>
          <w:p w14:paraId="2133C9A0"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1,023</w:t>
            </w:r>
          </w:p>
        </w:tc>
        <w:tc>
          <w:tcPr>
            <w:tcW w:w="976" w:type="dxa"/>
            <w:noWrap/>
          </w:tcPr>
          <w:p w14:paraId="5ACAB48C"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61.7</w:t>
            </w:r>
          </w:p>
        </w:tc>
        <w:tc>
          <w:tcPr>
            <w:tcW w:w="992" w:type="dxa"/>
            <w:noWrap/>
          </w:tcPr>
          <w:p w14:paraId="2D7D4C42"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287</w:t>
            </w:r>
          </w:p>
        </w:tc>
        <w:tc>
          <w:tcPr>
            <w:tcW w:w="920" w:type="dxa"/>
            <w:noWrap/>
          </w:tcPr>
          <w:p w14:paraId="3AE33AF2"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17.3</w:t>
            </w:r>
          </w:p>
        </w:tc>
        <w:tc>
          <w:tcPr>
            <w:tcW w:w="1065" w:type="dxa"/>
            <w:noWrap/>
          </w:tcPr>
          <w:p w14:paraId="3A592DE1"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347</w:t>
            </w:r>
          </w:p>
        </w:tc>
        <w:tc>
          <w:tcPr>
            <w:tcW w:w="992" w:type="dxa"/>
            <w:noWrap/>
          </w:tcPr>
          <w:p w14:paraId="0A41F406"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20.9</w:t>
            </w:r>
          </w:p>
        </w:tc>
        <w:tc>
          <w:tcPr>
            <w:tcW w:w="940" w:type="dxa"/>
          </w:tcPr>
          <w:p w14:paraId="1F3B3125"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1,657</w:t>
            </w:r>
          </w:p>
        </w:tc>
      </w:tr>
      <w:tr w:rsidR="00461021" w:rsidRPr="00DC50F4" w14:paraId="2862DF56"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7045EA09" w14:textId="77777777" w:rsidR="00461021" w:rsidRPr="00DC50F4" w:rsidRDefault="00461021" w:rsidP="00DC50F4">
            <w:pPr>
              <w:rPr>
                <w:sz w:val="20"/>
                <w:szCs w:val="20"/>
                <w:lang w:eastAsia="en-AU"/>
              </w:rPr>
            </w:pPr>
          </w:p>
        </w:tc>
        <w:tc>
          <w:tcPr>
            <w:tcW w:w="1312" w:type="dxa"/>
            <w:noWrap/>
          </w:tcPr>
          <w:p w14:paraId="45305E05" w14:textId="77777777" w:rsidR="00461021" w:rsidRPr="00DC50F4" w:rsidRDefault="00461021" w:rsidP="00DC50F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Queensland</w:t>
            </w:r>
          </w:p>
        </w:tc>
        <w:tc>
          <w:tcPr>
            <w:tcW w:w="940" w:type="dxa"/>
            <w:noWrap/>
          </w:tcPr>
          <w:p w14:paraId="6B93BE4E"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45,801</w:t>
            </w:r>
          </w:p>
        </w:tc>
        <w:tc>
          <w:tcPr>
            <w:tcW w:w="976" w:type="dxa"/>
            <w:noWrap/>
          </w:tcPr>
          <w:p w14:paraId="1DF8A409"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74.1</w:t>
            </w:r>
          </w:p>
        </w:tc>
        <w:tc>
          <w:tcPr>
            <w:tcW w:w="992" w:type="dxa"/>
            <w:noWrap/>
          </w:tcPr>
          <w:p w14:paraId="66B99DBF"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8,462</w:t>
            </w:r>
          </w:p>
        </w:tc>
        <w:tc>
          <w:tcPr>
            <w:tcW w:w="920" w:type="dxa"/>
            <w:noWrap/>
          </w:tcPr>
          <w:p w14:paraId="79E5963A"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13.7</w:t>
            </w:r>
          </w:p>
        </w:tc>
        <w:tc>
          <w:tcPr>
            <w:tcW w:w="1065" w:type="dxa"/>
            <w:noWrap/>
          </w:tcPr>
          <w:p w14:paraId="77C13A36"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7,581</w:t>
            </w:r>
          </w:p>
        </w:tc>
        <w:tc>
          <w:tcPr>
            <w:tcW w:w="992" w:type="dxa"/>
            <w:noWrap/>
          </w:tcPr>
          <w:p w14:paraId="4AE30F4B"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12.3</w:t>
            </w:r>
          </w:p>
        </w:tc>
        <w:tc>
          <w:tcPr>
            <w:tcW w:w="940" w:type="dxa"/>
          </w:tcPr>
          <w:p w14:paraId="03CE9CD2" w14:textId="77777777" w:rsidR="00461021" w:rsidRPr="00DC50F4" w:rsidRDefault="00461021"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C50F4">
              <w:rPr>
                <w:sz w:val="20"/>
                <w:szCs w:val="20"/>
                <w:lang w:eastAsia="en-AU"/>
              </w:rPr>
              <w:t>61,844</w:t>
            </w:r>
          </w:p>
        </w:tc>
      </w:tr>
      <w:tr w:rsidR="00461021" w:rsidRPr="00DC50F4" w14:paraId="05BE4DB3"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741E9ECF" w14:textId="77777777" w:rsidR="00461021" w:rsidRPr="00DC50F4" w:rsidRDefault="00461021" w:rsidP="00DC50F4">
            <w:pPr>
              <w:rPr>
                <w:sz w:val="20"/>
                <w:szCs w:val="20"/>
                <w:lang w:eastAsia="en-AU"/>
              </w:rPr>
            </w:pPr>
          </w:p>
        </w:tc>
        <w:tc>
          <w:tcPr>
            <w:tcW w:w="1312" w:type="dxa"/>
            <w:noWrap/>
          </w:tcPr>
          <w:p w14:paraId="55BF70B8" w14:textId="77777777" w:rsidR="00461021" w:rsidRPr="00DC50F4" w:rsidRDefault="00461021" w:rsidP="00DC50F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Australia</w:t>
            </w:r>
          </w:p>
        </w:tc>
        <w:tc>
          <w:tcPr>
            <w:tcW w:w="940" w:type="dxa"/>
            <w:noWrap/>
          </w:tcPr>
          <w:p w14:paraId="2C54370F"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229,542</w:t>
            </w:r>
          </w:p>
        </w:tc>
        <w:tc>
          <w:tcPr>
            <w:tcW w:w="976" w:type="dxa"/>
            <w:noWrap/>
          </w:tcPr>
          <w:p w14:paraId="35D109B9"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78.1</w:t>
            </w:r>
          </w:p>
        </w:tc>
        <w:tc>
          <w:tcPr>
            <w:tcW w:w="992" w:type="dxa"/>
            <w:noWrap/>
          </w:tcPr>
          <w:p w14:paraId="2F6EDECA"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36,105</w:t>
            </w:r>
          </w:p>
        </w:tc>
        <w:tc>
          <w:tcPr>
            <w:tcW w:w="920" w:type="dxa"/>
            <w:noWrap/>
          </w:tcPr>
          <w:p w14:paraId="4B65CA64"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12.3</w:t>
            </w:r>
          </w:p>
        </w:tc>
        <w:tc>
          <w:tcPr>
            <w:tcW w:w="1065" w:type="dxa"/>
            <w:noWrap/>
          </w:tcPr>
          <w:p w14:paraId="1B124475"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28,247</w:t>
            </w:r>
          </w:p>
        </w:tc>
        <w:tc>
          <w:tcPr>
            <w:tcW w:w="992" w:type="dxa"/>
            <w:noWrap/>
          </w:tcPr>
          <w:p w14:paraId="26D90616"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9.6</w:t>
            </w:r>
          </w:p>
        </w:tc>
        <w:tc>
          <w:tcPr>
            <w:tcW w:w="940" w:type="dxa"/>
          </w:tcPr>
          <w:p w14:paraId="6ECB3BB4" w14:textId="77777777" w:rsidR="00461021" w:rsidRPr="00DC50F4" w:rsidRDefault="00461021"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C50F4">
              <w:rPr>
                <w:sz w:val="20"/>
                <w:szCs w:val="20"/>
                <w:lang w:eastAsia="en-AU"/>
              </w:rPr>
              <w:t>293894</w:t>
            </w:r>
          </w:p>
        </w:tc>
      </w:tr>
    </w:tbl>
    <w:p w14:paraId="70B76F51" w14:textId="77777777" w:rsidR="00461021" w:rsidRPr="00461021" w:rsidRDefault="00461021" w:rsidP="00461021">
      <w:pPr>
        <w:spacing w:after="0"/>
        <w:rPr>
          <w:i/>
          <w:sz w:val="18"/>
          <w:szCs w:val="18"/>
        </w:rPr>
      </w:pPr>
      <w:r w:rsidRPr="00461021">
        <w:rPr>
          <w:i/>
          <w:sz w:val="18"/>
          <w:szCs w:val="18"/>
        </w:rPr>
        <w:t xml:space="preserve">Source: </w:t>
      </w:r>
      <w:r w:rsidRPr="00461021">
        <w:rPr>
          <w:i/>
          <w:sz w:val="18"/>
          <w:szCs w:val="18"/>
          <w:lang w:val="en"/>
        </w:rPr>
        <w:t>AEDC (2012, 2015, 2018).</w:t>
      </w:r>
    </w:p>
    <w:p w14:paraId="48366578" w14:textId="77777777" w:rsidR="00E8435D" w:rsidRPr="00E8435D" w:rsidRDefault="00461021" w:rsidP="00E8435D">
      <w:pPr>
        <w:spacing w:after="0"/>
        <w:rPr>
          <w:i/>
          <w:sz w:val="18"/>
          <w:szCs w:val="18"/>
        </w:rPr>
      </w:pPr>
      <w:r w:rsidRPr="00461021">
        <w:rPr>
          <w:i/>
          <w:sz w:val="18"/>
          <w:szCs w:val="18"/>
        </w:rPr>
        <w:t>Note</w:t>
      </w:r>
      <w:r w:rsidR="00DF5B7D">
        <w:rPr>
          <w:i/>
          <w:sz w:val="18"/>
          <w:szCs w:val="18"/>
        </w:rPr>
        <w:t>s</w:t>
      </w:r>
      <w:r w:rsidRPr="00461021">
        <w:rPr>
          <w:i/>
          <w:sz w:val="18"/>
          <w:szCs w:val="18"/>
        </w:rPr>
        <w:t xml:space="preserve">: </w:t>
      </w:r>
      <w:r w:rsidR="00E8435D" w:rsidRPr="00E8435D">
        <w:rPr>
          <w:i/>
          <w:sz w:val="18"/>
          <w:szCs w:val="18"/>
        </w:rPr>
        <w:t>The BHB region refers to Bundaberg and Hervey Bay added together, which is identified using the ASG</w:t>
      </w:r>
      <w:r w:rsidR="003169FD">
        <w:rPr>
          <w:i/>
          <w:sz w:val="18"/>
          <w:szCs w:val="18"/>
        </w:rPr>
        <w:t>S</w:t>
      </w:r>
      <w:r w:rsidR="00E8435D" w:rsidRPr="00E8435D">
        <w:rPr>
          <w:i/>
          <w:sz w:val="18"/>
          <w:szCs w:val="18"/>
        </w:rPr>
        <w:t xml:space="preserve"> information at the SA3 level.</w:t>
      </w:r>
      <w:r w:rsidR="00DF5B7D">
        <w:rPr>
          <w:i/>
          <w:sz w:val="18"/>
          <w:szCs w:val="18"/>
        </w:rPr>
        <w:t xml:space="preserve"> </w:t>
      </w:r>
      <w:r w:rsidR="00DF5B7D" w:rsidRPr="00DF5B7D">
        <w:rPr>
          <w:i/>
          <w:sz w:val="18"/>
          <w:szCs w:val="18"/>
        </w:rPr>
        <w:t>Due to rounding, the total percentages may not sum up exactly to 100.</w:t>
      </w:r>
    </w:p>
    <w:p w14:paraId="07E76A19" w14:textId="669032F5" w:rsidR="00A97DDC" w:rsidRDefault="00A97DDC" w:rsidP="00A4064D">
      <w:pPr>
        <w:pStyle w:val="Caption"/>
        <w:spacing w:before="240"/>
      </w:pPr>
      <w:bookmarkStart w:id="354" w:name="_Toc37263608"/>
      <w:r>
        <w:t xml:space="preserve">Table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10</w:t>
      </w:r>
      <w:r w:rsidR="006C0554">
        <w:rPr>
          <w:noProof/>
        </w:rPr>
        <w:fldChar w:fldCharType="end"/>
      </w:r>
      <w:r>
        <w:t>: Child development outcome</w:t>
      </w:r>
      <w:r w:rsidR="00DF2F59">
        <w:t>s</w:t>
      </w:r>
      <w:r>
        <w:t xml:space="preserve"> </w:t>
      </w:r>
      <w:r w:rsidR="00DF2F59">
        <w:t>o</w:t>
      </w:r>
      <w:r>
        <w:t>n the social competence domain</w:t>
      </w:r>
      <w:bookmarkEnd w:id="354"/>
    </w:p>
    <w:tbl>
      <w:tblPr>
        <w:tblStyle w:val="ListTable3-Accent12"/>
        <w:tblW w:w="8792" w:type="dxa"/>
        <w:tblInd w:w="-5" w:type="dxa"/>
        <w:tblLook w:val="04A0" w:firstRow="1" w:lastRow="0" w:firstColumn="1" w:lastColumn="0" w:noHBand="0" w:noVBand="1"/>
      </w:tblPr>
      <w:tblGrid>
        <w:gridCol w:w="709"/>
        <w:gridCol w:w="1312"/>
        <w:gridCol w:w="886"/>
        <w:gridCol w:w="976"/>
        <w:gridCol w:w="992"/>
        <w:gridCol w:w="920"/>
        <w:gridCol w:w="1065"/>
        <w:gridCol w:w="992"/>
        <w:gridCol w:w="940"/>
      </w:tblGrid>
      <w:tr w:rsidR="00A97DDC" w:rsidRPr="00A97DDC" w14:paraId="29699CB9"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53DDE80B" w14:textId="77777777" w:rsidR="00A97DDC" w:rsidRPr="00A97DDC" w:rsidRDefault="00A97DDC" w:rsidP="000613C9">
            <w:pPr>
              <w:jc w:val="center"/>
              <w:rPr>
                <w:sz w:val="20"/>
                <w:szCs w:val="20"/>
                <w:lang w:eastAsia="en-AU"/>
              </w:rPr>
            </w:pPr>
          </w:p>
        </w:tc>
        <w:tc>
          <w:tcPr>
            <w:tcW w:w="0" w:type="dxa"/>
            <w:shd w:val="clear" w:color="auto" w:fill="2F5496" w:themeFill="accent5" w:themeFillShade="BF"/>
            <w:noWrap/>
            <w:hideMark/>
          </w:tcPr>
          <w:p w14:paraId="031BD939" w14:textId="77777777" w:rsidR="00A97DDC" w:rsidRPr="00A97DDC" w:rsidRDefault="00A97DDC"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p>
        </w:tc>
        <w:tc>
          <w:tcPr>
            <w:tcW w:w="0" w:type="dxa"/>
            <w:gridSpan w:val="2"/>
            <w:shd w:val="clear" w:color="auto" w:fill="2F5496" w:themeFill="accent5" w:themeFillShade="BF"/>
            <w:noWrap/>
          </w:tcPr>
          <w:p w14:paraId="5E691069" w14:textId="77777777" w:rsidR="00A97DDC" w:rsidRPr="00A97DDC" w:rsidRDefault="00A97DDC"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On track</w:t>
            </w:r>
          </w:p>
        </w:tc>
        <w:tc>
          <w:tcPr>
            <w:tcW w:w="0" w:type="dxa"/>
            <w:gridSpan w:val="2"/>
            <w:shd w:val="clear" w:color="auto" w:fill="2F5496" w:themeFill="accent5" w:themeFillShade="BF"/>
            <w:noWrap/>
          </w:tcPr>
          <w:p w14:paraId="7FA76888" w14:textId="77777777" w:rsidR="00A97DDC" w:rsidRPr="00A97DDC" w:rsidRDefault="00A97DDC"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At risk</w:t>
            </w:r>
          </w:p>
        </w:tc>
        <w:tc>
          <w:tcPr>
            <w:tcW w:w="0" w:type="dxa"/>
            <w:gridSpan w:val="2"/>
            <w:shd w:val="clear" w:color="auto" w:fill="2F5496" w:themeFill="accent5" w:themeFillShade="BF"/>
            <w:noWrap/>
          </w:tcPr>
          <w:p w14:paraId="546218D3" w14:textId="77777777" w:rsidR="00A97DDC" w:rsidRPr="00A97DDC" w:rsidRDefault="00A97DDC"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Vulnerable</w:t>
            </w:r>
          </w:p>
        </w:tc>
        <w:tc>
          <w:tcPr>
            <w:tcW w:w="0" w:type="dxa"/>
            <w:shd w:val="clear" w:color="auto" w:fill="2F5496" w:themeFill="accent5" w:themeFillShade="BF"/>
          </w:tcPr>
          <w:p w14:paraId="525F3463" w14:textId="77777777" w:rsidR="00A97DDC" w:rsidRPr="00A97DDC" w:rsidRDefault="00A97DDC"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Total</w:t>
            </w:r>
          </w:p>
        </w:tc>
      </w:tr>
      <w:tr w:rsidR="00A97DDC" w:rsidRPr="00A97DDC" w14:paraId="4D6BD40F"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3AE281E" w14:textId="77777777" w:rsidR="00A97DDC" w:rsidRPr="00A97DDC" w:rsidRDefault="00A97DDC" w:rsidP="00A97DDC">
            <w:pPr>
              <w:rPr>
                <w:sz w:val="20"/>
                <w:szCs w:val="20"/>
                <w:lang w:eastAsia="en-AU"/>
              </w:rPr>
            </w:pPr>
          </w:p>
        </w:tc>
        <w:tc>
          <w:tcPr>
            <w:tcW w:w="1312" w:type="dxa"/>
            <w:noWrap/>
          </w:tcPr>
          <w:p w14:paraId="5B45E89B"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886" w:type="dxa"/>
            <w:noWrap/>
          </w:tcPr>
          <w:p w14:paraId="23F956C1"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Cases</w:t>
            </w:r>
          </w:p>
        </w:tc>
        <w:tc>
          <w:tcPr>
            <w:tcW w:w="976" w:type="dxa"/>
            <w:noWrap/>
          </w:tcPr>
          <w:p w14:paraId="2F81F8CA"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Per</w:t>
            </w:r>
            <w:r w:rsidR="00880F57">
              <w:rPr>
                <w:sz w:val="20"/>
                <w:szCs w:val="20"/>
                <w:lang w:eastAsia="en-AU"/>
              </w:rPr>
              <w:t xml:space="preserve"> </w:t>
            </w:r>
            <w:r w:rsidRPr="00A97DDC">
              <w:rPr>
                <w:sz w:val="20"/>
                <w:szCs w:val="20"/>
                <w:lang w:eastAsia="en-AU"/>
              </w:rPr>
              <w:t>cent</w:t>
            </w:r>
          </w:p>
        </w:tc>
        <w:tc>
          <w:tcPr>
            <w:tcW w:w="992" w:type="dxa"/>
            <w:noWrap/>
          </w:tcPr>
          <w:p w14:paraId="28322C95"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Cases</w:t>
            </w:r>
          </w:p>
        </w:tc>
        <w:tc>
          <w:tcPr>
            <w:tcW w:w="920" w:type="dxa"/>
            <w:noWrap/>
          </w:tcPr>
          <w:p w14:paraId="27E529BF"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Per</w:t>
            </w:r>
            <w:r w:rsidR="00880F57">
              <w:rPr>
                <w:sz w:val="20"/>
                <w:szCs w:val="20"/>
                <w:lang w:eastAsia="en-AU"/>
              </w:rPr>
              <w:t xml:space="preserve"> </w:t>
            </w:r>
            <w:r w:rsidRPr="00A97DDC">
              <w:rPr>
                <w:sz w:val="20"/>
                <w:szCs w:val="20"/>
                <w:lang w:eastAsia="en-AU"/>
              </w:rPr>
              <w:t>cent</w:t>
            </w:r>
          </w:p>
        </w:tc>
        <w:tc>
          <w:tcPr>
            <w:tcW w:w="1065" w:type="dxa"/>
            <w:noWrap/>
          </w:tcPr>
          <w:p w14:paraId="1D7F4128"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Cases</w:t>
            </w:r>
          </w:p>
        </w:tc>
        <w:tc>
          <w:tcPr>
            <w:tcW w:w="992" w:type="dxa"/>
            <w:noWrap/>
          </w:tcPr>
          <w:p w14:paraId="35F35AEC"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Per</w:t>
            </w:r>
            <w:r w:rsidR="00880F57">
              <w:rPr>
                <w:sz w:val="20"/>
                <w:szCs w:val="20"/>
                <w:lang w:eastAsia="en-AU"/>
              </w:rPr>
              <w:t xml:space="preserve"> </w:t>
            </w:r>
            <w:r w:rsidRPr="00A97DDC">
              <w:rPr>
                <w:sz w:val="20"/>
                <w:szCs w:val="20"/>
                <w:lang w:eastAsia="en-AU"/>
              </w:rPr>
              <w:t>cent</w:t>
            </w:r>
          </w:p>
        </w:tc>
        <w:tc>
          <w:tcPr>
            <w:tcW w:w="940" w:type="dxa"/>
          </w:tcPr>
          <w:p w14:paraId="53F3DCD6" w14:textId="7F1A5B2A" w:rsidR="00A97DDC" w:rsidRPr="00A97DDC" w:rsidRDefault="00EF1500"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Cases</w:t>
            </w:r>
          </w:p>
        </w:tc>
      </w:tr>
      <w:tr w:rsidR="00A97DDC" w:rsidRPr="00A97DDC" w14:paraId="3AD2388D"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CB326E1" w14:textId="77777777" w:rsidR="00A97DDC" w:rsidRPr="00A97DDC" w:rsidRDefault="00A97DDC" w:rsidP="00A97DDC">
            <w:pPr>
              <w:rPr>
                <w:sz w:val="20"/>
                <w:szCs w:val="20"/>
                <w:lang w:eastAsia="en-AU"/>
              </w:rPr>
            </w:pPr>
            <w:r w:rsidRPr="00A97DDC">
              <w:rPr>
                <w:sz w:val="20"/>
                <w:szCs w:val="20"/>
                <w:lang w:eastAsia="en-AU"/>
              </w:rPr>
              <w:t>2012</w:t>
            </w:r>
          </w:p>
        </w:tc>
        <w:tc>
          <w:tcPr>
            <w:tcW w:w="1312" w:type="dxa"/>
            <w:noWrap/>
          </w:tcPr>
          <w:p w14:paraId="3FE76100"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Bundaberg</w:t>
            </w:r>
          </w:p>
        </w:tc>
        <w:tc>
          <w:tcPr>
            <w:tcW w:w="886" w:type="dxa"/>
            <w:noWrap/>
          </w:tcPr>
          <w:p w14:paraId="2A811FFB"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764</w:t>
            </w:r>
          </w:p>
        </w:tc>
        <w:tc>
          <w:tcPr>
            <w:tcW w:w="976" w:type="dxa"/>
            <w:noWrap/>
          </w:tcPr>
          <w:p w14:paraId="36B4B800"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72.3</w:t>
            </w:r>
          </w:p>
        </w:tc>
        <w:tc>
          <w:tcPr>
            <w:tcW w:w="992" w:type="dxa"/>
            <w:noWrap/>
          </w:tcPr>
          <w:p w14:paraId="4E03AD58"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168</w:t>
            </w:r>
          </w:p>
        </w:tc>
        <w:tc>
          <w:tcPr>
            <w:tcW w:w="920" w:type="dxa"/>
            <w:noWrap/>
          </w:tcPr>
          <w:p w14:paraId="7E1DDE89"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15.9</w:t>
            </w:r>
          </w:p>
        </w:tc>
        <w:tc>
          <w:tcPr>
            <w:tcW w:w="1065" w:type="dxa"/>
            <w:noWrap/>
          </w:tcPr>
          <w:p w14:paraId="5AEF183E"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125</w:t>
            </w:r>
          </w:p>
        </w:tc>
        <w:tc>
          <w:tcPr>
            <w:tcW w:w="992" w:type="dxa"/>
            <w:noWrap/>
          </w:tcPr>
          <w:p w14:paraId="2181E0B6"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11.8</w:t>
            </w:r>
          </w:p>
        </w:tc>
        <w:tc>
          <w:tcPr>
            <w:tcW w:w="940" w:type="dxa"/>
          </w:tcPr>
          <w:p w14:paraId="0E9665F6"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1,057</w:t>
            </w:r>
          </w:p>
        </w:tc>
      </w:tr>
      <w:tr w:rsidR="00A97DDC" w:rsidRPr="00A97DDC" w14:paraId="7E8FBA56"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DD05D2E" w14:textId="77777777" w:rsidR="00A97DDC" w:rsidRPr="00A97DDC" w:rsidRDefault="00A97DDC" w:rsidP="00A97DDC">
            <w:pPr>
              <w:rPr>
                <w:sz w:val="20"/>
                <w:szCs w:val="20"/>
                <w:lang w:eastAsia="en-AU"/>
              </w:rPr>
            </w:pPr>
          </w:p>
        </w:tc>
        <w:tc>
          <w:tcPr>
            <w:tcW w:w="1312" w:type="dxa"/>
            <w:noWrap/>
          </w:tcPr>
          <w:p w14:paraId="2D936D07"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Hervey Bay</w:t>
            </w:r>
          </w:p>
        </w:tc>
        <w:tc>
          <w:tcPr>
            <w:tcW w:w="886" w:type="dxa"/>
            <w:noWrap/>
          </w:tcPr>
          <w:p w14:paraId="0BCA6BAE"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509</w:t>
            </w:r>
          </w:p>
        </w:tc>
        <w:tc>
          <w:tcPr>
            <w:tcW w:w="976" w:type="dxa"/>
            <w:noWrap/>
          </w:tcPr>
          <w:p w14:paraId="6F91A649"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74.1</w:t>
            </w:r>
          </w:p>
        </w:tc>
        <w:tc>
          <w:tcPr>
            <w:tcW w:w="992" w:type="dxa"/>
            <w:noWrap/>
          </w:tcPr>
          <w:p w14:paraId="41A52193"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87</w:t>
            </w:r>
          </w:p>
        </w:tc>
        <w:tc>
          <w:tcPr>
            <w:tcW w:w="920" w:type="dxa"/>
            <w:noWrap/>
          </w:tcPr>
          <w:p w14:paraId="7705E355"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12.7</w:t>
            </w:r>
          </w:p>
        </w:tc>
        <w:tc>
          <w:tcPr>
            <w:tcW w:w="1065" w:type="dxa"/>
            <w:noWrap/>
          </w:tcPr>
          <w:p w14:paraId="37EF3967"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91</w:t>
            </w:r>
          </w:p>
        </w:tc>
        <w:tc>
          <w:tcPr>
            <w:tcW w:w="992" w:type="dxa"/>
            <w:noWrap/>
          </w:tcPr>
          <w:p w14:paraId="6F79F244"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13.2</w:t>
            </w:r>
          </w:p>
        </w:tc>
        <w:tc>
          <w:tcPr>
            <w:tcW w:w="940" w:type="dxa"/>
          </w:tcPr>
          <w:p w14:paraId="34501057"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687</w:t>
            </w:r>
          </w:p>
        </w:tc>
      </w:tr>
      <w:tr w:rsidR="00A97DDC" w:rsidRPr="00A97DDC" w14:paraId="42439756"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AEC6230" w14:textId="77777777" w:rsidR="00A97DDC" w:rsidRPr="00A97DDC" w:rsidRDefault="00A97DDC" w:rsidP="00A97DDC">
            <w:pPr>
              <w:rPr>
                <w:sz w:val="20"/>
                <w:szCs w:val="20"/>
                <w:lang w:eastAsia="en-AU"/>
              </w:rPr>
            </w:pPr>
          </w:p>
        </w:tc>
        <w:tc>
          <w:tcPr>
            <w:tcW w:w="1312" w:type="dxa"/>
            <w:noWrap/>
          </w:tcPr>
          <w:p w14:paraId="097FA97A"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BHB region</w:t>
            </w:r>
          </w:p>
        </w:tc>
        <w:tc>
          <w:tcPr>
            <w:tcW w:w="886" w:type="dxa"/>
            <w:noWrap/>
          </w:tcPr>
          <w:p w14:paraId="01955F4D"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1,273</w:t>
            </w:r>
          </w:p>
        </w:tc>
        <w:tc>
          <w:tcPr>
            <w:tcW w:w="976" w:type="dxa"/>
            <w:noWrap/>
          </w:tcPr>
          <w:p w14:paraId="5A75C65E"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73</w:t>
            </w:r>
          </w:p>
        </w:tc>
        <w:tc>
          <w:tcPr>
            <w:tcW w:w="992" w:type="dxa"/>
            <w:noWrap/>
          </w:tcPr>
          <w:p w14:paraId="7347E33B"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255</w:t>
            </w:r>
          </w:p>
        </w:tc>
        <w:tc>
          <w:tcPr>
            <w:tcW w:w="920" w:type="dxa"/>
            <w:noWrap/>
          </w:tcPr>
          <w:p w14:paraId="27E546FF"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14.6</w:t>
            </w:r>
          </w:p>
        </w:tc>
        <w:tc>
          <w:tcPr>
            <w:tcW w:w="1065" w:type="dxa"/>
            <w:noWrap/>
          </w:tcPr>
          <w:p w14:paraId="21E16228"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216</w:t>
            </w:r>
          </w:p>
        </w:tc>
        <w:tc>
          <w:tcPr>
            <w:tcW w:w="992" w:type="dxa"/>
            <w:noWrap/>
          </w:tcPr>
          <w:p w14:paraId="5E7F50E0"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12.4</w:t>
            </w:r>
          </w:p>
        </w:tc>
        <w:tc>
          <w:tcPr>
            <w:tcW w:w="940" w:type="dxa"/>
          </w:tcPr>
          <w:p w14:paraId="554E91FE"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1,744</w:t>
            </w:r>
          </w:p>
        </w:tc>
      </w:tr>
      <w:tr w:rsidR="00A97DDC" w:rsidRPr="00A97DDC" w14:paraId="1C9ED7D4"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611A4D2" w14:textId="77777777" w:rsidR="00A97DDC" w:rsidRPr="00A97DDC" w:rsidRDefault="00A97DDC" w:rsidP="00A97DDC">
            <w:pPr>
              <w:rPr>
                <w:sz w:val="20"/>
                <w:szCs w:val="20"/>
                <w:lang w:eastAsia="en-AU"/>
              </w:rPr>
            </w:pPr>
          </w:p>
        </w:tc>
        <w:tc>
          <w:tcPr>
            <w:tcW w:w="1312" w:type="dxa"/>
            <w:noWrap/>
          </w:tcPr>
          <w:p w14:paraId="5DECD950"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Queensland</w:t>
            </w:r>
          </w:p>
        </w:tc>
        <w:tc>
          <w:tcPr>
            <w:tcW w:w="886" w:type="dxa"/>
            <w:noWrap/>
          </w:tcPr>
          <w:p w14:paraId="6259C7C6"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42,392</w:t>
            </w:r>
          </w:p>
        </w:tc>
        <w:tc>
          <w:tcPr>
            <w:tcW w:w="976" w:type="dxa"/>
            <w:noWrap/>
          </w:tcPr>
          <w:p w14:paraId="2951DE7B"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72.9</w:t>
            </w:r>
          </w:p>
        </w:tc>
        <w:tc>
          <w:tcPr>
            <w:tcW w:w="992" w:type="dxa"/>
            <w:noWrap/>
          </w:tcPr>
          <w:p w14:paraId="44D0EF92"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9,077</w:t>
            </w:r>
          </w:p>
        </w:tc>
        <w:tc>
          <w:tcPr>
            <w:tcW w:w="920" w:type="dxa"/>
            <w:noWrap/>
          </w:tcPr>
          <w:p w14:paraId="1E839A8B"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15.6</w:t>
            </w:r>
          </w:p>
        </w:tc>
        <w:tc>
          <w:tcPr>
            <w:tcW w:w="1065" w:type="dxa"/>
            <w:noWrap/>
          </w:tcPr>
          <w:p w14:paraId="39CC8C8E"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6,717</w:t>
            </w:r>
          </w:p>
        </w:tc>
        <w:tc>
          <w:tcPr>
            <w:tcW w:w="992" w:type="dxa"/>
            <w:noWrap/>
          </w:tcPr>
          <w:p w14:paraId="7738F70E"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11.5</w:t>
            </w:r>
          </w:p>
        </w:tc>
        <w:tc>
          <w:tcPr>
            <w:tcW w:w="940" w:type="dxa"/>
          </w:tcPr>
          <w:p w14:paraId="5F6ABB43"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58,186</w:t>
            </w:r>
          </w:p>
        </w:tc>
      </w:tr>
      <w:tr w:rsidR="00A97DDC" w:rsidRPr="00A97DDC" w14:paraId="686263FD"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14CA955E" w14:textId="77777777" w:rsidR="00A97DDC" w:rsidRPr="00A97DDC" w:rsidRDefault="00A97DDC" w:rsidP="00A97DDC">
            <w:pPr>
              <w:rPr>
                <w:sz w:val="20"/>
                <w:szCs w:val="20"/>
                <w:lang w:eastAsia="en-AU"/>
              </w:rPr>
            </w:pPr>
          </w:p>
        </w:tc>
        <w:tc>
          <w:tcPr>
            <w:tcW w:w="1312" w:type="dxa"/>
            <w:noWrap/>
          </w:tcPr>
          <w:p w14:paraId="3AD0F736"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Australia</w:t>
            </w:r>
          </w:p>
        </w:tc>
        <w:tc>
          <w:tcPr>
            <w:tcW w:w="886" w:type="dxa"/>
            <w:noWrap/>
          </w:tcPr>
          <w:p w14:paraId="7DA8B811"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209,149</w:t>
            </w:r>
          </w:p>
        </w:tc>
        <w:tc>
          <w:tcPr>
            <w:tcW w:w="976" w:type="dxa"/>
            <w:noWrap/>
          </w:tcPr>
          <w:p w14:paraId="4CAA6221"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76.5</w:t>
            </w:r>
          </w:p>
        </w:tc>
        <w:tc>
          <w:tcPr>
            <w:tcW w:w="992" w:type="dxa"/>
            <w:noWrap/>
          </w:tcPr>
          <w:p w14:paraId="3F8372DD"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39,018</w:t>
            </w:r>
          </w:p>
        </w:tc>
        <w:tc>
          <w:tcPr>
            <w:tcW w:w="920" w:type="dxa"/>
            <w:noWrap/>
          </w:tcPr>
          <w:p w14:paraId="30DA7130"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14.3</w:t>
            </w:r>
          </w:p>
        </w:tc>
        <w:tc>
          <w:tcPr>
            <w:tcW w:w="1065" w:type="dxa"/>
            <w:noWrap/>
          </w:tcPr>
          <w:p w14:paraId="4734FD4D"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25,367</w:t>
            </w:r>
          </w:p>
        </w:tc>
        <w:tc>
          <w:tcPr>
            <w:tcW w:w="992" w:type="dxa"/>
            <w:noWrap/>
          </w:tcPr>
          <w:p w14:paraId="56E65C05"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9.3</w:t>
            </w:r>
          </w:p>
        </w:tc>
        <w:tc>
          <w:tcPr>
            <w:tcW w:w="940" w:type="dxa"/>
          </w:tcPr>
          <w:p w14:paraId="5E651EFB"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273,534</w:t>
            </w:r>
          </w:p>
        </w:tc>
      </w:tr>
      <w:tr w:rsidR="00A97DDC" w:rsidRPr="00A97DDC" w14:paraId="49943A06"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1A2D4D4" w14:textId="77777777" w:rsidR="00A97DDC" w:rsidRPr="00A97DDC" w:rsidRDefault="00A97DDC" w:rsidP="00A97DDC">
            <w:pPr>
              <w:rPr>
                <w:sz w:val="20"/>
                <w:szCs w:val="20"/>
                <w:lang w:eastAsia="en-AU"/>
              </w:rPr>
            </w:pPr>
            <w:r w:rsidRPr="00A97DDC">
              <w:rPr>
                <w:sz w:val="20"/>
                <w:szCs w:val="20"/>
                <w:lang w:eastAsia="en-AU"/>
              </w:rPr>
              <w:t>2015</w:t>
            </w:r>
          </w:p>
        </w:tc>
        <w:tc>
          <w:tcPr>
            <w:tcW w:w="1312" w:type="dxa"/>
            <w:noWrap/>
          </w:tcPr>
          <w:p w14:paraId="7ECB7C6A"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Bundaberg</w:t>
            </w:r>
          </w:p>
        </w:tc>
        <w:tc>
          <w:tcPr>
            <w:tcW w:w="886" w:type="dxa"/>
            <w:noWrap/>
          </w:tcPr>
          <w:p w14:paraId="5F70DF93"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720</w:t>
            </w:r>
          </w:p>
        </w:tc>
        <w:tc>
          <w:tcPr>
            <w:tcW w:w="976" w:type="dxa"/>
            <w:noWrap/>
          </w:tcPr>
          <w:p w14:paraId="083DE7FE"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67.8</w:t>
            </w:r>
          </w:p>
        </w:tc>
        <w:tc>
          <w:tcPr>
            <w:tcW w:w="992" w:type="dxa"/>
            <w:noWrap/>
          </w:tcPr>
          <w:p w14:paraId="49F9A9BB"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185</w:t>
            </w:r>
          </w:p>
        </w:tc>
        <w:tc>
          <w:tcPr>
            <w:tcW w:w="920" w:type="dxa"/>
            <w:noWrap/>
          </w:tcPr>
          <w:p w14:paraId="09F13617"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17.4</w:t>
            </w:r>
          </w:p>
        </w:tc>
        <w:tc>
          <w:tcPr>
            <w:tcW w:w="1065" w:type="dxa"/>
            <w:noWrap/>
          </w:tcPr>
          <w:p w14:paraId="05B4CAF4"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157</w:t>
            </w:r>
          </w:p>
        </w:tc>
        <w:tc>
          <w:tcPr>
            <w:tcW w:w="992" w:type="dxa"/>
            <w:noWrap/>
          </w:tcPr>
          <w:p w14:paraId="03DAA7C5"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14.8</w:t>
            </w:r>
          </w:p>
        </w:tc>
        <w:tc>
          <w:tcPr>
            <w:tcW w:w="940" w:type="dxa"/>
          </w:tcPr>
          <w:p w14:paraId="7662DBB9"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1,062</w:t>
            </w:r>
          </w:p>
        </w:tc>
      </w:tr>
      <w:tr w:rsidR="00A97DDC" w:rsidRPr="00A97DDC" w14:paraId="1442C48F"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682CEB9" w14:textId="77777777" w:rsidR="00A97DDC" w:rsidRPr="00A97DDC" w:rsidRDefault="00A97DDC" w:rsidP="00A97DDC">
            <w:pPr>
              <w:rPr>
                <w:sz w:val="20"/>
                <w:szCs w:val="20"/>
                <w:lang w:eastAsia="en-AU"/>
              </w:rPr>
            </w:pPr>
          </w:p>
        </w:tc>
        <w:tc>
          <w:tcPr>
            <w:tcW w:w="1312" w:type="dxa"/>
            <w:noWrap/>
          </w:tcPr>
          <w:p w14:paraId="7341612D"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Hervey Bay</w:t>
            </w:r>
          </w:p>
        </w:tc>
        <w:tc>
          <w:tcPr>
            <w:tcW w:w="886" w:type="dxa"/>
            <w:noWrap/>
          </w:tcPr>
          <w:p w14:paraId="2E39F09D"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442</w:t>
            </w:r>
          </w:p>
        </w:tc>
        <w:tc>
          <w:tcPr>
            <w:tcW w:w="976" w:type="dxa"/>
            <w:noWrap/>
          </w:tcPr>
          <w:p w14:paraId="7FD074D9"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68</w:t>
            </w:r>
          </w:p>
        </w:tc>
        <w:tc>
          <w:tcPr>
            <w:tcW w:w="992" w:type="dxa"/>
            <w:noWrap/>
          </w:tcPr>
          <w:p w14:paraId="7B1FA369"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125</w:t>
            </w:r>
          </w:p>
        </w:tc>
        <w:tc>
          <w:tcPr>
            <w:tcW w:w="920" w:type="dxa"/>
            <w:noWrap/>
          </w:tcPr>
          <w:p w14:paraId="07CCF9A5"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19.2</w:t>
            </w:r>
          </w:p>
        </w:tc>
        <w:tc>
          <w:tcPr>
            <w:tcW w:w="1065" w:type="dxa"/>
            <w:noWrap/>
          </w:tcPr>
          <w:p w14:paraId="5D91E437"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83</w:t>
            </w:r>
          </w:p>
        </w:tc>
        <w:tc>
          <w:tcPr>
            <w:tcW w:w="992" w:type="dxa"/>
            <w:noWrap/>
          </w:tcPr>
          <w:p w14:paraId="40ECF170"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12.8</w:t>
            </w:r>
          </w:p>
        </w:tc>
        <w:tc>
          <w:tcPr>
            <w:tcW w:w="940" w:type="dxa"/>
          </w:tcPr>
          <w:p w14:paraId="5CF73F43"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650</w:t>
            </w:r>
          </w:p>
        </w:tc>
      </w:tr>
      <w:tr w:rsidR="00A97DDC" w:rsidRPr="00A97DDC" w14:paraId="53773BA4"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07B65E8" w14:textId="77777777" w:rsidR="00A97DDC" w:rsidRPr="00A97DDC" w:rsidRDefault="00A97DDC" w:rsidP="00A97DDC">
            <w:pPr>
              <w:rPr>
                <w:sz w:val="20"/>
                <w:szCs w:val="20"/>
                <w:lang w:eastAsia="en-AU"/>
              </w:rPr>
            </w:pPr>
          </w:p>
        </w:tc>
        <w:tc>
          <w:tcPr>
            <w:tcW w:w="1312" w:type="dxa"/>
            <w:noWrap/>
          </w:tcPr>
          <w:p w14:paraId="79016BD1"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BHB region</w:t>
            </w:r>
          </w:p>
        </w:tc>
        <w:tc>
          <w:tcPr>
            <w:tcW w:w="886" w:type="dxa"/>
            <w:noWrap/>
          </w:tcPr>
          <w:p w14:paraId="46921867"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1,162</w:t>
            </w:r>
          </w:p>
        </w:tc>
        <w:tc>
          <w:tcPr>
            <w:tcW w:w="976" w:type="dxa"/>
            <w:noWrap/>
          </w:tcPr>
          <w:p w14:paraId="6DBEFB69"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67.9</w:t>
            </w:r>
          </w:p>
        </w:tc>
        <w:tc>
          <w:tcPr>
            <w:tcW w:w="992" w:type="dxa"/>
            <w:noWrap/>
          </w:tcPr>
          <w:p w14:paraId="52BFDCBC"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310</w:t>
            </w:r>
          </w:p>
        </w:tc>
        <w:tc>
          <w:tcPr>
            <w:tcW w:w="920" w:type="dxa"/>
            <w:noWrap/>
          </w:tcPr>
          <w:p w14:paraId="25840039"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18.1</w:t>
            </w:r>
          </w:p>
        </w:tc>
        <w:tc>
          <w:tcPr>
            <w:tcW w:w="1065" w:type="dxa"/>
            <w:noWrap/>
          </w:tcPr>
          <w:p w14:paraId="54096213"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240</w:t>
            </w:r>
          </w:p>
        </w:tc>
        <w:tc>
          <w:tcPr>
            <w:tcW w:w="992" w:type="dxa"/>
            <w:noWrap/>
          </w:tcPr>
          <w:p w14:paraId="070444CE"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14</w:t>
            </w:r>
          </w:p>
        </w:tc>
        <w:tc>
          <w:tcPr>
            <w:tcW w:w="940" w:type="dxa"/>
          </w:tcPr>
          <w:p w14:paraId="49D03467"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1,712</w:t>
            </w:r>
          </w:p>
        </w:tc>
      </w:tr>
      <w:tr w:rsidR="00A97DDC" w:rsidRPr="00A97DDC" w14:paraId="7B2C2578"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037F5D2" w14:textId="77777777" w:rsidR="00A97DDC" w:rsidRPr="00A97DDC" w:rsidRDefault="00A97DDC" w:rsidP="00A97DDC">
            <w:pPr>
              <w:rPr>
                <w:sz w:val="20"/>
                <w:szCs w:val="20"/>
                <w:lang w:eastAsia="en-AU"/>
              </w:rPr>
            </w:pPr>
          </w:p>
        </w:tc>
        <w:tc>
          <w:tcPr>
            <w:tcW w:w="1312" w:type="dxa"/>
            <w:noWrap/>
          </w:tcPr>
          <w:p w14:paraId="1DDE3AB4"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Queensland</w:t>
            </w:r>
          </w:p>
        </w:tc>
        <w:tc>
          <w:tcPr>
            <w:tcW w:w="886" w:type="dxa"/>
            <w:noWrap/>
          </w:tcPr>
          <w:p w14:paraId="717ED4D1"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44,213</w:t>
            </w:r>
          </w:p>
        </w:tc>
        <w:tc>
          <w:tcPr>
            <w:tcW w:w="976" w:type="dxa"/>
            <w:noWrap/>
          </w:tcPr>
          <w:p w14:paraId="29B7566E"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71.2</w:t>
            </w:r>
          </w:p>
        </w:tc>
        <w:tc>
          <w:tcPr>
            <w:tcW w:w="992" w:type="dxa"/>
            <w:noWrap/>
          </w:tcPr>
          <w:p w14:paraId="797B8137"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10,204</w:t>
            </w:r>
          </w:p>
        </w:tc>
        <w:tc>
          <w:tcPr>
            <w:tcW w:w="920" w:type="dxa"/>
            <w:noWrap/>
          </w:tcPr>
          <w:p w14:paraId="12191138"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16.4</w:t>
            </w:r>
          </w:p>
        </w:tc>
        <w:tc>
          <w:tcPr>
            <w:tcW w:w="1065" w:type="dxa"/>
            <w:noWrap/>
          </w:tcPr>
          <w:p w14:paraId="66B65D18"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7,719</w:t>
            </w:r>
          </w:p>
        </w:tc>
        <w:tc>
          <w:tcPr>
            <w:tcW w:w="992" w:type="dxa"/>
            <w:noWrap/>
          </w:tcPr>
          <w:p w14:paraId="7D1E540E"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12.4</w:t>
            </w:r>
          </w:p>
        </w:tc>
        <w:tc>
          <w:tcPr>
            <w:tcW w:w="940" w:type="dxa"/>
          </w:tcPr>
          <w:p w14:paraId="0F8BA456"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62,136</w:t>
            </w:r>
          </w:p>
        </w:tc>
      </w:tr>
      <w:tr w:rsidR="00A97DDC" w:rsidRPr="00A97DDC" w14:paraId="71ACA22E"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7A66F91" w14:textId="77777777" w:rsidR="00A97DDC" w:rsidRPr="00A97DDC" w:rsidRDefault="00A97DDC" w:rsidP="00A97DDC">
            <w:pPr>
              <w:rPr>
                <w:sz w:val="20"/>
                <w:szCs w:val="20"/>
                <w:lang w:eastAsia="en-AU"/>
              </w:rPr>
            </w:pPr>
          </w:p>
        </w:tc>
        <w:tc>
          <w:tcPr>
            <w:tcW w:w="1312" w:type="dxa"/>
            <w:noWrap/>
          </w:tcPr>
          <w:p w14:paraId="7712FAFE"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Australia</w:t>
            </w:r>
          </w:p>
        </w:tc>
        <w:tc>
          <w:tcPr>
            <w:tcW w:w="886" w:type="dxa"/>
            <w:noWrap/>
          </w:tcPr>
          <w:p w14:paraId="2E33E300"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215,605</w:t>
            </w:r>
          </w:p>
        </w:tc>
        <w:tc>
          <w:tcPr>
            <w:tcW w:w="976" w:type="dxa"/>
            <w:noWrap/>
          </w:tcPr>
          <w:p w14:paraId="1798533D"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75.2</w:t>
            </w:r>
          </w:p>
        </w:tc>
        <w:tc>
          <w:tcPr>
            <w:tcW w:w="992" w:type="dxa"/>
            <w:noWrap/>
          </w:tcPr>
          <w:p w14:paraId="49BE15A3"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42,892</w:t>
            </w:r>
          </w:p>
        </w:tc>
        <w:tc>
          <w:tcPr>
            <w:tcW w:w="920" w:type="dxa"/>
            <w:noWrap/>
          </w:tcPr>
          <w:p w14:paraId="1C50FD30"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15</w:t>
            </w:r>
          </w:p>
        </w:tc>
        <w:tc>
          <w:tcPr>
            <w:tcW w:w="1065" w:type="dxa"/>
            <w:noWrap/>
          </w:tcPr>
          <w:p w14:paraId="6A0DCE49"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28,351</w:t>
            </w:r>
          </w:p>
        </w:tc>
        <w:tc>
          <w:tcPr>
            <w:tcW w:w="992" w:type="dxa"/>
            <w:noWrap/>
          </w:tcPr>
          <w:p w14:paraId="2EAFBB09"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9.9</w:t>
            </w:r>
          </w:p>
        </w:tc>
        <w:tc>
          <w:tcPr>
            <w:tcW w:w="940" w:type="dxa"/>
          </w:tcPr>
          <w:p w14:paraId="26A70D0E"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286,848</w:t>
            </w:r>
          </w:p>
        </w:tc>
      </w:tr>
      <w:tr w:rsidR="00A97DDC" w:rsidRPr="00A97DDC" w14:paraId="7176138D"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06D6C596" w14:textId="77777777" w:rsidR="00A97DDC" w:rsidRPr="00A97DDC" w:rsidRDefault="00A97DDC" w:rsidP="00A97DDC">
            <w:pPr>
              <w:rPr>
                <w:sz w:val="20"/>
                <w:szCs w:val="20"/>
                <w:lang w:eastAsia="en-AU"/>
              </w:rPr>
            </w:pPr>
            <w:r w:rsidRPr="00A97DDC">
              <w:rPr>
                <w:sz w:val="20"/>
                <w:szCs w:val="20"/>
                <w:lang w:eastAsia="en-AU"/>
              </w:rPr>
              <w:t>2018</w:t>
            </w:r>
          </w:p>
        </w:tc>
        <w:tc>
          <w:tcPr>
            <w:tcW w:w="1312" w:type="dxa"/>
            <w:noWrap/>
          </w:tcPr>
          <w:p w14:paraId="7866BD2B"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Bundaberg</w:t>
            </w:r>
          </w:p>
        </w:tc>
        <w:tc>
          <w:tcPr>
            <w:tcW w:w="886" w:type="dxa"/>
            <w:noWrap/>
          </w:tcPr>
          <w:p w14:paraId="187404DF"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726</w:t>
            </w:r>
          </w:p>
        </w:tc>
        <w:tc>
          <w:tcPr>
            <w:tcW w:w="976" w:type="dxa"/>
            <w:noWrap/>
          </w:tcPr>
          <w:p w14:paraId="35EBA85E"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67.9</w:t>
            </w:r>
          </w:p>
        </w:tc>
        <w:tc>
          <w:tcPr>
            <w:tcW w:w="992" w:type="dxa"/>
            <w:noWrap/>
          </w:tcPr>
          <w:p w14:paraId="2CA6F152"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175</w:t>
            </w:r>
          </w:p>
        </w:tc>
        <w:tc>
          <w:tcPr>
            <w:tcW w:w="920" w:type="dxa"/>
            <w:noWrap/>
          </w:tcPr>
          <w:p w14:paraId="1B84A218"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16.4</w:t>
            </w:r>
          </w:p>
        </w:tc>
        <w:tc>
          <w:tcPr>
            <w:tcW w:w="1065" w:type="dxa"/>
            <w:noWrap/>
          </w:tcPr>
          <w:p w14:paraId="4A4B3B40"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168</w:t>
            </w:r>
          </w:p>
        </w:tc>
        <w:tc>
          <w:tcPr>
            <w:tcW w:w="992" w:type="dxa"/>
            <w:noWrap/>
          </w:tcPr>
          <w:p w14:paraId="432CD97F"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15.7</w:t>
            </w:r>
          </w:p>
        </w:tc>
        <w:tc>
          <w:tcPr>
            <w:tcW w:w="940" w:type="dxa"/>
          </w:tcPr>
          <w:p w14:paraId="2AA0AF69"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1,069</w:t>
            </w:r>
          </w:p>
        </w:tc>
      </w:tr>
      <w:tr w:rsidR="00A97DDC" w:rsidRPr="00A97DDC" w14:paraId="336D5EC0"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9D90234" w14:textId="77777777" w:rsidR="00A97DDC" w:rsidRPr="00A97DDC" w:rsidRDefault="00A97DDC" w:rsidP="00A97DDC">
            <w:pPr>
              <w:rPr>
                <w:sz w:val="20"/>
                <w:szCs w:val="20"/>
                <w:lang w:eastAsia="en-AU"/>
              </w:rPr>
            </w:pPr>
          </w:p>
        </w:tc>
        <w:tc>
          <w:tcPr>
            <w:tcW w:w="1312" w:type="dxa"/>
            <w:noWrap/>
          </w:tcPr>
          <w:p w14:paraId="75367A00"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Hervey Bay</w:t>
            </w:r>
          </w:p>
        </w:tc>
        <w:tc>
          <w:tcPr>
            <w:tcW w:w="886" w:type="dxa"/>
            <w:noWrap/>
          </w:tcPr>
          <w:p w14:paraId="45F34E88"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381</w:t>
            </w:r>
          </w:p>
        </w:tc>
        <w:tc>
          <w:tcPr>
            <w:tcW w:w="976" w:type="dxa"/>
            <w:noWrap/>
          </w:tcPr>
          <w:p w14:paraId="22188D0D"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64.8</w:t>
            </w:r>
          </w:p>
        </w:tc>
        <w:tc>
          <w:tcPr>
            <w:tcW w:w="992" w:type="dxa"/>
            <w:noWrap/>
          </w:tcPr>
          <w:p w14:paraId="22E7F6CE"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102</w:t>
            </w:r>
          </w:p>
        </w:tc>
        <w:tc>
          <w:tcPr>
            <w:tcW w:w="920" w:type="dxa"/>
            <w:noWrap/>
          </w:tcPr>
          <w:p w14:paraId="37F3F076"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17.3</w:t>
            </w:r>
          </w:p>
        </w:tc>
        <w:tc>
          <w:tcPr>
            <w:tcW w:w="1065" w:type="dxa"/>
            <w:noWrap/>
          </w:tcPr>
          <w:p w14:paraId="245CBE7A"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105</w:t>
            </w:r>
          </w:p>
        </w:tc>
        <w:tc>
          <w:tcPr>
            <w:tcW w:w="992" w:type="dxa"/>
            <w:noWrap/>
          </w:tcPr>
          <w:p w14:paraId="15041F78"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17.9</w:t>
            </w:r>
          </w:p>
        </w:tc>
        <w:tc>
          <w:tcPr>
            <w:tcW w:w="940" w:type="dxa"/>
          </w:tcPr>
          <w:p w14:paraId="5A380D91"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588</w:t>
            </w:r>
          </w:p>
        </w:tc>
      </w:tr>
      <w:tr w:rsidR="00A97DDC" w:rsidRPr="00A97DDC" w14:paraId="52DAA997"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05D8B4E2" w14:textId="77777777" w:rsidR="00A97DDC" w:rsidRPr="00A97DDC" w:rsidRDefault="00A97DDC" w:rsidP="00A97DDC">
            <w:pPr>
              <w:rPr>
                <w:sz w:val="20"/>
                <w:szCs w:val="20"/>
                <w:lang w:eastAsia="en-AU"/>
              </w:rPr>
            </w:pPr>
          </w:p>
        </w:tc>
        <w:tc>
          <w:tcPr>
            <w:tcW w:w="1312" w:type="dxa"/>
            <w:noWrap/>
          </w:tcPr>
          <w:p w14:paraId="65A0005D"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BHB region</w:t>
            </w:r>
          </w:p>
        </w:tc>
        <w:tc>
          <w:tcPr>
            <w:tcW w:w="886" w:type="dxa"/>
            <w:noWrap/>
          </w:tcPr>
          <w:p w14:paraId="463AEDD1"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1,107</w:t>
            </w:r>
          </w:p>
        </w:tc>
        <w:tc>
          <w:tcPr>
            <w:tcW w:w="976" w:type="dxa"/>
            <w:noWrap/>
          </w:tcPr>
          <w:p w14:paraId="5DC23255"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66.8</w:t>
            </w:r>
          </w:p>
        </w:tc>
        <w:tc>
          <w:tcPr>
            <w:tcW w:w="992" w:type="dxa"/>
            <w:noWrap/>
          </w:tcPr>
          <w:p w14:paraId="7E11C4B0"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277</w:t>
            </w:r>
          </w:p>
        </w:tc>
        <w:tc>
          <w:tcPr>
            <w:tcW w:w="920" w:type="dxa"/>
            <w:noWrap/>
          </w:tcPr>
          <w:p w14:paraId="0AB37DAA"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16.7</w:t>
            </w:r>
          </w:p>
        </w:tc>
        <w:tc>
          <w:tcPr>
            <w:tcW w:w="1065" w:type="dxa"/>
            <w:noWrap/>
          </w:tcPr>
          <w:p w14:paraId="22E8A1A0"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273</w:t>
            </w:r>
          </w:p>
        </w:tc>
        <w:tc>
          <w:tcPr>
            <w:tcW w:w="992" w:type="dxa"/>
            <w:noWrap/>
          </w:tcPr>
          <w:p w14:paraId="518D39CF"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16.5</w:t>
            </w:r>
          </w:p>
        </w:tc>
        <w:tc>
          <w:tcPr>
            <w:tcW w:w="940" w:type="dxa"/>
          </w:tcPr>
          <w:p w14:paraId="31EFAD5D"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1,657</w:t>
            </w:r>
          </w:p>
        </w:tc>
      </w:tr>
      <w:tr w:rsidR="00A97DDC" w:rsidRPr="00A97DDC" w14:paraId="43AE5131"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9A8F9C5" w14:textId="77777777" w:rsidR="00A97DDC" w:rsidRPr="00A97DDC" w:rsidRDefault="00A97DDC" w:rsidP="00A97DDC">
            <w:pPr>
              <w:rPr>
                <w:sz w:val="20"/>
                <w:szCs w:val="20"/>
                <w:lang w:eastAsia="en-AU"/>
              </w:rPr>
            </w:pPr>
          </w:p>
        </w:tc>
        <w:tc>
          <w:tcPr>
            <w:tcW w:w="1312" w:type="dxa"/>
            <w:noWrap/>
          </w:tcPr>
          <w:p w14:paraId="5282D454"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Queensland</w:t>
            </w:r>
          </w:p>
        </w:tc>
        <w:tc>
          <w:tcPr>
            <w:tcW w:w="886" w:type="dxa"/>
            <w:noWrap/>
          </w:tcPr>
          <w:p w14:paraId="00188B96" w14:textId="77777777" w:rsidR="00A97DDC" w:rsidRPr="00A97DDC"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44,446</w:t>
            </w:r>
          </w:p>
        </w:tc>
        <w:tc>
          <w:tcPr>
            <w:tcW w:w="976" w:type="dxa"/>
            <w:noWrap/>
          </w:tcPr>
          <w:p w14:paraId="48AFB0A4"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71.9</w:t>
            </w:r>
          </w:p>
        </w:tc>
        <w:tc>
          <w:tcPr>
            <w:tcW w:w="992" w:type="dxa"/>
            <w:noWrap/>
          </w:tcPr>
          <w:p w14:paraId="1718516F"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10,004</w:t>
            </w:r>
          </w:p>
        </w:tc>
        <w:tc>
          <w:tcPr>
            <w:tcW w:w="920" w:type="dxa"/>
            <w:noWrap/>
          </w:tcPr>
          <w:p w14:paraId="1AF8C5E0"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16.2</w:t>
            </w:r>
          </w:p>
        </w:tc>
        <w:tc>
          <w:tcPr>
            <w:tcW w:w="1065" w:type="dxa"/>
            <w:noWrap/>
          </w:tcPr>
          <w:p w14:paraId="54CBDED7"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7,388</w:t>
            </w:r>
          </w:p>
        </w:tc>
        <w:tc>
          <w:tcPr>
            <w:tcW w:w="992" w:type="dxa"/>
            <w:noWrap/>
          </w:tcPr>
          <w:p w14:paraId="2C30CE59"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11.9</w:t>
            </w:r>
          </w:p>
        </w:tc>
        <w:tc>
          <w:tcPr>
            <w:tcW w:w="940" w:type="dxa"/>
          </w:tcPr>
          <w:p w14:paraId="676909EA" w14:textId="77777777" w:rsidR="00A97DDC" w:rsidRPr="00A97DDC"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A97DDC">
              <w:rPr>
                <w:sz w:val="20"/>
                <w:szCs w:val="20"/>
                <w:lang w:eastAsia="en-AU"/>
              </w:rPr>
              <w:t>61,838</w:t>
            </w:r>
          </w:p>
        </w:tc>
      </w:tr>
      <w:tr w:rsidR="00A97DDC" w:rsidRPr="00A97DDC" w14:paraId="22999D93"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116D8FF5" w14:textId="77777777" w:rsidR="00A97DDC" w:rsidRPr="00A97DDC" w:rsidRDefault="00A97DDC" w:rsidP="00A97DDC">
            <w:pPr>
              <w:rPr>
                <w:sz w:val="20"/>
                <w:szCs w:val="20"/>
                <w:lang w:eastAsia="en-AU"/>
              </w:rPr>
            </w:pPr>
          </w:p>
        </w:tc>
        <w:tc>
          <w:tcPr>
            <w:tcW w:w="1312" w:type="dxa"/>
            <w:noWrap/>
          </w:tcPr>
          <w:p w14:paraId="33386499"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Australia</w:t>
            </w:r>
          </w:p>
        </w:tc>
        <w:tc>
          <w:tcPr>
            <w:tcW w:w="886" w:type="dxa"/>
            <w:noWrap/>
          </w:tcPr>
          <w:p w14:paraId="15781D13" w14:textId="77777777" w:rsidR="00A97DDC" w:rsidRPr="00A97DDC"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222,771</w:t>
            </w:r>
          </w:p>
        </w:tc>
        <w:tc>
          <w:tcPr>
            <w:tcW w:w="976" w:type="dxa"/>
            <w:noWrap/>
          </w:tcPr>
          <w:p w14:paraId="3C000D10"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75.8</w:t>
            </w:r>
          </w:p>
        </w:tc>
        <w:tc>
          <w:tcPr>
            <w:tcW w:w="992" w:type="dxa"/>
            <w:noWrap/>
          </w:tcPr>
          <w:p w14:paraId="6901EA43"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42,434</w:t>
            </w:r>
          </w:p>
        </w:tc>
        <w:tc>
          <w:tcPr>
            <w:tcW w:w="920" w:type="dxa"/>
            <w:noWrap/>
          </w:tcPr>
          <w:p w14:paraId="0985092D"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14.4</w:t>
            </w:r>
          </w:p>
        </w:tc>
        <w:tc>
          <w:tcPr>
            <w:tcW w:w="1065" w:type="dxa"/>
            <w:noWrap/>
          </w:tcPr>
          <w:p w14:paraId="4FBDA7FD"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28,673</w:t>
            </w:r>
          </w:p>
        </w:tc>
        <w:tc>
          <w:tcPr>
            <w:tcW w:w="992" w:type="dxa"/>
            <w:noWrap/>
          </w:tcPr>
          <w:p w14:paraId="39E267EE"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9.8</w:t>
            </w:r>
          </w:p>
        </w:tc>
        <w:tc>
          <w:tcPr>
            <w:tcW w:w="940" w:type="dxa"/>
          </w:tcPr>
          <w:p w14:paraId="3DB9F931" w14:textId="77777777" w:rsidR="00A97DDC" w:rsidRPr="00A97DDC"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A97DDC">
              <w:rPr>
                <w:sz w:val="20"/>
                <w:szCs w:val="20"/>
                <w:lang w:eastAsia="en-AU"/>
              </w:rPr>
              <w:t>293,878</w:t>
            </w:r>
          </w:p>
        </w:tc>
      </w:tr>
    </w:tbl>
    <w:p w14:paraId="7A3EE2E5" w14:textId="77777777" w:rsidR="00E8435D" w:rsidRPr="00461021" w:rsidRDefault="00E8435D" w:rsidP="00E8435D">
      <w:pPr>
        <w:spacing w:after="0"/>
        <w:rPr>
          <w:i/>
          <w:sz w:val="18"/>
          <w:szCs w:val="18"/>
        </w:rPr>
      </w:pPr>
      <w:r w:rsidRPr="00461021">
        <w:rPr>
          <w:i/>
          <w:sz w:val="18"/>
          <w:szCs w:val="18"/>
        </w:rPr>
        <w:t xml:space="preserve">Source: </w:t>
      </w:r>
      <w:r w:rsidRPr="00461021">
        <w:rPr>
          <w:i/>
          <w:sz w:val="18"/>
          <w:szCs w:val="18"/>
          <w:lang w:val="en"/>
        </w:rPr>
        <w:t>AEDC (2012, 2015, 2018).</w:t>
      </w:r>
    </w:p>
    <w:p w14:paraId="59936ADE" w14:textId="77777777" w:rsidR="00E8435D" w:rsidRPr="00E8435D" w:rsidRDefault="00E8435D" w:rsidP="00E8435D">
      <w:pPr>
        <w:spacing w:after="0"/>
        <w:rPr>
          <w:i/>
          <w:sz w:val="18"/>
          <w:szCs w:val="18"/>
        </w:rPr>
      </w:pPr>
      <w:r w:rsidRPr="00461021">
        <w:rPr>
          <w:i/>
          <w:sz w:val="18"/>
          <w:szCs w:val="18"/>
        </w:rPr>
        <w:t>Note</w:t>
      </w:r>
      <w:r w:rsidR="00DF5B7D">
        <w:rPr>
          <w:i/>
          <w:sz w:val="18"/>
          <w:szCs w:val="18"/>
        </w:rPr>
        <w:t>s</w:t>
      </w:r>
      <w:r w:rsidRPr="00461021">
        <w:rPr>
          <w:i/>
          <w:sz w:val="18"/>
          <w:szCs w:val="18"/>
        </w:rPr>
        <w:t xml:space="preserve">: </w:t>
      </w:r>
      <w:r w:rsidRPr="00E8435D">
        <w:rPr>
          <w:i/>
          <w:sz w:val="18"/>
          <w:szCs w:val="18"/>
        </w:rPr>
        <w:t xml:space="preserve">The BHB region refers to Bundaberg and Hervey Bay added together, which is identified using the </w:t>
      </w:r>
      <w:r w:rsidR="00870E6D" w:rsidRPr="00870E6D">
        <w:rPr>
          <w:i/>
          <w:iCs/>
          <w:sz w:val="18"/>
          <w:szCs w:val="18"/>
        </w:rPr>
        <w:t>ABS Main Area Structure</w:t>
      </w:r>
      <w:r w:rsidRPr="00E8435D">
        <w:rPr>
          <w:i/>
          <w:sz w:val="18"/>
          <w:szCs w:val="18"/>
        </w:rPr>
        <w:t xml:space="preserve"> information at the SA3 level.</w:t>
      </w:r>
      <w:r w:rsidR="00DF5B7D">
        <w:rPr>
          <w:i/>
          <w:sz w:val="18"/>
          <w:szCs w:val="18"/>
        </w:rPr>
        <w:t xml:space="preserve"> </w:t>
      </w:r>
      <w:r w:rsidR="00DF5B7D" w:rsidRPr="00DF5B7D">
        <w:rPr>
          <w:i/>
          <w:sz w:val="18"/>
          <w:szCs w:val="18"/>
        </w:rPr>
        <w:t>Due to rounding, the total percentages may not sum up exactly to 100.</w:t>
      </w:r>
    </w:p>
    <w:p w14:paraId="0777B446" w14:textId="77777777" w:rsidR="00F8161F" w:rsidRDefault="00F8161F">
      <w:pPr>
        <w:jc w:val="left"/>
      </w:pPr>
      <w:r>
        <w:br w:type="page"/>
      </w:r>
    </w:p>
    <w:p w14:paraId="164B8AF1" w14:textId="35114880" w:rsidR="00A97DDC" w:rsidRDefault="00A97DDC" w:rsidP="00A97DDC">
      <w:pPr>
        <w:pStyle w:val="Caption"/>
      </w:pPr>
      <w:bookmarkStart w:id="355" w:name="_Toc37263609"/>
      <w:r>
        <w:lastRenderedPageBreak/>
        <w:t xml:space="preserve">Table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11</w:t>
      </w:r>
      <w:r w:rsidR="006C0554">
        <w:rPr>
          <w:noProof/>
        </w:rPr>
        <w:fldChar w:fldCharType="end"/>
      </w:r>
      <w:r>
        <w:t>: Child development outcome</w:t>
      </w:r>
      <w:r w:rsidR="00DF2F59">
        <w:t>s</w:t>
      </w:r>
      <w:r>
        <w:t xml:space="preserve"> </w:t>
      </w:r>
      <w:r w:rsidR="00DF2F59">
        <w:t>o</w:t>
      </w:r>
      <w:r>
        <w:t>n the emotional maturity domain</w:t>
      </w:r>
      <w:bookmarkEnd w:id="355"/>
    </w:p>
    <w:tbl>
      <w:tblPr>
        <w:tblStyle w:val="ListTable3-Accent12"/>
        <w:tblW w:w="8792" w:type="dxa"/>
        <w:tblInd w:w="-5" w:type="dxa"/>
        <w:tblLook w:val="04A0" w:firstRow="1" w:lastRow="0" w:firstColumn="1" w:lastColumn="0" w:noHBand="0" w:noVBand="1"/>
      </w:tblPr>
      <w:tblGrid>
        <w:gridCol w:w="709"/>
        <w:gridCol w:w="1312"/>
        <w:gridCol w:w="886"/>
        <w:gridCol w:w="976"/>
        <w:gridCol w:w="992"/>
        <w:gridCol w:w="920"/>
        <w:gridCol w:w="1065"/>
        <w:gridCol w:w="992"/>
        <w:gridCol w:w="940"/>
      </w:tblGrid>
      <w:tr w:rsidR="00A97DDC" w:rsidRPr="002B03B4" w14:paraId="213E75DF"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6B1E0B27" w14:textId="77777777" w:rsidR="00A97DDC" w:rsidRPr="002B03B4" w:rsidRDefault="00A97DDC" w:rsidP="000613C9">
            <w:pPr>
              <w:jc w:val="center"/>
              <w:rPr>
                <w:sz w:val="20"/>
                <w:szCs w:val="20"/>
                <w:lang w:eastAsia="en-AU"/>
              </w:rPr>
            </w:pPr>
          </w:p>
        </w:tc>
        <w:tc>
          <w:tcPr>
            <w:tcW w:w="0" w:type="dxa"/>
            <w:shd w:val="clear" w:color="auto" w:fill="2F5496" w:themeFill="accent5" w:themeFillShade="BF"/>
            <w:noWrap/>
            <w:hideMark/>
          </w:tcPr>
          <w:p w14:paraId="7A9EBB92" w14:textId="77777777" w:rsidR="00A97DDC" w:rsidRPr="002B03B4" w:rsidRDefault="00A97DDC"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p>
        </w:tc>
        <w:tc>
          <w:tcPr>
            <w:tcW w:w="0" w:type="dxa"/>
            <w:gridSpan w:val="2"/>
            <w:shd w:val="clear" w:color="auto" w:fill="2F5496" w:themeFill="accent5" w:themeFillShade="BF"/>
            <w:noWrap/>
          </w:tcPr>
          <w:p w14:paraId="368EB92A" w14:textId="77777777" w:rsidR="00A97DDC" w:rsidRPr="002B03B4" w:rsidRDefault="00A97DDC"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On track</w:t>
            </w:r>
          </w:p>
        </w:tc>
        <w:tc>
          <w:tcPr>
            <w:tcW w:w="0" w:type="dxa"/>
            <w:gridSpan w:val="2"/>
            <w:shd w:val="clear" w:color="auto" w:fill="2F5496" w:themeFill="accent5" w:themeFillShade="BF"/>
            <w:noWrap/>
          </w:tcPr>
          <w:p w14:paraId="1C62541B" w14:textId="77777777" w:rsidR="00A97DDC" w:rsidRPr="002B03B4" w:rsidRDefault="00A97DDC"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At risk</w:t>
            </w:r>
          </w:p>
        </w:tc>
        <w:tc>
          <w:tcPr>
            <w:tcW w:w="0" w:type="dxa"/>
            <w:gridSpan w:val="2"/>
            <w:shd w:val="clear" w:color="auto" w:fill="2F5496" w:themeFill="accent5" w:themeFillShade="BF"/>
            <w:noWrap/>
          </w:tcPr>
          <w:p w14:paraId="03414D1B" w14:textId="77777777" w:rsidR="00A97DDC" w:rsidRPr="002B03B4" w:rsidRDefault="00A97DDC"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Vulnerable</w:t>
            </w:r>
          </w:p>
        </w:tc>
        <w:tc>
          <w:tcPr>
            <w:tcW w:w="0" w:type="dxa"/>
            <w:shd w:val="clear" w:color="auto" w:fill="2F5496" w:themeFill="accent5" w:themeFillShade="BF"/>
          </w:tcPr>
          <w:p w14:paraId="7B37A83F" w14:textId="77777777" w:rsidR="00A97DDC" w:rsidRPr="002B03B4" w:rsidRDefault="00A97DDC"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Total</w:t>
            </w:r>
          </w:p>
        </w:tc>
      </w:tr>
      <w:tr w:rsidR="00A97DDC" w:rsidRPr="002B03B4" w14:paraId="47CD3347"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743CB5AA" w14:textId="77777777" w:rsidR="00A97DDC" w:rsidRPr="002B03B4" w:rsidRDefault="00A97DDC" w:rsidP="00A97DDC">
            <w:pPr>
              <w:rPr>
                <w:sz w:val="20"/>
                <w:szCs w:val="20"/>
                <w:lang w:eastAsia="en-AU"/>
              </w:rPr>
            </w:pPr>
          </w:p>
        </w:tc>
        <w:tc>
          <w:tcPr>
            <w:tcW w:w="1312" w:type="dxa"/>
            <w:noWrap/>
          </w:tcPr>
          <w:p w14:paraId="581229CD" w14:textId="77777777" w:rsidR="00A97DDC" w:rsidRPr="002B03B4"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886" w:type="dxa"/>
            <w:noWrap/>
          </w:tcPr>
          <w:p w14:paraId="4BDA7ECE"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976" w:type="dxa"/>
            <w:noWrap/>
          </w:tcPr>
          <w:p w14:paraId="183F7CCE"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992" w:type="dxa"/>
            <w:noWrap/>
          </w:tcPr>
          <w:p w14:paraId="56A3A7C0"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920" w:type="dxa"/>
            <w:noWrap/>
          </w:tcPr>
          <w:p w14:paraId="5F676470"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1065" w:type="dxa"/>
            <w:noWrap/>
          </w:tcPr>
          <w:p w14:paraId="1C8507EA"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992" w:type="dxa"/>
            <w:noWrap/>
          </w:tcPr>
          <w:p w14:paraId="368D4CB6"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940" w:type="dxa"/>
          </w:tcPr>
          <w:p w14:paraId="65C4BE80" w14:textId="7748B030" w:rsidR="00A97DDC" w:rsidRPr="002B03B4" w:rsidRDefault="00EF1500"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Cases</w:t>
            </w:r>
          </w:p>
        </w:tc>
      </w:tr>
      <w:tr w:rsidR="00A97DDC" w:rsidRPr="002B03B4" w14:paraId="26E5298D"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6351186" w14:textId="77777777" w:rsidR="00A97DDC" w:rsidRPr="002B03B4" w:rsidRDefault="00A97DDC" w:rsidP="00A97DDC">
            <w:pPr>
              <w:rPr>
                <w:sz w:val="20"/>
                <w:szCs w:val="20"/>
                <w:lang w:eastAsia="en-AU"/>
              </w:rPr>
            </w:pPr>
            <w:r w:rsidRPr="002B03B4">
              <w:rPr>
                <w:sz w:val="20"/>
                <w:szCs w:val="20"/>
                <w:lang w:eastAsia="en-AU"/>
              </w:rPr>
              <w:t>2012</w:t>
            </w:r>
          </w:p>
        </w:tc>
        <w:tc>
          <w:tcPr>
            <w:tcW w:w="1312" w:type="dxa"/>
            <w:noWrap/>
          </w:tcPr>
          <w:p w14:paraId="5CEDF647" w14:textId="77777777" w:rsidR="00A97DDC" w:rsidRPr="002B03B4"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Bundaberg</w:t>
            </w:r>
          </w:p>
        </w:tc>
        <w:tc>
          <w:tcPr>
            <w:tcW w:w="886" w:type="dxa"/>
            <w:noWrap/>
          </w:tcPr>
          <w:p w14:paraId="300DEF44"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752</w:t>
            </w:r>
          </w:p>
        </w:tc>
        <w:tc>
          <w:tcPr>
            <w:tcW w:w="976" w:type="dxa"/>
            <w:noWrap/>
          </w:tcPr>
          <w:p w14:paraId="21A0C5A4"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71.3</w:t>
            </w:r>
          </w:p>
        </w:tc>
        <w:tc>
          <w:tcPr>
            <w:tcW w:w="992" w:type="dxa"/>
            <w:noWrap/>
          </w:tcPr>
          <w:p w14:paraId="2FCAF86D"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158</w:t>
            </w:r>
          </w:p>
        </w:tc>
        <w:tc>
          <w:tcPr>
            <w:tcW w:w="920" w:type="dxa"/>
            <w:noWrap/>
          </w:tcPr>
          <w:p w14:paraId="18A92AE4"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15</w:t>
            </w:r>
          </w:p>
        </w:tc>
        <w:tc>
          <w:tcPr>
            <w:tcW w:w="1065" w:type="dxa"/>
            <w:noWrap/>
          </w:tcPr>
          <w:p w14:paraId="2CDF36A2"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144</w:t>
            </w:r>
          </w:p>
        </w:tc>
        <w:tc>
          <w:tcPr>
            <w:tcW w:w="992" w:type="dxa"/>
            <w:noWrap/>
          </w:tcPr>
          <w:p w14:paraId="0A3FBB79"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13.7</w:t>
            </w:r>
          </w:p>
        </w:tc>
        <w:tc>
          <w:tcPr>
            <w:tcW w:w="940" w:type="dxa"/>
          </w:tcPr>
          <w:p w14:paraId="4A07C389"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1,054</w:t>
            </w:r>
          </w:p>
        </w:tc>
      </w:tr>
      <w:tr w:rsidR="00A97DDC" w:rsidRPr="002B03B4" w14:paraId="3EB2B496"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4077C457" w14:textId="77777777" w:rsidR="00A97DDC" w:rsidRPr="002B03B4" w:rsidRDefault="00A97DDC" w:rsidP="00A97DDC">
            <w:pPr>
              <w:rPr>
                <w:sz w:val="20"/>
                <w:szCs w:val="20"/>
                <w:lang w:eastAsia="en-AU"/>
              </w:rPr>
            </w:pPr>
          </w:p>
        </w:tc>
        <w:tc>
          <w:tcPr>
            <w:tcW w:w="1312" w:type="dxa"/>
            <w:noWrap/>
          </w:tcPr>
          <w:p w14:paraId="4DB40756" w14:textId="77777777" w:rsidR="00A97DDC" w:rsidRPr="002B03B4"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Hervey Bay</w:t>
            </w:r>
          </w:p>
        </w:tc>
        <w:tc>
          <w:tcPr>
            <w:tcW w:w="886" w:type="dxa"/>
            <w:noWrap/>
          </w:tcPr>
          <w:p w14:paraId="0E8A3DE5"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517</w:t>
            </w:r>
          </w:p>
        </w:tc>
        <w:tc>
          <w:tcPr>
            <w:tcW w:w="976" w:type="dxa"/>
            <w:noWrap/>
          </w:tcPr>
          <w:p w14:paraId="687530E3"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75.4</w:t>
            </w:r>
          </w:p>
        </w:tc>
        <w:tc>
          <w:tcPr>
            <w:tcW w:w="992" w:type="dxa"/>
            <w:noWrap/>
          </w:tcPr>
          <w:p w14:paraId="72E1653B"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94</w:t>
            </w:r>
          </w:p>
        </w:tc>
        <w:tc>
          <w:tcPr>
            <w:tcW w:w="920" w:type="dxa"/>
            <w:noWrap/>
          </w:tcPr>
          <w:p w14:paraId="4BF5706F"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13.7</w:t>
            </w:r>
          </w:p>
        </w:tc>
        <w:tc>
          <w:tcPr>
            <w:tcW w:w="1065" w:type="dxa"/>
            <w:noWrap/>
          </w:tcPr>
          <w:p w14:paraId="21E730A9"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75</w:t>
            </w:r>
          </w:p>
        </w:tc>
        <w:tc>
          <w:tcPr>
            <w:tcW w:w="992" w:type="dxa"/>
            <w:noWrap/>
          </w:tcPr>
          <w:p w14:paraId="3D42912C"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10.9</w:t>
            </w:r>
          </w:p>
        </w:tc>
        <w:tc>
          <w:tcPr>
            <w:tcW w:w="940" w:type="dxa"/>
          </w:tcPr>
          <w:p w14:paraId="3DC80D4A"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686</w:t>
            </w:r>
          </w:p>
        </w:tc>
      </w:tr>
      <w:tr w:rsidR="00A97DDC" w:rsidRPr="002B03B4" w14:paraId="6A8B8D02"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8C6BD20" w14:textId="77777777" w:rsidR="00A97DDC" w:rsidRPr="002B03B4" w:rsidRDefault="00A97DDC" w:rsidP="00A97DDC">
            <w:pPr>
              <w:rPr>
                <w:sz w:val="20"/>
                <w:szCs w:val="20"/>
                <w:lang w:eastAsia="en-AU"/>
              </w:rPr>
            </w:pPr>
          </w:p>
        </w:tc>
        <w:tc>
          <w:tcPr>
            <w:tcW w:w="1312" w:type="dxa"/>
            <w:noWrap/>
          </w:tcPr>
          <w:p w14:paraId="2B525E47" w14:textId="77777777" w:rsidR="00A97DDC" w:rsidRPr="002B03B4"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BHB region</w:t>
            </w:r>
          </w:p>
        </w:tc>
        <w:tc>
          <w:tcPr>
            <w:tcW w:w="886" w:type="dxa"/>
            <w:noWrap/>
          </w:tcPr>
          <w:p w14:paraId="11F7819E"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1,269</w:t>
            </w:r>
          </w:p>
        </w:tc>
        <w:tc>
          <w:tcPr>
            <w:tcW w:w="976" w:type="dxa"/>
            <w:noWrap/>
          </w:tcPr>
          <w:p w14:paraId="5F344A3C"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72.9</w:t>
            </w:r>
          </w:p>
        </w:tc>
        <w:tc>
          <w:tcPr>
            <w:tcW w:w="992" w:type="dxa"/>
            <w:noWrap/>
          </w:tcPr>
          <w:p w14:paraId="7410D6B5"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252</w:t>
            </w:r>
          </w:p>
        </w:tc>
        <w:tc>
          <w:tcPr>
            <w:tcW w:w="920" w:type="dxa"/>
            <w:noWrap/>
          </w:tcPr>
          <w:p w14:paraId="4509C1B5"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14.5</w:t>
            </w:r>
          </w:p>
        </w:tc>
        <w:tc>
          <w:tcPr>
            <w:tcW w:w="1065" w:type="dxa"/>
            <w:noWrap/>
          </w:tcPr>
          <w:p w14:paraId="22592295"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219</w:t>
            </w:r>
          </w:p>
        </w:tc>
        <w:tc>
          <w:tcPr>
            <w:tcW w:w="992" w:type="dxa"/>
            <w:noWrap/>
          </w:tcPr>
          <w:p w14:paraId="50908233"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12.6</w:t>
            </w:r>
          </w:p>
        </w:tc>
        <w:tc>
          <w:tcPr>
            <w:tcW w:w="940" w:type="dxa"/>
          </w:tcPr>
          <w:p w14:paraId="52DFB0B9"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1,740</w:t>
            </w:r>
          </w:p>
        </w:tc>
      </w:tr>
      <w:tr w:rsidR="00A97DDC" w:rsidRPr="002B03B4" w14:paraId="3E0DAC93"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06AD83D6" w14:textId="77777777" w:rsidR="00A97DDC" w:rsidRPr="002B03B4" w:rsidRDefault="00A97DDC" w:rsidP="00A97DDC">
            <w:pPr>
              <w:rPr>
                <w:sz w:val="20"/>
                <w:szCs w:val="20"/>
                <w:lang w:eastAsia="en-AU"/>
              </w:rPr>
            </w:pPr>
          </w:p>
        </w:tc>
        <w:tc>
          <w:tcPr>
            <w:tcW w:w="1312" w:type="dxa"/>
            <w:noWrap/>
          </w:tcPr>
          <w:p w14:paraId="49A750C1" w14:textId="77777777" w:rsidR="00A97DDC" w:rsidRPr="002B03B4"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Queensland</w:t>
            </w:r>
          </w:p>
        </w:tc>
        <w:tc>
          <w:tcPr>
            <w:tcW w:w="886" w:type="dxa"/>
            <w:noWrap/>
          </w:tcPr>
          <w:p w14:paraId="32D1D5CE"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43,459</w:t>
            </w:r>
          </w:p>
        </w:tc>
        <w:tc>
          <w:tcPr>
            <w:tcW w:w="976" w:type="dxa"/>
            <w:noWrap/>
          </w:tcPr>
          <w:p w14:paraId="37040392"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74.9</w:t>
            </w:r>
          </w:p>
        </w:tc>
        <w:tc>
          <w:tcPr>
            <w:tcW w:w="992" w:type="dxa"/>
            <w:noWrap/>
          </w:tcPr>
          <w:p w14:paraId="3009D9AC"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9,161</w:t>
            </w:r>
          </w:p>
        </w:tc>
        <w:tc>
          <w:tcPr>
            <w:tcW w:w="920" w:type="dxa"/>
            <w:noWrap/>
          </w:tcPr>
          <w:p w14:paraId="04F068F7"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15.8</w:t>
            </w:r>
          </w:p>
        </w:tc>
        <w:tc>
          <w:tcPr>
            <w:tcW w:w="1065" w:type="dxa"/>
            <w:noWrap/>
          </w:tcPr>
          <w:p w14:paraId="15F7782A"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5,368</w:t>
            </w:r>
          </w:p>
        </w:tc>
        <w:tc>
          <w:tcPr>
            <w:tcW w:w="992" w:type="dxa"/>
            <w:noWrap/>
          </w:tcPr>
          <w:p w14:paraId="51C9B215"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9.3</w:t>
            </w:r>
          </w:p>
        </w:tc>
        <w:tc>
          <w:tcPr>
            <w:tcW w:w="940" w:type="dxa"/>
          </w:tcPr>
          <w:p w14:paraId="41C1ACC4"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57,988</w:t>
            </w:r>
          </w:p>
        </w:tc>
      </w:tr>
      <w:tr w:rsidR="00A97DDC" w:rsidRPr="002B03B4" w14:paraId="60F9B3A7"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DA26748" w14:textId="77777777" w:rsidR="00A97DDC" w:rsidRPr="002B03B4" w:rsidRDefault="00A97DDC" w:rsidP="00A97DDC">
            <w:pPr>
              <w:rPr>
                <w:sz w:val="20"/>
                <w:szCs w:val="20"/>
                <w:lang w:eastAsia="en-AU"/>
              </w:rPr>
            </w:pPr>
          </w:p>
        </w:tc>
        <w:tc>
          <w:tcPr>
            <w:tcW w:w="1312" w:type="dxa"/>
            <w:noWrap/>
          </w:tcPr>
          <w:p w14:paraId="4A6113DE" w14:textId="77777777" w:rsidR="00A97DDC" w:rsidRPr="002B03B4"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Australia</w:t>
            </w:r>
          </w:p>
        </w:tc>
        <w:tc>
          <w:tcPr>
            <w:tcW w:w="886" w:type="dxa"/>
            <w:noWrap/>
          </w:tcPr>
          <w:p w14:paraId="0943F5E8"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213,059</w:t>
            </w:r>
          </w:p>
        </w:tc>
        <w:tc>
          <w:tcPr>
            <w:tcW w:w="976" w:type="dxa"/>
            <w:noWrap/>
          </w:tcPr>
          <w:p w14:paraId="0F3D78FC"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78.1</w:t>
            </w:r>
          </w:p>
        </w:tc>
        <w:tc>
          <w:tcPr>
            <w:tcW w:w="992" w:type="dxa"/>
            <w:noWrap/>
          </w:tcPr>
          <w:p w14:paraId="44571BC3"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38,778</w:t>
            </w:r>
          </w:p>
        </w:tc>
        <w:tc>
          <w:tcPr>
            <w:tcW w:w="920" w:type="dxa"/>
            <w:noWrap/>
          </w:tcPr>
          <w:p w14:paraId="5CD0D4DD"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14.2</w:t>
            </w:r>
          </w:p>
        </w:tc>
        <w:tc>
          <w:tcPr>
            <w:tcW w:w="1065" w:type="dxa"/>
            <w:noWrap/>
          </w:tcPr>
          <w:p w14:paraId="528317FF"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20,845</w:t>
            </w:r>
          </w:p>
        </w:tc>
        <w:tc>
          <w:tcPr>
            <w:tcW w:w="992" w:type="dxa"/>
            <w:noWrap/>
          </w:tcPr>
          <w:p w14:paraId="0A3C7931"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7.6</w:t>
            </w:r>
          </w:p>
        </w:tc>
        <w:tc>
          <w:tcPr>
            <w:tcW w:w="940" w:type="dxa"/>
          </w:tcPr>
          <w:p w14:paraId="4D020153"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272,682</w:t>
            </w:r>
          </w:p>
        </w:tc>
      </w:tr>
      <w:tr w:rsidR="00A97DDC" w:rsidRPr="002B03B4" w14:paraId="3641A521"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66DFA16" w14:textId="77777777" w:rsidR="00A97DDC" w:rsidRPr="002B03B4" w:rsidRDefault="00A97DDC" w:rsidP="00A97DDC">
            <w:pPr>
              <w:rPr>
                <w:sz w:val="20"/>
                <w:szCs w:val="20"/>
                <w:lang w:eastAsia="en-AU"/>
              </w:rPr>
            </w:pPr>
            <w:r w:rsidRPr="002B03B4">
              <w:rPr>
                <w:sz w:val="20"/>
                <w:szCs w:val="20"/>
                <w:lang w:eastAsia="en-AU"/>
              </w:rPr>
              <w:t>2015</w:t>
            </w:r>
          </w:p>
        </w:tc>
        <w:tc>
          <w:tcPr>
            <w:tcW w:w="1312" w:type="dxa"/>
            <w:noWrap/>
          </w:tcPr>
          <w:p w14:paraId="242017D4" w14:textId="77777777" w:rsidR="00A97DDC" w:rsidRPr="002B03B4"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Bundaberg</w:t>
            </w:r>
          </w:p>
        </w:tc>
        <w:tc>
          <w:tcPr>
            <w:tcW w:w="886" w:type="dxa"/>
            <w:noWrap/>
          </w:tcPr>
          <w:p w14:paraId="7E3EE0D3"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760</w:t>
            </w:r>
          </w:p>
        </w:tc>
        <w:tc>
          <w:tcPr>
            <w:tcW w:w="976" w:type="dxa"/>
            <w:noWrap/>
          </w:tcPr>
          <w:p w14:paraId="4D44036D"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71.8</w:t>
            </w:r>
          </w:p>
        </w:tc>
        <w:tc>
          <w:tcPr>
            <w:tcW w:w="992" w:type="dxa"/>
            <w:noWrap/>
          </w:tcPr>
          <w:p w14:paraId="45444157"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169</w:t>
            </w:r>
          </w:p>
        </w:tc>
        <w:tc>
          <w:tcPr>
            <w:tcW w:w="920" w:type="dxa"/>
            <w:noWrap/>
          </w:tcPr>
          <w:p w14:paraId="668B9127"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16</w:t>
            </w:r>
          </w:p>
        </w:tc>
        <w:tc>
          <w:tcPr>
            <w:tcW w:w="1065" w:type="dxa"/>
            <w:noWrap/>
          </w:tcPr>
          <w:p w14:paraId="134C6A40"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130</w:t>
            </w:r>
          </w:p>
        </w:tc>
        <w:tc>
          <w:tcPr>
            <w:tcW w:w="992" w:type="dxa"/>
            <w:noWrap/>
          </w:tcPr>
          <w:p w14:paraId="7594CDFF"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12.3</w:t>
            </w:r>
          </w:p>
        </w:tc>
        <w:tc>
          <w:tcPr>
            <w:tcW w:w="940" w:type="dxa"/>
          </w:tcPr>
          <w:p w14:paraId="68AFAB0B"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1,059</w:t>
            </w:r>
          </w:p>
        </w:tc>
      </w:tr>
      <w:tr w:rsidR="00A97DDC" w:rsidRPr="002B03B4" w14:paraId="0D3BC721"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0F68BE8E" w14:textId="77777777" w:rsidR="00A97DDC" w:rsidRPr="002B03B4" w:rsidRDefault="00A97DDC" w:rsidP="00A97DDC">
            <w:pPr>
              <w:rPr>
                <w:sz w:val="20"/>
                <w:szCs w:val="20"/>
                <w:lang w:eastAsia="en-AU"/>
              </w:rPr>
            </w:pPr>
          </w:p>
        </w:tc>
        <w:tc>
          <w:tcPr>
            <w:tcW w:w="1312" w:type="dxa"/>
            <w:noWrap/>
          </w:tcPr>
          <w:p w14:paraId="4062FFB7" w14:textId="77777777" w:rsidR="00A97DDC" w:rsidRPr="002B03B4"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Hervey Bay</w:t>
            </w:r>
          </w:p>
        </w:tc>
        <w:tc>
          <w:tcPr>
            <w:tcW w:w="886" w:type="dxa"/>
            <w:noWrap/>
          </w:tcPr>
          <w:p w14:paraId="30F8D6D0"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470</w:t>
            </w:r>
          </w:p>
        </w:tc>
        <w:tc>
          <w:tcPr>
            <w:tcW w:w="976" w:type="dxa"/>
            <w:noWrap/>
          </w:tcPr>
          <w:p w14:paraId="5555C067"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72.4</w:t>
            </w:r>
          </w:p>
        </w:tc>
        <w:tc>
          <w:tcPr>
            <w:tcW w:w="992" w:type="dxa"/>
            <w:noWrap/>
          </w:tcPr>
          <w:p w14:paraId="55C31D43"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111</w:t>
            </w:r>
          </w:p>
        </w:tc>
        <w:tc>
          <w:tcPr>
            <w:tcW w:w="920" w:type="dxa"/>
            <w:noWrap/>
          </w:tcPr>
          <w:p w14:paraId="3946781E"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17.1</w:t>
            </w:r>
          </w:p>
        </w:tc>
        <w:tc>
          <w:tcPr>
            <w:tcW w:w="1065" w:type="dxa"/>
            <w:noWrap/>
          </w:tcPr>
          <w:p w14:paraId="5F7AFC80"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68</w:t>
            </w:r>
          </w:p>
        </w:tc>
        <w:tc>
          <w:tcPr>
            <w:tcW w:w="992" w:type="dxa"/>
            <w:noWrap/>
          </w:tcPr>
          <w:p w14:paraId="0C35A008"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10.5</w:t>
            </w:r>
          </w:p>
        </w:tc>
        <w:tc>
          <w:tcPr>
            <w:tcW w:w="940" w:type="dxa"/>
          </w:tcPr>
          <w:p w14:paraId="00490B1B"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649</w:t>
            </w:r>
          </w:p>
        </w:tc>
      </w:tr>
      <w:tr w:rsidR="00A97DDC" w:rsidRPr="002B03B4" w14:paraId="4ECE57E5"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4952F8EF" w14:textId="77777777" w:rsidR="00A97DDC" w:rsidRPr="002B03B4" w:rsidRDefault="00A97DDC" w:rsidP="00A97DDC">
            <w:pPr>
              <w:rPr>
                <w:sz w:val="20"/>
                <w:szCs w:val="20"/>
                <w:lang w:eastAsia="en-AU"/>
              </w:rPr>
            </w:pPr>
          </w:p>
        </w:tc>
        <w:tc>
          <w:tcPr>
            <w:tcW w:w="1312" w:type="dxa"/>
            <w:noWrap/>
          </w:tcPr>
          <w:p w14:paraId="0F24B6AB" w14:textId="77777777" w:rsidR="00A97DDC" w:rsidRPr="002B03B4"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BHB region</w:t>
            </w:r>
          </w:p>
        </w:tc>
        <w:tc>
          <w:tcPr>
            <w:tcW w:w="886" w:type="dxa"/>
            <w:noWrap/>
          </w:tcPr>
          <w:p w14:paraId="0E807E1D"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1,230</w:t>
            </w:r>
          </w:p>
        </w:tc>
        <w:tc>
          <w:tcPr>
            <w:tcW w:w="976" w:type="dxa"/>
            <w:noWrap/>
          </w:tcPr>
          <w:p w14:paraId="7272D6A7"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72</w:t>
            </w:r>
          </w:p>
        </w:tc>
        <w:tc>
          <w:tcPr>
            <w:tcW w:w="992" w:type="dxa"/>
            <w:noWrap/>
          </w:tcPr>
          <w:p w14:paraId="3AA1C6BE"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280</w:t>
            </w:r>
          </w:p>
        </w:tc>
        <w:tc>
          <w:tcPr>
            <w:tcW w:w="920" w:type="dxa"/>
            <w:noWrap/>
          </w:tcPr>
          <w:p w14:paraId="6B524D73"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16.4</w:t>
            </w:r>
          </w:p>
        </w:tc>
        <w:tc>
          <w:tcPr>
            <w:tcW w:w="1065" w:type="dxa"/>
            <w:noWrap/>
          </w:tcPr>
          <w:p w14:paraId="4F721A3B"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198</w:t>
            </w:r>
          </w:p>
        </w:tc>
        <w:tc>
          <w:tcPr>
            <w:tcW w:w="992" w:type="dxa"/>
            <w:noWrap/>
          </w:tcPr>
          <w:p w14:paraId="6765212C"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11.6</w:t>
            </w:r>
          </w:p>
        </w:tc>
        <w:tc>
          <w:tcPr>
            <w:tcW w:w="940" w:type="dxa"/>
          </w:tcPr>
          <w:p w14:paraId="2DB689B9"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1,708</w:t>
            </w:r>
          </w:p>
        </w:tc>
      </w:tr>
      <w:tr w:rsidR="00A97DDC" w:rsidRPr="002B03B4" w14:paraId="199219C0"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D0ED64A" w14:textId="77777777" w:rsidR="00A97DDC" w:rsidRPr="002B03B4" w:rsidRDefault="00A97DDC" w:rsidP="00A97DDC">
            <w:pPr>
              <w:rPr>
                <w:sz w:val="20"/>
                <w:szCs w:val="20"/>
                <w:lang w:eastAsia="en-AU"/>
              </w:rPr>
            </w:pPr>
          </w:p>
        </w:tc>
        <w:tc>
          <w:tcPr>
            <w:tcW w:w="1312" w:type="dxa"/>
            <w:noWrap/>
          </w:tcPr>
          <w:p w14:paraId="1D3FB684" w14:textId="77777777" w:rsidR="00A97DDC" w:rsidRPr="002B03B4"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Queensland</w:t>
            </w:r>
          </w:p>
        </w:tc>
        <w:tc>
          <w:tcPr>
            <w:tcW w:w="886" w:type="dxa"/>
            <w:noWrap/>
          </w:tcPr>
          <w:p w14:paraId="3049B36E"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45,529</w:t>
            </w:r>
          </w:p>
        </w:tc>
        <w:tc>
          <w:tcPr>
            <w:tcW w:w="976" w:type="dxa"/>
            <w:noWrap/>
          </w:tcPr>
          <w:p w14:paraId="167555C2"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73.5</w:t>
            </w:r>
          </w:p>
        </w:tc>
        <w:tc>
          <w:tcPr>
            <w:tcW w:w="992" w:type="dxa"/>
            <w:noWrap/>
          </w:tcPr>
          <w:p w14:paraId="2E67C24D"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10,164</w:t>
            </w:r>
          </w:p>
        </w:tc>
        <w:tc>
          <w:tcPr>
            <w:tcW w:w="920" w:type="dxa"/>
            <w:noWrap/>
          </w:tcPr>
          <w:p w14:paraId="5D95E11B"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16.4</w:t>
            </w:r>
          </w:p>
        </w:tc>
        <w:tc>
          <w:tcPr>
            <w:tcW w:w="1065" w:type="dxa"/>
            <w:noWrap/>
          </w:tcPr>
          <w:p w14:paraId="59E9C08B"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6,266</w:t>
            </w:r>
          </w:p>
        </w:tc>
        <w:tc>
          <w:tcPr>
            <w:tcW w:w="992" w:type="dxa"/>
            <w:noWrap/>
          </w:tcPr>
          <w:p w14:paraId="778C785F"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10.1</w:t>
            </w:r>
          </w:p>
        </w:tc>
        <w:tc>
          <w:tcPr>
            <w:tcW w:w="940" w:type="dxa"/>
          </w:tcPr>
          <w:p w14:paraId="62F2D995"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61,959</w:t>
            </w:r>
          </w:p>
        </w:tc>
      </w:tr>
      <w:tr w:rsidR="00A97DDC" w:rsidRPr="002B03B4" w14:paraId="0A919C6D"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14F28E74" w14:textId="77777777" w:rsidR="00A97DDC" w:rsidRPr="002B03B4" w:rsidRDefault="00A97DDC" w:rsidP="00A97DDC">
            <w:pPr>
              <w:rPr>
                <w:sz w:val="20"/>
                <w:szCs w:val="20"/>
                <w:lang w:eastAsia="en-AU"/>
              </w:rPr>
            </w:pPr>
          </w:p>
        </w:tc>
        <w:tc>
          <w:tcPr>
            <w:tcW w:w="1312" w:type="dxa"/>
            <w:noWrap/>
          </w:tcPr>
          <w:p w14:paraId="384FB85B" w14:textId="77777777" w:rsidR="00A97DDC" w:rsidRPr="002B03B4"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Australia</w:t>
            </w:r>
          </w:p>
        </w:tc>
        <w:tc>
          <w:tcPr>
            <w:tcW w:w="886" w:type="dxa"/>
            <w:noWrap/>
          </w:tcPr>
          <w:p w14:paraId="65604815"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218,341</w:t>
            </w:r>
          </w:p>
        </w:tc>
        <w:tc>
          <w:tcPr>
            <w:tcW w:w="976" w:type="dxa"/>
            <w:noWrap/>
          </w:tcPr>
          <w:p w14:paraId="39BA4358"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76.4</w:t>
            </w:r>
          </w:p>
        </w:tc>
        <w:tc>
          <w:tcPr>
            <w:tcW w:w="992" w:type="dxa"/>
            <w:noWrap/>
          </w:tcPr>
          <w:p w14:paraId="39B64828"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43,594</w:t>
            </w:r>
          </w:p>
        </w:tc>
        <w:tc>
          <w:tcPr>
            <w:tcW w:w="920" w:type="dxa"/>
            <w:noWrap/>
          </w:tcPr>
          <w:p w14:paraId="20FB016C"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15.3</w:t>
            </w:r>
          </w:p>
        </w:tc>
        <w:tc>
          <w:tcPr>
            <w:tcW w:w="1065" w:type="dxa"/>
            <w:noWrap/>
          </w:tcPr>
          <w:p w14:paraId="58724C5F"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23,866</w:t>
            </w:r>
          </w:p>
        </w:tc>
        <w:tc>
          <w:tcPr>
            <w:tcW w:w="992" w:type="dxa"/>
            <w:noWrap/>
          </w:tcPr>
          <w:p w14:paraId="33E8C4EF"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8.4</w:t>
            </w:r>
          </w:p>
        </w:tc>
        <w:tc>
          <w:tcPr>
            <w:tcW w:w="940" w:type="dxa"/>
          </w:tcPr>
          <w:p w14:paraId="03D7D84C"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285,801</w:t>
            </w:r>
          </w:p>
        </w:tc>
      </w:tr>
      <w:tr w:rsidR="00A97DDC" w:rsidRPr="002B03B4" w14:paraId="515ACEDF"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0F2AB9A6" w14:textId="77777777" w:rsidR="00A97DDC" w:rsidRPr="002B03B4" w:rsidRDefault="00A97DDC" w:rsidP="00A97DDC">
            <w:pPr>
              <w:rPr>
                <w:sz w:val="20"/>
                <w:szCs w:val="20"/>
                <w:lang w:eastAsia="en-AU"/>
              </w:rPr>
            </w:pPr>
            <w:r w:rsidRPr="002B03B4">
              <w:rPr>
                <w:sz w:val="20"/>
                <w:szCs w:val="20"/>
                <w:lang w:eastAsia="en-AU"/>
              </w:rPr>
              <w:t>2018</w:t>
            </w:r>
          </w:p>
        </w:tc>
        <w:tc>
          <w:tcPr>
            <w:tcW w:w="1312" w:type="dxa"/>
            <w:noWrap/>
          </w:tcPr>
          <w:p w14:paraId="7520C3AF" w14:textId="77777777" w:rsidR="00A97DDC" w:rsidRPr="002B03B4"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Bundaberg</w:t>
            </w:r>
          </w:p>
        </w:tc>
        <w:tc>
          <w:tcPr>
            <w:tcW w:w="886" w:type="dxa"/>
            <w:noWrap/>
          </w:tcPr>
          <w:p w14:paraId="04FFFB20"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744</w:t>
            </w:r>
          </w:p>
        </w:tc>
        <w:tc>
          <w:tcPr>
            <w:tcW w:w="976" w:type="dxa"/>
            <w:noWrap/>
          </w:tcPr>
          <w:p w14:paraId="6B51B97D"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69.8</w:t>
            </w:r>
          </w:p>
        </w:tc>
        <w:tc>
          <w:tcPr>
            <w:tcW w:w="992" w:type="dxa"/>
            <w:noWrap/>
          </w:tcPr>
          <w:p w14:paraId="3945D976"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173</w:t>
            </w:r>
          </w:p>
        </w:tc>
        <w:tc>
          <w:tcPr>
            <w:tcW w:w="920" w:type="dxa"/>
            <w:noWrap/>
          </w:tcPr>
          <w:p w14:paraId="47B450D2"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16.2</w:t>
            </w:r>
          </w:p>
        </w:tc>
        <w:tc>
          <w:tcPr>
            <w:tcW w:w="1065" w:type="dxa"/>
            <w:noWrap/>
          </w:tcPr>
          <w:p w14:paraId="6B8D50AB"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149</w:t>
            </w:r>
          </w:p>
        </w:tc>
        <w:tc>
          <w:tcPr>
            <w:tcW w:w="992" w:type="dxa"/>
            <w:noWrap/>
          </w:tcPr>
          <w:p w14:paraId="275C9BCB"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w:t>
            </w:r>
          </w:p>
        </w:tc>
        <w:tc>
          <w:tcPr>
            <w:tcW w:w="940" w:type="dxa"/>
          </w:tcPr>
          <w:p w14:paraId="26D19556"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1,066</w:t>
            </w:r>
          </w:p>
        </w:tc>
      </w:tr>
      <w:tr w:rsidR="00A97DDC" w:rsidRPr="002B03B4" w14:paraId="408E5C3A"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3BF178E" w14:textId="77777777" w:rsidR="00A97DDC" w:rsidRPr="002B03B4" w:rsidRDefault="00A97DDC" w:rsidP="00A97DDC">
            <w:pPr>
              <w:rPr>
                <w:sz w:val="20"/>
                <w:szCs w:val="20"/>
                <w:lang w:eastAsia="en-AU"/>
              </w:rPr>
            </w:pPr>
          </w:p>
        </w:tc>
        <w:tc>
          <w:tcPr>
            <w:tcW w:w="1312" w:type="dxa"/>
            <w:noWrap/>
          </w:tcPr>
          <w:p w14:paraId="74F7748E" w14:textId="77777777" w:rsidR="00A97DDC" w:rsidRPr="002B03B4"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Hervey Bay</w:t>
            </w:r>
          </w:p>
        </w:tc>
        <w:tc>
          <w:tcPr>
            <w:tcW w:w="886" w:type="dxa"/>
            <w:noWrap/>
          </w:tcPr>
          <w:p w14:paraId="543F60D9"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408</w:t>
            </w:r>
          </w:p>
        </w:tc>
        <w:tc>
          <w:tcPr>
            <w:tcW w:w="976" w:type="dxa"/>
            <w:noWrap/>
          </w:tcPr>
          <w:p w14:paraId="1E734903"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69.4</w:t>
            </w:r>
          </w:p>
        </w:tc>
        <w:tc>
          <w:tcPr>
            <w:tcW w:w="992" w:type="dxa"/>
            <w:noWrap/>
          </w:tcPr>
          <w:p w14:paraId="47C4CC4F"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99</w:t>
            </w:r>
          </w:p>
        </w:tc>
        <w:tc>
          <w:tcPr>
            <w:tcW w:w="920" w:type="dxa"/>
            <w:noWrap/>
          </w:tcPr>
          <w:p w14:paraId="63DED2D5"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16.8</w:t>
            </w:r>
          </w:p>
        </w:tc>
        <w:tc>
          <w:tcPr>
            <w:tcW w:w="1065" w:type="dxa"/>
            <w:noWrap/>
          </w:tcPr>
          <w:p w14:paraId="764B10F0"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81</w:t>
            </w:r>
          </w:p>
        </w:tc>
        <w:tc>
          <w:tcPr>
            <w:tcW w:w="992" w:type="dxa"/>
            <w:noWrap/>
          </w:tcPr>
          <w:p w14:paraId="38D5C60B"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13.8</w:t>
            </w:r>
          </w:p>
        </w:tc>
        <w:tc>
          <w:tcPr>
            <w:tcW w:w="940" w:type="dxa"/>
          </w:tcPr>
          <w:p w14:paraId="7C1B5B66"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588</w:t>
            </w:r>
          </w:p>
        </w:tc>
      </w:tr>
      <w:tr w:rsidR="00A97DDC" w:rsidRPr="002B03B4" w14:paraId="279D913C"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07506CC" w14:textId="77777777" w:rsidR="00A97DDC" w:rsidRPr="002B03B4" w:rsidRDefault="00A97DDC" w:rsidP="00A97DDC">
            <w:pPr>
              <w:rPr>
                <w:sz w:val="20"/>
                <w:szCs w:val="20"/>
                <w:lang w:eastAsia="en-AU"/>
              </w:rPr>
            </w:pPr>
          </w:p>
        </w:tc>
        <w:tc>
          <w:tcPr>
            <w:tcW w:w="1312" w:type="dxa"/>
            <w:noWrap/>
          </w:tcPr>
          <w:p w14:paraId="14927EE7" w14:textId="77777777" w:rsidR="00A97DDC" w:rsidRPr="002B03B4"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BHB region</w:t>
            </w:r>
          </w:p>
        </w:tc>
        <w:tc>
          <w:tcPr>
            <w:tcW w:w="886" w:type="dxa"/>
            <w:noWrap/>
          </w:tcPr>
          <w:p w14:paraId="531B1FA3"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1,152</w:t>
            </w:r>
          </w:p>
        </w:tc>
        <w:tc>
          <w:tcPr>
            <w:tcW w:w="976" w:type="dxa"/>
            <w:noWrap/>
          </w:tcPr>
          <w:p w14:paraId="52998123"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69.6</w:t>
            </w:r>
          </w:p>
        </w:tc>
        <w:tc>
          <w:tcPr>
            <w:tcW w:w="992" w:type="dxa"/>
            <w:noWrap/>
          </w:tcPr>
          <w:p w14:paraId="65FBFC25"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272</w:t>
            </w:r>
          </w:p>
        </w:tc>
        <w:tc>
          <w:tcPr>
            <w:tcW w:w="920" w:type="dxa"/>
            <w:noWrap/>
          </w:tcPr>
          <w:p w14:paraId="0F050EE1"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16.4</w:t>
            </w:r>
          </w:p>
        </w:tc>
        <w:tc>
          <w:tcPr>
            <w:tcW w:w="1065" w:type="dxa"/>
            <w:noWrap/>
          </w:tcPr>
          <w:p w14:paraId="501895BE"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230</w:t>
            </w:r>
          </w:p>
        </w:tc>
        <w:tc>
          <w:tcPr>
            <w:tcW w:w="992" w:type="dxa"/>
            <w:noWrap/>
          </w:tcPr>
          <w:p w14:paraId="5A358937"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13.9</w:t>
            </w:r>
          </w:p>
        </w:tc>
        <w:tc>
          <w:tcPr>
            <w:tcW w:w="940" w:type="dxa"/>
          </w:tcPr>
          <w:p w14:paraId="52DDF219"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1,654</w:t>
            </w:r>
          </w:p>
        </w:tc>
      </w:tr>
      <w:tr w:rsidR="00A97DDC" w:rsidRPr="002B03B4" w14:paraId="3D3CB391"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2D970B4" w14:textId="77777777" w:rsidR="00A97DDC" w:rsidRPr="002B03B4" w:rsidRDefault="00A97DDC" w:rsidP="00A97DDC">
            <w:pPr>
              <w:rPr>
                <w:sz w:val="20"/>
                <w:szCs w:val="20"/>
                <w:lang w:eastAsia="en-AU"/>
              </w:rPr>
            </w:pPr>
          </w:p>
        </w:tc>
        <w:tc>
          <w:tcPr>
            <w:tcW w:w="1312" w:type="dxa"/>
            <w:noWrap/>
          </w:tcPr>
          <w:p w14:paraId="4AC59549" w14:textId="77777777" w:rsidR="00A97DDC" w:rsidRPr="002B03B4" w:rsidRDefault="00A97DDC" w:rsidP="00A97DD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Queensland</w:t>
            </w:r>
          </w:p>
        </w:tc>
        <w:tc>
          <w:tcPr>
            <w:tcW w:w="886" w:type="dxa"/>
            <w:noWrap/>
          </w:tcPr>
          <w:p w14:paraId="18FD00F1"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45,192</w:t>
            </w:r>
          </w:p>
        </w:tc>
        <w:tc>
          <w:tcPr>
            <w:tcW w:w="976" w:type="dxa"/>
            <w:noWrap/>
          </w:tcPr>
          <w:p w14:paraId="3D19D4D9"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73.3</w:t>
            </w:r>
          </w:p>
        </w:tc>
        <w:tc>
          <w:tcPr>
            <w:tcW w:w="992" w:type="dxa"/>
            <w:noWrap/>
          </w:tcPr>
          <w:p w14:paraId="2307649F"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9,988</w:t>
            </w:r>
          </w:p>
        </w:tc>
        <w:tc>
          <w:tcPr>
            <w:tcW w:w="920" w:type="dxa"/>
            <w:noWrap/>
          </w:tcPr>
          <w:p w14:paraId="6DABEECB"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16.2</w:t>
            </w:r>
          </w:p>
        </w:tc>
        <w:tc>
          <w:tcPr>
            <w:tcW w:w="1065" w:type="dxa"/>
            <w:noWrap/>
          </w:tcPr>
          <w:p w14:paraId="77F4C313"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6,448</w:t>
            </w:r>
          </w:p>
        </w:tc>
        <w:tc>
          <w:tcPr>
            <w:tcW w:w="992" w:type="dxa"/>
            <w:noWrap/>
          </w:tcPr>
          <w:p w14:paraId="03ECAE4F"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10.5</w:t>
            </w:r>
          </w:p>
        </w:tc>
        <w:tc>
          <w:tcPr>
            <w:tcW w:w="940" w:type="dxa"/>
          </w:tcPr>
          <w:p w14:paraId="29E7D0A9" w14:textId="77777777" w:rsidR="00A97DDC" w:rsidRPr="002B03B4" w:rsidRDefault="00A97DDC" w:rsidP="00A97DDC">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61,628</w:t>
            </w:r>
          </w:p>
        </w:tc>
      </w:tr>
      <w:tr w:rsidR="00A97DDC" w:rsidRPr="002B03B4" w14:paraId="20ED02BB"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CC1A926" w14:textId="77777777" w:rsidR="00A97DDC" w:rsidRPr="002B03B4" w:rsidRDefault="00A97DDC" w:rsidP="00A97DDC">
            <w:pPr>
              <w:rPr>
                <w:sz w:val="20"/>
                <w:szCs w:val="20"/>
                <w:lang w:eastAsia="en-AU"/>
              </w:rPr>
            </w:pPr>
          </w:p>
        </w:tc>
        <w:tc>
          <w:tcPr>
            <w:tcW w:w="1312" w:type="dxa"/>
            <w:noWrap/>
          </w:tcPr>
          <w:p w14:paraId="0C831117" w14:textId="77777777" w:rsidR="00A97DDC" w:rsidRPr="002B03B4" w:rsidRDefault="00A97DDC" w:rsidP="00A97DD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Australia</w:t>
            </w:r>
          </w:p>
        </w:tc>
        <w:tc>
          <w:tcPr>
            <w:tcW w:w="886" w:type="dxa"/>
            <w:noWrap/>
          </w:tcPr>
          <w:p w14:paraId="1B33639E"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225,739</w:t>
            </w:r>
          </w:p>
        </w:tc>
        <w:tc>
          <w:tcPr>
            <w:tcW w:w="976" w:type="dxa"/>
            <w:noWrap/>
          </w:tcPr>
          <w:p w14:paraId="1D816A16"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77.1</w:t>
            </w:r>
          </w:p>
        </w:tc>
        <w:tc>
          <w:tcPr>
            <w:tcW w:w="992" w:type="dxa"/>
            <w:noWrap/>
          </w:tcPr>
          <w:p w14:paraId="08CF7EA0"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42,390</w:t>
            </w:r>
          </w:p>
        </w:tc>
        <w:tc>
          <w:tcPr>
            <w:tcW w:w="920" w:type="dxa"/>
            <w:noWrap/>
          </w:tcPr>
          <w:p w14:paraId="1B396F2F"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14.5</w:t>
            </w:r>
          </w:p>
        </w:tc>
        <w:tc>
          <w:tcPr>
            <w:tcW w:w="1065" w:type="dxa"/>
            <w:noWrap/>
          </w:tcPr>
          <w:p w14:paraId="056B1440"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24,677</w:t>
            </w:r>
          </w:p>
        </w:tc>
        <w:tc>
          <w:tcPr>
            <w:tcW w:w="992" w:type="dxa"/>
            <w:noWrap/>
          </w:tcPr>
          <w:p w14:paraId="77F49B3C"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8.4</w:t>
            </w:r>
          </w:p>
        </w:tc>
        <w:tc>
          <w:tcPr>
            <w:tcW w:w="940" w:type="dxa"/>
          </w:tcPr>
          <w:p w14:paraId="7DF451A4" w14:textId="77777777" w:rsidR="00A97DDC" w:rsidRPr="002B03B4" w:rsidRDefault="00A97DDC" w:rsidP="00A97DDC">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292,806</w:t>
            </w:r>
          </w:p>
        </w:tc>
      </w:tr>
    </w:tbl>
    <w:p w14:paraId="3F8E870A" w14:textId="77777777" w:rsidR="00E8435D" w:rsidRPr="00461021" w:rsidRDefault="00E8435D" w:rsidP="00E8435D">
      <w:pPr>
        <w:spacing w:after="0"/>
        <w:rPr>
          <w:i/>
          <w:sz w:val="18"/>
          <w:szCs w:val="18"/>
        </w:rPr>
      </w:pPr>
      <w:r w:rsidRPr="00461021">
        <w:rPr>
          <w:i/>
          <w:sz w:val="18"/>
          <w:szCs w:val="18"/>
        </w:rPr>
        <w:t xml:space="preserve">Source: </w:t>
      </w:r>
      <w:r w:rsidRPr="00461021">
        <w:rPr>
          <w:i/>
          <w:sz w:val="18"/>
          <w:szCs w:val="18"/>
          <w:lang w:val="en"/>
        </w:rPr>
        <w:t>AEDC (2012, 2015, 2018).</w:t>
      </w:r>
    </w:p>
    <w:p w14:paraId="59DF72EF" w14:textId="77777777" w:rsidR="00E8435D" w:rsidRPr="00E8435D" w:rsidRDefault="00E8435D" w:rsidP="00E8435D">
      <w:pPr>
        <w:spacing w:after="0"/>
        <w:rPr>
          <w:i/>
          <w:sz w:val="18"/>
          <w:szCs w:val="18"/>
        </w:rPr>
      </w:pPr>
      <w:r w:rsidRPr="00461021">
        <w:rPr>
          <w:i/>
          <w:sz w:val="18"/>
          <w:szCs w:val="18"/>
        </w:rPr>
        <w:t>Note</w:t>
      </w:r>
      <w:r w:rsidR="00DF5B7D">
        <w:rPr>
          <w:i/>
          <w:sz w:val="18"/>
          <w:szCs w:val="18"/>
        </w:rPr>
        <w:t>s</w:t>
      </w:r>
      <w:r w:rsidRPr="00461021">
        <w:rPr>
          <w:i/>
          <w:sz w:val="18"/>
          <w:szCs w:val="18"/>
        </w:rPr>
        <w:t xml:space="preserve">: </w:t>
      </w:r>
      <w:r w:rsidRPr="00E8435D">
        <w:rPr>
          <w:i/>
          <w:sz w:val="18"/>
          <w:szCs w:val="18"/>
        </w:rPr>
        <w:t xml:space="preserve">The BHB region refers to Bundaberg and Hervey Bay added together, which is identified using the </w:t>
      </w:r>
      <w:r w:rsidR="00870E6D" w:rsidRPr="00870E6D">
        <w:rPr>
          <w:i/>
          <w:iCs/>
          <w:sz w:val="18"/>
          <w:szCs w:val="18"/>
        </w:rPr>
        <w:t>ABS Main Area Structure</w:t>
      </w:r>
      <w:r w:rsidRPr="00E8435D">
        <w:rPr>
          <w:i/>
          <w:sz w:val="18"/>
          <w:szCs w:val="18"/>
        </w:rPr>
        <w:t xml:space="preserve"> information at the SA3 level.</w:t>
      </w:r>
      <w:r w:rsidR="00DF5B7D">
        <w:rPr>
          <w:i/>
          <w:sz w:val="18"/>
          <w:szCs w:val="18"/>
        </w:rPr>
        <w:t xml:space="preserve"> </w:t>
      </w:r>
      <w:r w:rsidR="00DF5B7D" w:rsidRPr="00DF5B7D">
        <w:rPr>
          <w:i/>
          <w:sz w:val="18"/>
          <w:szCs w:val="18"/>
        </w:rPr>
        <w:t>Due to rounding, the total percentages may not sum up exactly to 100.</w:t>
      </w:r>
    </w:p>
    <w:p w14:paraId="49C499C7" w14:textId="24A9E6DD" w:rsidR="00C03218" w:rsidRDefault="00C03218" w:rsidP="00A4064D">
      <w:pPr>
        <w:pStyle w:val="Caption"/>
        <w:spacing w:before="240"/>
      </w:pPr>
      <w:bookmarkStart w:id="356" w:name="_Toc37263610"/>
      <w:r>
        <w:t xml:space="preserve">Table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rsidR="002B03B4">
        <w:noBreakHyphen/>
      </w:r>
      <w:r w:rsidR="006C0554">
        <w:fldChar w:fldCharType="begin"/>
      </w:r>
      <w:r w:rsidR="006C0554">
        <w:instrText xml:space="preserve"> SEQ Table \* ARABIC \s 1 </w:instrText>
      </w:r>
      <w:r w:rsidR="006C0554">
        <w:fldChar w:fldCharType="separate"/>
      </w:r>
      <w:r w:rsidR="008E2086">
        <w:rPr>
          <w:noProof/>
        </w:rPr>
        <w:t>12</w:t>
      </w:r>
      <w:r w:rsidR="006C0554">
        <w:rPr>
          <w:noProof/>
        </w:rPr>
        <w:fldChar w:fldCharType="end"/>
      </w:r>
      <w:r>
        <w:t>: Child development outcome</w:t>
      </w:r>
      <w:r w:rsidR="00DF2F59">
        <w:t>s</w:t>
      </w:r>
      <w:r>
        <w:t xml:space="preserve"> </w:t>
      </w:r>
      <w:r w:rsidR="00DF2F59">
        <w:t>o</w:t>
      </w:r>
      <w:r>
        <w:t>n the language and cognitive skills (school-based) domain</w:t>
      </w:r>
      <w:bookmarkEnd w:id="356"/>
    </w:p>
    <w:tbl>
      <w:tblPr>
        <w:tblStyle w:val="ListTable3-Accent12"/>
        <w:tblW w:w="8792" w:type="dxa"/>
        <w:tblInd w:w="-5" w:type="dxa"/>
        <w:tblLook w:val="04A0" w:firstRow="1" w:lastRow="0" w:firstColumn="1" w:lastColumn="0" w:noHBand="0" w:noVBand="1"/>
      </w:tblPr>
      <w:tblGrid>
        <w:gridCol w:w="709"/>
        <w:gridCol w:w="1312"/>
        <w:gridCol w:w="886"/>
        <w:gridCol w:w="976"/>
        <w:gridCol w:w="992"/>
        <w:gridCol w:w="920"/>
        <w:gridCol w:w="1065"/>
        <w:gridCol w:w="992"/>
        <w:gridCol w:w="940"/>
      </w:tblGrid>
      <w:tr w:rsidR="00C03218" w:rsidRPr="002B03B4" w14:paraId="4FABE3F8"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164C3140" w14:textId="77777777" w:rsidR="00C03218" w:rsidRPr="002B03B4" w:rsidRDefault="00C03218" w:rsidP="000613C9">
            <w:pPr>
              <w:jc w:val="center"/>
              <w:rPr>
                <w:sz w:val="20"/>
                <w:szCs w:val="20"/>
                <w:lang w:eastAsia="en-AU"/>
              </w:rPr>
            </w:pPr>
          </w:p>
        </w:tc>
        <w:tc>
          <w:tcPr>
            <w:tcW w:w="0" w:type="dxa"/>
            <w:shd w:val="clear" w:color="auto" w:fill="2F5496" w:themeFill="accent5" w:themeFillShade="BF"/>
            <w:noWrap/>
            <w:hideMark/>
          </w:tcPr>
          <w:p w14:paraId="040A2272" w14:textId="77777777" w:rsidR="00C03218" w:rsidRPr="002B03B4" w:rsidRDefault="00C03218"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p>
        </w:tc>
        <w:tc>
          <w:tcPr>
            <w:tcW w:w="0" w:type="dxa"/>
            <w:gridSpan w:val="2"/>
            <w:shd w:val="clear" w:color="auto" w:fill="2F5496" w:themeFill="accent5" w:themeFillShade="BF"/>
            <w:noWrap/>
          </w:tcPr>
          <w:p w14:paraId="13D819C0" w14:textId="77777777" w:rsidR="00C03218" w:rsidRPr="002B03B4" w:rsidRDefault="00C03218"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On track</w:t>
            </w:r>
          </w:p>
        </w:tc>
        <w:tc>
          <w:tcPr>
            <w:tcW w:w="0" w:type="dxa"/>
            <w:gridSpan w:val="2"/>
            <w:shd w:val="clear" w:color="auto" w:fill="2F5496" w:themeFill="accent5" w:themeFillShade="BF"/>
            <w:noWrap/>
          </w:tcPr>
          <w:p w14:paraId="6460A647" w14:textId="77777777" w:rsidR="00C03218" w:rsidRPr="002B03B4" w:rsidRDefault="00C03218"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At risk</w:t>
            </w:r>
          </w:p>
        </w:tc>
        <w:tc>
          <w:tcPr>
            <w:tcW w:w="0" w:type="dxa"/>
            <w:gridSpan w:val="2"/>
            <w:shd w:val="clear" w:color="auto" w:fill="2F5496" w:themeFill="accent5" w:themeFillShade="BF"/>
            <w:noWrap/>
          </w:tcPr>
          <w:p w14:paraId="6AD7CF3A" w14:textId="77777777" w:rsidR="00C03218" w:rsidRPr="002B03B4" w:rsidRDefault="00C03218"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Vulnerable</w:t>
            </w:r>
          </w:p>
        </w:tc>
        <w:tc>
          <w:tcPr>
            <w:tcW w:w="0" w:type="dxa"/>
            <w:shd w:val="clear" w:color="auto" w:fill="2F5496" w:themeFill="accent5" w:themeFillShade="BF"/>
          </w:tcPr>
          <w:p w14:paraId="7435D150" w14:textId="77777777" w:rsidR="00C03218" w:rsidRPr="002B03B4" w:rsidRDefault="00C03218"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Total</w:t>
            </w:r>
          </w:p>
        </w:tc>
      </w:tr>
      <w:tr w:rsidR="00C03218" w:rsidRPr="002B03B4" w14:paraId="18152FFD"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10558F51" w14:textId="77777777" w:rsidR="00C03218" w:rsidRPr="002B03B4" w:rsidRDefault="00C03218" w:rsidP="000613C9">
            <w:pPr>
              <w:jc w:val="center"/>
              <w:rPr>
                <w:sz w:val="20"/>
                <w:szCs w:val="20"/>
                <w:lang w:eastAsia="en-AU"/>
              </w:rPr>
            </w:pPr>
          </w:p>
        </w:tc>
        <w:tc>
          <w:tcPr>
            <w:tcW w:w="1312" w:type="dxa"/>
            <w:noWrap/>
          </w:tcPr>
          <w:p w14:paraId="3D67D152" w14:textId="77777777" w:rsidR="00C03218" w:rsidRPr="002B03B4" w:rsidRDefault="00C03218" w:rsidP="000613C9">
            <w:pPr>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886" w:type="dxa"/>
            <w:noWrap/>
          </w:tcPr>
          <w:p w14:paraId="52D607C9" w14:textId="77777777" w:rsidR="00C03218" w:rsidRPr="002B03B4" w:rsidRDefault="00C03218" w:rsidP="000613C9">
            <w:pPr>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976" w:type="dxa"/>
            <w:noWrap/>
          </w:tcPr>
          <w:p w14:paraId="77F5916B" w14:textId="77777777" w:rsidR="00C03218" w:rsidRPr="002B03B4" w:rsidRDefault="00C03218" w:rsidP="000613C9">
            <w:pPr>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992" w:type="dxa"/>
            <w:noWrap/>
          </w:tcPr>
          <w:p w14:paraId="22D8A930" w14:textId="77777777" w:rsidR="00C03218" w:rsidRPr="002B03B4" w:rsidRDefault="00C03218" w:rsidP="000613C9">
            <w:pPr>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920" w:type="dxa"/>
            <w:noWrap/>
          </w:tcPr>
          <w:p w14:paraId="6CDF5EE4" w14:textId="77777777" w:rsidR="00C03218" w:rsidRPr="002B03B4" w:rsidRDefault="00C03218" w:rsidP="000613C9">
            <w:pPr>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1065" w:type="dxa"/>
            <w:noWrap/>
          </w:tcPr>
          <w:p w14:paraId="50484378" w14:textId="77777777" w:rsidR="00C03218" w:rsidRPr="002B03B4" w:rsidRDefault="00C03218" w:rsidP="000613C9">
            <w:pPr>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992" w:type="dxa"/>
            <w:noWrap/>
          </w:tcPr>
          <w:p w14:paraId="7F512922" w14:textId="77777777" w:rsidR="00C03218" w:rsidRPr="002B03B4" w:rsidRDefault="00C03218" w:rsidP="000613C9">
            <w:pPr>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940" w:type="dxa"/>
          </w:tcPr>
          <w:p w14:paraId="67A3F5AF" w14:textId="17A129E6" w:rsidR="00C03218" w:rsidRPr="002B03B4" w:rsidRDefault="00EF1500" w:rsidP="000613C9">
            <w:pPr>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Cases</w:t>
            </w:r>
          </w:p>
        </w:tc>
      </w:tr>
      <w:tr w:rsidR="00C03218" w:rsidRPr="002B03B4" w14:paraId="536BCECF"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7FDEC896" w14:textId="77777777" w:rsidR="00C03218" w:rsidRPr="002B03B4" w:rsidRDefault="00C03218" w:rsidP="00C03218">
            <w:pPr>
              <w:rPr>
                <w:sz w:val="20"/>
                <w:szCs w:val="20"/>
                <w:lang w:eastAsia="en-AU"/>
              </w:rPr>
            </w:pPr>
            <w:r w:rsidRPr="002B03B4">
              <w:rPr>
                <w:sz w:val="20"/>
                <w:szCs w:val="20"/>
                <w:lang w:eastAsia="en-AU"/>
              </w:rPr>
              <w:t>2012</w:t>
            </w:r>
          </w:p>
        </w:tc>
        <w:tc>
          <w:tcPr>
            <w:tcW w:w="1312" w:type="dxa"/>
            <w:noWrap/>
          </w:tcPr>
          <w:p w14:paraId="20C20DDE" w14:textId="77777777" w:rsidR="00C03218" w:rsidRPr="002B03B4" w:rsidRDefault="00C03218" w:rsidP="00C0321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Bundaberg</w:t>
            </w:r>
          </w:p>
        </w:tc>
        <w:tc>
          <w:tcPr>
            <w:tcW w:w="886" w:type="dxa"/>
            <w:noWrap/>
          </w:tcPr>
          <w:p w14:paraId="4F9ABC5D"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822</w:t>
            </w:r>
          </w:p>
        </w:tc>
        <w:tc>
          <w:tcPr>
            <w:tcW w:w="976" w:type="dxa"/>
            <w:noWrap/>
          </w:tcPr>
          <w:p w14:paraId="7E3916E5"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77.8</w:t>
            </w:r>
          </w:p>
        </w:tc>
        <w:tc>
          <w:tcPr>
            <w:tcW w:w="992" w:type="dxa"/>
            <w:noWrap/>
          </w:tcPr>
          <w:p w14:paraId="6F304A99"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127</w:t>
            </w:r>
          </w:p>
        </w:tc>
        <w:tc>
          <w:tcPr>
            <w:tcW w:w="920" w:type="dxa"/>
            <w:noWrap/>
          </w:tcPr>
          <w:p w14:paraId="2AAAAFB7"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12</w:t>
            </w:r>
          </w:p>
        </w:tc>
        <w:tc>
          <w:tcPr>
            <w:tcW w:w="1065" w:type="dxa"/>
            <w:noWrap/>
          </w:tcPr>
          <w:p w14:paraId="7123DB1D"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108</w:t>
            </w:r>
          </w:p>
        </w:tc>
        <w:tc>
          <w:tcPr>
            <w:tcW w:w="992" w:type="dxa"/>
            <w:noWrap/>
          </w:tcPr>
          <w:p w14:paraId="0799ED5C"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10.2</w:t>
            </w:r>
          </w:p>
        </w:tc>
        <w:tc>
          <w:tcPr>
            <w:tcW w:w="940" w:type="dxa"/>
          </w:tcPr>
          <w:p w14:paraId="3733A5C9"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1,057</w:t>
            </w:r>
          </w:p>
        </w:tc>
      </w:tr>
      <w:tr w:rsidR="00C03218" w:rsidRPr="002B03B4" w14:paraId="5A1986DA"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9E9BD47" w14:textId="77777777" w:rsidR="00C03218" w:rsidRPr="002B03B4" w:rsidRDefault="00C03218" w:rsidP="00C03218">
            <w:pPr>
              <w:rPr>
                <w:sz w:val="20"/>
                <w:szCs w:val="20"/>
                <w:lang w:eastAsia="en-AU"/>
              </w:rPr>
            </w:pPr>
          </w:p>
        </w:tc>
        <w:tc>
          <w:tcPr>
            <w:tcW w:w="1312" w:type="dxa"/>
            <w:noWrap/>
          </w:tcPr>
          <w:p w14:paraId="470F4414" w14:textId="77777777" w:rsidR="00C03218" w:rsidRPr="002B03B4" w:rsidRDefault="00C03218" w:rsidP="00C0321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Hervey Bay</w:t>
            </w:r>
          </w:p>
        </w:tc>
        <w:tc>
          <w:tcPr>
            <w:tcW w:w="886" w:type="dxa"/>
            <w:noWrap/>
          </w:tcPr>
          <w:p w14:paraId="2FB393B3"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518</w:t>
            </w:r>
          </w:p>
        </w:tc>
        <w:tc>
          <w:tcPr>
            <w:tcW w:w="976" w:type="dxa"/>
            <w:noWrap/>
          </w:tcPr>
          <w:p w14:paraId="17360B1A"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75.5</w:t>
            </w:r>
          </w:p>
        </w:tc>
        <w:tc>
          <w:tcPr>
            <w:tcW w:w="992" w:type="dxa"/>
            <w:noWrap/>
          </w:tcPr>
          <w:p w14:paraId="0F54AC74"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90</w:t>
            </w:r>
          </w:p>
        </w:tc>
        <w:tc>
          <w:tcPr>
            <w:tcW w:w="920" w:type="dxa"/>
            <w:noWrap/>
          </w:tcPr>
          <w:p w14:paraId="3E68A6F9"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13.1</w:t>
            </w:r>
          </w:p>
        </w:tc>
        <w:tc>
          <w:tcPr>
            <w:tcW w:w="1065" w:type="dxa"/>
            <w:noWrap/>
          </w:tcPr>
          <w:p w14:paraId="4FDA6736"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78</w:t>
            </w:r>
          </w:p>
        </w:tc>
        <w:tc>
          <w:tcPr>
            <w:tcW w:w="992" w:type="dxa"/>
            <w:noWrap/>
          </w:tcPr>
          <w:p w14:paraId="08B66AC5"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11.4</w:t>
            </w:r>
          </w:p>
        </w:tc>
        <w:tc>
          <w:tcPr>
            <w:tcW w:w="940" w:type="dxa"/>
          </w:tcPr>
          <w:p w14:paraId="592ACD79"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686</w:t>
            </w:r>
          </w:p>
        </w:tc>
      </w:tr>
      <w:tr w:rsidR="00C03218" w:rsidRPr="002B03B4" w14:paraId="0F68A0FE"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057489E" w14:textId="77777777" w:rsidR="00C03218" w:rsidRPr="002B03B4" w:rsidRDefault="00C03218" w:rsidP="00C03218">
            <w:pPr>
              <w:rPr>
                <w:sz w:val="20"/>
                <w:szCs w:val="20"/>
                <w:lang w:eastAsia="en-AU"/>
              </w:rPr>
            </w:pPr>
          </w:p>
        </w:tc>
        <w:tc>
          <w:tcPr>
            <w:tcW w:w="1312" w:type="dxa"/>
            <w:noWrap/>
          </w:tcPr>
          <w:p w14:paraId="4F898CB2" w14:textId="77777777" w:rsidR="00C03218" w:rsidRPr="002B03B4" w:rsidRDefault="00C03218" w:rsidP="00C0321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BHB region</w:t>
            </w:r>
          </w:p>
        </w:tc>
        <w:tc>
          <w:tcPr>
            <w:tcW w:w="886" w:type="dxa"/>
            <w:noWrap/>
          </w:tcPr>
          <w:p w14:paraId="6AE76473"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1,340</w:t>
            </w:r>
          </w:p>
        </w:tc>
        <w:tc>
          <w:tcPr>
            <w:tcW w:w="976" w:type="dxa"/>
            <w:noWrap/>
          </w:tcPr>
          <w:p w14:paraId="4A057D2C"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76.9</w:t>
            </w:r>
          </w:p>
        </w:tc>
        <w:tc>
          <w:tcPr>
            <w:tcW w:w="992" w:type="dxa"/>
            <w:noWrap/>
          </w:tcPr>
          <w:p w14:paraId="4F9FE251"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217</w:t>
            </w:r>
          </w:p>
        </w:tc>
        <w:tc>
          <w:tcPr>
            <w:tcW w:w="920" w:type="dxa"/>
            <w:noWrap/>
          </w:tcPr>
          <w:p w14:paraId="43BA1564"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12.4</w:t>
            </w:r>
          </w:p>
        </w:tc>
        <w:tc>
          <w:tcPr>
            <w:tcW w:w="1065" w:type="dxa"/>
            <w:noWrap/>
          </w:tcPr>
          <w:p w14:paraId="54D3809B"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186</w:t>
            </w:r>
          </w:p>
        </w:tc>
        <w:tc>
          <w:tcPr>
            <w:tcW w:w="992" w:type="dxa"/>
            <w:noWrap/>
          </w:tcPr>
          <w:p w14:paraId="50F9ADFF"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10.7</w:t>
            </w:r>
          </w:p>
        </w:tc>
        <w:tc>
          <w:tcPr>
            <w:tcW w:w="940" w:type="dxa"/>
          </w:tcPr>
          <w:p w14:paraId="1594FADD"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1,743</w:t>
            </w:r>
          </w:p>
        </w:tc>
      </w:tr>
      <w:tr w:rsidR="00C03218" w:rsidRPr="002B03B4" w14:paraId="7EFD88F5"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BF4E64C" w14:textId="77777777" w:rsidR="00C03218" w:rsidRPr="002B03B4" w:rsidRDefault="00C03218" w:rsidP="00C03218">
            <w:pPr>
              <w:rPr>
                <w:sz w:val="20"/>
                <w:szCs w:val="20"/>
                <w:lang w:eastAsia="en-AU"/>
              </w:rPr>
            </w:pPr>
          </w:p>
        </w:tc>
        <w:tc>
          <w:tcPr>
            <w:tcW w:w="1312" w:type="dxa"/>
            <w:noWrap/>
          </w:tcPr>
          <w:p w14:paraId="3D33CA06" w14:textId="77777777" w:rsidR="00C03218" w:rsidRPr="002B03B4" w:rsidRDefault="00C03218" w:rsidP="00C0321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Queensland</w:t>
            </w:r>
          </w:p>
        </w:tc>
        <w:tc>
          <w:tcPr>
            <w:tcW w:w="886" w:type="dxa"/>
            <w:noWrap/>
          </w:tcPr>
          <w:p w14:paraId="06DA2EE9"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45,632</w:t>
            </w:r>
          </w:p>
        </w:tc>
        <w:tc>
          <w:tcPr>
            <w:tcW w:w="976" w:type="dxa"/>
            <w:noWrap/>
          </w:tcPr>
          <w:p w14:paraId="7B46553E"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78.5</w:t>
            </w:r>
          </w:p>
        </w:tc>
        <w:tc>
          <w:tcPr>
            <w:tcW w:w="992" w:type="dxa"/>
            <w:noWrap/>
          </w:tcPr>
          <w:p w14:paraId="544118FE"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7,186</w:t>
            </w:r>
          </w:p>
        </w:tc>
        <w:tc>
          <w:tcPr>
            <w:tcW w:w="920" w:type="dxa"/>
            <w:noWrap/>
          </w:tcPr>
          <w:p w14:paraId="6068B0A6"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12.4</w:t>
            </w:r>
          </w:p>
        </w:tc>
        <w:tc>
          <w:tcPr>
            <w:tcW w:w="1065" w:type="dxa"/>
            <w:noWrap/>
          </w:tcPr>
          <w:p w14:paraId="2B4DAB1F"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5,304</w:t>
            </w:r>
          </w:p>
        </w:tc>
        <w:tc>
          <w:tcPr>
            <w:tcW w:w="992" w:type="dxa"/>
            <w:noWrap/>
          </w:tcPr>
          <w:p w14:paraId="5DAA7D6E"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9.1</w:t>
            </w:r>
          </w:p>
        </w:tc>
        <w:tc>
          <w:tcPr>
            <w:tcW w:w="940" w:type="dxa"/>
          </w:tcPr>
          <w:p w14:paraId="709AD580"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58,122</w:t>
            </w:r>
          </w:p>
        </w:tc>
      </w:tr>
      <w:tr w:rsidR="00C03218" w:rsidRPr="002B03B4" w14:paraId="15167F63"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F7C09C6" w14:textId="77777777" w:rsidR="00C03218" w:rsidRPr="002B03B4" w:rsidRDefault="00C03218" w:rsidP="00C03218">
            <w:pPr>
              <w:rPr>
                <w:sz w:val="20"/>
                <w:szCs w:val="20"/>
                <w:lang w:eastAsia="en-AU"/>
              </w:rPr>
            </w:pPr>
          </w:p>
        </w:tc>
        <w:tc>
          <w:tcPr>
            <w:tcW w:w="1312" w:type="dxa"/>
            <w:noWrap/>
          </w:tcPr>
          <w:p w14:paraId="348FEAFD" w14:textId="77777777" w:rsidR="00C03218" w:rsidRPr="002B03B4" w:rsidRDefault="00C03218" w:rsidP="00C0321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Australia</w:t>
            </w:r>
          </w:p>
        </w:tc>
        <w:tc>
          <w:tcPr>
            <w:tcW w:w="886" w:type="dxa"/>
            <w:noWrap/>
          </w:tcPr>
          <w:p w14:paraId="1036C1A2"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226,260</w:t>
            </w:r>
          </w:p>
        </w:tc>
        <w:tc>
          <w:tcPr>
            <w:tcW w:w="976" w:type="dxa"/>
            <w:noWrap/>
          </w:tcPr>
          <w:p w14:paraId="1FAF0F89"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82.6</w:t>
            </w:r>
          </w:p>
        </w:tc>
        <w:tc>
          <w:tcPr>
            <w:tcW w:w="992" w:type="dxa"/>
            <w:noWrap/>
          </w:tcPr>
          <w:p w14:paraId="19F3D0A4"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29,072</w:t>
            </w:r>
          </w:p>
        </w:tc>
        <w:tc>
          <w:tcPr>
            <w:tcW w:w="920" w:type="dxa"/>
            <w:noWrap/>
          </w:tcPr>
          <w:p w14:paraId="3997DD33"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10.6</w:t>
            </w:r>
          </w:p>
        </w:tc>
        <w:tc>
          <w:tcPr>
            <w:tcW w:w="1065" w:type="dxa"/>
            <w:noWrap/>
          </w:tcPr>
          <w:p w14:paraId="120DBB28"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18,564</w:t>
            </w:r>
          </w:p>
        </w:tc>
        <w:tc>
          <w:tcPr>
            <w:tcW w:w="992" w:type="dxa"/>
            <w:noWrap/>
          </w:tcPr>
          <w:p w14:paraId="33D1A7E7"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6.8</w:t>
            </w:r>
          </w:p>
        </w:tc>
        <w:tc>
          <w:tcPr>
            <w:tcW w:w="940" w:type="dxa"/>
          </w:tcPr>
          <w:p w14:paraId="0D230F81"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273,896</w:t>
            </w:r>
          </w:p>
        </w:tc>
      </w:tr>
      <w:tr w:rsidR="00C03218" w:rsidRPr="002B03B4" w14:paraId="01989D09"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1B21C34C" w14:textId="77777777" w:rsidR="00C03218" w:rsidRPr="002B03B4" w:rsidRDefault="00C03218" w:rsidP="00C03218">
            <w:pPr>
              <w:rPr>
                <w:sz w:val="20"/>
                <w:szCs w:val="20"/>
                <w:lang w:eastAsia="en-AU"/>
              </w:rPr>
            </w:pPr>
            <w:r w:rsidRPr="002B03B4">
              <w:rPr>
                <w:sz w:val="20"/>
                <w:szCs w:val="20"/>
                <w:lang w:eastAsia="en-AU"/>
              </w:rPr>
              <w:t>2015</w:t>
            </w:r>
          </w:p>
        </w:tc>
        <w:tc>
          <w:tcPr>
            <w:tcW w:w="1312" w:type="dxa"/>
            <w:noWrap/>
          </w:tcPr>
          <w:p w14:paraId="794DF546" w14:textId="77777777" w:rsidR="00C03218" w:rsidRPr="002B03B4" w:rsidRDefault="00C03218" w:rsidP="00C0321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Bundaberg</w:t>
            </w:r>
          </w:p>
        </w:tc>
        <w:tc>
          <w:tcPr>
            <w:tcW w:w="886" w:type="dxa"/>
            <w:noWrap/>
          </w:tcPr>
          <w:p w14:paraId="3EC78740"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840</w:t>
            </w:r>
          </w:p>
        </w:tc>
        <w:tc>
          <w:tcPr>
            <w:tcW w:w="976" w:type="dxa"/>
            <w:noWrap/>
          </w:tcPr>
          <w:p w14:paraId="079C6FCE"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79.1</w:t>
            </w:r>
          </w:p>
        </w:tc>
        <w:tc>
          <w:tcPr>
            <w:tcW w:w="992" w:type="dxa"/>
            <w:noWrap/>
          </w:tcPr>
          <w:p w14:paraId="1779E53D"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101</w:t>
            </w:r>
          </w:p>
        </w:tc>
        <w:tc>
          <w:tcPr>
            <w:tcW w:w="920" w:type="dxa"/>
            <w:noWrap/>
          </w:tcPr>
          <w:p w14:paraId="3A5C1FDD"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9.5</w:t>
            </w:r>
          </w:p>
        </w:tc>
        <w:tc>
          <w:tcPr>
            <w:tcW w:w="1065" w:type="dxa"/>
            <w:noWrap/>
          </w:tcPr>
          <w:p w14:paraId="7B3F3ECB"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121</w:t>
            </w:r>
          </w:p>
        </w:tc>
        <w:tc>
          <w:tcPr>
            <w:tcW w:w="992" w:type="dxa"/>
            <w:noWrap/>
          </w:tcPr>
          <w:p w14:paraId="4458E5F6"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11.4</w:t>
            </w:r>
          </w:p>
        </w:tc>
        <w:tc>
          <w:tcPr>
            <w:tcW w:w="940" w:type="dxa"/>
          </w:tcPr>
          <w:p w14:paraId="217ADDB8"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1,062</w:t>
            </w:r>
          </w:p>
        </w:tc>
      </w:tr>
      <w:tr w:rsidR="00C03218" w:rsidRPr="002B03B4" w14:paraId="6D06C2B2"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6CD16CB" w14:textId="77777777" w:rsidR="00C03218" w:rsidRPr="002B03B4" w:rsidRDefault="00C03218" w:rsidP="00C03218">
            <w:pPr>
              <w:rPr>
                <w:sz w:val="20"/>
                <w:szCs w:val="20"/>
                <w:lang w:eastAsia="en-AU"/>
              </w:rPr>
            </w:pPr>
          </w:p>
        </w:tc>
        <w:tc>
          <w:tcPr>
            <w:tcW w:w="1312" w:type="dxa"/>
            <w:noWrap/>
          </w:tcPr>
          <w:p w14:paraId="14F05041" w14:textId="77777777" w:rsidR="00C03218" w:rsidRPr="002B03B4" w:rsidRDefault="00C03218" w:rsidP="00C0321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Hervey Bay</w:t>
            </w:r>
          </w:p>
        </w:tc>
        <w:tc>
          <w:tcPr>
            <w:tcW w:w="886" w:type="dxa"/>
            <w:noWrap/>
          </w:tcPr>
          <w:p w14:paraId="624378C5"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505</w:t>
            </w:r>
          </w:p>
        </w:tc>
        <w:tc>
          <w:tcPr>
            <w:tcW w:w="976" w:type="dxa"/>
            <w:noWrap/>
          </w:tcPr>
          <w:p w14:paraId="517D0F62"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77.7</w:t>
            </w:r>
          </w:p>
        </w:tc>
        <w:tc>
          <w:tcPr>
            <w:tcW w:w="992" w:type="dxa"/>
            <w:noWrap/>
          </w:tcPr>
          <w:p w14:paraId="45C3F912"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72</w:t>
            </w:r>
          </w:p>
        </w:tc>
        <w:tc>
          <w:tcPr>
            <w:tcW w:w="920" w:type="dxa"/>
            <w:noWrap/>
          </w:tcPr>
          <w:p w14:paraId="0A36F28C"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11.1</w:t>
            </w:r>
          </w:p>
        </w:tc>
        <w:tc>
          <w:tcPr>
            <w:tcW w:w="1065" w:type="dxa"/>
            <w:noWrap/>
          </w:tcPr>
          <w:p w14:paraId="79039183"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73</w:t>
            </w:r>
          </w:p>
        </w:tc>
        <w:tc>
          <w:tcPr>
            <w:tcW w:w="992" w:type="dxa"/>
            <w:noWrap/>
          </w:tcPr>
          <w:p w14:paraId="18F258AF"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11.2</w:t>
            </w:r>
          </w:p>
        </w:tc>
        <w:tc>
          <w:tcPr>
            <w:tcW w:w="940" w:type="dxa"/>
          </w:tcPr>
          <w:p w14:paraId="2441026D"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650</w:t>
            </w:r>
          </w:p>
        </w:tc>
      </w:tr>
      <w:tr w:rsidR="00C03218" w:rsidRPr="002B03B4" w14:paraId="3C387F66"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7682239" w14:textId="77777777" w:rsidR="00C03218" w:rsidRPr="002B03B4" w:rsidRDefault="00C03218" w:rsidP="00C03218">
            <w:pPr>
              <w:rPr>
                <w:sz w:val="20"/>
                <w:szCs w:val="20"/>
                <w:lang w:eastAsia="en-AU"/>
              </w:rPr>
            </w:pPr>
          </w:p>
        </w:tc>
        <w:tc>
          <w:tcPr>
            <w:tcW w:w="1312" w:type="dxa"/>
            <w:noWrap/>
          </w:tcPr>
          <w:p w14:paraId="30F5AC6A" w14:textId="77777777" w:rsidR="00C03218" w:rsidRPr="002B03B4" w:rsidRDefault="00C03218" w:rsidP="00C0321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BHB region</w:t>
            </w:r>
          </w:p>
        </w:tc>
        <w:tc>
          <w:tcPr>
            <w:tcW w:w="886" w:type="dxa"/>
            <w:noWrap/>
          </w:tcPr>
          <w:p w14:paraId="5BE431D4"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1,345</w:t>
            </w:r>
          </w:p>
        </w:tc>
        <w:tc>
          <w:tcPr>
            <w:tcW w:w="976" w:type="dxa"/>
            <w:noWrap/>
          </w:tcPr>
          <w:p w14:paraId="5C586B41"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78.6</w:t>
            </w:r>
          </w:p>
        </w:tc>
        <w:tc>
          <w:tcPr>
            <w:tcW w:w="992" w:type="dxa"/>
            <w:noWrap/>
          </w:tcPr>
          <w:p w14:paraId="47178344"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173</w:t>
            </w:r>
          </w:p>
        </w:tc>
        <w:tc>
          <w:tcPr>
            <w:tcW w:w="920" w:type="dxa"/>
            <w:noWrap/>
          </w:tcPr>
          <w:p w14:paraId="6C139BB2"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10.1</w:t>
            </w:r>
          </w:p>
        </w:tc>
        <w:tc>
          <w:tcPr>
            <w:tcW w:w="1065" w:type="dxa"/>
            <w:noWrap/>
          </w:tcPr>
          <w:p w14:paraId="4748ED41"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194</w:t>
            </w:r>
          </w:p>
        </w:tc>
        <w:tc>
          <w:tcPr>
            <w:tcW w:w="992" w:type="dxa"/>
            <w:noWrap/>
          </w:tcPr>
          <w:p w14:paraId="53C2BE8A"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11.3</w:t>
            </w:r>
          </w:p>
        </w:tc>
        <w:tc>
          <w:tcPr>
            <w:tcW w:w="940" w:type="dxa"/>
          </w:tcPr>
          <w:p w14:paraId="71148B7F"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1,712</w:t>
            </w:r>
          </w:p>
        </w:tc>
      </w:tr>
      <w:tr w:rsidR="00C03218" w:rsidRPr="002B03B4" w14:paraId="1BD1BE3D"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E7C340F" w14:textId="77777777" w:rsidR="00C03218" w:rsidRPr="002B03B4" w:rsidRDefault="00C03218" w:rsidP="00C03218">
            <w:pPr>
              <w:rPr>
                <w:sz w:val="20"/>
                <w:szCs w:val="20"/>
                <w:lang w:eastAsia="en-AU"/>
              </w:rPr>
            </w:pPr>
          </w:p>
        </w:tc>
        <w:tc>
          <w:tcPr>
            <w:tcW w:w="1312" w:type="dxa"/>
            <w:noWrap/>
          </w:tcPr>
          <w:p w14:paraId="5DE612A4" w14:textId="77777777" w:rsidR="00C03218" w:rsidRPr="002B03B4" w:rsidRDefault="00C03218" w:rsidP="00C0321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Queensland</w:t>
            </w:r>
          </w:p>
        </w:tc>
        <w:tc>
          <w:tcPr>
            <w:tcW w:w="886" w:type="dxa"/>
            <w:noWrap/>
          </w:tcPr>
          <w:p w14:paraId="5E660CB2"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51,100</w:t>
            </w:r>
          </w:p>
        </w:tc>
        <w:tc>
          <w:tcPr>
            <w:tcW w:w="976" w:type="dxa"/>
            <w:noWrap/>
          </w:tcPr>
          <w:p w14:paraId="0C01F0D1"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82.3</w:t>
            </w:r>
          </w:p>
        </w:tc>
        <w:tc>
          <w:tcPr>
            <w:tcW w:w="992" w:type="dxa"/>
            <w:noWrap/>
          </w:tcPr>
          <w:p w14:paraId="418047D6"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6,026</w:t>
            </w:r>
          </w:p>
        </w:tc>
        <w:tc>
          <w:tcPr>
            <w:tcW w:w="920" w:type="dxa"/>
            <w:noWrap/>
          </w:tcPr>
          <w:p w14:paraId="7150A246"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9.7</w:t>
            </w:r>
          </w:p>
        </w:tc>
        <w:tc>
          <w:tcPr>
            <w:tcW w:w="1065" w:type="dxa"/>
            <w:noWrap/>
          </w:tcPr>
          <w:p w14:paraId="3D6E46D9"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5,000</w:t>
            </w:r>
          </w:p>
        </w:tc>
        <w:tc>
          <w:tcPr>
            <w:tcW w:w="992" w:type="dxa"/>
            <w:noWrap/>
          </w:tcPr>
          <w:p w14:paraId="4AA0D091"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8</w:t>
            </w:r>
          </w:p>
        </w:tc>
        <w:tc>
          <w:tcPr>
            <w:tcW w:w="940" w:type="dxa"/>
          </w:tcPr>
          <w:p w14:paraId="166E2D6F"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62,126</w:t>
            </w:r>
          </w:p>
        </w:tc>
      </w:tr>
      <w:tr w:rsidR="00C03218" w:rsidRPr="002B03B4" w14:paraId="157F6BF9"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87BE581" w14:textId="77777777" w:rsidR="00C03218" w:rsidRPr="002B03B4" w:rsidRDefault="00C03218" w:rsidP="00C03218">
            <w:pPr>
              <w:rPr>
                <w:sz w:val="20"/>
                <w:szCs w:val="20"/>
                <w:lang w:eastAsia="en-AU"/>
              </w:rPr>
            </w:pPr>
          </w:p>
        </w:tc>
        <w:tc>
          <w:tcPr>
            <w:tcW w:w="1312" w:type="dxa"/>
            <w:noWrap/>
          </w:tcPr>
          <w:p w14:paraId="24205A4F" w14:textId="77777777" w:rsidR="00C03218" w:rsidRPr="002B03B4" w:rsidRDefault="00C03218" w:rsidP="00C0321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Australia</w:t>
            </w:r>
          </w:p>
        </w:tc>
        <w:tc>
          <w:tcPr>
            <w:tcW w:w="886" w:type="dxa"/>
            <w:noWrap/>
          </w:tcPr>
          <w:p w14:paraId="08355761"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242,518</w:t>
            </w:r>
          </w:p>
        </w:tc>
        <w:tc>
          <w:tcPr>
            <w:tcW w:w="976" w:type="dxa"/>
            <w:noWrap/>
          </w:tcPr>
          <w:p w14:paraId="0165CD14"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84.6</w:t>
            </w:r>
          </w:p>
        </w:tc>
        <w:tc>
          <w:tcPr>
            <w:tcW w:w="992" w:type="dxa"/>
            <w:noWrap/>
          </w:tcPr>
          <w:p w14:paraId="39792B84"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25,597</w:t>
            </w:r>
          </w:p>
        </w:tc>
        <w:tc>
          <w:tcPr>
            <w:tcW w:w="920" w:type="dxa"/>
            <w:noWrap/>
          </w:tcPr>
          <w:p w14:paraId="78874A15"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8.9</w:t>
            </w:r>
          </w:p>
        </w:tc>
        <w:tc>
          <w:tcPr>
            <w:tcW w:w="1065" w:type="dxa"/>
            <w:noWrap/>
          </w:tcPr>
          <w:p w14:paraId="7931F8D8"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18,533</w:t>
            </w:r>
          </w:p>
        </w:tc>
        <w:tc>
          <w:tcPr>
            <w:tcW w:w="992" w:type="dxa"/>
            <w:noWrap/>
          </w:tcPr>
          <w:p w14:paraId="0D2461FF"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6.5</w:t>
            </w:r>
          </w:p>
        </w:tc>
        <w:tc>
          <w:tcPr>
            <w:tcW w:w="940" w:type="dxa"/>
          </w:tcPr>
          <w:p w14:paraId="47D019ED"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286,648</w:t>
            </w:r>
          </w:p>
        </w:tc>
      </w:tr>
      <w:tr w:rsidR="00C03218" w:rsidRPr="002B03B4" w14:paraId="38DBE9B4"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45DDEE3" w14:textId="77777777" w:rsidR="00C03218" w:rsidRPr="002B03B4" w:rsidRDefault="00C03218" w:rsidP="00C03218">
            <w:pPr>
              <w:rPr>
                <w:sz w:val="20"/>
                <w:szCs w:val="20"/>
                <w:lang w:eastAsia="en-AU"/>
              </w:rPr>
            </w:pPr>
            <w:r w:rsidRPr="002B03B4">
              <w:rPr>
                <w:sz w:val="20"/>
                <w:szCs w:val="20"/>
                <w:lang w:eastAsia="en-AU"/>
              </w:rPr>
              <w:t>2018</w:t>
            </w:r>
          </w:p>
        </w:tc>
        <w:tc>
          <w:tcPr>
            <w:tcW w:w="1312" w:type="dxa"/>
            <w:noWrap/>
          </w:tcPr>
          <w:p w14:paraId="303C837B" w14:textId="77777777" w:rsidR="00C03218" w:rsidRPr="002B03B4" w:rsidRDefault="00C03218" w:rsidP="00C0321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Bundaberg</w:t>
            </w:r>
          </w:p>
        </w:tc>
        <w:tc>
          <w:tcPr>
            <w:tcW w:w="886" w:type="dxa"/>
            <w:noWrap/>
          </w:tcPr>
          <w:p w14:paraId="1C8CD76F"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732</w:t>
            </w:r>
          </w:p>
        </w:tc>
        <w:tc>
          <w:tcPr>
            <w:tcW w:w="976" w:type="dxa"/>
            <w:noWrap/>
          </w:tcPr>
          <w:p w14:paraId="62317751"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68.5</w:t>
            </w:r>
          </w:p>
        </w:tc>
        <w:tc>
          <w:tcPr>
            <w:tcW w:w="992" w:type="dxa"/>
            <w:noWrap/>
          </w:tcPr>
          <w:p w14:paraId="1EBB4EE5"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177</w:t>
            </w:r>
          </w:p>
        </w:tc>
        <w:tc>
          <w:tcPr>
            <w:tcW w:w="920" w:type="dxa"/>
            <w:noWrap/>
          </w:tcPr>
          <w:p w14:paraId="12CE7352"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16.6</w:t>
            </w:r>
          </w:p>
        </w:tc>
        <w:tc>
          <w:tcPr>
            <w:tcW w:w="1065" w:type="dxa"/>
            <w:noWrap/>
          </w:tcPr>
          <w:p w14:paraId="152AD93F"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159</w:t>
            </w:r>
          </w:p>
        </w:tc>
        <w:tc>
          <w:tcPr>
            <w:tcW w:w="992" w:type="dxa"/>
            <w:noWrap/>
          </w:tcPr>
          <w:p w14:paraId="27DD122A"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14.9</w:t>
            </w:r>
          </w:p>
        </w:tc>
        <w:tc>
          <w:tcPr>
            <w:tcW w:w="940" w:type="dxa"/>
          </w:tcPr>
          <w:p w14:paraId="670EABA6"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1,068</w:t>
            </w:r>
          </w:p>
        </w:tc>
      </w:tr>
      <w:tr w:rsidR="00C03218" w:rsidRPr="002B03B4" w14:paraId="1CD1F0C7"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7A17588" w14:textId="77777777" w:rsidR="00C03218" w:rsidRPr="002B03B4" w:rsidRDefault="00C03218" w:rsidP="00C03218">
            <w:pPr>
              <w:rPr>
                <w:sz w:val="20"/>
                <w:szCs w:val="20"/>
                <w:lang w:eastAsia="en-AU"/>
              </w:rPr>
            </w:pPr>
          </w:p>
        </w:tc>
        <w:tc>
          <w:tcPr>
            <w:tcW w:w="1312" w:type="dxa"/>
            <w:noWrap/>
          </w:tcPr>
          <w:p w14:paraId="3826C5C3" w14:textId="77777777" w:rsidR="00C03218" w:rsidRPr="002B03B4" w:rsidRDefault="00C03218" w:rsidP="00C0321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Hervey Bay</w:t>
            </w:r>
          </w:p>
        </w:tc>
        <w:tc>
          <w:tcPr>
            <w:tcW w:w="886" w:type="dxa"/>
            <w:noWrap/>
          </w:tcPr>
          <w:p w14:paraId="427D9E22"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447</w:t>
            </w:r>
          </w:p>
        </w:tc>
        <w:tc>
          <w:tcPr>
            <w:tcW w:w="976" w:type="dxa"/>
            <w:noWrap/>
          </w:tcPr>
          <w:p w14:paraId="68286573"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76</w:t>
            </w:r>
          </w:p>
        </w:tc>
        <w:tc>
          <w:tcPr>
            <w:tcW w:w="992" w:type="dxa"/>
            <w:noWrap/>
          </w:tcPr>
          <w:p w14:paraId="70C8EA94"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80</w:t>
            </w:r>
          </w:p>
        </w:tc>
        <w:tc>
          <w:tcPr>
            <w:tcW w:w="920" w:type="dxa"/>
            <w:noWrap/>
          </w:tcPr>
          <w:p w14:paraId="66DC2EFE"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13.6</w:t>
            </w:r>
          </w:p>
        </w:tc>
        <w:tc>
          <w:tcPr>
            <w:tcW w:w="1065" w:type="dxa"/>
            <w:noWrap/>
          </w:tcPr>
          <w:p w14:paraId="2803B099"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61</w:t>
            </w:r>
          </w:p>
        </w:tc>
        <w:tc>
          <w:tcPr>
            <w:tcW w:w="992" w:type="dxa"/>
            <w:noWrap/>
          </w:tcPr>
          <w:p w14:paraId="309AADC2"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10.4</w:t>
            </w:r>
          </w:p>
        </w:tc>
        <w:tc>
          <w:tcPr>
            <w:tcW w:w="940" w:type="dxa"/>
          </w:tcPr>
          <w:p w14:paraId="3908AC97"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588</w:t>
            </w:r>
          </w:p>
        </w:tc>
      </w:tr>
      <w:tr w:rsidR="00C03218" w:rsidRPr="002B03B4" w14:paraId="15D8B884"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D0EC68E" w14:textId="77777777" w:rsidR="00C03218" w:rsidRPr="002B03B4" w:rsidRDefault="00C03218" w:rsidP="00C03218">
            <w:pPr>
              <w:rPr>
                <w:sz w:val="20"/>
                <w:szCs w:val="20"/>
                <w:lang w:eastAsia="en-AU"/>
              </w:rPr>
            </w:pPr>
          </w:p>
        </w:tc>
        <w:tc>
          <w:tcPr>
            <w:tcW w:w="1312" w:type="dxa"/>
            <w:noWrap/>
          </w:tcPr>
          <w:p w14:paraId="7AE3FB44" w14:textId="77777777" w:rsidR="00C03218" w:rsidRPr="002B03B4" w:rsidRDefault="00C03218" w:rsidP="00C0321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BHB region</w:t>
            </w:r>
          </w:p>
        </w:tc>
        <w:tc>
          <w:tcPr>
            <w:tcW w:w="886" w:type="dxa"/>
            <w:noWrap/>
          </w:tcPr>
          <w:p w14:paraId="172B5D10"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1,179</w:t>
            </w:r>
          </w:p>
        </w:tc>
        <w:tc>
          <w:tcPr>
            <w:tcW w:w="976" w:type="dxa"/>
            <w:noWrap/>
          </w:tcPr>
          <w:p w14:paraId="759DDDF1"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71.2</w:t>
            </w:r>
          </w:p>
        </w:tc>
        <w:tc>
          <w:tcPr>
            <w:tcW w:w="992" w:type="dxa"/>
            <w:noWrap/>
          </w:tcPr>
          <w:p w14:paraId="44584A0E"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257</w:t>
            </w:r>
          </w:p>
        </w:tc>
        <w:tc>
          <w:tcPr>
            <w:tcW w:w="920" w:type="dxa"/>
            <w:noWrap/>
          </w:tcPr>
          <w:p w14:paraId="0A1DDD52"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15.5</w:t>
            </w:r>
          </w:p>
        </w:tc>
        <w:tc>
          <w:tcPr>
            <w:tcW w:w="1065" w:type="dxa"/>
            <w:noWrap/>
          </w:tcPr>
          <w:p w14:paraId="36C04B49"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220</w:t>
            </w:r>
          </w:p>
        </w:tc>
        <w:tc>
          <w:tcPr>
            <w:tcW w:w="992" w:type="dxa"/>
            <w:noWrap/>
          </w:tcPr>
          <w:p w14:paraId="0A1507B7"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13.3</w:t>
            </w:r>
          </w:p>
        </w:tc>
        <w:tc>
          <w:tcPr>
            <w:tcW w:w="940" w:type="dxa"/>
          </w:tcPr>
          <w:p w14:paraId="63D5A2F0"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1,656</w:t>
            </w:r>
          </w:p>
        </w:tc>
      </w:tr>
      <w:tr w:rsidR="00C03218" w:rsidRPr="002B03B4" w14:paraId="1A1E8AC3"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62B65F0" w14:textId="77777777" w:rsidR="00C03218" w:rsidRPr="002B03B4" w:rsidRDefault="00C03218" w:rsidP="00C03218">
            <w:pPr>
              <w:rPr>
                <w:sz w:val="20"/>
                <w:szCs w:val="20"/>
                <w:lang w:eastAsia="en-AU"/>
              </w:rPr>
            </w:pPr>
          </w:p>
        </w:tc>
        <w:tc>
          <w:tcPr>
            <w:tcW w:w="1312" w:type="dxa"/>
            <w:noWrap/>
          </w:tcPr>
          <w:p w14:paraId="39F274B1" w14:textId="77777777" w:rsidR="00C03218" w:rsidRPr="002B03B4" w:rsidRDefault="00C03218" w:rsidP="00C03218">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Queensland</w:t>
            </w:r>
          </w:p>
        </w:tc>
        <w:tc>
          <w:tcPr>
            <w:tcW w:w="886" w:type="dxa"/>
            <w:noWrap/>
          </w:tcPr>
          <w:p w14:paraId="25736F3D"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50,909</w:t>
            </w:r>
          </w:p>
        </w:tc>
        <w:tc>
          <w:tcPr>
            <w:tcW w:w="976" w:type="dxa"/>
            <w:noWrap/>
          </w:tcPr>
          <w:p w14:paraId="587F2ED5"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82.4</w:t>
            </w:r>
          </w:p>
        </w:tc>
        <w:tc>
          <w:tcPr>
            <w:tcW w:w="992" w:type="dxa"/>
            <w:noWrap/>
          </w:tcPr>
          <w:p w14:paraId="223479A6"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5,925</w:t>
            </w:r>
          </w:p>
        </w:tc>
        <w:tc>
          <w:tcPr>
            <w:tcW w:w="920" w:type="dxa"/>
            <w:noWrap/>
          </w:tcPr>
          <w:p w14:paraId="522B87BB"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9.6</w:t>
            </w:r>
          </w:p>
        </w:tc>
        <w:tc>
          <w:tcPr>
            <w:tcW w:w="1065" w:type="dxa"/>
            <w:noWrap/>
          </w:tcPr>
          <w:p w14:paraId="6B02F423"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4,947</w:t>
            </w:r>
          </w:p>
        </w:tc>
        <w:tc>
          <w:tcPr>
            <w:tcW w:w="992" w:type="dxa"/>
            <w:noWrap/>
          </w:tcPr>
          <w:p w14:paraId="6B5CCF6F"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w:t>
            </w:r>
          </w:p>
        </w:tc>
        <w:tc>
          <w:tcPr>
            <w:tcW w:w="940" w:type="dxa"/>
          </w:tcPr>
          <w:p w14:paraId="628EC4BE" w14:textId="77777777" w:rsidR="00C03218" w:rsidRPr="002B03B4" w:rsidRDefault="00C03218" w:rsidP="00C03218">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61,781</w:t>
            </w:r>
          </w:p>
        </w:tc>
      </w:tr>
      <w:tr w:rsidR="00C03218" w:rsidRPr="002B03B4" w14:paraId="151EC702"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0BE173C" w14:textId="77777777" w:rsidR="00C03218" w:rsidRPr="002B03B4" w:rsidRDefault="00C03218" w:rsidP="00C03218">
            <w:pPr>
              <w:rPr>
                <w:sz w:val="20"/>
                <w:szCs w:val="20"/>
                <w:lang w:eastAsia="en-AU"/>
              </w:rPr>
            </w:pPr>
          </w:p>
        </w:tc>
        <w:tc>
          <w:tcPr>
            <w:tcW w:w="1312" w:type="dxa"/>
            <w:noWrap/>
          </w:tcPr>
          <w:p w14:paraId="378E1BB5" w14:textId="77777777" w:rsidR="00C03218" w:rsidRPr="002B03B4" w:rsidRDefault="00C03218" w:rsidP="00C03218">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Australia</w:t>
            </w:r>
          </w:p>
        </w:tc>
        <w:tc>
          <w:tcPr>
            <w:tcW w:w="886" w:type="dxa"/>
            <w:noWrap/>
          </w:tcPr>
          <w:p w14:paraId="61C9D075"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247,870</w:t>
            </w:r>
          </w:p>
        </w:tc>
        <w:tc>
          <w:tcPr>
            <w:tcW w:w="976" w:type="dxa"/>
            <w:noWrap/>
          </w:tcPr>
          <w:p w14:paraId="164F1350"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84.4</w:t>
            </w:r>
          </w:p>
        </w:tc>
        <w:tc>
          <w:tcPr>
            <w:tcW w:w="992" w:type="dxa"/>
            <w:noWrap/>
          </w:tcPr>
          <w:p w14:paraId="72A4B2BC"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26,291</w:t>
            </w:r>
          </w:p>
        </w:tc>
        <w:tc>
          <w:tcPr>
            <w:tcW w:w="920" w:type="dxa"/>
            <w:noWrap/>
          </w:tcPr>
          <w:p w14:paraId="3369CBDC"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9</w:t>
            </w:r>
          </w:p>
        </w:tc>
        <w:tc>
          <w:tcPr>
            <w:tcW w:w="1065" w:type="dxa"/>
            <w:noWrap/>
          </w:tcPr>
          <w:p w14:paraId="7CBE909C"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19,417</w:t>
            </w:r>
          </w:p>
        </w:tc>
        <w:tc>
          <w:tcPr>
            <w:tcW w:w="992" w:type="dxa"/>
            <w:noWrap/>
          </w:tcPr>
          <w:p w14:paraId="35BE9AC5"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6.6</w:t>
            </w:r>
          </w:p>
        </w:tc>
        <w:tc>
          <w:tcPr>
            <w:tcW w:w="940" w:type="dxa"/>
          </w:tcPr>
          <w:p w14:paraId="6C445932" w14:textId="77777777" w:rsidR="00C03218" w:rsidRPr="002B03B4" w:rsidRDefault="00C03218" w:rsidP="00C03218">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293,578</w:t>
            </w:r>
          </w:p>
        </w:tc>
      </w:tr>
    </w:tbl>
    <w:p w14:paraId="58C5444F" w14:textId="77777777" w:rsidR="00E8435D" w:rsidRPr="00461021" w:rsidRDefault="00E8435D" w:rsidP="00E8435D">
      <w:pPr>
        <w:spacing w:after="0"/>
        <w:rPr>
          <w:i/>
          <w:sz w:val="18"/>
          <w:szCs w:val="18"/>
        </w:rPr>
      </w:pPr>
      <w:r w:rsidRPr="00461021">
        <w:rPr>
          <w:i/>
          <w:sz w:val="18"/>
          <w:szCs w:val="18"/>
        </w:rPr>
        <w:t xml:space="preserve">Source: </w:t>
      </w:r>
      <w:r w:rsidRPr="00461021">
        <w:rPr>
          <w:i/>
          <w:sz w:val="18"/>
          <w:szCs w:val="18"/>
          <w:lang w:val="en"/>
        </w:rPr>
        <w:t>AEDC (2012, 2015, 2018).</w:t>
      </w:r>
    </w:p>
    <w:p w14:paraId="22DA6776" w14:textId="77777777" w:rsidR="00E8435D" w:rsidRPr="00E8435D" w:rsidRDefault="00E8435D" w:rsidP="00E8435D">
      <w:pPr>
        <w:spacing w:after="0"/>
        <w:rPr>
          <w:i/>
          <w:sz w:val="18"/>
          <w:szCs w:val="18"/>
        </w:rPr>
      </w:pPr>
      <w:r w:rsidRPr="00461021">
        <w:rPr>
          <w:i/>
          <w:sz w:val="18"/>
          <w:szCs w:val="18"/>
        </w:rPr>
        <w:t>Note</w:t>
      </w:r>
      <w:r w:rsidR="00DF5B7D">
        <w:rPr>
          <w:i/>
          <w:sz w:val="18"/>
          <w:szCs w:val="18"/>
        </w:rPr>
        <w:t>s</w:t>
      </w:r>
      <w:r w:rsidRPr="00461021">
        <w:rPr>
          <w:i/>
          <w:sz w:val="18"/>
          <w:szCs w:val="18"/>
        </w:rPr>
        <w:t xml:space="preserve">: </w:t>
      </w:r>
      <w:r w:rsidRPr="00E8435D">
        <w:rPr>
          <w:i/>
          <w:sz w:val="18"/>
          <w:szCs w:val="18"/>
        </w:rPr>
        <w:t xml:space="preserve">The BHB region refers to Bundaberg and Hervey Bay added together, which is identified using the </w:t>
      </w:r>
      <w:r w:rsidR="00870E6D" w:rsidRPr="00870E6D">
        <w:rPr>
          <w:i/>
          <w:iCs/>
          <w:sz w:val="18"/>
          <w:szCs w:val="18"/>
        </w:rPr>
        <w:t>ABS Main Area Structure</w:t>
      </w:r>
      <w:r w:rsidRPr="00E8435D">
        <w:rPr>
          <w:i/>
          <w:sz w:val="18"/>
          <w:szCs w:val="18"/>
        </w:rPr>
        <w:t xml:space="preserve"> information at the SA3 level.</w:t>
      </w:r>
      <w:r w:rsidR="00DF5B7D">
        <w:rPr>
          <w:i/>
          <w:sz w:val="18"/>
          <w:szCs w:val="18"/>
        </w:rPr>
        <w:t xml:space="preserve"> </w:t>
      </w:r>
      <w:r w:rsidR="00DF5B7D" w:rsidRPr="00DF5B7D">
        <w:rPr>
          <w:i/>
          <w:sz w:val="18"/>
          <w:szCs w:val="18"/>
        </w:rPr>
        <w:t>Due to rounding, the total percentages may not sum up exactly to 100.</w:t>
      </w:r>
    </w:p>
    <w:p w14:paraId="2FBFEEC3" w14:textId="77777777" w:rsidR="00F8161F" w:rsidRDefault="00F8161F">
      <w:pPr>
        <w:jc w:val="left"/>
      </w:pPr>
      <w:r>
        <w:br w:type="page"/>
      </w:r>
    </w:p>
    <w:p w14:paraId="713780F5" w14:textId="38BC08A0" w:rsidR="00C03218" w:rsidRDefault="002B03B4" w:rsidP="002B03B4">
      <w:pPr>
        <w:pStyle w:val="Caption"/>
      </w:pPr>
      <w:bookmarkStart w:id="357" w:name="_Toc37263611"/>
      <w:r>
        <w:lastRenderedPageBreak/>
        <w:t xml:space="preserve">Table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13</w:t>
      </w:r>
      <w:r w:rsidR="006C0554">
        <w:rPr>
          <w:noProof/>
        </w:rPr>
        <w:fldChar w:fldCharType="end"/>
      </w:r>
      <w:r>
        <w:t xml:space="preserve">: </w:t>
      </w:r>
      <w:r w:rsidR="00C03218">
        <w:t>Child development outcome</w:t>
      </w:r>
      <w:r w:rsidR="00115A40">
        <w:t>s</w:t>
      </w:r>
      <w:r w:rsidR="00C03218">
        <w:t xml:space="preserve"> </w:t>
      </w:r>
      <w:r w:rsidR="00DF2F59">
        <w:t xml:space="preserve">on </w:t>
      </w:r>
      <w:r w:rsidR="00C03218">
        <w:t xml:space="preserve">the </w:t>
      </w:r>
      <w:r w:rsidR="00C03218" w:rsidRPr="00433E13">
        <w:t>communication skills and general knowledge</w:t>
      </w:r>
      <w:r w:rsidR="00C03218">
        <w:t xml:space="preserve"> domain</w:t>
      </w:r>
      <w:bookmarkEnd w:id="357"/>
    </w:p>
    <w:tbl>
      <w:tblPr>
        <w:tblStyle w:val="ListTable3-Accent12"/>
        <w:tblW w:w="8846" w:type="dxa"/>
        <w:tblInd w:w="-5" w:type="dxa"/>
        <w:tblLook w:val="04A0" w:firstRow="1" w:lastRow="0" w:firstColumn="1" w:lastColumn="0" w:noHBand="0" w:noVBand="1"/>
      </w:tblPr>
      <w:tblGrid>
        <w:gridCol w:w="709"/>
        <w:gridCol w:w="1312"/>
        <w:gridCol w:w="940"/>
        <w:gridCol w:w="976"/>
        <w:gridCol w:w="992"/>
        <w:gridCol w:w="920"/>
        <w:gridCol w:w="1065"/>
        <w:gridCol w:w="992"/>
        <w:gridCol w:w="940"/>
      </w:tblGrid>
      <w:tr w:rsidR="00C03218" w:rsidRPr="002B03B4" w14:paraId="17649CE1"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hideMark/>
          </w:tcPr>
          <w:p w14:paraId="795B3A33" w14:textId="77777777" w:rsidR="00C03218" w:rsidRPr="002B03B4" w:rsidRDefault="00C03218" w:rsidP="000613C9">
            <w:pPr>
              <w:jc w:val="center"/>
              <w:rPr>
                <w:sz w:val="20"/>
                <w:szCs w:val="20"/>
                <w:lang w:eastAsia="en-AU"/>
              </w:rPr>
            </w:pPr>
          </w:p>
        </w:tc>
        <w:tc>
          <w:tcPr>
            <w:tcW w:w="0" w:type="dxa"/>
            <w:shd w:val="clear" w:color="auto" w:fill="2F5496" w:themeFill="accent5" w:themeFillShade="BF"/>
            <w:noWrap/>
            <w:hideMark/>
          </w:tcPr>
          <w:p w14:paraId="3BD4B8D4" w14:textId="77777777" w:rsidR="00C03218" w:rsidRPr="002B03B4" w:rsidRDefault="00C03218"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p>
        </w:tc>
        <w:tc>
          <w:tcPr>
            <w:tcW w:w="0" w:type="dxa"/>
            <w:gridSpan w:val="2"/>
            <w:shd w:val="clear" w:color="auto" w:fill="2F5496" w:themeFill="accent5" w:themeFillShade="BF"/>
            <w:noWrap/>
          </w:tcPr>
          <w:p w14:paraId="6AC3720F" w14:textId="77777777" w:rsidR="00C03218" w:rsidRPr="002B03B4" w:rsidRDefault="00C03218"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On track</w:t>
            </w:r>
          </w:p>
        </w:tc>
        <w:tc>
          <w:tcPr>
            <w:tcW w:w="0" w:type="dxa"/>
            <w:gridSpan w:val="2"/>
            <w:shd w:val="clear" w:color="auto" w:fill="2F5496" w:themeFill="accent5" w:themeFillShade="BF"/>
            <w:noWrap/>
          </w:tcPr>
          <w:p w14:paraId="66FB8981" w14:textId="77777777" w:rsidR="00C03218" w:rsidRPr="002B03B4" w:rsidRDefault="00C03218"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At risk</w:t>
            </w:r>
          </w:p>
        </w:tc>
        <w:tc>
          <w:tcPr>
            <w:tcW w:w="0" w:type="dxa"/>
            <w:gridSpan w:val="2"/>
            <w:shd w:val="clear" w:color="auto" w:fill="2F5496" w:themeFill="accent5" w:themeFillShade="BF"/>
            <w:noWrap/>
          </w:tcPr>
          <w:p w14:paraId="5AD714D2" w14:textId="77777777" w:rsidR="00C03218" w:rsidRPr="002B03B4" w:rsidRDefault="00C03218"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Vulnerable</w:t>
            </w:r>
          </w:p>
        </w:tc>
        <w:tc>
          <w:tcPr>
            <w:tcW w:w="0" w:type="dxa"/>
            <w:shd w:val="clear" w:color="auto" w:fill="2F5496" w:themeFill="accent5" w:themeFillShade="BF"/>
          </w:tcPr>
          <w:p w14:paraId="084698E7" w14:textId="77777777" w:rsidR="00C03218" w:rsidRPr="002B03B4" w:rsidRDefault="00C03218"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Total</w:t>
            </w:r>
          </w:p>
        </w:tc>
      </w:tr>
      <w:tr w:rsidR="00C03218" w:rsidRPr="002B03B4" w14:paraId="7DDB6227"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09E317BE" w14:textId="77777777" w:rsidR="00C03218" w:rsidRPr="002B03B4" w:rsidRDefault="00C03218" w:rsidP="002B03B4">
            <w:pPr>
              <w:rPr>
                <w:sz w:val="20"/>
                <w:szCs w:val="20"/>
                <w:lang w:eastAsia="en-AU"/>
              </w:rPr>
            </w:pPr>
          </w:p>
        </w:tc>
        <w:tc>
          <w:tcPr>
            <w:tcW w:w="1312" w:type="dxa"/>
            <w:noWrap/>
          </w:tcPr>
          <w:p w14:paraId="681289BF" w14:textId="77777777" w:rsidR="00C03218" w:rsidRPr="002B03B4" w:rsidRDefault="00C03218"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940" w:type="dxa"/>
            <w:noWrap/>
          </w:tcPr>
          <w:p w14:paraId="2A3B474B"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976" w:type="dxa"/>
            <w:noWrap/>
          </w:tcPr>
          <w:p w14:paraId="3F2AD918"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992" w:type="dxa"/>
            <w:noWrap/>
          </w:tcPr>
          <w:p w14:paraId="69D7472E"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920" w:type="dxa"/>
            <w:noWrap/>
          </w:tcPr>
          <w:p w14:paraId="02D2AB46"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1065" w:type="dxa"/>
            <w:noWrap/>
          </w:tcPr>
          <w:p w14:paraId="67013DB2"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992" w:type="dxa"/>
            <w:noWrap/>
          </w:tcPr>
          <w:p w14:paraId="35A8C862"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940" w:type="dxa"/>
          </w:tcPr>
          <w:p w14:paraId="271C259B" w14:textId="361FFEA5" w:rsidR="00C03218" w:rsidRPr="002B03B4" w:rsidRDefault="0063705A"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Cases</w:t>
            </w:r>
          </w:p>
        </w:tc>
      </w:tr>
      <w:tr w:rsidR="00C03218" w:rsidRPr="002B03B4" w14:paraId="29546139"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45170DF" w14:textId="77777777" w:rsidR="00C03218" w:rsidRPr="002B03B4" w:rsidRDefault="00C03218" w:rsidP="002B03B4">
            <w:pPr>
              <w:rPr>
                <w:sz w:val="20"/>
                <w:szCs w:val="20"/>
                <w:lang w:eastAsia="en-AU"/>
              </w:rPr>
            </w:pPr>
            <w:r w:rsidRPr="002B03B4">
              <w:rPr>
                <w:sz w:val="20"/>
                <w:szCs w:val="20"/>
                <w:lang w:eastAsia="en-AU"/>
              </w:rPr>
              <w:t>2012</w:t>
            </w:r>
          </w:p>
        </w:tc>
        <w:tc>
          <w:tcPr>
            <w:tcW w:w="1312" w:type="dxa"/>
            <w:noWrap/>
          </w:tcPr>
          <w:p w14:paraId="2363FAD9" w14:textId="77777777" w:rsidR="00C03218" w:rsidRPr="002B03B4" w:rsidRDefault="00C03218"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Bundaberg</w:t>
            </w:r>
          </w:p>
        </w:tc>
        <w:tc>
          <w:tcPr>
            <w:tcW w:w="940" w:type="dxa"/>
            <w:noWrap/>
          </w:tcPr>
          <w:p w14:paraId="4D9B1685"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750</w:t>
            </w:r>
          </w:p>
        </w:tc>
        <w:tc>
          <w:tcPr>
            <w:tcW w:w="976" w:type="dxa"/>
            <w:noWrap/>
          </w:tcPr>
          <w:p w14:paraId="51BBD54A"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71</w:t>
            </w:r>
          </w:p>
        </w:tc>
        <w:tc>
          <w:tcPr>
            <w:tcW w:w="992" w:type="dxa"/>
            <w:noWrap/>
          </w:tcPr>
          <w:p w14:paraId="2DF26415"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198</w:t>
            </w:r>
          </w:p>
        </w:tc>
        <w:tc>
          <w:tcPr>
            <w:tcW w:w="920" w:type="dxa"/>
            <w:noWrap/>
          </w:tcPr>
          <w:p w14:paraId="46F63832"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18.7</w:t>
            </w:r>
          </w:p>
        </w:tc>
        <w:tc>
          <w:tcPr>
            <w:tcW w:w="1065" w:type="dxa"/>
            <w:noWrap/>
          </w:tcPr>
          <w:p w14:paraId="6ED6A356"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109</w:t>
            </w:r>
          </w:p>
        </w:tc>
        <w:tc>
          <w:tcPr>
            <w:tcW w:w="992" w:type="dxa"/>
            <w:noWrap/>
          </w:tcPr>
          <w:p w14:paraId="3B451DE4"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10.3</w:t>
            </w:r>
          </w:p>
        </w:tc>
        <w:tc>
          <w:tcPr>
            <w:tcW w:w="940" w:type="dxa"/>
          </w:tcPr>
          <w:p w14:paraId="65989336"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1,057</w:t>
            </w:r>
          </w:p>
        </w:tc>
      </w:tr>
      <w:tr w:rsidR="00C03218" w:rsidRPr="002B03B4" w14:paraId="79BAEFF2"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522A30C" w14:textId="77777777" w:rsidR="00C03218" w:rsidRPr="002B03B4" w:rsidRDefault="00C03218" w:rsidP="002B03B4">
            <w:pPr>
              <w:rPr>
                <w:sz w:val="20"/>
                <w:szCs w:val="20"/>
                <w:lang w:eastAsia="en-AU"/>
              </w:rPr>
            </w:pPr>
          </w:p>
        </w:tc>
        <w:tc>
          <w:tcPr>
            <w:tcW w:w="1312" w:type="dxa"/>
            <w:noWrap/>
          </w:tcPr>
          <w:p w14:paraId="3CD5C6F2" w14:textId="77777777" w:rsidR="00C03218" w:rsidRPr="002B03B4" w:rsidRDefault="00C03218"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Hervey Bay</w:t>
            </w:r>
          </w:p>
        </w:tc>
        <w:tc>
          <w:tcPr>
            <w:tcW w:w="940" w:type="dxa"/>
            <w:noWrap/>
          </w:tcPr>
          <w:p w14:paraId="703E059B"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477</w:t>
            </w:r>
          </w:p>
        </w:tc>
        <w:tc>
          <w:tcPr>
            <w:tcW w:w="976" w:type="dxa"/>
            <w:noWrap/>
          </w:tcPr>
          <w:p w14:paraId="166A0765"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69.4</w:t>
            </w:r>
          </w:p>
        </w:tc>
        <w:tc>
          <w:tcPr>
            <w:tcW w:w="992" w:type="dxa"/>
            <w:noWrap/>
          </w:tcPr>
          <w:p w14:paraId="7CAA595F"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132</w:t>
            </w:r>
          </w:p>
        </w:tc>
        <w:tc>
          <w:tcPr>
            <w:tcW w:w="920" w:type="dxa"/>
            <w:noWrap/>
          </w:tcPr>
          <w:p w14:paraId="2E338DBF"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19.2</w:t>
            </w:r>
          </w:p>
        </w:tc>
        <w:tc>
          <w:tcPr>
            <w:tcW w:w="1065" w:type="dxa"/>
            <w:noWrap/>
          </w:tcPr>
          <w:p w14:paraId="0AD19229"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78</w:t>
            </w:r>
          </w:p>
        </w:tc>
        <w:tc>
          <w:tcPr>
            <w:tcW w:w="992" w:type="dxa"/>
            <w:noWrap/>
          </w:tcPr>
          <w:p w14:paraId="24E0E418"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11.4</w:t>
            </w:r>
          </w:p>
        </w:tc>
        <w:tc>
          <w:tcPr>
            <w:tcW w:w="940" w:type="dxa"/>
          </w:tcPr>
          <w:p w14:paraId="629B4535"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687</w:t>
            </w:r>
          </w:p>
        </w:tc>
      </w:tr>
      <w:tr w:rsidR="00C03218" w:rsidRPr="002B03B4" w14:paraId="2F42B14F"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1394141F" w14:textId="77777777" w:rsidR="00C03218" w:rsidRPr="002B03B4" w:rsidRDefault="00C03218" w:rsidP="002B03B4">
            <w:pPr>
              <w:rPr>
                <w:sz w:val="20"/>
                <w:szCs w:val="20"/>
                <w:lang w:eastAsia="en-AU"/>
              </w:rPr>
            </w:pPr>
          </w:p>
        </w:tc>
        <w:tc>
          <w:tcPr>
            <w:tcW w:w="1312" w:type="dxa"/>
            <w:noWrap/>
          </w:tcPr>
          <w:p w14:paraId="32D4B0D2" w14:textId="77777777" w:rsidR="00C03218" w:rsidRPr="002B03B4" w:rsidRDefault="00C03218"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BHB region</w:t>
            </w:r>
          </w:p>
        </w:tc>
        <w:tc>
          <w:tcPr>
            <w:tcW w:w="940" w:type="dxa"/>
            <w:noWrap/>
          </w:tcPr>
          <w:p w14:paraId="24902DAD"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1,227</w:t>
            </w:r>
          </w:p>
        </w:tc>
        <w:tc>
          <w:tcPr>
            <w:tcW w:w="976" w:type="dxa"/>
            <w:noWrap/>
          </w:tcPr>
          <w:p w14:paraId="4A3500F7"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70.4</w:t>
            </w:r>
          </w:p>
        </w:tc>
        <w:tc>
          <w:tcPr>
            <w:tcW w:w="992" w:type="dxa"/>
            <w:noWrap/>
          </w:tcPr>
          <w:p w14:paraId="6E72E9A1"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330</w:t>
            </w:r>
          </w:p>
        </w:tc>
        <w:tc>
          <w:tcPr>
            <w:tcW w:w="920" w:type="dxa"/>
            <w:noWrap/>
          </w:tcPr>
          <w:p w14:paraId="4979C6E4"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18.9</w:t>
            </w:r>
          </w:p>
        </w:tc>
        <w:tc>
          <w:tcPr>
            <w:tcW w:w="1065" w:type="dxa"/>
            <w:noWrap/>
          </w:tcPr>
          <w:p w14:paraId="5FCFE6FA"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187</w:t>
            </w:r>
          </w:p>
        </w:tc>
        <w:tc>
          <w:tcPr>
            <w:tcW w:w="992" w:type="dxa"/>
            <w:noWrap/>
          </w:tcPr>
          <w:p w14:paraId="45DCEFF8"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10.7</w:t>
            </w:r>
          </w:p>
        </w:tc>
        <w:tc>
          <w:tcPr>
            <w:tcW w:w="940" w:type="dxa"/>
          </w:tcPr>
          <w:p w14:paraId="47EECD31"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1,744</w:t>
            </w:r>
          </w:p>
        </w:tc>
      </w:tr>
      <w:tr w:rsidR="00C03218" w:rsidRPr="002B03B4" w14:paraId="352EE5A6"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2C98FBBE" w14:textId="77777777" w:rsidR="00C03218" w:rsidRPr="002B03B4" w:rsidRDefault="00C03218" w:rsidP="002B03B4">
            <w:pPr>
              <w:rPr>
                <w:sz w:val="20"/>
                <w:szCs w:val="20"/>
                <w:lang w:eastAsia="en-AU"/>
              </w:rPr>
            </w:pPr>
          </w:p>
        </w:tc>
        <w:tc>
          <w:tcPr>
            <w:tcW w:w="1312" w:type="dxa"/>
            <w:noWrap/>
          </w:tcPr>
          <w:p w14:paraId="03FE6BEA" w14:textId="77777777" w:rsidR="00C03218" w:rsidRPr="002B03B4" w:rsidRDefault="00C03218"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Queensland</w:t>
            </w:r>
          </w:p>
        </w:tc>
        <w:tc>
          <w:tcPr>
            <w:tcW w:w="940" w:type="dxa"/>
            <w:noWrap/>
          </w:tcPr>
          <w:p w14:paraId="527E92D9"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41,547</w:t>
            </w:r>
          </w:p>
        </w:tc>
        <w:tc>
          <w:tcPr>
            <w:tcW w:w="976" w:type="dxa"/>
            <w:noWrap/>
          </w:tcPr>
          <w:p w14:paraId="5CD47A6D"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71.4</w:t>
            </w:r>
          </w:p>
        </w:tc>
        <w:tc>
          <w:tcPr>
            <w:tcW w:w="992" w:type="dxa"/>
            <w:noWrap/>
          </w:tcPr>
          <w:p w14:paraId="5E69A181"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10,417</w:t>
            </w:r>
          </w:p>
        </w:tc>
        <w:tc>
          <w:tcPr>
            <w:tcW w:w="920" w:type="dxa"/>
            <w:noWrap/>
          </w:tcPr>
          <w:p w14:paraId="1565C003"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17.9</w:t>
            </w:r>
          </w:p>
        </w:tc>
        <w:tc>
          <w:tcPr>
            <w:tcW w:w="1065" w:type="dxa"/>
            <w:noWrap/>
          </w:tcPr>
          <w:p w14:paraId="7B83E703"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6,239</w:t>
            </w:r>
          </w:p>
        </w:tc>
        <w:tc>
          <w:tcPr>
            <w:tcW w:w="992" w:type="dxa"/>
            <w:noWrap/>
          </w:tcPr>
          <w:p w14:paraId="0E425993"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10.7</w:t>
            </w:r>
          </w:p>
        </w:tc>
        <w:tc>
          <w:tcPr>
            <w:tcW w:w="940" w:type="dxa"/>
          </w:tcPr>
          <w:p w14:paraId="22731D11"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58,203</w:t>
            </w:r>
          </w:p>
        </w:tc>
      </w:tr>
      <w:tr w:rsidR="00C03218" w:rsidRPr="002B03B4" w14:paraId="62B28114"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32CEE4A" w14:textId="77777777" w:rsidR="00C03218" w:rsidRPr="002B03B4" w:rsidRDefault="00C03218" w:rsidP="002B03B4">
            <w:pPr>
              <w:rPr>
                <w:sz w:val="20"/>
                <w:szCs w:val="20"/>
                <w:lang w:eastAsia="en-AU"/>
              </w:rPr>
            </w:pPr>
          </w:p>
        </w:tc>
        <w:tc>
          <w:tcPr>
            <w:tcW w:w="1312" w:type="dxa"/>
            <w:noWrap/>
          </w:tcPr>
          <w:p w14:paraId="4DBE76AE" w14:textId="77777777" w:rsidR="00C03218" w:rsidRPr="002B03B4" w:rsidRDefault="00C03218"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Australia</w:t>
            </w:r>
          </w:p>
        </w:tc>
        <w:tc>
          <w:tcPr>
            <w:tcW w:w="940" w:type="dxa"/>
            <w:noWrap/>
          </w:tcPr>
          <w:p w14:paraId="1EDBDD56"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204,702</w:t>
            </w:r>
          </w:p>
        </w:tc>
        <w:tc>
          <w:tcPr>
            <w:tcW w:w="976" w:type="dxa"/>
            <w:noWrap/>
          </w:tcPr>
          <w:p w14:paraId="73C6E3D6"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74.7</w:t>
            </w:r>
          </w:p>
        </w:tc>
        <w:tc>
          <w:tcPr>
            <w:tcW w:w="992" w:type="dxa"/>
            <w:noWrap/>
          </w:tcPr>
          <w:p w14:paraId="301F8067"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44,633</w:t>
            </w:r>
          </w:p>
        </w:tc>
        <w:tc>
          <w:tcPr>
            <w:tcW w:w="920" w:type="dxa"/>
            <w:noWrap/>
          </w:tcPr>
          <w:p w14:paraId="438DCC67"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16.3</w:t>
            </w:r>
          </w:p>
        </w:tc>
        <w:tc>
          <w:tcPr>
            <w:tcW w:w="1065" w:type="dxa"/>
            <w:noWrap/>
          </w:tcPr>
          <w:p w14:paraId="31E77538"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24,520</w:t>
            </w:r>
          </w:p>
        </w:tc>
        <w:tc>
          <w:tcPr>
            <w:tcW w:w="992" w:type="dxa"/>
            <w:noWrap/>
          </w:tcPr>
          <w:p w14:paraId="1788AB1B"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9</w:t>
            </w:r>
          </w:p>
        </w:tc>
        <w:tc>
          <w:tcPr>
            <w:tcW w:w="940" w:type="dxa"/>
          </w:tcPr>
          <w:p w14:paraId="7118E267"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273,855</w:t>
            </w:r>
          </w:p>
        </w:tc>
      </w:tr>
      <w:tr w:rsidR="00C03218" w:rsidRPr="002B03B4" w14:paraId="5EE5D3D3"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750EB940" w14:textId="77777777" w:rsidR="00C03218" w:rsidRPr="002B03B4" w:rsidRDefault="00C03218" w:rsidP="002B03B4">
            <w:pPr>
              <w:rPr>
                <w:sz w:val="20"/>
                <w:szCs w:val="20"/>
                <w:lang w:eastAsia="en-AU"/>
              </w:rPr>
            </w:pPr>
            <w:r w:rsidRPr="002B03B4">
              <w:rPr>
                <w:sz w:val="20"/>
                <w:szCs w:val="20"/>
                <w:lang w:eastAsia="en-AU"/>
              </w:rPr>
              <w:t>2015</w:t>
            </w:r>
          </w:p>
        </w:tc>
        <w:tc>
          <w:tcPr>
            <w:tcW w:w="1312" w:type="dxa"/>
            <w:noWrap/>
          </w:tcPr>
          <w:p w14:paraId="50E5B60C" w14:textId="77777777" w:rsidR="00C03218" w:rsidRPr="002B03B4" w:rsidRDefault="00C03218"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Bundaberg</w:t>
            </w:r>
          </w:p>
        </w:tc>
        <w:tc>
          <w:tcPr>
            <w:tcW w:w="940" w:type="dxa"/>
            <w:noWrap/>
          </w:tcPr>
          <w:p w14:paraId="1785D67C"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759</w:t>
            </w:r>
          </w:p>
        </w:tc>
        <w:tc>
          <w:tcPr>
            <w:tcW w:w="976" w:type="dxa"/>
            <w:noWrap/>
          </w:tcPr>
          <w:p w14:paraId="04820AA6"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71.5</w:t>
            </w:r>
          </w:p>
        </w:tc>
        <w:tc>
          <w:tcPr>
            <w:tcW w:w="992" w:type="dxa"/>
            <w:noWrap/>
          </w:tcPr>
          <w:p w14:paraId="0BDF2D3E"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185</w:t>
            </w:r>
          </w:p>
        </w:tc>
        <w:tc>
          <w:tcPr>
            <w:tcW w:w="920" w:type="dxa"/>
            <w:noWrap/>
          </w:tcPr>
          <w:p w14:paraId="0BD75A13"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17.4</w:t>
            </w:r>
          </w:p>
        </w:tc>
        <w:tc>
          <w:tcPr>
            <w:tcW w:w="1065" w:type="dxa"/>
            <w:noWrap/>
          </w:tcPr>
          <w:p w14:paraId="5FA7475E"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118</w:t>
            </w:r>
          </w:p>
        </w:tc>
        <w:tc>
          <w:tcPr>
            <w:tcW w:w="992" w:type="dxa"/>
            <w:noWrap/>
          </w:tcPr>
          <w:p w14:paraId="2F69D164"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11.1</w:t>
            </w:r>
          </w:p>
        </w:tc>
        <w:tc>
          <w:tcPr>
            <w:tcW w:w="940" w:type="dxa"/>
          </w:tcPr>
          <w:p w14:paraId="0992C6EB"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1,062</w:t>
            </w:r>
          </w:p>
        </w:tc>
      </w:tr>
      <w:tr w:rsidR="00C03218" w:rsidRPr="002B03B4" w14:paraId="1326EB6F"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1FC372B" w14:textId="77777777" w:rsidR="00C03218" w:rsidRPr="002B03B4" w:rsidRDefault="00C03218" w:rsidP="002B03B4">
            <w:pPr>
              <w:rPr>
                <w:sz w:val="20"/>
                <w:szCs w:val="20"/>
                <w:lang w:eastAsia="en-AU"/>
              </w:rPr>
            </w:pPr>
          </w:p>
        </w:tc>
        <w:tc>
          <w:tcPr>
            <w:tcW w:w="1312" w:type="dxa"/>
            <w:noWrap/>
          </w:tcPr>
          <w:p w14:paraId="33DD4D94" w14:textId="77777777" w:rsidR="00C03218" w:rsidRPr="002B03B4" w:rsidRDefault="00C03218"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Hervey Bay</w:t>
            </w:r>
          </w:p>
        </w:tc>
        <w:tc>
          <w:tcPr>
            <w:tcW w:w="940" w:type="dxa"/>
            <w:noWrap/>
          </w:tcPr>
          <w:p w14:paraId="4BF60241"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463</w:t>
            </w:r>
          </w:p>
        </w:tc>
        <w:tc>
          <w:tcPr>
            <w:tcW w:w="976" w:type="dxa"/>
            <w:noWrap/>
          </w:tcPr>
          <w:p w14:paraId="37C14923"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71.2</w:t>
            </w:r>
          </w:p>
        </w:tc>
        <w:tc>
          <w:tcPr>
            <w:tcW w:w="992" w:type="dxa"/>
            <w:noWrap/>
          </w:tcPr>
          <w:p w14:paraId="0D1F8F2C"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94</w:t>
            </w:r>
          </w:p>
        </w:tc>
        <w:tc>
          <w:tcPr>
            <w:tcW w:w="920" w:type="dxa"/>
            <w:noWrap/>
          </w:tcPr>
          <w:p w14:paraId="0EC43B17"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14.5</w:t>
            </w:r>
          </w:p>
        </w:tc>
        <w:tc>
          <w:tcPr>
            <w:tcW w:w="1065" w:type="dxa"/>
            <w:noWrap/>
          </w:tcPr>
          <w:p w14:paraId="191BAC5D"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93</w:t>
            </w:r>
          </w:p>
        </w:tc>
        <w:tc>
          <w:tcPr>
            <w:tcW w:w="992" w:type="dxa"/>
            <w:noWrap/>
          </w:tcPr>
          <w:p w14:paraId="55B01871"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14.3</w:t>
            </w:r>
          </w:p>
        </w:tc>
        <w:tc>
          <w:tcPr>
            <w:tcW w:w="940" w:type="dxa"/>
          </w:tcPr>
          <w:p w14:paraId="5FA68AC7"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650</w:t>
            </w:r>
          </w:p>
        </w:tc>
      </w:tr>
      <w:tr w:rsidR="00C03218" w:rsidRPr="002B03B4" w14:paraId="1ED50E30"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722AD75" w14:textId="77777777" w:rsidR="00C03218" w:rsidRPr="002B03B4" w:rsidRDefault="00C03218" w:rsidP="002B03B4">
            <w:pPr>
              <w:rPr>
                <w:sz w:val="20"/>
                <w:szCs w:val="20"/>
                <w:lang w:eastAsia="en-AU"/>
              </w:rPr>
            </w:pPr>
          </w:p>
        </w:tc>
        <w:tc>
          <w:tcPr>
            <w:tcW w:w="1312" w:type="dxa"/>
            <w:noWrap/>
          </w:tcPr>
          <w:p w14:paraId="68653AD1" w14:textId="77777777" w:rsidR="00C03218" w:rsidRPr="002B03B4" w:rsidRDefault="00C03218"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BHB region</w:t>
            </w:r>
          </w:p>
        </w:tc>
        <w:tc>
          <w:tcPr>
            <w:tcW w:w="940" w:type="dxa"/>
            <w:noWrap/>
          </w:tcPr>
          <w:p w14:paraId="0E8E518D"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1,222</w:t>
            </w:r>
          </w:p>
        </w:tc>
        <w:tc>
          <w:tcPr>
            <w:tcW w:w="976" w:type="dxa"/>
            <w:noWrap/>
          </w:tcPr>
          <w:p w14:paraId="04DB37BD"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71.4</w:t>
            </w:r>
          </w:p>
        </w:tc>
        <w:tc>
          <w:tcPr>
            <w:tcW w:w="992" w:type="dxa"/>
            <w:noWrap/>
          </w:tcPr>
          <w:p w14:paraId="68F5F2E6"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279</w:t>
            </w:r>
          </w:p>
        </w:tc>
        <w:tc>
          <w:tcPr>
            <w:tcW w:w="920" w:type="dxa"/>
            <w:noWrap/>
          </w:tcPr>
          <w:p w14:paraId="3E7445F6"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16.3</w:t>
            </w:r>
          </w:p>
        </w:tc>
        <w:tc>
          <w:tcPr>
            <w:tcW w:w="1065" w:type="dxa"/>
            <w:noWrap/>
          </w:tcPr>
          <w:p w14:paraId="0DACB122"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211</w:t>
            </w:r>
          </w:p>
        </w:tc>
        <w:tc>
          <w:tcPr>
            <w:tcW w:w="992" w:type="dxa"/>
            <w:noWrap/>
          </w:tcPr>
          <w:p w14:paraId="351412C2"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12.3</w:t>
            </w:r>
          </w:p>
        </w:tc>
        <w:tc>
          <w:tcPr>
            <w:tcW w:w="940" w:type="dxa"/>
          </w:tcPr>
          <w:p w14:paraId="5E207929"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1,712</w:t>
            </w:r>
          </w:p>
        </w:tc>
      </w:tr>
      <w:tr w:rsidR="00C03218" w:rsidRPr="002B03B4" w14:paraId="64E3CBF5"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6E8DF750" w14:textId="77777777" w:rsidR="00C03218" w:rsidRPr="002B03B4" w:rsidRDefault="00C03218" w:rsidP="002B03B4">
            <w:pPr>
              <w:rPr>
                <w:sz w:val="20"/>
                <w:szCs w:val="20"/>
                <w:lang w:eastAsia="en-AU"/>
              </w:rPr>
            </w:pPr>
          </w:p>
        </w:tc>
        <w:tc>
          <w:tcPr>
            <w:tcW w:w="1312" w:type="dxa"/>
            <w:noWrap/>
          </w:tcPr>
          <w:p w14:paraId="5755BAE3" w14:textId="77777777" w:rsidR="00C03218" w:rsidRPr="002B03B4" w:rsidRDefault="00C03218"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Queensland</w:t>
            </w:r>
          </w:p>
        </w:tc>
        <w:tc>
          <w:tcPr>
            <w:tcW w:w="940" w:type="dxa"/>
            <w:noWrap/>
          </w:tcPr>
          <w:p w14:paraId="0EEF7600"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45,235</w:t>
            </w:r>
          </w:p>
        </w:tc>
        <w:tc>
          <w:tcPr>
            <w:tcW w:w="976" w:type="dxa"/>
            <w:noWrap/>
          </w:tcPr>
          <w:p w14:paraId="138EA82F"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72.8</w:t>
            </w:r>
          </w:p>
        </w:tc>
        <w:tc>
          <w:tcPr>
            <w:tcW w:w="992" w:type="dxa"/>
            <w:noWrap/>
          </w:tcPr>
          <w:p w14:paraId="62D6BFCE"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10,395</w:t>
            </w:r>
          </w:p>
        </w:tc>
        <w:tc>
          <w:tcPr>
            <w:tcW w:w="920" w:type="dxa"/>
            <w:noWrap/>
          </w:tcPr>
          <w:p w14:paraId="63892C88"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16.7</w:t>
            </w:r>
          </w:p>
        </w:tc>
        <w:tc>
          <w:tcPr>
            <w:tcW w:w="1065" w:type="dxa"/>
            <w:noWrap/>
          </w:tcPr>
          <w:p w14:paraId="207E506C"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6,533</w:t>
            </w:r>
          </w:p>
        </w:tc>
        <w:tc>
          <w:tcPr>
            <w:tcW w:w="992" w:type="dxa"/>
            <w:noWrap/>
          </w:tcPr>
          <w:p w14:paraId="28E0121B"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10.5</w:t>
            </w:r>
          </w:p>
        </w:tc>
        <w:tc>
          <w:tcPr>
            <w:tcW w:w="940" w:type="dxa"/>
          </w:tcPr>
          <w:p w14:paraId="37236B9A"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62,163</w:t>
            </w:r>
          </w:p>
        </w:tc>
      </w:tr>
      <w:tr w:rsidR="00C03218" w:rsidRPr="002B03B4" w14:paraId="10984137"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12146E1E" w14:textId="77777777" w:rsidR="00C03218" w:rsidRPr="002B03B4" w:rsidRDefault="00C03218" w:rsidP="002B03B4">
            <w:pPr>
              <w:rPr>
                <w:sz w:val="20"/>
                <w:szCs w:val="20"/>
                <w:lang w:eastAsia="en-AU"/>
              </w:rPr>
            </w:pPr>
          </w:p>
        </w:tc>
        <w:tc>
          <w:tcPr>
            <w:tcW w:w="1312" w:type="dxa"/>
            <w:noWrap/>
          </w:tcPr>
          <w:p w14:paraId="34D12EE5" w14:textId="77777777" w:rsidR="00C03218" w:rsidRPr="002B03B4" w:rsidRDefault="00C03218"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Australia</w:t>
            </w:r>
          </w:p>
        </w:tc>
        <w:tc>
          <w:tcPr>
            <w:tcW w:w="940" w:type="dxa"/>
            <w:noWrap/>
          </w:tcPr>
          <w:p w14:paraId="5800D14B"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219,023</w:t>
            </w:r>
          </w:p>
        </w:tc>
        <w:tc>
          <w:tcPr>
            <w:tcW w:w="976" w:type="dxa"/>
            <w:noWrap/>
          </w:tcPr>
          <w:p w14:paraId="326A1CBD"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76.3</w:t>
            </w:r>
          </w:p>
        </w:tc>
        <w:tc>
          <w:tcPr>
            <w:tcW w:w="992" w:type="dxa"/>
            <w:noWrap/>
          </w:tcPr>
          <w:p w14:paraId="2BDD471E"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43,415</w:t>
            </w:r>
          </w:p>
        </w:tc>
        <w:tc>
          <w:tcPr>
            <w:tcW w:w="920" w:type="dxa"/>
            <w:noWrap/>
          </w:tcPr>
          <w:p w14:paraId="62FE162C"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15.1</w:t>
            </w:r>
          </w:p>
        </w:tc>
        <w:tc>
          <w:tcPr>
            <w:tcW w:w="1065" w:type="dxa"/>
            <w:noWrap/>
          </w:tcPr>
          <w:p w14:paraId="48A592BD"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24,475</w:t>
            </w:r>
          </w:p>
        </w:tc>
        <w:tc>
          <w:tcPr>
            <w:tcW w:w="992" w:type="dxa"/>
            <w:noWrap/>
          </w:tcPr>
          <w:p w14:paraId="12FB4710"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8.5</w:t>
            </w:r>
          </w:p>
        </w:tc>
        <w:tc>
          <w:tcPr>
            <w:tcW w:w="940" w:type="dxa"/>
          </w:tcPr>
          <w:p w14:paraId="4CE1E197"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286,913</w:t>
            </w:r>
          </w:p>
        </w:tc>
      </w:tr>
      <w:tr w:rsidR="00C03218" w:rsidRPr="002B03B4" w14:paraId="342CE418"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C0A88E9" w14:textId="77777777" w:rsidR="00C03218" w:rsidRPr="002B03B4" w:rsidRDefault="00C03218" w:rsidP="002B03B4">
            <w:pPr>
              <w:rPr>
                <w:sz w:val="20"/>
                <w:szCs w:val="20"/>
                <w:lang w:eastAsia="en-AU"/>
              </w:rPr>
            </w:pPr>
            <w:r w:rsidRPr="002B03B4">
              <w:rPr>
                <w:sz w:val="20"/>
                <w:szCs w:val="20"/>
                <w:lang w:eastAsia="en-AU"/>
              </w:rPr>
              <w:t>2018</w:t>
            </w:r>
          </w:p>
        </w:tc>
        <w:tc>
          <w:tcPr>
            <w:tcW w:w="1312" w:type="dxa"/>
            <w:noWrap/>
          </w:tcPr>
          <w:p w14:paraId="7B3339BE" w14:textId="77777777" w:rsidR="00C03218" w:rsidRPr="002B03B4" w:rsidRDefault="00C03218"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Bundaberg</w:t>
            </w:r>
          </w:p>
        </w:tc>
        <w:tc>
          <w:tcPr>
            <w:tcW w:w="940" w:type="dxa"/>
            <w:noWrap/>
          </w:tcPr>
          <w:p w14:paraId="773B2BD3"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732</w:t>
            </w:r>
          </w:p>
        </w:tc>
        <w:tc>
          <w:tcPr>
            <w:tcW w:w="976" w:type="dxa"/>
            <w:noWrap/>
          </w:tcPr>
          <w:p w14:paraId="340D3CF5"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68.5</w:t>
            </w:r>
          </w:p>
        </w:tc>
        <w:tc>
          <w:tcPr>
            <w:tcW w:w="992" w:type="dxa"/>
            <w:noWrap/>
          </w:tcPr>
          <w:p w14:paraId="7AE84DDB"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179</w:t>
            </w:r>
          </w:p>
        </w:tc>
        <w:tc>
          <w:tcPr>
            <w:tcW w:w="920" w:type="dxa"/>
            <w:noWrap/>
          </w:tcPr>
          <w:p w14:paraId="3CFFB602"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16.8</w:t>
            </w:r>
          </w:p>
        </w:tc>
        <w:tc>
          <w:tcPr>
            <w:tcW w:w="1065" w:type="dxa"/>
            <w:noWrap/>
          </w:tcPr>
          <w:p w14:paraId="38F6307C"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157</w:t>
            </w:r>
          </w:p>
        </w:tc>
        <w:tc>
          <w:tcPr>
            <w:tcW w:w="992" w:type="dxa"/>
            <w:noWrap/>
          </w:tcPr>
          <w:p w14:paraId="57AEE301"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14.7</w:t>
            </w:r>
          </w:p>
        </w:tc>
        <w:tc>
          <w:tcPr>
            <w:tcW w:w="940" w:type="dxa"/>
          </w:tcPr>
          <w:p w14:paraId="6B479505"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1068</w:t>
            </w:r>
          </w:p>
        </w:tc>
      </w:tr>
      <w:tr w:rsidR="00C03218" w:rsidRPr="002B03B4" w14:paraId="5BC1BDB6"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9372930" w14:textId="77777777" w:rsidR="00C03218" w:rsidRPr="002B03B4" w:rsidRDefault="00C03218" w:rsidP="002B03B4">
            <w:pPr>
              <w:rPr>
                <w:sz w:val="20"/>
                <w:szCs w:val="20"/>
                <w:lang w:eastAsia="en-AU"/>
              </w:rPr>
            </w:pPr>
          </w:p>
        </w:tc>
        <w:tc>
          <w:tcPr>
            <w:tcW w:w="1312" w:type="dxa"/>
            <w:noWrap/>
          </w:tcPr>
          <w:p w14:paraId="1433E052" w14:textId="77777777" w:rsidR="00C03218" w:rsidRPr="002B03B4" w:rsidRDefault="00C03218"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Hervey Bay</w:t>
            </w:r>
          </w:p>
        </w:tc>
        <w:tc>
          <w:tcPr>
            <w:tcW w:w="940" w:type="dxa"/>
            <w:noWrap/>
          </w:tcPr>
          <w:p w14:paraId="25316103"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347</w:t>
            </w:r>
          </w:p>
        </w:tc>
        <w:tc>
          <w:tcPr>
            <w:tcW w:w="976" w:type="dxa"/>
            <w:noWrap/>
          </w:tcPr>
          <w:p w14:paraId="726384E8"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59</w:t>
            </w:r>
          </w:p>
        </w:tc>
        <w:tc>
          <w:tcPr>
            <w:tcW w:w="992" w:type="dxa"/>
            <w:noWrap/>
          </w:tcPr>
          <w:p w14:paraId="6EEEA9CC"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142</w:t>
            </w:r>
          </w:p>
        </w:tc>
        <w:tc>
          <w:tcPr>
            <w:tcW w:w="920" w:type="dxa"/>
            <w:noWrap/>
          </w:tcPr>
          <w:p w14:paraId="54F4D824"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24.1</w:t>
            </w:r>
          </w:p>
        </w:tc>
        <w:tc>
          <w:tcPr>
            <w:tcW w:w="1065" w:type="dxa"/>
            <w:noWrap/>
          </w:tcPr>
          <w:p w14:paraId="5014BF9C"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99</w:t>
            </w:r>
          </w:p>
        </w:tc>
        <w:tc>
          <w:tcPr>
            <w:tcW w:w="992" w:type="dxa"/>
            <w:noWrap/>
          </w:tcPr>
          <w:p w14:paraId="4707980B"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16.8</w:t>
            </w:r>
          </w:p>
        </w:tc>
        <w:tc>
          <w:tcPr>
            <w:tcW w:w="940" w:type="dxa"/>
          </w:tcPr>
          <w:p w14:paraId="0960A5B5"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588</w:t>
            </w:r>
          </w:p>
        </w:tc>
      </w:tr>
      <w:tr w:rsidR="00C03218" w:rsidRPr="002B03B4" w14:paraId="50965FDF"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297C85C" w14:textId="77777777" w:rsidR="00C03218" w:rsidRPr="002B03B4" w:rsidRDefault="00C03218" w:rsidP="002B03B4">
            <w:pPr>
              <w:rPr>
                <w:sz w:val="20"/>
                <w:szCs w:val="20"/>
                <w:lang w:eastAsia="en-AU"/>
              </w:rPr>
            </w:pPr>
          </w:p>
        </w:tc>
        <w:tc>
          <w:tcPr>
            <w:tcW w:w="1312" w:type="dxa"/>
            <w:noWrap/>
          </w:tcPr>
          <w:p w14:paraId="03EE31B7" w14:textId="77777777" w:rsidR="00C03218" w:rsidRPr="002B03B4" w:rsidRDefault="00C03218"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BHB region</w:t>
            </w:r>
          </w:p>
        </w:tc>
        <w:tc>
          <w:tcPr>
            <w:tcW w:w="940" w:type="dxa"/>
            <w:noWrap/>
          </w:tcPr>
          <w:p w14:paraId="63F5E71C"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1,079</w:t>
            </w:r>
          </w:p>
        </w:tc>
        <w:tc>
          <w:tcPr>
            <w:tcW w:w="976" w:type="dxa"/>
            <w:noWrap/>
          </w:tcPr>
          <w:p w14:paraId="6BB00EC3"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65.2</w:t>
            </w:r>
          </w:p>
        </w:tc>
        <w:tc>
          <w:tcPr>
            <w:tcW w:w="992" w:type="dxa"/>
            <w:noWrap/>
          </w:tcPr>
          <w:p w14:paraId="5C3336C4"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321</w:t>
            </w:r>
          </w:p>
        </w:tc>
        <w:tc>
          <w:tcPr>
            <w:tcW w:w="920" w:type="dxa"/>
            <w:noWrap/>
          </w:tcPr>
          <w:p w14:paraId="33C8D4A5"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19.4</w:t>
            </w:r>
          </w:p>
        </w:tc>
        <w:tc>
          <w:tcPr>
            <w:tcW w:w="1065" w:type="dxa"/>
            <w:noWrap/>
          </w:tcPr>
          <w:p w14:paraId="3A9296CF"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256</w:t>
            </w:r>
          </w:p>
        </w:tc>
        <w:tc>
          <w:tcPr>
            <w:tcW w:w="992" w:type="dxa"/>
            <w:noWrap/>
          </w:tcPr>
          <w:p w14:paraId="24B04703"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15.5</w:t>
            </w:r>
          </w:p>
        </w:tc>
        <w:tc>
          <w:tcPr>
            <w:tcW w:w="940" w:type="dxa"/>
          </w:tcPr>
          <w:p w14:paraId="19A10054"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1656</w:t>
            </w:r>
          </w:p>
        </w:tc>
      </w:tr>
      <w:tr w:rsidR="00C03218" w:rsidRPr="002B03B4" w14:paraId="0DECCC29"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33E8C12F" w14:textId="77777777" w:rsidR="00C03218" w:rsidRPr="002B03B4" w:rsidRDefault="00C03218" w:rsidP="002B03B4">
            <w:pPr>
              <w:rPr>
                <w:sz w:val="20"/>
                <w:szCs w:val="20"/>
                <w:lang w:eastAsia="en-AU"/>
              </w:rPr>
            </w:pPr>
          </w:p>
        </w:tc>
        <w:tc>
          <w:tcPr>
            <w:tcW w:w="1312" w:type="dxa"/>
            <w:noWrap/>
          </w:tcPr>
          <w:p w14:paraId="0347F362" w14:textId="77777777" w:rsidR="00C03218" w:rsidRPr="002B03B4" w:rsidRDefault="00C03218"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Queensland</w:t>
            </w:r>
          </w:p>
        </w:tc>
        <w:tc>
          <w:tcPr>
            <w:tcW w:w="940" w:type="dxa"/>
            <w:noWrap/>
          </w:tcPr>
          <w:p w14:paraId="7A5098C4"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45,747</w:t>
            </w:r>
          </w:p>
        </w:tc>
        <w:tc>
          <w:tcPr>
            <w:tcW w:w="976" w:type="dxa"/>
            <w:noWrap/>
          </w:tcPr>
          <w:p w14:paraId="010190D1"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74</w:t>
            </w:r>
          </w:p>
        </w:tc>
        <w:tc>
          <w:tcPr>
            <w:tcW w:w="992" w:type="dxa"/>
            <w:noWrap/>
          </w:tcPr>
          <w:p w14:paraId="341D64D6"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9,838</w:t>
            </w:r>
          </w:p>
        </w:tc>
        <w:tc>
          <w:tcPr>
            <w:tcW w:w="920" w:type="dxa"/>
            <w:noWrap/>
          </w:tcPr>
          <w:p w14:paraId="66B24773"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15.9</w:t>
            </w:r>
          </w:p>
        </w:tc>
        <w:tc>
          <w:tcPr>
            <w:tcW w:w="1065" w:type="dxa"/>
            <w:noWrap/>
          </w:tcPr>
          <w:p w14:paraId="606BE6B9"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6,248</w:t>
            </w:r>
          </w:p>
        </w:tc>
        <w:tc>
          <w:tcPr>
            <w:tcW w:w="992" w:type="dxa"/>
            <w:noWrap/>
          </w:tcPr>
          <w:p w14:paraId="267F2492"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10.1</w:t>
            </w:r>
          </w:p>
        </w:tc>
        <w:tc>
          <w:tcPr>
            <w:tcW w:w="940" w:type="dxa"/>
          </w:tcPr>
          <w:p w14:paraId="76AAB4F3" w14:textId="77777777" w:rsidR="00C03218" w:rsidRPr="002B03B4" w:rsidRDefault="00C03218"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61,833</w:t>
            </w:r>
          </w:p>
        </w:tc>
      </w:tr>
      <w:tr w:rsidR="00C03218" w:rsidRPr="002B03B4" w14:paraId="2831553E"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709" w:type="dxa"/>
            <w:noWrap/>
          </w:tcPr>
          <w:p w14:paraId="5060FA5D" w14:textId="77777777" w:rsidR="00C03218" w:rsidRPr="002B03B4" w:rsidRDefault="00C03218" w:rsidP="002B03B4">
            <w:pPr>
              <w:rPr>
                <w:sz w:val="20"/>
                <w:szCs w:val="20"/>
                <w:lang w:eastAsia="en-AU"/>
              </w:rPr>
            </w:pPr>
          </w:p>
        </w:tc>
        <w:tc>
          <w:tcPr>
            <w:tcW w:w="1312" w:type="dxa"/>
            <w:noWrap/>
          </w:tcPr>
          <w:p w14:paraId="3371A7D7" w14:textId="77777777" w:rsidR="00C03218" w:rsidRPr="002B03B4" w:rsidRDefault="00C03218"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Australia</w:t>
            </w:r>
          </w:p>
        </w:tc>
        <w:tc>
          <w:tcPr>
            <w:tcW w:w="940" w:type="dxa"/>
            <w:noWrap/>
          </w:tcPr>
          <w:p w14:paraId="2A40A5B8"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227,163</w:t>
            </w:r>
          </w:p>
        </w:tc>
        <w:tc>
          <w:tcPr>
            <w:tcW w:w="976" w:type="dxa"/>
            <w:noWrap/>
          </w:tcPr>
          <w:p w14:paraId="0D2249AE"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77.3</w:t>
            </w:r>
          </w:p>
        </w:tc>
        <w:tc>
          <w:tcPr>
            <w:tcW w:w="992" w:type="dxa"/>
            <w:noWrap/>
          </w:tcPr>
          <w:p w14:paraId="777156C6"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42,473</w:t>
            </w:r>
          </w:p>
        </w:tc>
        <w:tc>
          <w:tcPr>
            <w:tcW w:w="920" w:type="dxa"/>
            <w:noWrap/>
          </w:tcPr>
          <w:p w14:paraId="521ADD78"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14.5</w:t>
            </w:r>
          </w:p>
        </w:tc>
        <w:tc>
          <w:tcPr>
            <w:tcW w:w="1065" w:type="dxa"/>
            <w:noWrap/>
          </w:tcPr>
          <w:p w14:paraId="6BAF2207"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24,232</w:t>
            </w:r>
          </w:p>
        </w:tc>
        <w:tc>
          <w:tcPr>
            <w:tcW w:w="992" w:type="dxa"/>
            <w:noWrap/>
          </w:tcPr>
          <w:p w14:paraId="38B953CA"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8.2</w:t>
            </w:r>
          </w:p>
        </w:tc>
        <w:tc>
          <w:tcPr>
            <w:tcW w:w="940" w:type="dxa"/>
          </w:tcPr>
          <w:p w14:paraId="38D03FEE" w14:textId="77777777" w:rsidR="00C03218" w:rsidRPr="002B03B4" w:rsidRDefault="00C03218"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293,868</w:t>
            </w:r>
          </w:p>
        </w:tc>
      </w:tr>
    </w:tbl>
    <w:p w14:paraId="07A005D1" w14:textId="77777777" w:rsidR="00E8435D" w:rsidRPr="00461021" w:rsidRDefault="00E8435D" w:rsidP="00E8435D">
      <w:pPr>
        <w:spacing w:after="0"/>
        <w:rPr>
          <w:i/>
          <w:sz w:val="18"/>
          <w:szCs w:val="18"/>
        </w:rPr>
      </w:pPr>
      <w:r w:rsidRPr="00461021">
        <w:rPr>
          <w:i/>
          <w:sz w:val="18"/>
          <w:szCs w:val="18"/>
        </w:rPr>
        <w:t xml:space="preserve">Source: </w:t>
      </w:r>
      <w:r w:rsidRPr="00461021">
        <w:rPr>
          <w:i/>
          <w:sz w:val="18"/>
          <w:szCs w:val="18"/>
          <w:lang w:val="en"/>
        </w:rPr>
        <w:t>AEDC (2012, 2015, 2018).</w:t>
      </w:r>
    </w:p>
    <w:p w14:paraId="210BD1AF" w14:textId="77777777" w:rsidR="00E8435D" w:rsidRPr="00E8435D" w:rsidRDefault="00E8435D" w:rsidP="00E8435D">
      <w:pPr>
        <w:spacing w:after="0"/>
        <w:rPr>
          <w:i/>
          <w:sz w:val="18"/>
          <w:szCs w:val="18"/>
        </w:rPr>
      </w:pPr>
      <w:r w:rsidRPr="00461021">
        <w:rPr>
          <w:i/>
          <w:sz w:val="18"/>
          <w:szCs w:val="18"/>
        </w:rPr>
        <w:t>Note</w:t>
      </w:r>
      <w:r w:rsidR="00DF5B7D">
        <w:rPr>
          <w:i/>
          <w:sz w:val="18"/>
          <w:szCs w:val="18"/>
        </w:rPr>
        <w:t>s</w:t>
      </w:r>
      <w:r w:rsidRPr="00461021">
        <w:rPr>
          <w:i/>
          <w:sz w:val="18"/>
          <w:szCs w:val="18"/>
        </w:rPr>
        <w:t xml:space="preserve">: </w:t>
      </w:r>
      <w:r w:rsidRPr="00E8435D">
        <w:rPr>
          <w:i/>
          <w:sz w:val="18"/>
          <w:szCs w:val="18"/>
        </w:rPr>
        <w:t xml:space="preserve">The BHB region refers to Bundaberg and Hervey Bay added together, which is identified using the </w:t>
      </w:r>
      <w:r w:rsidR="00870E6D" w:rsidRPr="00870E6D">
        <w:rPr>
          <w:i/>
          <w:iCs/>
          <w:sz w:val="18"/>
          <w:szCs w:val="18"/>
        </w:rPr>
        <w:t>ABS Main Area Structure</w:t>
      </w:r>
      <w:r w:rsidRPr="00E8435D">
        <w:rPr>
          <w:i/>
          <w:sz w:val="18"/>
          <w:szCs w:val="18"/>
        </w:rPr>
        <w:t xml:space="preserve"> information at the SA3 level.</w:t>
      </w:r>
      <w:r w:rsidR="00DF5B7D">
        <w:rPr>
          <w:i/>
          <w:sz w:val="18"/>
          <w:szCs w:val="18"/>
        </w:rPr>
        <w:t xml:space="preserve"> </w:t>
      </w:r>
      <w:r w:rsidR="00DF5B7D" w:rsidRPr="00DF5B7D">
        <w:rPr>
          <w:i/>
          <w:sz w:val="18"/>
          <w:szCs w:val="18"/>
        </w:rPr>
        <w:t>Due to rounding, the total percentages may not sum up exactly to 100.</w:t>
      </w:r>
    </w:p>
    <w:p w14:paraId="5BEEDFA2" w14:textId="63FC4093" w:rsidR="002B03B4" w:rsidRDefault="002B03B4" w:rsidP="00A4064D">
      <w:pPr>
        <w:pStyle w:val="Caption"/>
        <w:spacing w:before="240"/>
      </w:pPr>
      <w:bookmarkStart w:id="358" w:name="_Toc37263612"/>
      <w:r>
        <w:t xml:space="preserve">Table </w:t>
      </w:r>
      <w:r w:rsidR="006C0554">
        <w:fldChar w:fldCharType="begin"/>
      </w:r>
      <w:r w:rsidR="006C0554">
        <w:instrText xml:space="preserve"> STYLEREF 1 \s </w:instrText>
      </w:r>
      <w:r w:rsidR="006C0554">
        <w:fldChar w:fldCharType="separate"/>
      </w:r>
      <w:r w:rsidR="008E2086">
        <w:rPr>
          <w:noProof/>
        </w:rPr>
        <w:t>5</w:t>
      </w:r>
      <w:r w:rsidR="006C0554">
        <w:rPr>
          <w:noProof/>
        </w:rPr>
        <w:fldChar w:fldCharType="end"/>
      </w:r>
      <w:r>
        <w:noBreakHyphen/>
      </w:r>
      <w:r w:rsidR="006C0554">
        <w:fldChar w:fldCharType="begin"/>
      </w:r>
      <w:r w:rsidR="006C0554">
        <w:instrText xml:space="preserve"> SEQ Table \* ARABIC \s 1 </w:instrText>
      </w:r>
      <w:r w:rsidR="006C0554">
        <w:fldChar w:fldCharType="separate"/>
      </w:r>
      <w:r w:rsidR="008E2086">
        <w:rPr>
          <w:noProof/>
        </w:rPr>
        <w:t>14</w:t>
      </w:r>
      <w:r w:rsidR="006C0554">
        <w:rPr>
          <w:noProof/>
        </w:rPr>
        <w:fldChar w:fldCharType="end"/>
      </w:r>
      <w:r>
        <w:t xml:space="preserve">: </w:t>
      </w:r>
      <w:r w:rsidRPr="00CC52D9">
        <w:t>Child development outcome</w:t>
      </w:r>
      <w:r w:rsidR="00115A40">
        <w:t xml:space="preserve">s: </w:t>
      </w:r>
      <w:r>
        <w:t>vulnerab</w:t>
      </w:r>
      <w:r w:rsidR="00DF2F59">
        <w:t>ility</w:t>
      </w:r>
      <w:r w:rsidRPr="00CC52D9">
        <w:t xml:space="preserve"> </w:t>
      </w:r>
      <w:r w:rsidR="00115A40">
        <w:t xml:space="preserve">on </w:t>
      </w:r>
      <w:r>
        <w:t>multiple domains</w:t>
      </w:r>
      <w:bookmarkEnd w:id="358"/>
    </w:p>
    <w:tbl>
      <w:tblPr>
        <w:tblStyle w:val="ListTable3-Accent12"/>
        <w:tblW w:w="8978" w:type="dxa"/>
        <w:tblInd w:w="-5" w:type="dxa"/>
        <w:tblLook w:val="04A0" w:firstRow="1" w:lastRow="0" w:firstColumn="1" w:lastColumn="0" w:noHBand="0" w:noVBand="1"/>
      </w:tblPr>
      <w:tblGrid>
        <w:gridCol w:w="965"/>
        <w:gridCol w:w="1375"/>
        <w:gridCol w:w="1147"/>
        <w:gridCol w:w="1057"/>
        <w:gridCol w:w="1392"/>
        <w:gridCol w:w="1033"/>
        <w:gridCol w:w="1134"/>
        <w:gridCol w:w="875"/>
      </w:tblGrid>
      <w:tr w:rsidR="002B03B4" w:rsidRPr="002B03B4" w14:paraId="77C8DB04" w14:textId="77777777" w:rsidTr="006C055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2F5496" w:themeFill="accent5" w:themeFillShade="BF"/>
            <w:noWrap/>
          </w:tcPr>
          <w:p w14:paraId="760626D6" w14:textId="77777777" w:rsidR="002B03B4" w:rsidRPr="002B03B4" w:rsidRDefault="002B03B4" w:rsidP="000613C9">
            <w:pPr>
              <w:jc w:val="center"/>
              <w:rPr>
                <w:sz w:val="20"/>
                <w:szCs w:val="20"/>
                <w:lang w:eastAsia="en-AU"/>
              </w:rPr>
            </w:pPr>
          </w:p>
        </w:tc>
        <w:tc>
          <w:tcPr>
            <w:tcW w:w="0" w:type="dxa"/>
            <w:shd w:val="clear" w:color="auto" w:fill="2F5496" w:themeFill="accent5" w:themeFillShade="BF"/>
            <w:noWrap/>
          </w:tcPr>
          <w:p w14:paraId="650CC98A" w14:textId="77777777" w:rsidR="002B03B4" w:rsidRPr="002B03B4" w:rsidRDefault="002B03B4"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p>
        </w:tc>
        <w:tc>
          <w:tcPr>
            <w:tcW w:w="0" w:type="dxa"/>
            <w:gridSpan w:val="2"/>
            <w:shd w:val="clear" w:color="auto" w:fill="2F5496" w:themeFill="accent5" w:themeFillShade="BF"/>
            <w:noWrap/>
          </w:tcPr>
          <w:p w14:paraId="369C9F41" w14:textId="77777777" w:rsidR="002B03B4" w:rsidRPr="002B03B4" w:rsidRDefault="002B03B4"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Developmental vulnerability on one or more domains</w:t>
            </w:r>
          </w:p>
        </w:tc>
        <w:tc>
          <w:tcPr>
            <w:tcW w:w="0" w:type="dxa"/>
            <w:shd w:val="clear" w:color="auto" w:fill="2F5496" w:themeFill="accent5" w:themeFillShade="BF"/>
            <w:noWrap/>
          </w:tcPr>
          <w:p w14:paraId="31965E93" w14:textId="77777777" w:rsidR="002B03B4" w:rsidRPr="002B03B4" w:rsidRDefault="002B03B4"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Total</w:t>
            </w:r>
          </w:p>
        </w:tc>
        <w:tc>
          <w:tcPr>
            <w:tcW w:w="0" w:type="dxa"/>
            <w:gridSpan w:val="2"/>
            <w:shd w:val="clear" w:color="auto" w:fill="2F5496" w:themeFill="accent5" w:themeFillShade="BF"/>
            <w:noWrap/>
          </w:tcPr>
          <w:p w14:paraId="70B6FEB2" w14:textId="77777777" w:rsidR="002B03B4" w:rsidRPr="002B03B4" w:rsidRDefault="002B03B4"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Developmental vulnerability on two or more domains</w:t>
            </w:r>
          </w:p>
        </w:tc>
        <w:tc>
          <w:tcPr>
            <w:tcW w:w="0" w:type="dxa"/>
            <w:shd w:val="clear" w:color="auto" w:fill="2F5496" w:themeFill="accent5" w:themeFillShade="BF"/>
            <w:noWrap/>
          </w:tcPr>
          <w:p w14:paraId="3755F5F0" w14:textId="77777777" w:rsidR="002B03B4" w:rsidRPr="002B03B4" w:rsidRDefault="002B03B4" w:rsidP="000613C9">
            <w:pPr>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Total</w:t>
            </w:r>
          </w:p>
        </w:tc>
      </w:tr>
      <w:tr w:rsidR="002B03B4" w:rsidRPr="002B03B4" w14:paraId="62ACDD03"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6F8718B1" w14:textId="77777777" w:rsidR="002B03B4" w:rsidRPr="002B03B4" w:rsidRDefault="002B03B4" w:rsidP="002B03B4">
            <w:pPr>
              <w:rPr>
                <w:sz w:val="20"/>
                <w:szCs w:val="20"/>
                <w:lang w:eastAsia="en-AU"/>
              </w:rPr>
            </w:pPr>
          </w:p>
        </w:tc>
        <w:tc>
          <w:tcPr>
            <w:tcW w:w="1375" w:type="dxa"/>
            <w:noWrap/>
          </w:tcPr>
          <w:p w14:paraId="2CCB4267" w14:textId="77777777" w:rsidR="002B03B4" w:rsidRPr="002B03B4" w:rsidRDefault="002B03B4"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p>
        </w:tc>
        <w:tc>
          <w:tcPr>
            <w:tcW w:w="1147" w:type="dxa"/>
            <w:noWrap/>
          </w:tcPr>
          <w:p w14:paraId="0CBF25E3"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1057" w:type="dxa"/>
            <w:noWrap/>
          </w:tcPr>
          <w:p w14:paraId="1C1D3F59"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1392" w:type="dxa"/>
            <w:noWrap/>
          </w:tcPr>
          <w:p w14:paraId="2913F08E"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1033" w:type="dxa"/>
            <w:noWrap/>
          </w:tcPr>
          <w:p w14:paraId="7D004C67"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c>
          <w:tcPr>
            <w:tcW w:w="1134" w:type="dxa"/>
            <w:noWrap/>
          </w:tcPr>
          <w:p w14:paraId="0F7FFCF0"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Per</w:t>
            </w:r>
            <w:r w:rsidR="00880F57">
              <w:rPr>
                <w:sz w:val="20"/>
                <w:szCs w:val="20"/>
                <w:lang w:eastAsia="en-AU"/>
              </w:rPr>
              <w:t xml:space="preserve"> </w:t>
            </w:r>
            <w:r w:rsidRPr="002B03B4">
              <w:rPr>
                <w:sz w:val="20"/>
                <w:szCs w:val="20"/>
                <w:lang w:eastAsia="en-AU"/>
              </w:rPr>
              <w:t>cent</w:t>
            </w:r>
          </w:p>
        </w:tc>
        <w:tc>
          <w:tcPr>
            <w:tcW w:w="875" w:type="dxa"/>
            <w:noWrap/>
          </w:tcPr>
          <w:p w14:paraId="3C173DDB"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Cases</w:t>
            </w:r>
          </w:p>
        </w:tc>
      </w:tr>
      <w:tr w:rsidR="002B03B4" w:rsidRPr="002B03B4" w14:paraId="65F4DB7A"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965" w:type="dxa"/>
            <w:noWrap/>
            <w:hideMark/>
          </w:tcPr>
          <w:p w14:paraId="1CA7AFDB" w14:textId="77777777" w:rsidR="002B03B4" w:rsidRPr="002B03B4" w:rsidRDefault="002B03B4" w:rsidP="002B03B4">
            <w:pPr>
              <w:rPr>
                <w:sz w:val="20"/>
                <w:szCs w:val="20"/>
                <w:lang w:eastAsia="en-AU"/>
              </w:rPr>
            </w:pPr>
            <w:r w:rsidRPr="002B03B4">
              <w:rPr>
                <w:sz w:val="20"/>
                <w:szCs w:val="20"/>
                <w:lang w:eastAsia="en-AU"/>
              </w:rPr>
              <w:t>2012</w:t>
            </w:r>
          </w:p>
        </w:tc>
        <w:tc>
          <w:tcPr>
            <w:tcW w:w="1375" w:type="dxa"/>
            <w:noWrap/>
            <w:hideMark/>
          </w:tcPr>
          <w:p w14:paraId="68123062" w14:textId="77777777" w:rsidR="002B03B4" w:rsidRPr="002B03B4" w:rsidRDefault="002B03B4"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Bundaberg</w:t>
            </w:r>
          </w:p>
        </w:tc>
        <w:tc>
          <w:tcPr>
            <w:tcW w:w="1147" w:type="dxa"/>
            <w:noWrap/>
          </w:tcPr>
          <w:p w14:paraId="1CD718EA"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299</w:t>
            </w:r>
          </w:p>
        </w:tc>
        <w:tc>
          <w:tcPr>
            <w:tcW w:w="1057" w:type="dxa"/>
            <w:noWrap/>
          </w:tcPr>
          <w:p w14:paraId="02E37F69"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28.3</w:t>
            </w:r>
          </w:p>
        </w:tc>
        <w:tc>
          <w:tcPr>
            <w:tcW w:w="1392" w:type="dxa"/>
            <w:noWrap/>
          </w:tcPr>
          <w:p w14:paraId="6C9B8DAC"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1,055</w:t>
            </w:r>
          </w:p>
        </w:tc>
        <w:tc>
          <w:tcPr>
            <w:tcW w:w="1033" w:type="dxa"/>
            <w:noWrap/>
          </w:tcPr>
          <w:p w14:paraId="2696F7F9"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158</w:t>
            </w:r>
          </w:p>
        </w:tc>
        <w:tc>
          <w:tcPr>
            <w:tcW w:w="1134" w:type="dxa"/>
            <w:noWrap/>
          </w:tcPr>
          <w:p w14:paraId="08B3D903"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15.0</w:t>
            </w:r>
          </w:p>
        </w:tc>
        <w:tc>
          <w:tcPr>
            <w:tcW w:w="875" w:type="dxa"/>
            <w:noWrap/>
          </w:tcPr>
          <w:p w14:paraId="7698FB7D"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1,056</w:t>
            </w:r>
          </w:p>
        </w:tc>
      </w:tr>
      <w:tr w:rsidR="002B03B4" w:rsidRPr="002B03B4" w14:paraId="2E6EA941"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7D94B4E7" w14:textId="77777777" w:rsidR="002B03B4" w:rsidRPr="002B03B4" w:rsidRDefault="002B03B4" w:rsidP="002B03B4">
            <w:pPr>
              <w:rPr>
                <w:sz w:val="20"/>
                <w:szCs w:val="20"/>
                <w:lang w:eastAsia="en-AU"/>
              </w:rPr>
            </w:pPr>
          </w:p>
        </w:tc>
        <w:tc>
          <w:tcPr>
            <w:tcW w:w="1375" w:type="dxa"/>
            <w:noWrap/>
          </w:tcPr>
          <w:p w14:paraId="4CECFD1A" w14:textId="77777777" w:rsidR="002B03B4" w:rsidRPr="002B03B4" w:rsidRDefault="002B03B4"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Hervey Bay</w:t>
            </w:r>
          </w:p>
        </w:tc>
        <w:tc>
          <w:tcPr>
            <w:tcW w:w="1147" w:type="dxa"/>
            <w:noWrap/>
          </w:tcPr>
          <w:p w14:paraId="3AB69999"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193</w:t>
            </w:r>
          </w:p>
        </w:tc>
        <w:tc>
          <w:tcPr>
            <w:tcW w:w="1057" w:type="dxa"/>
            <w:noWrap/>
          </w:tcPr>
          <w:p w14:paraId="0A2F638B"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28.1</w:t>
            </w:r>
          </w:p>
        </w:tc>
        <w:tc>
          <w:tcPr>
            <w:tcW w:w="1392" w:type="dxa"/>
            <w:noWrap/>
          </w:tcPr>
          <w:p w14:paraId="570A809F"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687</w:t>
            </w:r>
          </w:p>
        </w:tc>
        <w:tc>
          <w:tcPr>
            <w:tcW w:w="1033" w:type="dxa"/>
            <w:noWrap/>
          </w:tcPr>
          <w:p w14:paraId="48F52549"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109</w:t>
            </w:r>
          </w:p>
        </w:tc>
        <w:tc>
          <w:tcPr>
            <w:tcW w:w="1134" w:type="dxa"/>
            <w:noWrap/>
          </w:tcPr>
          <w:p w14:paraId="7FA42CF8"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15.9</w:t>
            </w:r>
          </w:p>
        </w:tc>
        <w:tc>
          <w:tcPr>
            <w:tcW w:w="875" w:type="dxa"/>
            <w:noWrap/>
          </w:tcPr>
          <w:p w14:paraId="585E22EC"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686</w:t>
            </w:r>
          </w:p>
        </w:tc>
      </w:tr>
      <w:tr w:rsidR="002B03B4" w:rsidRPr="002B03B4" w14:paraId="7504B816"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665FDD35" w14:textId="77777777" w:rsidR="002B03B4" w:rsidRPr="002B03B4" w:rsidRDefault="002B03B4" w:rsidP="002B03B4">
            <w:pPr>
              <w:rPr>
                <w:sz w:val="20"/>
                <w:szCs w:val="20"/>
                <w:lang w:eastAsia="en-AU"/>
              </w:rPr>
            </w:pPr>
          </w:p>
        </w:tc>
        <w:tc>
          <w:tcPr>
            <w:tcW w:w="1375" w:type="dxa"/>
            <w:noWrap/>
          </w:tcPr>
          <w:p w14:paraId="06B615BF" w14:textId="77777777" w:rsidR="002B03B4" w:rsidRPr="002B03B4" w:rsidRDefault="002B03B4"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BHB region</w:t>
            </w:r>
          </w:p>
        </w:tc>
        <w:tc>
          <w:tcPr>
            <w:tcW w:w="1147" w:type="dxa"/>
            <w:noWrap/>
          </w:tcPr>
          <w:p w14:paraId="126CEB8C"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492</w:t>
            </w:r>
          </w:p>
        </w:tc>
        <w:tc>
          <w:tcPr>
            <w:tcW w:w="1057" w:type="dxa"/>
            <w:noWrap/>
          </w:tcPr>
          <w:p w14:paraId="7795254F"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28.2</w:t>
            </w:r>
          </w:p>
        </w:tc>
        <w:tc>
          <w:tcPr>
            <w:tcW w:w="1392" w:type="dxa"/>
            <w:noWrap/>
          </w:tcPr>
          <w:p w14:paraId="2FC54488"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1,742</w:t>
            </w:r>
          </w:p>
        </w:tc>
        <w:tc>
          <w:tcPr>
            <w:tcW w:w="1033" w:type="dxa"/>
            <w:noWrap/>
          </w:tcPr>
          <w:p w14:paraId="3DE2E08F"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267</w:t>
            </w:r>
          </w:p>
        </w:tc>
        <w:tc>
          <w:tcPr>
            <w:tcW w:w="1134" w:type="dxa"/>
            <w:noWrap/>
          </w:tcPr>
          <w:p w14:paraId="43CDAEE8"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15.3</w:t>
            </w:r>
          </w:p>
        </w:tc>
        <w:tc>
          <w:tcPr>
            <w:tcW w:w="875" w:type="dxa"/>
            <w:noWrap/>
          </w:tcPr>
          <w:p w14:paraId="44BBD5C5"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1,742</w:t>
            </w:r>
          </w:p>
        </w:tc>
      </w:tr>
      <w:tr w:rsidR="002B03B4" w:rsidRPr="002B03B4" w14:paraId="1BFAFB51"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511715CF" w14:textId="77777777" w:rsidR="002B03B4" w:rsidRPr="002B03B4" w:rsidRDefault="002B03B4" w:rsidP="002B03B4">
            <w:pPr>
              <w:rPr>
                <w:sz w:val="20"/>
                <w:szCs w:val="20"/>
                <w:lang w:eastAsia="en-AU"/>
              </w:rPr>
            </w:pPr>
          </w:p>
        </w:tc>
        <w:tc>
          <w:tcPr>
            <w:tcW w:w="1375" w:type="dxa"/>
            <w:noWrap/>
          </w:tcPr>
          <w:p w14:paraId="7DAC7CBD" w14:textId="77777777" w:rsidR="002B03B4" w:rsidRPr="002B03B4" w:rsidRDefault="002B03B4"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Queensland</w:t>
            </w:r>
          </w:p>
        </w:tc>
        <w:tc>
          <w:tcPr>
            <w:tcW w:w="1147" w:type="dxa"/>
            <w:noWrap/>
          </w:tcPr>
          <w:p w14:paraId="5D3A56FE"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15,217</w:t>
            </w:r>
          </w:p>
        </w:tc>
        <w:tc>
          <w:tcPr>
            <w:tcW w:w="1057" w:type="dxa"/>
            <w:noWrap/>
          </w:tcPr>
          <w:p w14:paraId="222843B0"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26.2</w:t>
            </w:r>
          </w:p>
        </w:tc>
        <w:tc>
          <w:tcPr>
            <w:tcW w:w="1392" w:type="dxa"/>
            <w:noWrap/>
          </w:tcPr>
          <w:p w14:paraId="7DB9829D"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ab/>
            </w:r>
            <w:r>
              <w:rPr>
                <w:sz w:val="20"/>
                <w:szCs w:val="20"/>
                <w:lang w:eastAsia="en-AU"/>
              </w:rPr>
              <w:t>57,9</w:t>
            </w:r>
            <w:r w:rsidRPr="002B03B4">
              <w:rPr>
                <w:sz w:val="20"/>
                <w:szCs w:val="20"/>
                <w:lang w:eastAsia="en-AU"/>
              </w:rPr>
              <w:t>4</w:t>
            </w:r>
          </w:p>
        </w:tc>
        <w:tc>
          <w:tcPr>
            <w:tcW w:w="1033" w:type="dxa"/>
            <w:noWrap/>
          </w:tcPr>
          <w:p w14:paraId="50D4AC68"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8,001</w:t>
            </w:r>
          </w:p>
        </w:tc>
        <w:tc>
          <w:tcPr>
            <w:tcW w:w="1134" w:type="dxa"/>
            <w:noWrap/>
          </w:tcPr>
          <w:p w14:paraId="09E6F6DD"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13.8</w:t>
            </w:r>
          </w:p>
        </w:tc>
        <w:tc>
          <w:tcPr>
            <w:tcW w:w="875" w:type="dxa"/>
            <w:noWrap/>
          </w:tcPr>
          <w:p w14:paraId="7C993108"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58,107</w:t>
            </w:r>
          </w:p>
        </w:tc>
      </w:tr>
      <w:tr w:rsidR="002B03B4" w:rsidRPr="002B03B4" w14:paraId="11CCC628"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06880C33" w14:textId="77777777" w:rsidR="002B03B4" w:rsidRPr="002B03B4" w:rsidRDefault="002B03B4" w:rsidP="002B03B4">
            <w:pPr>
              <w:rPr>
                <w:sz w:val="20"/>
                <w:szCs w:val="20"/>
                <w:lang w:eastAsia="en-AU"/>
              </w:rPr>
            </w:pPr>
          </w:p>
        </w:tc>
        <w:tc>
          <w:tcPr>
            <w:tcW w:w="1375" w:type="dxa"/>
            <w:noWrap/>
          </w:tcPr>
          <w:p w14:paraId="2C48B5BA" w14:textId="77777777" w:rsidR="002B03B4" w:rsidRPr="002B03B4" w:rsidRDefault="002B03B4"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Australia</w:t>
            </w:r>
          </w:p>
        </w:tc>
        <w:tc>
          <w:tcPr>
            <w:tcW w:w="1147" w:type="dxa"/>
            <w:noWrap/>
          </w:tcPr>
          <w:p w14:paraId="7C70790F"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59,933</w:t>
            </w:r>
          </w:p>
        </w:tc>
        <w:tc>
          <w:tcPr>
            <w:tcW w:w="1057" w:type="dxa"/>
            <w:noWrap/>
          </w:tcPr>
          <w:p w14:paraId="01E12226"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22.0</w:t>
            </w:r>
          </w:p>
        </w:tc>
        <w:tc>
          <w:tcPr>
            <w:tcW w:w="1392" w:type="dxa"/>
            <w:noWrap/>
          </w:tcPr>
          <w:p w14:paraId="34E7BC49"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272,282</w:t>
            </w:r>
          </w:p>
        </w:tc>
        <w:tc>
          <w:tcPr>
            <w:tcW w:w="1033" w:type="dxa"/>
            <w:noWrap/>
          </w:tcPr>
          <w:p w14:paraId="392F0401"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29,543</w:t>
            </w:r>
          </w:p>
        </w:tc>
        <w:tc>
          <w:tcPr>
            <w:tcW w:w="1134" w:type="dxa"/>
            <w:noWrap/>
          </w:tcPr>
          <w:p w14:paraId="5BB96FC8"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10.8</w:t>
            </w:r>
          </w:p>
        </w:tc>
        <w:tc>
          <w:tcPr>
            <w:tcW w:w="875" w:type="dxa"/>
            <w:noWrap/>
          </w:tcPr>
          <w:p w14:paraId="74022831"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273,275</w:t>
            </w:r>
          </w:p>
        </w:tc>
      </w:tr>
      <w:tr w:rsidR="002B03B4" w:rsidRPr="002B03B4" w14:paraId="31A0090E"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hideMark/>
          </w:tcPr>
          <w:p w14:paraId="77DAA4CD" w14:textId="77777777" w:rsidR="002B03B4" w:rsidRPr="002B03B4" w:rsidRDefault="002B03B4" w:rsidP="002B03B4">
            <w:pPr>
              <w:rPr>
                <w:sz w:val="20"/>
                <w:szCs w:val="20"/>
                <w:lang w:eastAsia="en-AU"/>
              </w:rPr>
            </w:pPr>
            <w:r w:rsidRPr="002B03B4">
              <w:rPr>
                <w:sz w:val="20"/>
                <w:szCs w:val="20"/>
                <w:lang w:eastAsia="en-AU"/>
              </w:rPr>
              <w:t>2015</w:t>
            </w:r>
          </w:p>
        </w:tc>
        <w:tc>
          <w:tcPr>
            <w:tcW w:w="1375" w:type="dxa"/>
            <w:noWrap/>
            <w:hideMark/>
          </w:tcPr>
          <w:p w14:paraId="19F13620" w14:textId="77777777" w:rsidR="002B03B4" w:rsidRPr="002B03B4" w:rsidRDefault="002B03B4"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Bundaberg</w:t>
            </w:r>
          </w:p>
        </w:tc>
        <w:tc>
          <w:tcPr>
            <w:tcW w:w="1147" w:type="dxa"/>
            <w:noWrap/>
          </w:tcPr>
          <w:p w14:paraId="55B62198"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304</w:t>
            </w:r>
          </w:p>
        </w:tc>
        <w:tc>
          <w:tcPr>
            <w:tcW w:w="1057" w:type="dxa"/>
            <w:noWrap/>
          </w:tcPr>
          <w:p w14:paraId="4733B85C"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28.7</w:t>
            </w:r>
          </w:p>
        </w:tc>
        <w:tc>
          <w:tcPr>
            <w:tcW w:w="1392" w:type="dxa"/>
            <w:noWrap/>
          </w:tcPr>
          <w:p w14:paraId="263469BB"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1,060</w:t>
            </w:r>
          </w:p>
        </w:tc>
        <w:tc>
          <w:tcPr>
            <w:tcW w:w="1033" w:type="dxa"/>
            <w:noWrap/>
          </w:tcPr>
          <w:p w14:paraId="43C8E946"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170</w:t>
            </w:r>
          </w:p>
        </w:tc>
        <w:tc>
          <w:tcPr>
            <w:tcW w:w="1134" w:type="dxa"/>
            <w:noWrap/>
          </w:tcPr>
          <w:p w14:paraId="0DAA0111"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16.0</w:t>
            </w:r>
          </w:p>
        </w:tc>
        <w:tc>
          <w:tcPr>
            <w:tcW w:w="875" w:type="dxa"/>
            <w:noWrap/>
          </w:tcPr>
          <w:p w14:paraId="4DF7AC76"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1,062</w:t>
            </w:r>
          </w:p>
        </w:tc>
      </w:tr>
      <w:tr w:rsidR="002B03B4" w:rsidRPr="002B03B4" w14:paraId="2F1ED9C2"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965" w:type="dxa"/>
            <w:noWrap/>
            <w:hideMark/>
          </w:tcPr>
          <w:p w14:paraId="63881DEC" w14:textId="77777777" w:rsidR="002B03B4" w:rsidRPr="002B03B4" w:rsidRDefault="002B03B4" w:rsidP="002B03B4">
            <w:pPr>
              <w:rPr>
                <w:sz w:val="20"/>
                <w:szCs w:val="20"/>
                <w:lang w:eastAsia="en-AU"/>
              </w:rPr>
            </w:pPr>
          </w:p>
        </w:tc>
        <w:tc>
          <w:tcPr>
            <w:tcW w:w="1375" w:type="dxa"/>
            <w:noWrap/>
          </w:tcPr>
          <w:p w14:paraId="77F0DDA4" w14:textId="77777777" w:rsidR="002B03B4" w:rsidRPr="002B03B4" w:rsidRDefault="002B03B4"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Hervey Bay</w:t>
            </w:r>
          </w:p>
        </w:tc>
        <w:tc>
          <w:tcPr>
            <w:tcW w:w="1147" w:type="dxa"/>
            <w:noWrap/>
          </w:tcPr>
          <w:p w14:paraId="6E73E6E5"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190</w:t>
            </w:r>
          </w:p>
        </w:tc>
        <w:tc>
          <w:tcPr>
            <w:tcW w:w="1057" w:type="dxa"/>
            <w:noWrap/>
          </w:tcPr>
          <w:p w14:paraId="6F6DC504"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29.2</w:t>
            </w:r>
          </w:p>
        </w:tc>
        <w:tc>
          <w:tcPr>
            <w:tcW w:w="1392" w:type="dxa"/>
            <w:noWrap/>
          </w:tcPr>
          <w:p w14:paraId="612C24F6"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650</w:t>
            </w:r>
          </w:p>
        </w:tc>
        <w:tc>
          <w:tcPr>
            <w:tcW w:w="1033" w:type="dxa"/>
            <w:noWrap/>
          </w:tcPr>
          <w:p w14:paraId="7592CA9B"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107</w:t>
            </w:r>
          </w:p>
        </w:tc>
        <w:tc>
          <w:tcPr>
            <w:tcW w:w="1134" w:type="dxa"/>
            <w:noWrap/>
          </w:tcPr>
          <w:p w14:paraId="1B7382F7"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16.5</w:t>
            </w:r>
          </w:p>
        </w:tc>
        <w:tc>
          <w:tcPr>
            <w:tcW w:w="875" w:type="dxa"/>
            <w:noWrap/>
          </w:tcPr>
          <w:p w14:paraId="3973EB83"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650</w:t>
            </w:r>
          </w:p>
        </w:tc>
      </w:tr>
      <w:tr w:rsidR="002B03B4" w:rsidRPr="002B03B4" w14:paraId="5C2E9EA0"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4D94A0CC" w14:textId="77777777" w:rsidR="002B03B4" w:rsidRPr="002B03B4" w:rsidRDefault="002B03B4" w:rsidP="002B03B4">
            <w:pPr>
              <w:rPr>
                <w:sz w:val="20"/>
                <w:szCs w:val="20"/>
                <w:lang w:eastAsia="en-AU"/>
              </w:rPr>
            </w:pPr>
          </w:p>
        </w:tc>
        <w:tc>
          <w:tcPr>
            <w:tcW w:w="1375" w:type="dxa"/>
            <w:noWrap/>
          </w:tcPr>
          <w:p w14:paraId="59E98A39" w14:textId="77777777" w:rsidR="002B03B4" w:rsidRPr="002B03B4" w:rsidRDefault="002B03B4"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BHB region</w:t>
            </w:r>
          </w:p>
        </w:tc>
        <w:tc>
          <w:tcPr>
            <w:tcW w:w="1147" w:type="dxa"/>
            <w:noWrap/>
          </w:tcPr>
          <w:p w14:paraId="6F689DEC"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494</w:t>
            </w:r>
          </w:p>
        </w:tc>
        <w:tc>
          <w:tcPr>
            <w:tcW w:w="1057" w:type="dxa"/>
            <w:noWrap/>
          </w:tcPr>
          <w:p w14:paraId="1B7F522F"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28.9</w:t>
            </w:r>
          </w:p>
        </w:tc>
        <w:tc>
          <w:tcPr>
            <w:tcW w:w="1392" w:type="dxa"/>
            <w:noWrap/>
          </w:tcPr>
          <w:p w14:paraId="7E809AD4"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1,710</w:t>
            </w:r>
          </w:p>
        </w:tc>
        <w:tc>
          <w:tcPr>
            <w:tcW w:w="1033" w:type="dxa"/>
            <w:noWrap/>
          </w:tcPr>
          <w:p w14:paraId="26C0BB57"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277</w:t>
            </w:r>
          </w:p>
        </w:tc>
        <w:tc>
          <w:tcPr>
            <w:tcW w:w="1134" w:type="dxa"/>
            <w:noWrap/>
          </w:tcPr>
          <w:p w14:paraId="4ADFCA0D"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16.2</w:t>
            </w:r>
          </w:p>
        </w:tc>
        <w:tc>
          <w:tcPr>
            <w:tcW w:w="875" w:type="dxa"/>
            <w:noWrap/>
          </w:tcPr>
          <w:p w14:paraId="06573F93"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1,712</w:t>
            </w:r>
          </w:p>
        </w:tc>
      </w:tr>
      <w:tr w:rsidR="002B03B4" w:rsidRPr="002B03B4" w14:paraId="0FA0004C"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0388511F" w14:textId="77777777" w:rsidR="002B03B4" w:rsidRPr="002B03B4" w:rsidRDefault="002B03B4" w:rsidP="002B03B4">
            <w:pPr>
              <w:rPr>
                <w:sz w:val="20"/>
                <w:szCs w:val="20"/>
                <w:lang w:eastAsia="en-AU"/>
              </w:rPr>
            </w:pPr>
          </w:p>
        </w:tc>
        <w:tc>
          <w:tcPr>
            <w:tcW w:w="1375" w:type="dxa"/>
            <w:noWrap/>
          </w:tcPr>
          <w:p w14:paraId="1F9CC271" w14:textId="77777777" w:rsidR="002B03B4" w:rsidRPr="002B03B4" w:rsidRDefault="002B03B4"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Queensland</w:t>
            </w:r>
          </w:p>
        </w:tc>
        <w:tc>
          <w:tcPr>
            <w:tcW w:w="1147" w:type="dxa"/>
            <w:noWrap/>
          </w:tcPr>
          <w:p w14:paraId="5BDC3B05"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16,220</w:t>
            </w:r>
          </w:p>
        </w:tc>
        <w:tc>
          <w:tcPr>
            <w:tcW w:w="1057" w:type="dxa"/>
            <w:noWrap/>
          </w:tcPr>
          <w:p w14:paraId="2AD12415"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26.1</w:t>
            </w:r>
          </w:p>
        </w:tc>
        <w:tc>
          <w:tcPr>
            <w:tcW w:w="1392" w:type="dxa"/>
            <w:noWrap/>
          </w:tcPr>
          <w:p w14:paraId="3461F75F"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62,027</w:t>
            </w:r>
          </w:p>
        </w:tc>
        <w:tc>
          <w:tcPr>
            <w:tcW w:w="1033" w:type="dxa"/>
            <w:noWrap/>
          </w:tcPr>
          <w:p w14:paraId="2D5BC4C4"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8,713</w:t>
            </w:r>
          </w:p>
        </w:tc>
        <w:tc>
          <w:tcPr>
            <w:tcW w:w="1134" w:type="dxa"/>
            <w:noWrap/>
          </w:tcPr>
          <w:p w14:paraId="34985118"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14.0</w:t>
            </w:r>
          </w:p>
        </w:tc>
        <w:tc>
          <w:tcPr>
            <w:tcW w:w="875" w:type="dxa"/>
            <w:noWrap/>
          </w:tcPr>
          <w:p w14:paraId="526BE0E8"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62,103</w:t>
            </w:r>
          </w:p>
        </w:tc>
      </w:tr>
      <w:tr w:rsidR="002B03B4" w:rsidRPr="002B03B4" w14:paraId="10013E82"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08381930" w14:textId="77777777" w:rsidR="002B03B4" w:rsidRPr="002B03B4" w:rsidRDefault="002B03B4" w:rsidP="002B03B4">
            <w:pPr>
              <w:rPr>
                <w:sz w:val="20"/>
                <w:szCs w:val="20"/>
                <w:lang w:eastAsia="en-AU"/>
              </w:rPr>
            </w:pPr>
          </w:p>
        </w:tc>
        <w:tc>
          <w:tcPr>
            <w:tcW w:w="1375" w:type="dxa"/>
            <w:noWrap/>
          </w:tcPr>
          <w:p w14:paraId="6B2AF50A" w14:textId="77777777" w:rsidR="002B03B4" w:rsidRPr="002B03B4" w:rsidRDefault="002B03B4"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Australia</w:t>
            </w:r>
          </w:p>
        </w:tc>
        <w:tc>
          <w:tcPr>
            <w:tcW w:w="1147" w:type="dxa"/>
            <w:noWrap/>
          </w:tcPr>
          <w:p w14:paraId="6A078015"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62,960</w:t>
            </w:r>
          </w:p>
        </w:tc>
        <w:tc>
          <w:tcPr>
            <w:tcW w:w="1057" w:type="dxa"/>
            <w:noWrap/>
          </w:tcPr>
          <w:p w14:paraId="3CC9A4C8"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22.0</w:t>
            </w:r>
          </w:p>
        </w:tc>
        <w:tc>
          <w:tcPr>
            <w:tcW w:w="1392" w:type="dxa"/>
            <w:noWrap/>
          </w:tcPr>
          <w:p w14:paraId="1EC36FDD"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286,041</w:t>
            </w:r>
          </w:p>
        </w:tc>
        <w:tc>
          <w:tcPr>
            <w:tcW w:w="1033" w:type="dxa"/>
            <w:noWrap/>
          </w:tcPr>
          <w:p w14:paraId="4AA737A4"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31,754</w:t>
            </w:r>
          </w:p>
        </w:tc>
        <w:tc>
          <w:tcPr>
            <w:tcW w:w="1134" w:type="dxa"/>
            <w:noWrap/>
          </w:tcPr>
          <w:p w14:paraId="0C0E7DED"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11.1</w:t>
            </w:r>
          </w:p>
        </w:tc>
        <w:tc>
          <w:tcPr>
            <w:tcW w:w="875" w:type="dxa"/>
            <w:noWrap/>
          </w:tcPr>
          <w:p w14:paraId="23019D6E"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286,616</w:t>
            </w:r>
          </w:p>
        </w:tc>
      </w:tr>
      <w:tr w:rsidR="002B03B4" w:rsidRPr="002B03B4" w14:paraId="09FB58DB"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965" w:type="dxa"/>
            <w:noWrap/>
            <w:hideMark/>
          </w:tcPr>
          <w:p w14:paraId="1AC7C7E3" w14:textId="77777777" w:rsidR="002B03B4" w:rsidRPr="002B03B4" w:rsidRDefault="002B03B4" w:rsidP="002B03B4">
            <w:pPr>
              <w:rPr>
                <w:sz w:val="20"/>
                <w:szCs w:val="20"/>
                <w:lang w:eastAsia="en-AU"/>
              </w:rPr>
            </w:pPr>
            <w:r w:rsidRPr="002B03B4">
              <w:rPr>
                <w:sz w:val="20"/>
                <w:szCs w:val="20"/>
                <w:lang w:eastAsia="en-AU"/>
              </w:rPr>
              <w:t>2018</w:t>
            </w:r>
          </w:p>
        </w:tc>
        <w:tc>
          <w:tcPr>
            <w:tcW w:w="1375" w:type="dxa"/>
            <w:noWrap/>
          </w:tcPr>
          <w:p w14:paraId="7D4C0DF4" w14:textId="77777777" w:rsidR="002B03B4" w:rsidRPr="002B03B4" w:rsidRDefault="002B03B4"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Bundaberg</w:t>
            </w:r>
          </w:p>
        </w:tc>
        <w:tc>
          <w:tcPr>
            <w:tcW w:w="1147" w:type="dxa"/>
            <w:noWrap/>
          </w:tcPr>
          <w:p w14:paraId="69C03636"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361</w:t>
            </w:r>
          </w:p>
        </w:tc>
        <w:tc>
          <w:tcPr>
            <w:tcW w:w="1057" w:type="dxa"/>
            <w:noWrap/>
          </w:tcPr>
          <w:p w14:paraId="0DEC971A"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33.8</w:t>
            </w:r>
          </w:p>
        </w:tc>
        <w:tc>
          <w:tcPr>
            <w:tcW w:w="1392" w:type="dxa"/>
            <w:noWrap/>
          </w:tcPr>
          <w:p w14:paraId="486D7FFC"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1,067</w:t>
            </w:r>
          </w:p>
        </w:tc>
        <w:tc>
          <w:tcPr>
            <w:tcW w:w="1033" w:type="dxa"/>
            <w:noWrap/>
          </w:tcPr>
          <w:p w14:paraId="2BD3C196"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225</w:t>
            </w:r>
          </w:p>
        </w:tc>
        <w:tc>
          <w:tcPr>
            <w:tcW w:w="1134" w:type="dxa"/>
            <w:noWrap/>
          </w:tcPr>
          <w:p w14:paraId="75B66591"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21.0</w:t>
            </w:r>
          </w:p>
        </w:tc>
        <w:tc>
          <w:tcPr>
            <w:tcW w:w="875" w:type="dxa"/>
            <w:noWrap/>
          </w:tcPr>
          <w:p w14:paraId="71634FDA"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1,069</w:t>
            </w:r>
          </w:p>
        </w:tc>
      </w:tr>
      <w:tr w:rsidR="002B03B4" w:rsidRPr="002B03B4" w14:paraId="26DF75D6"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hideMark/>
          </w:tcPr>
          <w:p w14:paraId="0A8C8A60" w14:textId="77777777" w:rsidR="002B03B4" w:rsidRPr="002B03B4" w:rsidRDefault="002B03B4" w:rsidP="002B03B4">
            <w:pPr>
              <w:rPr>
                <w:sz w:val="20"/>
                <w:szCs w:val="20"/>
                <w:lang w:eastAsia="en-AU"/>
              </w:rPr>
            </w:pPr>
          </w:p>
        </w:tc>
        <w:tc>
          <w:tcPr>
            <w:tcW w:w="1375" w:type="dxa"/>
            <w:noWrap/>
          </w:tcPr>
          <w:p w14:paraId="4CA53CEC" w14:textId="77777777" w:rsidR="002B03B4" w:rsidRPr="002B03B4" w:rsidRDefault="002B03B4"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Hervey Bay</w:t>
            </w:r>
          </w:p>
        </w:tc>
        <w:tc>
          <w:tcPr>
            <w:tcW w:w="1147" w:type="dxa"/>
            <w:noWrap/>
          </w:tcPr>
          <w:p w14:paraId="7A1EFE7A"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227</w:t>
            </w:r>
          </w:p>
        </w:tc>
        <w:tc>
          <w:tcPr>
            <w:tcW w:w="1057" w:type="dxa"/>
            <w:noWrap/>
          </w:tcPr>
          <w:p w14:paraId="121578DF"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38.6</w:t>
            </w:r>
          </w:p>
        </w:tc>
        <w:tc>
          <w:tcPr>
            <w:tcW w:w="1392" w:type="dxa"/>
            <w:noWrap/>
          </w:tcPr>
          <w:p w14:paraId="5CCAC1E0"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588</w:t>
            </w:r>
          </w:p>
        </w:tc>
        <w:tc>
          <w:tcPr>
            <w:tcW w:w="1033" w:type="dxa"/>
            <w:noWrap/>
          </w:tcPr>
          <w:p w14:paraId="697C976C"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134</w:t>
            </w:r>
          </w:p>
        </w:tc>
        <w:tc>
          <w:tcPr>
            <w:tcW w:w="1134" w:type="dxa"/>
            <w:noWrap/>
          </w:tcPr>
          <w:p w14:paraId="6BC9FD66"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22.8</w:t>
            </w:r>
          </w:p>
        </w:tc>
        <w:tc>
          <w:tcPr>
            <w:tcW w:w="875" w:type="dxa"/>
            <w:noWrap/>
          </w:tcPr>
          <w:p w14:paraId="3F0B12DD"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588</w:t>
            </w:r>
          </w:p>
        </w:tc>
      </w:tr>
      <w:tr w:rsidR="002B03B4" w:rsidRPr="002B03B4" w14:paraId="3514E056"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65B86C81" w14:textId="77777777" w:rsidR="002B03B4" w:rsidRPr="002B03B4" w:rsidRDefault="002B03B4" w:rsidP="002B03B4">
            <w:pPr>
              <w:rPr>
                <w:sz w:val="20"/>
                <w:szCs w:val="20"/>
                <w:lang w:eastAsia="en-AU"/>
              </w:rPr>
            </w:pPr>
          </w:p>
        </w:tc>
        <w:tc>
          <w:tcPr>
            <w:tcW w:w="1375" w:type="dxa"/>
            <w:noWrap/>
          </w:tcPr>
          <w:p w14:paraId="6F2781ED" w14:textId="77777777" w:rsidR="002B03B4" w:rsidRPr="002B03B4" w:rsidRDefault="002B03B4"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BHB region</w:t>
            </w:r>
          </w:p>
        </w:tc>
        <w:tc>
          <w:tcPr>
            <w:tcW w:w="1147" w:type="dxa"/>
            <w:noWrap/>
          </w:tcPr>
          <w:p w14:paraId="59B064F8"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588</w:t>
            </w:r>
          </w:p>
        </w:tc>
        <w:tc>
          <w:tcPr>
            <w:tcW w:w="1057" w:type="dxa"/>
            <w:noWrap/>
          </w:tcPr>
          <w:p w14:paraId="5F1E724E"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35.5</w:t>
            </w:r>
          </w:p>
        </w:tc>
        <w:tc>
          <w:tcPr>
            <w:tcW w:w="1392" w:type="dxa"/>
            <w:noWrap/>
          </w:tcPr>
          <w:p w14:paraId="2E140FFA"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1,655</w:t>
            </w:r>
          </w:p>
        </w:tc>
        <w:tc>
          <w:tcPr>
            <w:tcW w:w="1033" w:type="dxa"/>
            <w:noWrap/>
          </w:tcPr>
          <w:p w14:paraId="52B5A40A"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359</w:t>
            </w:r>
          </w:p>
        </w:tc>
        <w:tc>
          <w:tcPr>
            <w:tcW w:w="1134" w:type="dxa"/>
            <w:noWrap/>
          </w:tcPr>
          <w:p w14:paraId="1D62F2A5"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21.7</w:t>
            </w:r>
          </w:p>
        </w:tc>
        <w:tc>
          <w:tcPr>
            <w:tcW w:w="875" w:type="dxa"/>
            <w:noWrap/>
          </w:tcPr>
          <w:p w14:paraId="780363B4"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1,657</w:t>
            </w:r>
          </w:p>
        </w:tc>
      </w:tr>
      <w:tr w:rsidR="002B03B4" w:rsidRPr="002B03B4" w14:paraId="32B34A8B" w14:textId="77777777" w:rsidTr="00967C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7CEF051A" w14:textId="77777777" w:rsidR="002B03B4" w:rsidRPr="002B03B4" w:rsidRDefault="002B03B4" w:rsidP="002B03B4">
            <w:pPr>
              <w:rPr>
                <w:sz w:val="20"/>
                <w:szCs w:val="20"/>
                <w:lang w:eastAsia="en-AU"/>
              </w:rPr>
            </w:pPr>
          </w:p>
        </w:tc>
        <w:tc>
          <w:tcPr>
            <w:tcW w:w="1375" w:type="dxa"/>
            <w:noWrap/>
          </w:tcPr>
          <w:p w14:paraId="78A3A9AF" w14:textId="77777777" w:rsidR="002B03B4" w:rsidRPr="002B03B4" w:rsidRDefault="002B03B4" w:rsidP="002B03B4">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Queensland</w:t>
            </w:r>
          </w:p>
        </w:tc>
        <w:tc>
          <w:tcPr>
            <w:tcW w:w="1147" w:type="dxa"/>
            <w:noWrap/>
          </w:tcPr>
          <w:p w14:paraId="39B18680"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15,954</w:t>
            </w:r>
          </w:p>
        </w:tc>
        <w:tc>
          <w:tcPr>
            <w:tcW w:w="1057" w:type="dxa"/>
            <w:noWrap/>
          </w:tcPr>
          <w:p w14:paraId="6A81B3F0"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25.9</w:t>
            </w:r>
          </w:p>
        </w:tc>
        <w:tc>
          <w:tcPr>
            <w:tcW w:w="1392" w:type="dxa"/>
            <w:noWrap/>
          </w:tcPr>
          <w:p w14:paraId="0CE0FD6B"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61,673</w:t>
            </w:r>
          </w:p>
        </w:tc>
        <w:tc>
          <w:tcPr>
            <w:tcW w:w="1033" w:type="dxa"/>
            <w:noWrap/>
          </w:tcPr>
          <w:p w14:paraId="2E66B5AF"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8,576</w:t>
            </w:r>
          </w:p>
        </w:tc>
        <w:tc>
          <w:tcPr>
            <w:tcW w:w="1134" w:type="dxa"/>
            <w:noWrap/>
          </w:tcPr>
          <w:p w14:paraId="3554BCD0"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13.9</w:t>
            </w:r>
          </w:p>
        </w:tc>
        <w:tc>
          <w:tcPr>
            <w:tcW w:w="875" w:type="dxa"/>
            <w:noWrap/>
          </w:tcPr>
          <w:p w14:paraId="0EDC40EC" w14:textId="77777777" w:rsidR="002B03B4" w:rsidRPr="002B03B4" w:rsidRDefault="002B03B4" w:rsidP="002B03B4">
            <w:pPr>
              <w:jc w:val="right"/>
              <w:cnfStyle w:val="000000100000" w:firstRow="0" w:lastRow="0" w:firstColumn="0" w:lastColumn="0" w:oddVBand="0" w:evenVBand="0" w:oddHBand="1" w:evenHBand="0" w:firstRowFirstColumn="0" w:firstRowLastColumn="0" w:lastRowFirstColumn="0" w:lastRowLastColumn="0"/>
              <w:rPr>
                <w:sz w:val="20"/>
                <w:szCs w:val="20"/>
                <w:lang w:eastAsia="en-AU"/>
              </w:rPr>
            </w:pPr>
            <w:r w:rsidRPr="002B03B4">
              <w:rPr>
                <w:sz w:val="20"/>
                <w:szCs w:val="20"/>
                <w:lang w:eastAsia="en-AU"/>
              </w:rPr>
              <w:t>61,781</w:t>
            </w:r>
          </w:p>
        </w:tc>
      </w:tr>
      <w:tr w:rsidR="002B03B4" w:rsidRPr="002B03B4" w14:paraId="5C4CF5BB" w14:textId="77777777" w:rsidTr="00967C64">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233F81CD" w14:textId="77777777" w:rsidR="002B03B4" w:rsidRPr="002B03B4" w:rsidRDefault="002B03B4" w:rsidP="002B03B4">
            <w:pPr>
              <w:rPr>
                <w:sz w:val="20"/>
                <w:szCs w:val="20"/>
                <w:lang w:eastAsia="en-AU"/>
              </w:rPr>
            </w:pPr>
          </w:p>
        </w:tc>
        <w:tc>
          <w:tcPr>
            <w:tcW w:w="1375" w:type="dxa"/>
            <w:noWrap/>
          </w:tcPr>
          <w:p w14:paraId="56635E01" w14:textId="77777777" w:rsidR="002B03B4" w:rsidRPr="002B03B4" w:rsidRDefault="002B03B4" w:rsidP="002B03B4">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Australia</w:t>
            </w:r>
          </w:p>
        </w:tc>
        <w:tc>
          <w:tcPr>
            <w:tcW w:w="1147" w:type="dxa"/>
            <w:noWrap/>
          </w:tcPr>
          <w:p w14:paraId="3D1A1F9C"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63,448</w:t>
            </w:r>
          </w:p>
        </w:tc>
        <w:tc>
          <w:tcPr>
            <w:tcW w:w="1057" w:type="dxa"/>
            <w:noWrap/>
          </w:tcPr>
          <w:p w14:paraId="2E3B75F2"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21.7</w:t>
            </w:r>
          </w:p>
        </w:tc>
        <w:tc>
          <w:tcPr>
            <w:tcW w:w="1392" w:type="dxa"/>
            <w:noWrap/>
          </w:tcPr>
          <w:p w14:paraId="3A288953"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292,976</w:t>
            </w:r>
          </w:p>
        </w:tc>
        <w:tc>
          <w:tcPr>
            <w:tcW w:w="1033" w:type="dxa"/>
            <w:noWrap/>
          </w:tcPr>
          <w:p w14:paraId="402908C6"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32,434</w:t>
            </w:r>
          </w:p>
        </w:tc>
        <w:tc>
          <w:tcPr>
            <w:tcW w:w="1134" w:type="dxa"/>
            <w:noWrap/>
          </w:tcPr>
          <w:p w14:paraId="014262AF"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11.0</w:t>
            </w:r>
          </w:p>
        </w:tc>
        <w:tc>
          <w:tcPr>
            <w:tcW w:w="875" w:type="dxa"/>
            <w:noWrap/>
          </w:tcPr>
          <w:p w14:paraId="6AD08360" w14:textId="77777777" w:rsidR="002B03B4" w:rsidRPr="002B03B4" w:rsidRDefault="002B03B4" w:rsidP="002B03B4">
            <w:pPr>
              <w:jc w:val="righ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B03B4">
              <w:rPr>
                <w:sz w:val="20"/>
                <w:szCs w:val="20"/>
                <w:lang w:eastAsia="en-AU"/>
              </w:rPr>
              <w:t>293,619</w:t>
            </w:r>
          </w:p>
        </w:tc>
      </w:tr>
    </w:tbl>
    <w:p w14:paraId="0F7BF60E" w14:textId="77777777" w:rsidR="00E8435D" w:rsidRPr="00461021" w:rsidRDefault="00E8435D" w:rsidP="00E8435D">
      <w:pPr>
        <w:spacing w:after="0"/>
        <w:rPr>
          <w:i/>
          <w:sz w:val="18"/>
          <w:szCs w:val="18"/>
        </w:rPr>
      </w:pPr>
      <w:r w:rsidRPr="00461021">
        <w:rPr>
          <w:i/>
          <w:sz w:val="18"/>
          <w:szCs w:val="18"/>
        </w:rPr>
        <w:t xml:space="preserve">Source: </w:t>
      </w:r>
      <w:r w:rsidRPr="00461021">
        <w:rPr>
          <w:i/>
          <w:sz w:val="18"/>
          <w:szCs w:val="18"/>
          <w:lang w:val="en"/>
        </w:rPr>
        <w:t>AEDC (2012, 2015, 2018).</w:t>
      </w:r>
    </w:p>
    <w:p w14:paraId="219B38E0" w14:textId="77777777" w:rsidR="00F8161F" w:rsidRPr="000613C9" w:rsidRDefault="00E8435D" w:rsidP="000613C9">
      <w:pPr>
        <w:spacing w:after="0"/>
        <w:rPr>
          <w:i/>
          <w:sz w:val="18"/>
        </w:rPr>
      </w:pPr>
      <w:r w:rsidRPr="00461021">
        <w:rPr>
          <w:i/>
          <w:sz w:val="18"/>
          <w:szCs w:val="18"/>
        </w:rPr>
        <w:t>Note</w:t>
      </w:r>
      <w:r w:rsidR="00DF5B7D">
        <w:rPr>
          <w:i/>
          <w:sz w:val="18"/>
          <w:szCs w:val="18"/>
        </w:rPr>
        <w:t>s</w:t>
      </w:r>
      <w:r w:rsidRPr="00461021">
        <w:rPr>
          <w:i/>
          <w:sz w:val="18"/>
          <w:szCs w:val="18"/>
        </w:rPr>
        <w:t xml:space="preserve">: </w:t>
      </w:r>
      <w:r w:rsidRPr="00E8435D">
        <w:rPr>
          <w:i/>
          <w:sz w:val="18"/>
          <w:szCs w:val="18"/>
        </w:rPr>
        <w:t xml:space="preserve">The BHB region refers to Bundaberg and Hervey Bay added together, which is identified using the </w:t>
      </w:r>
      <w:r w:rsidR="00870E6D" w:rsidRPr="00870E6D">
        <w:rPr>
          <w:i/>
          <w:iCs/>
          <w:sz w:val="18"/>
          <w:szCs w:val="18"/>
        </w:rPr>
        <w:t>ABS Main Area Structure</w:t>
      </w:r>
      <w:r w:rsidRPr="00E8435D">
        <w:rPr>
          <w:i/>
          <w:sz w:val="18"/>
          <w:szCs w:val="18"/>
        </w:rPr>
        <w:t xml:space="preserve"> information at the SA3 level.</w:t>
      </w:r>
      <w:r w:rsidR="00DF5B7D">
        <w:rPr>
          <w:i/>
          <w:sz w:val="18"/>
          <w:szCs w:val="18"/>
        </w:rPr>
        <w:t xml:space="preserve"> </w:t>
      </w:r>
      <w:r w:rsidR="00DF5B7D" w:rsidRPr="00DF5B7D">
        <w:rPr>
          <w:i/>
          <w:sz w:val="18"/>
          <w:szCs w:val="18"/>
        </w:rPr>
        <w:t>Due to rounding, the total percentages may not sum up</w:t>
      </w:r>
      <w:r w:rsidR="00DF5B7D">
        <w:rPr>
          <w:i/>
          <w:sz w:val="18"/>
          <w:szCs w:val="18"/>
        </w:rPr>
        <w:t xml:space="preserve"> exactly</w:t>
      </w:r>
      <w:r w:rsidR="00DF5B7D" w:rsidRPr="00DF5B7D">
        <w:rPr>
          <w:i/>
          <w:sz w:val="18"/>
          <w:szCs w:val="18"/>
        </w:rPr>
        <w:t xml:space="preserve"> to 100.</w:t>
      </w:r>
    </w:p>
    <w:sectPr w:rsidR="00F8161F" w:rsidRPr="000613C9" w:rsidSect="000E75CD">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0D2E" w14:textId="77777777" w:rsidR="00E74E33" w:rsidRDefault="00E74E33" w:rsidP="0079482A">
      <w:r>
        <w:separator/>
      </w:r>
    </w:p>
  </w:endnote>
  <w:endnote w:type="continuationSeparator" w:id="0">
    <w:p w14:paraId="44E669F5" w14:textId="77777777" w:rsidR="00E74E33" w:rsidRDefault="00E74E33" w:rsidP="0079482A">
      <w:r>
        <w:continuationSeparator/>
      </w:r>
    </w:p>
  </w:endnote>
  <w:endnote w:type="continuationNotice" w:id="1">
    <w:p w14:paraId="64B3BD5A" w14:textId="77777777" w:rsidR="00E74E33" w:rsidRDefault="00E74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4D48" w14:textId="77777777" w:rsidR="00D16CF7" w:rsidRDefault="00D16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57796"/>
      <w:docPartObj>
        <w:docPartGallery w:val="Page Numbers (Bottom of Page)"/>
        <w:docPartUnique/>
      </w:docPartObj>
    </w:sdtPr>
    <w:sdtEndPr>
      <w:rPr>
        <w:noProof/>
      </w:rPr>
    </w:sdtEndPr>
    <w:sdtContent>
      <w:p w14:paraId="0DFBB697" w14:textId="2B69E568" w:rsidR="00E74E33" w:rsidRDefault="00E74E33" w:rsidP="00600CEB">
        <w:pPr>
          <w:pStyle w:val="Footer"/>
          <w:pBdr>
            <w:top w:val="single" w:sz="8" w:space="1" w:color="2E74B5" w:themeColor="accent1" w:themeShade="BF"/>
          </w:pBdr>
          <w:jc w:val="center"/>
        </w:pPr>
        <w:r>
          <w:fldChar w:fldCharType="begin"/>
        </w:r>
        <w:r>
          <w:instrText xml:space="preserve"> PAGE   \* MERGEFORMAT </w:instrText>
        </w:r>
        <w:r>
          <w:fldChar w:fldCharType="separate"/>
        </w:r>
        <w:r w:rsidR="006C0554">
          <w:rPr>
            <w:noProof/>
          </w:rPr>
          <w:t>11</w:t>
        </w:r>
        <w:r>
          <w:rPr>
            <w:noProof/>
          </w:rPr>
          <w:fldChar w:fldCharType="end"/>
        </w:r>
      </w:p>
    </w:sdtContent>
  </w:sdt>
  <w:p w14:paraId="0C987D59" w14:textId="77777777" w:rsidR="00E74E33" w:rsidRDefault="00E74E33" w:rsidP="00794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5B2D5" w14:textId="77777777" w:rsidR="00D16CF7" w:rsidRDefault="00D16C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024619"/>
      <w:docPartObj>
        <w:docPartGallery w:val="Page Numbers (Bottom of Page)"/>
        <w:docPartUnique/>
      </w:docPartObj>
    </w:sdtPr>
    <w:sdtEndPr>
      <w:rPr>
        <w:noProof/>
      </w:rPr>
    </w:sdtEndPr>
    <w:sdtContent>
      <w:p w14:paraId="0EC8E08B" w14:textId="38945D5F" w:rsidR="00E74E33" w:rsidRDefault="00E74E33" w:rsidP="00461021">
        <w:pPr>
          <w:pStyle w:val="Footer"/>
          <w:pBdr>
            <w:top w:val="single" w:sz="8" w:space="1" w:color="5B9BD5" w:themeColor="accent1"/>
          </w:pBdr>
          <w:jc w:val="center"/>
        </w:pPr>
        <w:r>
          <w:fldChar w:fldCharType="begin"/>
        </w:r>
        <w:r>
          <w:instrText xml:space="preserve"> PAGE   \* MERGEFORMAT </w:instrText>
        </w:r>
        <w:r>
          <w:fldChar w:fldCharType="separate"/>
        </w:r>
        <w:r w:rsidR="006C0554">
          <w:rPr>
            <w:noProof/>
          </w:rPr>
          <w:t>25</w:t>
        </w:r>
        <w:r>
          <w:rPr>
            <w:noProof/>
          </w:rPr>
          <w:fldChar w:fldCharType="end"/>
        </w:r>
      </w:p>
    </w:sdtContent>
  </w:sdt>
  <w:p w14:paraId="4B5AED11" w14:textId="77777777" w:rsidR="00E74E33" w:rsidRDefault="00E74E33" w:rsidP="00794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41A58" w14:textId="77777777" w:rsidR="00E74E33" w:rsidRDefault="00E74E33" w:rsidP="0079482A">
      <w:r>
        <w:separator/>
      </w:r>
    </w:p>
  </w:footnote>
  <w:footnote w:type="continuationSeparator" w:id="0">
    <w:p w14:paraId="06700A96" w14:textId="77777777" w:rsidR="00E74E33" w:rsidRDefault="00E74E33" w:rsidP="0079482A">
      <w:r>
        <w:continuationSeparator/>
      </w:r>
    </w:p>
  </w:footnote>
  <w:footnote w:type="continuationNotice" w:id="1">
    <w:p w14:paraId="6CDE594C" w14:textId="77777777" w:rsidR="00E74E33" w:rsidRDefault="00E74E33">
      <w:pPr>
        <w:spacing w:after="0" w:line="240" w:lineRule="auto"/>
      </w:pPr>
    </w:p>
  </w:footnote>
  <w:footnote w:id="2">
    <w:p w14:paraId="12AE9954" w14:textId="77777777" w:rsidR="00E74E33" w:rsidRDefault="00E74E33">
      <w:pPr>
        <w:pStyle w:val="FootnoteText"/>
      </w:pPr>
      <w:r>
        <w:rPr>
          <w:rStyle w:val="FootnoteReference"/>
        </w:rPr>
        <w:footnoteRef/>
      </w:r>
      <w:r>
        <w:t xml:space="preserve"> </w:t>
      </w:r>
      <w:r w:rsidRPr="005F4848">
        <w:t xml:space="preserve">Hospitals in Australia use the ‘triage’ system to sort when and where patients will be seen in an </w:t>
      </w:r>
      <w:r>
        <w:t>E</w:t>
      </w:r>
      <w:r w:rsidRPr="005F4848">
        <w:t xml:space="preserve">mergency </w:t>
      </w:r>
      <w:r>
        <w:t>D</w:t>
      </w:r>
      <w:r w:rsidRPr="005F4848">
        <w:t>epartment.</w:t>
      </w:r>
      <w:r>
        <w:t xml:space="preserve"> </w:t>
      </w:r>
      <w:r w:rsidRPr="005F4848">
        <w:t>Rating 1 relates to the most serious of illnesses and injuries and Rating 5 relates to the least</w:t>
      </w:r>
      <w:r>
        <w:t xml:space="preserve"> serious</w:t>
      </w:r>
      <w:r w:rsidRPr="005F4848">
        <w:t>.</w:t>
      </w:r>
      <w:r>
        <w:t xml:space="preserve"> Further explanation will be provided in Section 2.1.</w:t>
      </w:r>
    </w:p>
  </w:footnote>
  <w:footnote w:id="3">
    <w:p w14:paraId="4F3CF4F2" w14:textId="77777777" w:rsidR="00E74E33" w:rsidRPr="005325D3" w:rsidRDefault="00E74E33">
      <w:pPr>
        <w:pStyle w:val="FootnoteText"/>
      </w:pPr>
      <w:r>
        <w:rPr>
          <w:rStyle w:val="FootnoteReference"/>
        </w:rPr>
        <w:footnoteRef/>
      </w:r>
      <w:r>
        <w:t xml:space="preserve"> </w:t>
      </w:r>
      <w:r w:rsidRPr="005325D3">
        <w:rPr>
          <w:iCs/>
        </w:rPr>
        <w:t xml:space="preserve">Bundaberg and Hervey Bay here refers to Bundaberg and </w:t>
      </w:r>
      <w:r>
        <w:rPr>
          <w:iCs/>
        </w:rPr>
        <w:t>Hervey Bay</w:t>
      </w:r>
      <w:r w:rsidRPr="005325D3">
        <w:rPr>
          <w:iCs/>
        </w:rPr>
        <w:t xml:space="preserve"> added together, which is identified using </w:t>
      </w:r>
      <w:proofErr w:type="gramStart"/>
      <w:r w:rsidRPr="005325D3">
        <w:rPr>
          <w:iCs/>
        </w:rPr>
        <w:t xml:space="preserve">the </w:t>
      </w:r>
      <w:r w:rsidRPr="00870E6D">
        <w:rPr>
          <w:sz w:val="22"/>
          <w:szCs w:val="22"/>
        </w:rPr>
        <w:t xml:space="preserve"> </w:t>
      </w:r>
      <w:r w:rsidRPr="00870E6D">
        <w:rPr>
          <w:iCs/>
        </w:rPr>
        <w:t>Australian</w:t>
      </w:r>
      <w:proofErr w:type="gramEnd"/>
      <w:r w:rsidRPr="00870E6D">
        <w:rPr>
          <w:iCs/>
        </w:rPr>
        <w:t xml:space="preserve"> Bureau of Statistics (ABS) Main Area Structure</w:t>
      </w:r>
      <w:r w:rsidRPr="005325D3">
        <w:rPr>
          <w:iCs/>
        </w:rPr>
        <w:t xml:space="preserve"> </w:t>
      </w:r>
      <w:r>
        <w:rPr>
          <w:iCs/>
        </w:rPr>
        <w:t>information at the SA3 level</w:t>
      </w:r>
      <w:r w:rsidRPr="005325D3">
        <w:rPr>
          <w:iCs/>
        </w:rPr>
        <w:t>.</w:t>
      </w:r>
    </w:p>
  </w:footnote>
  <w:footnote w:id="4">
    <w:p w14:paraId="708DC20D" w14:textId="77777777" w:rsidR="00E74E33" w:rsidRDefault="00E74E33">
      <w:pPr>
        <w:pStyle w:val="FootnoteText"/>
      </w:pPr>
      <w:r>
        <w:rPr>
          <w:rStyle w:val="FootnoteReference"/>
        </w:rPr>
        <w:footnoteRef/>
      </w:r>
      <w:r>
        <w:t xml:space="preserve"> </w:t>
      </w:r>
      <w:bookmarkStart w:id="1" w:name="_Hlk37257107"/>
      <w:r>
        <w:rPr>
          <w:rFonts w:cstheme="minorHAnsi"/>
        </w:rPr>
        <w:t>Mincer, J.</w:t>
      </w:r>
      <w:r w:rsidRPr="00DA1906">
        <w:rPr>
          <w:rFonts w:cstheme="minorHAnsi"/>
        </w:rPr>
        <w:t xml:space="preserve"> </w:t>
      </w:r>
      <w:r>
        <w:rPr>
          <w:rFonts w:cstheme="minorHAnsi"/>
        </w:rPr>
        <w:t>(</w:t>
      </w:r>
      <w:r w:rsidRPr="00DA1906">
        <w:rPr>
          <w:rFonts w:cstheme="minorHAnsi"/>
        </w:rPr>
        <w:t>1984</w:t>
      </w:r>
      <w:r>
        <w:rPr>
          <w:rFonts w:cstheme="minorHAnsi"/>
        </w:rPr>
        <w:t>),</w:t>
      </w:r>
      <w:r w:rsidRPr="00DA1906">
        <w:rPr>
          <w:rFonts w:cstheme="minorHAnsi"/>
        </w:rPr>
        <w:t xml:space="preserve"> </w:t>
      </w:r>
      <w:hyperlink r:id="rId1" w:history="1">
        <w:r w:rsidRPr="00DA1906">
          <w:rPr>
            <w:rFonts w:cstheme="minorHAnsi"/>
          </w:rPr>
          <w:t>Human capital and economic growth,</w:t>
        </w:r>
      </w:hyperlink>
      <w:r w:rsidRPr="00DA1906">
        <w:rPr>
          <w:rFonts w:cstheme="minorHAnsi"/>
        </w:rPr>
        <w:t xml:space="preserve"> </w:t>
      </w:r>
      <w:r w:rsidRPr="000613C9">
        <w:rPr>
          <w:rFonts w:cstheme="minorHAnsi"/>
          <w:i/>
          <w:iCs/>
        </w:rPr>
        <w:t>Economics of Education Review</w:t>
      </w:r>
      <w:r w:rsidRPr="00DA1906">
        <w:rPr>
          <w:rFonts w:cstheme="minorHAnsi"/>
        </w:rPr>
        <w:t xml:space="preserve">, </w:t>
      </w:r>
      <w:proofErr w:type="spellStart"/>
      <w:r w:rsidRPr="00DA1906">
        <w:rPr>
          <w:rFonts w:cstheme="minorHAnsi"/>
        </w:rPr>
        <w:t>vol</w:t>
      </w:r>
      <w:proofErr w:type="spellEnd"/>
      <w:r w:rsidRPr="00DA1906">
        <w:rPr>
          <w:rFonts w:cstheme="minorHAnsi"/>
        </w:rPr>
        <w:t xml:space="preserve"> 3(3), pages 195-205</w:t>
      </w:r>
      <w:r w:rsidRPr="0018742B">
        <w:rPr>
          <w:rFonts w:cstheme="minorHAnsi"/>
        </w:rPr>
        <w:t>.</w:t>
      </w:r>
      <w:bookmarkEnd w:id="1"/>
    </w:p>
  </w:footnote>
  <w:footnote w:id="5">
    <w:p w14:paraId="095A5A46" w14:textId="77777777" w:rsidR="00E74E33" w:rsidRDefault="00E74E33">
      <w:pPr>
        <w:pStyle w:val="FootnoteText"/>
      </w:pPr>
      <w:r>
        <w:rPr>
          <w:rStyle w:val="FootnoteReference"/>
        </w:rPr>
        <w:footnoteRef/>
      </w:r>
      <w:r>
        <w:t xml:space="preserve"> </w:t>
      </w:r>
      <w:r w:rsidRPr="00386CBC">
        <w:rPr>
          <w:iCs/>
        </w:rPr>
        <w:t>Bundaberg and Hervey Bay</w:t>
      </w:r>
      <w:r>
        <w:rPr>
          <w:iCs/>
        </w:rPr>
        <w:t xml:space="preserve"> here</w:t>
      </w:r>
      <w:r w:rsidRPr="00386CBC">
        <w:rPr>
          <w:iCs/>
        </w:rPr>
        <w:t xml:space="preserve"> refers to Bundaberg and Fraser Coast</w:t>
      </w:r>
      <w:r>
        <w:rPr>
          <w:iCs/>
        </w:rPr>
        <w:t xml:space="preserve"> added</w:t>
      </w:r>
      <w:r w:rsidRPr="00386CBC">
        <w:rPr>
          <w:iCs/>
        </w:rPr>
        <w:t xml:space="preserve"> together, which is identified using the </w:t>
      </w:r>
      <w:r>
        <w:rPr>
          <w:iCs/>
        </w:rPr>
        <w:t>Local Government Area (</w:t>
      </w:r>
      <w:r w:rsidRPr="00386CBC">
        <w:rPr>
          <w:iCs/>
        </w:rPr>
        <w:t>LGA</w:t>
      </w:r>
      <w:r>
        <w:rPr>
          <w:iCs/>
        </w:rPr>
        <w:t>)</w:t>
      </w:r>
      <w:r w:rsidRPr="00386CBC">
        <w:rPr>
          <w:iCs/>
        </w:rPr>
        <w:t xml:space="preserve"> information</w:t>
      </w:r>
      <w:r>
        <w:rPr>
          <w:iCs/>
        </w:rPr>
        <w:t xml:space="preserve"> in the source of relevant education statistics</w:t>
      </w:r>
      <w:r w:rsidRPr="00386CBC">
        <w:rPr>
          <w:iCs/>
        </w:rPr>
        <w:t>.</w:t>
      </w:r>
    </w:p>
  </w:footnote>
  <w:footnote w:id="6">
    <w:p w14:paraId="6A45D21F" w14:textId="77777777" w:rsidR="00E74E33" w:rsidRDefault="00E74E33">
      <w:pPr>
        <w:pStyle w:val="FootnoteText"/>
      </w:pPr>
      <w:r>
        <w:rPr>
          <w:rStyle w:val="FootnoteReference"/>
        </w:rPr>
        <w:footnoteRef/>
      </w:r>
      <w:r>
        <w:t xml:space="preserve"> For further information, see </w:t>
      </w:r>
      <w:hyperlink r:id="rId2" w:history="1">
        <w:r w:rsidRPr="000445D5">
          <w:rPr>
            <w:rStyle w:val="Hyperlink"/>
          </w:rPr>
          <w:t>https://www.dss.gov.au/families-and-children-programs-services-welfare-reform-cashless-debit-card/cashless-debit-card-bundaberg-and-hervey-bay-region</w:t>
        </w:r>
      </w:hyperlink>
      <w:r>
        <w:t>.</w:t>
      </w:r>
    </w:p>
  </w:footnote>
  <w:footnote w:id="7">
    <w:p w14:paraId="139ACCED" w14:textId="77777777" w:rsidR="00E74E33" w:rsidRDefault="00E74E33" w:rsidP="0079482A">
      <w:pPr>
        <w:pStyle w:val="FootnoteText"/>
      </w:pPr>
      <w:r>
        <w:rPr>
          <w:rStyle w:val="FootnoteReference"/>
        </w:rPr>
        <w:footnoteRef/>
      </w:r>
      <w:r>
        <w:t xml:space="preserve"> </w:t>
      </w:r>
      <w:r w:rsidRPr="000D46D8">
        <w:t xml:space="preserve">The CDC site only covers part of the </w:t>
      </w:r>
      <w:r>
        <w:t>Bundaberg and Hervey Bay</w:t>
      </w:r>
      <w:r w:rsidRPr="000D46D8">
        <w:t xml:space="preserve"> region, including the townships of Aldershot, Bargara, Elliott Heads, Woodgate, </w:t>
      </w:r>
      <w:proofErr w:type="spellStart"/>
      <w:r w:rsidRPr="000D46D8">
        <w:t>Booyal</w:t>
      </w:r>
      <w:proofErr w:type="spellEnd"/>
      <w:r w:rsidRPr="000D46D8">
        <w:t xml:space="preserve">, </w:t>
      </w:r>
      <w:proofErr w:type="spellStart"/>
      <w:r w:rsidRPr="000D46D8">
        <w:t>Burrum</w:t>
      </w:r>
      <w:proofErr w:type="spellEnd"/>
      <w:r w:rsidRPr="000D46D8">
        <w:t xml:space="preserve"> Heads, Torbanlea, </w:t>
      </w:r>
      <w:proofErr w:type="spellStart"/>
      <w:r w:rsidRPr="000D46D8">
        <w:t>Toogoom</w:t>
      </w:r>
      <w:proofErr w:type="spellEnd"/>
      <w:r w:rsidRPr="000D46D8">
        <w:t>, Howard, Childers, Burnett Heads and River Heads</w:t>
      </w:r>
      <w:r>
        <w:t>.</w:t>
      </w:r>
    </w:p>
  </w:footnote>
  <w:footnote w:id="8">
    <w:p w14:paraId="34B45586" w14:textId="77777777" w:rsidR="00E74E33" w:rsidRDefault="00E74E33">
      <w:pPr>
        <w:pStyle w:val="FootnoteText"/>
      </w:pPr>
      <w:r>
        <w:rPr>
          <w:rStyle w:val="FootnoteReference"/>
        </w:rPr>
        <w:footnoteRef/>
      </w:r>
      <w:r>
        <w:t xml:space="preserve"> </w:t>
      </w:r>
      <w:r>
        <w:rPr>
          <w:rFonts w:cstheme="minorHAnsi"/>
          <w:lang w:val="en-US"/>
        </w:rPr>
        <w:t>The ABS Main Area Structure</w:t>
      </w:r>
      <w:r w:rsidRPr="00B20592">
        <w:rPr>
          <w:rFonts w:cstheme="minorHAnsi"/>
          <w:lang w:val="en-US"/>
        </w:rPr>
        <w:t xml:space="preserve"> and</w:t>
      </w:r>
      <w:r>
        <w:rPr>
          <w:rFonts w:cstheme="minorHAnsi"/>
          <w:lang w:val="en-US"/>
        </w:rPr>
        <w:t xml:space="preserve"> the</w:t>
      </w:r>
      <w:r w:rsidRPr="00B20592">
        <w:rPr>
          <w:rFonts w:cstheme="minorHAnsi"/>
          <w:lang w:val="en-US"/>
        </w:rPr>
        <w:t xml:space="preserve"> LGA</w:t>
      </w:r>
      <w:r>
        <w:rPr>
          <w:rFonts w:cstheme="minorHAnsi"/>
          <w:lang w:val="en-US"/>
        </w:rPr>
        <w:t>s</w:t>
      </w:r>
      <w:r w:rsidRPr="00B20592">
        <w:rPr>
          <w:rFonts w:cstheme="minorHAnsi"/>
          <w:lang w:val="en-US"/>
        </w:rPr>
        <w:t xml:space="preserve"> are two different geographic classifications</w:t>
      </w:r>
      <w:r>
        <w:rPr>
          <w:rFonts w:cstheme="minorHAnsi"/>
          <w:lang w:val="en-US"/>
        </w:rPr>
        <w:t xml:space="preserve"> within the </w:t>
      </w:r>
      <w:r w:rsidRPr="0006163D">
        <w:rPr>
          <w:rFonts w:cstheme="minorHAnsi"/>
        </w:rPr>
        <w:t>Australian Statistical Geography Standard (ASGS)</w:t>
      </w:r>
      <w:r>
        <w:rPr>
          <w:rFonts w:cstheme="minorHAnsi"/>
          <w:lang w:val="en-US"/>
        </w:rPr>
        <w:t xml:space="preserve"> framework</w:t>
      </w:r>
      <w:r w:rsidRPr="00B20592">
        <w:rPr>
          <w:rFonts w:cstheme="minorHAnsi"/>
          <w:lang w:val="en-US"/>
        </w:rPr>
        <w:t>. Both have been used in our snapshot depending on the geographic information available in the relevant dataset.</w:t>
      </w:r>
    </w:p>
  </w:footnote>
  <w:footnote w:id="9">
    <w:p w14:paraId="0541BCB7" w14:textId="77777777" w:rsidR="00E74E33" w:rsidRPr="00871505" w:rsidRDefault="00E74E33">
      <w:pPr>
        <w:pStyle w:val="FootnoteText"/>
      </w:pPr>
      <w:r>
        <w:rPr>
          <w:rStyle w:val="FootnoteReference"/>
        </w:rPr>
        <w:footnoteRef/>
      </w:r>
      <w:r>
        <w:t xml:space="preserve"> </w:t>
      </w:r>
      <w:r>
        <w:rPr>
          <w:rFonts w:cstheme="minorHAnsi"/>
        </w:rPr>
        <w:t xml:space="preserve">For further information about these hospitals, see </w:t>
      </w:r>
      <w:hyperlink r:id="rId3" w:history="1">
        <w:r w:rsidRPr="0006163D">
          <w:rPr>
            <w:rStyle w:val="Hyperlink"/>
            <w:rFonts w:cstheme="minorHAnsi"/>
          </w:rPr>
          <w:t>https://www.health.qld.gov.au/widebay/our-services-and-facilities</w:t>
        </w:r>
      </w:hyperlink>
      <w:r>
        <w:rPr>
          <w:rFonts w:cstheme="minorHAnsi"/>
          <w:lang w:val="en-US"/>
        </w:rPr>
        <w:t>. The travel time is estimated by using ‘Google Maps’.</w:t>
      </w:r>
    </w:p>
  </w:footnote>
  <w:footnote w:id="10">
    <w:p w14:paraId="45F17373" w14:textId="77777777" w:rsidR="00E74E33" w:rsidRDefault="00E74E33">
      <w:pPr>
        <w:pStyle w:val="FootnoteText"/>
      </w:pPr>
      <w:r>
        <w:rPr>
          <w:rStyle w:val="FootnoteReference"/>
        </w:rPr>
        <w:footnoteRef/>
      </w:r>
      <w:r>
        <w:t xml:space="preserve"> A chi-square test shows a high statistical significance (at 1 per cent level) in the difference between these proportions.</w:t>
      </w:r>
    </w:p>
  </w:footnote>
  <w:footnote w:id="11">
    <w:p w14:paraId="5AE6DABE" w14:textId="77777777" w:rsidR="00E74E33" w:rsidRDefault="00E74E33">
      <w:pPr>
        <w:pStyle w:val="FootnoteText"/>
      </w:pPr>
      <w:r>
        <w:rPr>
          <w:rStyle w:val="FootnoteReference"/>
        </w:rPr>
        <w:footnoteRef/>
      </w:r>
      <w:r>
        <w:t xml:space="preserve"> The d</w:t>
      </w:r>
      <w:r w:rsidRPr="00F13600">
        <w:t xml:space="preserve">ifference is mentioned in </w:t>
      </w:r>
      <w:r>
        <w:t>‘</w:t>
      </w:r>
      <w:r w:rsidRPr="00F13600">
        <w:t>per cent</w:t>
      </w:r>
      <w:r>
        <w:t>’</w:t>
      </w:r>
      <w:r w:rsidRPr="00F13600">
        <w:t xml:space="preserve"> </w:t>
      </w:r>
      <w:r>
        <w:t xml:space="preserve">terms </w:t>
      </w:r>
      <w:r w:rsidRPr="00F13600">
        <w:t xml:space="preserve">here because the scale of </w:t>
      </w:r>
      <w:r>
        <w:t>the difference</w:t>
      </w:r>
      <w:r w:rsidRPr="00F13600">
        <w:t xml:space="preserve"> may be </w:t>
      </w:r>
      <w:r>
        <w:t>misrepresented</w:t>
      </w:r>
      <w:r w:rsidRPr="00F13600">
        <w:t xml:space="preserve"> by </w:t>
      </w:r>
      <w:r>
        <w:t>using ‘</w:t>
      </w:r>
      <w:r w:rsidRPr="00F13600">
        <w:t>percentage points</w:t>
      </w:r>
      <w:r>
        <w:t>’</w:t>
      </w:r>
      <w:r w:rsidRPr="00F13600">
        <w:t>.</w:t>
      </w:r>
    </w:p>
  </w:footnote>
  <w:footnote w:id="12">
    <w:p w14:paraId="65628E4D" w14:textId="77777777" w:rsidR="00E74E33" w:rsidRDefault="00E74E33">
      <w:pPr>
        <w:pStyle w:val="FootnoteText"/>
      </w:pPr>
      <w:r>
        <w:rPr>
          <w:rStyle w:val="FootnoteReference"/>
        </w:rPr>
        <w:footnoteRef/>
      </w:r>
      <w:r>
        <w:t xml:space="preserve"> In Table 2-3, triage categories 1 and 5 are not statistically different between the two populations, while separate categories 2, 3 and 4, and the overall total are (at 1 per cent level). </w:t>
      </w:r>
    </w:p>
  </w:footnote>
  <w:footnote w:id="13">
    <w:p w14:paraId="10FA13AA" w14:textId="77777777" w:rsidR="00E74E33" w:rsidRDefault="00E74E33" w:rsidP="00BF7EEB">
      <w:pPr>
        <w:pStyle w:val="FootnoteText"/>
      </w:pPr>
      <w:r>
        <w:rPr>
          <w:rStyle w:val="FootnoteReference"/>
        </w:rPr>
        <w:footnoteRef/>
      </w:r>
      <w:r>
        <w:t xml:space="preserve"> Similar to the triage rates in the hospitals section, here we calculate the number of offences for every 100,000 population (as crime events are far less frequent that hospital ED attendances, we use 100,000, which is a much larger proportion denominator for the comparison). The use of crime rates allows us to compare criminality between areas that may differ substantially in size.</w:t>
      </w:r>
    </w:p>
  </w:footnote>
  <w:footnote w:id="14">
    <w:p w14:paraId="64D1259D" w14:textId="77777777" w:rsidR="00E74E33" w:rsidRDefault="00E74E33">
      <w:pPr>
        <w:pStyle w:val="FootnoteText"/>
      </w:pPr>
      <w:r>
        <w:rPr>
          <w:rStyle w:val="FootnoteReference"/>
        </w:rPr>
        <w:footnoteRef/>
      </w:r>
      <w:r>
        <w:t xml:space="preserve"> For further information, see </w:t>
      </w:r>
      <w:hyperlink r:id="rId4" w:history="1">
        <w:r w:rsidRPr="00301525">
          <w:rPr>
            <w:rStyle w:val="Hyperlink"/>
          </w:rPr>
          <w:t>https://www.abs.gov.au/websitedbs/censushome.nsf/home/2016</w:t>
        </w:r>
      </w:hyperlink>
      <w:r>
        <w:t>.</w:t>
      </w:r>
    </w:p>
  </w:footnote>
  <w:footnote w:id="15">
    <w:p w14:paraId="469CF577" w14:textId="77777777" w:rsidR="00E74E33" w:rsidRPr="002D6299" w:rsidRDefault="00E74E33" w:rsidP="00450631">
      <w:pPr>
        <w:pStyle w:val="FootnoteText"/>
      </w:pPr>
      <w:r>
        <w:rPr>
          <w:rStyle w:val="FootnoteReference"/>
        </w:rPr>
        <w:footnoteRef/>
      </w:r>
      <w:r>
        <w:t xml:space="preserve"> </w:t>
      </w:r>
      <w:r w:rsidRPr="002D6299">
        <w:t xml:space="preserve">The labour force participation rate is calculated as the labour force (both employed and unemployed) divided by the total population. The unemployment rate is calculated as the </w:t>
      </w:r>
      <w:r>
        <w:t>un</w:t>
      </w:r>
      <w:r w:rsidRPr="002D6299">
        <w:t>employed divided by the labour force.</w:t>
      </w:r>
      <w:r>
        <w:t xml:space="preserve"> We note that this rate is not seasonally adjusted as is customary for unemployment rates and refers to a single point in time in 2016 (the Census data).</w:t>
      </w:r>
    </w:p>
    <w:p w14:paraId="0E81B29F" w14:textId="77777777" w:rsidR="00E74E33" w:rsidRDefault="00E74E33" w:rsidP="00450631">
      <w:pPr>
        <w:pStyle w:val="FootnoteText"/>
      </w:pPr>
    </w:p>
  </w:footnote>
  <w:footnote w:id="16">
    <w:p w14:paraId="20AE2FD1" w14:textId="77777777" w:rsidR="00E74E33" w:rsidRDefault="00E74E33">
      <w:pPr>
        <w:pStyle w:val="FootnoteText"/>
      </w:pPr>
      <w:r>
        <w:rPr>
          <w:rStyle w:val="FootnoteReference"/>
        </w:rPr>
        <w:footnoteRef/>
      </w:r>
      <w:r>
        <w:t xml:space="preserve"> The category of ‘not in the labour force’ comprises all persons not currently employed or unemployed. In other words, they are not currently active in the labour market.</w:t>
      </w:r>
    </w:p>
  </w:footnote>
  <w:footnote w:id="17">
    <w:p w14:paraId="556D254A" w14:textId="77777777" w:rsidR="00E74E33" w:rsidRDefault="00E74E33" w:rsidP="0079482A">
      <w:pPr>
        <w:pStyle w:val="FootnoteText"/>
      </w:pPr>
      <w:r>
        <w:rPr>
          <w:rStyle w:val="FootnoteReference"/>
        </w:rPr>
        <w:footnoteRef/>
      </w:r>
      <w:r>
        <w:t xml:space="preserve"> ‘</w:t>
      </w:r>
      <w:proofErr w:type="spellStart"/>
      <w:r w:rsidRPr="00F65FB6">
        <w:t>Equivalised</w:t>
      </w:r>
      <w:proofErr w:type="spellEnd"/>
      <w:r w:rsidRPr="00F65FB6">
        <w:t xml:space="preserve"> total household income is household income adjusted by the application of an equivalence scale to facilitate comparison of income levels between households of differing size and composition, reflecting that a larger household would normally need more income than a smaller household to achieve the same standard of living</w:t>
      </w:r>
      <w:r>
        <w:t xml:space="preserve">.’ See the ABS website </w:t>
      </w:r>
      <w:hyperlink r:id="rId5" w:history="1">
        <w:r w:rsidRPr="0052547A">
          <w:rPr>
            <w:rStyle w:val="Hyperlink"/>
          </w:rPr>
          <w:t>https://www.abs.gov.au/ausstats/abs@.nsf/Lookup/2901.0Chapter31502016</w:t>
        </w:r>
      </w:hyperlink>
      <w:r>
        <w:t xml:space="preserve"> for further information.</w:t>
      </w:r>
    </w:p>
  </w:footnote>
  <w:footnote w:id="18">
    <w:p w14:paraId="573C62D8" w14:textId="77777777" w:rsidR="00E74E33" w:rsidRDefault="00E74E33">
      <w:pPr>
        <w:pStyle w:val="FootnoteText"/>
      </w:pPr>
      <w:r>
        <w:rPr>
          <w:rStyle w:val="FootnoteReference"/>
        </w:rPr>
        <w:footnoteRef/>
      </w:r>
      <w:r>
        <w:t xml:space="preserve"> </w:t>
      </w:r>
      <w:r w:rsidRPr="0012520D">
        <w:t>Area-based and population-based deciles are two different measures of SEIFA. Area-based deciles are calculated by dividing the areas, ordered by disadvantage, into 10 equally sized groups while population-based deciles are calculated by dividing SEIFA areas into 10 equal groups in such a way that the population in each group is approximately equal.</w:t>
      </w:r>
    </w:p>
  </w:footnote>
  <w:footnote w:id="19">
    <w:p w14:paraId="42A8E5F0" w14:textId="77777777" w:rsidR="00E74E33" w:rsidRDefault="00E74E33">
      <w:pPr>
        <w:pStyle w:val="FootnoteText"/>
      </w:pPr>
      <w:r>
        <w:rPr>
          <w:rStyle w:val="FootnoteReference"/>
        </w:rPr>
        <w:footnoteRef/>
      </w:r>
      <w:r>
        <w:t xml:space="preserve"> For further information, see </w:t>
      </w:r>
      <w:hyperlink r:id="rId6" w:history="1">
        <w:r w:rsidRPr="008A24D9">
          <w:rPr>
            <w:rStyle w:val="Hyperlink"/>
          </w:rPr>
          <w:t>https://www.ncver.edu.au/research-and-statistics/collections/students-and-courses-collection/total-vet-students-and-courses</w:t>
        </w:r>
      </w:hyperlink>
      <w:r>
        <w:t>.</w:t>
      </w:r>
    </w:p>
  </w:footnote>
  <w:footnote w:id="20">
    <w:p w14:paraId="648A107C" w14:textId="77777777" w:rsidR="00E74E33" w:rsidRDefault="00E74E33">
      <w:pPr>
        <w:pStyle w:val="FootnoteText"/>
      </w:pPr>
      <w:r>
        <w:rPr>
          <w:rStyle w:val="FootnoteReference"/>
        </w:rPr>
        <w:footnoteRef/>
      </w:r>
      <w:r>
        <w:t xml:space="preserve"> For further information, see AEDC National Report 2018, </w:t>
      </w:r>
      <w:hyperlink r:id="rId7" w:history="1">
        <w:r w:rsidRPr="00D54EEC">
          <w:rPr>
            <w:rStyle w:val="Hyperlink"/>
          </w:rPr>
          <w:t>https://www.aedc.gov.au/resources/detail/2018-aedc-national-report</w:t>
        </w:r>
      </w:hyperlink>
      <w:r>
        <w:t>.</w:t>
      </w:r>
    </w:p>
  </w:footnote>
  <w:footnote w:id="21">
    <w:p w14:paraId="1FA75F42" w14:textId="77777777" w:rsidR="00E74E33" w:rsidRDefault="00E74E33">
      <w:pPr>
        <w:pStyle w:val="FootnoteText"/>
      </w:pPr>
      <w:r>
        <w:rPr>
          <w:rStyle w:val="FootnoteReference"/>
        </w:rPr>
        <w:footnoteRef/>
      </w:r>
      <w:r>
        <w:t xml:space="preserve"> Source: </w:t>
      </w:r>
      <w:r w:rsidRPr="00052FFA">
        <w:t>AEDC National Report 2018.</w:t>
      </w:r>
    </w:p>
  </w:footnote>
  <w:footnote w:id="22">
    <w:p w14:paraId="72FE2444" w14:textId="77777777" w:rsidR="00E74E33" w:rsidRDefault="00E74E33" w:rsidP="00052FFA">
      <w:pPr>
        <w:pStyle w:val="FootnoteText"/>
      </w:pPr>
      <w:r>
        <w:rPr>
          <w:rStyle w:val="FootnoteReference"/>
        </w:rPr>
        <w:footnoteRef/>
      </w:r>
      <w:r>
        <w:t xml:space="preserve"> Source: </w:t>
      </w:r>
      <w:r w:rsidRPr="00052FFA">
        <w:t>AEDC National Report 2018.</w:t>
      </w:r>
    </w:p>
  </w:footnote>
  <w:footnote w:id="23">
    <w:p w14:paraId="1AC234E0" w14:textId="77777777" w:rsidR="00E74E33" w:rsidRDefault="00E74E33" w:rsidP="00283BDA">
      <w:pPr>
        <w:pStyle w:val="FootnoteText"/>
      </w:pPr>
      <w:r>
        <w:rPr>
          <w:rStyle w:val="FootnoteReference"/>
        </w:rPr>
        <w:footnoteRef/>
      </w:r>
      <w:r>
        <w:t xml:space="preserve"> Source: </w:t>
      </w:r>
      <w:r w:rsidRPr="00052FFA">
        <w:t>AEDC National Report 2018.</w:t>
      </w:r>
    </w:p>
  </w:footnote>
  <w:footnote w:id="24">
    <w:p w14:paraId="277325B5" w14:textId="77777777" w:rsidR="00E74E33" w:rsidRDefault="00E74E33" w:rsidP="00FA54E2">
      <w:pPr>
        <w:pStyle w:val="FootnoteText"/>
      </w:pPr>
      <w:r>
        <w:rPr>
          <w:rStyle w:val="FootnoteReference"/>
        </w:rPr>
        <w:footnoteRef/>
      </w:r>
      <w:r>
        <w:t xml:space="preserve"> Source: </w:t>
      </w:r>
      <w:r w:rsidRPr="00052FFA">
        <w:t>AEDC National Report 2018.</w:t>
      </w:r>
    </w:p>
  </w:footnote>
  <w:footnote w:id="25">
    <w:p w14:paraId="077A4A4D" w14:textId="77777777" w:rsidR="00E74E33" w:rsidRDefault="00E74E33" w:rsidP="00DC7F94">
      <w:pPr>
        <w:pStyle w:val="FootnoteText"/>
      </w:pPr>
      <w:r>
        <w:rPr>
          <w:rStyle w:val="FootnoteReference"/>
        </w:rPr>
        <w:footnoteRef/>
      </w:r>
      <w:r>
        <w:t xml:space="preserve"> Source: </w:t>
      </w:r>
      <w:r w:rsidRPr="00052FFA">
        <w:t>AEDC National Report 2018.</w:t>
      </w:r>
    </w:p>
  </w:footnote>
  <w:footnote w:id="26">
    <w:p w14:paraId="798132A0" w14:textId="77777777" w:rsidR="00E74E33" w:rsidRDefault="00E74E33" w:rsidP="002D33F2">
      <w:pPr>
        <w:pStyle w:val="FootnoteText"/>
      </w:pPr>
      <w:r>
        <w:rPr>
          <w:rStyle w:val="FootnoteReference"/>
        </w:rPr>
        <w:footnoteRef/>
      </w:r>
      <w:r>
        <w:t xml:space="preserve"> The administrative data may undercount individuals with tertiary and postgraduate qualifications. For example, this may happen because </w:t>
      </w:r>
      <w:r w:rsidRPr="00606E6F">
        <w:t xml:space="preserve">education is only reported </w:t>
      </w:r>
      <w:r>
        <w:t xml:space="preserve">and recorded </w:t>
      </w:r>
      <w:r w:rsidRPr="00606E6F">
        <w:t>in th</w:t>
      </w:r>
      <w:r>
        <w:t>e</w:t>
      </w:r>
      <w:r w:rsidRPr="00606E6F">
        <w:t xml:space="preserve"> administrative data when it is relevant to the payment being received.</w:t>
      </w:r>
    </w:p>
  </w:footnote>
  <w:footnote w:id="27">
    <w:p w14:paraId="6C802F57" w14:textId="77777777" w:rsidR="00E74E33" w:rsidRDefault="00E74E33">
      <w:pPr>
        <w:pStyle w:val="FootnoteText"/>
      </w:pPr>
      <w:r>
        <w:rPr>
          <w:rStyle w:val="FootnoteReference"/>
        </w:rPr>
        <w:footnoteRef/>
      </w:r>
      <w:r>
        <w:t xml:space="preserve"> </w:t>
      </w:r>
      <w:r w:rsidRPr="004964E9">
        <w:t>To ensure alignment with the Department of Social Services’ reporting procedures on Emergency Relief data, the department advised it would be more practical for the department to provide the University of Adelaide with the tables presented in this subsection. The research team from the University of Adelaide therefore did not perform any computation in relation to the following tables (Tables 3-8 to 3-13).</w:t>
      </w:r>
    </w:p>
  </w:footnote>
  <w:footnote w:id="28">
    <w:p w14:paraId="42420657" w14:textId="75A4C0B1" w:rsidR="00E74E33" w:rsidRDefault="00E74E33">
      <w:pPr>
        <w:pStyle w:val="FootnoteText"/>
      </w:pPr>
      <w:r>
        <w:rPr>
          <w:rStyle w:val="FootnoteReference"/>
        </w:rPr>
        <w:footnoteRef/>
      </w:r>
      <w:r>
        <w:t xml:space="preserve"> </w:t>
      </w:r>
      <w:r w:rsidRPr="0097490D">
        <w:t>The figures are based on Emergency Relief data reported by service providers and may be incomplete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2623" w14:textId="77777777" w:rsidR="00D16CF7" w:rsidRDefault="00D16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F1C8A" w14:textId="77777777" w:rsidR="00D16CF7" w:rsidRDefault="00D16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2C9C" w14:textId="77777777" w:rsidR="00D16CF7" w:rsidRDefault="00D16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3E8"/>
    <w:multiLevelType w:val="hybridMultilevel"/>
    <w:tmpl w:val="E2240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679A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85318C"/>
    <w:multiLevelType w:val="hybridMultilevel"/>
    <w:tmpl w:val="FC120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04D06"/>
    <w:multiLevelType w:val="hybridMultilevel"/>
    <w:tmpl w:val="1C322CA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9354C0A"/>
    <w:multiLevelType w:val="hybridMultilevel"/>
    <w:tmpl w:val="38380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8748BF"/>
    <w:multiLevelType w:val="hybridMultilevel"/>
    <w:tmpl w:val="FE62864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 w15:restartNumberingAfterBreak="0">
    <w:nsid w:val="1BCB757C"/>
    <w:multiLevelType w:val="hybridMultilevel"/>
    <w:tmpl w:val="F37EEA8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7" w15:restartNumberingAfterBreak="0">
    <w:nsid w:val="1D660047"/>
    <w:multiLevelType w:val="hybridMultilevel"/>
    <w:tmpl w:val="C07E4AB2"/>
    <w:lvl w:ilvl="0" w:tplc="8F286C7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02260"/>
    <w:multiLevelType w:val="hybridMultilevel"/>
    <w:tmpl w:val="510C956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056810C"/>
    <w:multiLevelType w:val="hybridMultilevel"/>
    <w:tmpl w:val="BF52F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5F0BEC"/>
    <w:multiLevelType w:val="hybridMultilevel"/>
    <w:tmpl w:val="11CE6E7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1" w15:restartNumberingAfterBreak="0">
    <w:nsid w:val="273A10A5"/>
    <w:multiLevelType w:val="hybridMultilevel"/>
    <w:tmpl w:val="4EE05D6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C207844"/>
    <w:multiLevelType w:val="hybridMultilevel"/>
    <w:tmpl w:val="1F36B2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E326961"/>
    <w:multiLevelType w:val="hybridMultilevel"/>
    <w:tmpl w:val="4DF6539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E4F4F87"/>
    <w:multiLevelType w:val="hybridMultilevel"/>
    <w:tmpl w:val="078E194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FE81E98"/>
    <w:multiLevelType w:val="hybridMultilevel"/>
    <w:tmpl w:val="3A760A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F7414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0126C1"/>
    <w:multiLevelType w:val="hybridMultilevel"/>
    <w:tmpl w:val="1814F4D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9786E11"/>
    <w:multiLevelType w:val="hybridMultilevel"/>
    <w:tmpl w:val="C0306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67B1A"/>
    <w:multiLevelType w:val="hybridMultilevel"/>
    <w:tmpl w:val="B5DC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16DDD"/>
    <w:multiLevelType w:val="hybridMultilevel"/>
    <w:tmpl w:val="60C86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E73241"/>
    <w:multiLevelType w:val="hybridMultilevel"/>
    <w:tmpl w:val="5B0EC56A"/>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4983656"/>
    <w:multiLevelType w:val="hybridMultilevel"/>
    <w:tmpl w:val="8B46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7E2331"/>
    <w:multiLevelType w:val="hybridMultilevel"/>
    <w:tmpl w:val="60E462E6"/>
    <w:lvl w:ilvl="0" w:tplc="957C385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AD736A"/>
    <w:multiLevelType w:val="hybridMultilevel"/>
    <w:tmpl w:val="CF8246D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F61008A"/>
    <w:multiLevelType w:val="hybridMultilevel"/>
    <w:tmpl w:val="218C3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510C7B"/>
    <w:multiLevelType w:val="hybridMultilevel"/>
    <w:tmpl w:val="D3924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DA0CCF"/>
    <w:multiLevelType w:val="multilevel"/>
    <w:tmpl w:val="E6366C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5055DAD"/>
    <w:multiLevelType w:val="hybridMultilevel"/>
    <w:tmpl w:val="07F49B4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6136E64"/>
    <w:multiLevelType w:val="hybridMultilevel"/>
    <w:tmpl w:val="7FAC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65A31"/>
    <w:multiLevelType w:val="hybridMultilevel"/>
    <w:tmpl w:val="A4FE4F7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C6027AF"/>
    <w:multiLevelType w:val="hybridMultilevel"/>
    <w:tmpl w:val="1C265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486A23"/>
    <w:multiLevelType w:val="hybridMultilevel"/>
    <w:tmpl w:val="E148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E72C3A"/>
    <w:multiLevelType w:val="hybridMultilevel"/>
    <w:tmpl w:val="78220B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8106FA"/>
    <w:multiLevelType w:val="hybridMultilevel"/>
    <w:tmpl w:val="957AF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5400EB"/>
    <w:multiLevelType w:val="hybridMultilevel"/>
    <w:tmpl w:val="2994A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3A3CC8"/>
    <w:multiLevelType w:val="hybridMultilevel"/>
    <w:tmpl w:val="8AF68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F96304"/>
    <w:multiLevelType w:val="hybridMultilevel"/>
    <w:tmpl w:val="F4BE9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9F7D79"/>
    <w:multiLevelType w:val="hybridMultilevel"/>
    <w:tmpl w:val="20C0D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
  </w:num>
  <w:num w:numId="4">
    <w:abstractNumId w:val="29"/>
  </w:num>
  <w:num w:numId="5">
    <w:abstractNumId w:val="31"/>
  </w:num>
  <w:num w:numId="6">
    <w:abstractNumId w:val="6"/>
  </w:num>
  <w:num w:numId="7">
    <w:abstractNumId w:val="10"/>
  </w:num>
  <w:num w:numId="8">
    <w:abstractNumId w:val="5"/>
  </w:num>
  <w:num w:numId="9">
    <w:abstractNumId w:val="19"/>
  </w:num>
  <w:num w:numId="10">
    <w:abstractNumId w:val="32"/>
  </w:num>
  <w:num w:numId="11">
    <w:abstractNumId w:val="0"/>
  </w:num>
  <w:num w:numId="12">
    <w:abstractNumId w:val="9"/>
  </w:num>
  <w:num w:numId="13">
    <w:abstractNumId w:val="20"/>
  </w:num>
  <w:num w:numId="14">
    <w:abstractNumId w:val="35"/>
  </w:num>
  <w:num w:numId="15">
    <w:abstractNumId w:val="25"/>
  </w:num>
  <w:num w:numId="16">
    <w:abstractNumId w:val="38"/>
  </w:num>
  <w:num w:numId="17">
    <w:abstractNumId w:val="37"/>
  </w:num>
  <w:num w:numId="18">
    <w:abstractNumId w:val="36"/>
  </w:num>
  <w:num w:numId="19">
    <w:abstractNumId w:val="23"/>
  </w:num>
  <w:num w:numId="20">
    <w:abstractNumId w:val="15"/>
  </w:num>
  <w:num w:numId="21">
    <w:abstractNumId w:val="1"/>
  </w:num>
  <w:num w:numId="22">
    <w:abstractNumId w:val="16"/>
  </w:num>
  <w:num w:numId="23">
    <w:abstractNumId w:val="2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3"/>
  </w:num>
  <w:num w:numId="38">
    <w:abstractNumId w:val="22"/>
  </w:num>
  <w:num w:numId="39">
    <w:abstractNumId w:val="7"/>
  </w:num>
  <w:num w:numId="40">
    <w:abstractNumId w:val="1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NZ" w:vendorID="64" w:dllVersion="0" w:nlCheck="1" w:checkStyle="0"/>
  <w:activeWritingStyle w:appName="MSWord" w:lang="en-US" w:vendorID="64" w:dllVersion="0" w:nlCheck="1" w:checkStyle="0"/>
  <w:activeWritingStyle w:appName="MSWord" w:lang="en" w:vendorID="64" w:dllVersion="0" w:nlCheck="1" w:checkStyle="0"/>
  <w:activeWritingStyle w:appName="MSWord" w:lang="en-AU" w:vendorID="64" w:dllVersion="131078" w:nlCheck="1" w:checkStyle="1"/>
  <w:activeWritingStyle w:appName="MSWord" w:lang="en-NZ"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0F"/>
    <w:rsid w:val="000018B7"/>
    <w:rsid w:val="00003ABE"/>
    <w:rsid w:val="00004061"/>
    <w:rsid w:val="00005506"/>
    <w:rsid w:val="00005907"/>
    <w:rsid w:val="00005EE6"/>
    <w:rsid w:val="00006F67"/>
    <w:rsid w:val="00007A5D"/>
    <w:rsid w:val="00010E6C"/>
    <w:rsid w:val="000122FA"/>
    <w:rsid w:val="00013D85"/>
    <w:rsid w:val="00014993"/>
    <w:rsid w:val="00015FB2"/>
    <w:rsid w:val="00016D38"/>
    <w:rsid w:val="00017277"/>
    <w:rsid w:val="0001750E"/>
    <w:rsid w:val="000215F2"/>
    <w:rsid w:val="00025A2A"/>
    <w:rsid w:val="000264E8"/>
    <w:rsid w:val="00026FD0"/>
    <w:rsid w:val="00031074"/>
    <w:rsid w:val="0003147D"/>
    <w:rsid w:val="0003186B"/>
    <w:rsid w:val="00035F58"/>
    <w:rsid w:val="000360C6"/>
    <w:rsid w:val="00041324"/>
    <w:rsid w:val="00041F2B"/>
    <w:rsid w:val="000445D5"/>
    <w:rsid w:val="000524B0"/>
    <w:rsid w:val="00052FFA"/>
    <w:rsid w:val="0005371F"/>
    <w:rsid w:val="000553F7"/>
    <w:rsid w:val="00055A99"/>
    <w:rsid w:val="0005639B"/>
    <w:rsid w:val="00057301"/>
    <w:rsid w:val="00060334"/>
    <w:rsid w:val="000613C9"/>
    <w:rsid w:val="00061D38"/>
    <w:rsid w:val="00062417"/>
    <w:rsid w:val="000631F2"/>
    <w:rsid w:val="00063445"/>
    <w:rsid w:val="00063960"/>
    <w:rsid w:val="0006405C"/>
    <w:rsid w:val="00065471"/>
    <w:rsid w:val="00065F59"/>
    <w:rsid w:val="0006685B"/>
    <w:rsid w:val="000743EB"/>
    <w:rsid w:val="0007733D"/>
    <w:rsid w:val="00077FD6"/>
    <w:rsid w:val="00080673"/>
    <w:rsid w:val="0008094F"/>
    <w:rsid w:val="00080E29"/>
    <w:rsid w:val="00080EEB"/>
    <w:rsid w:val="00081454"/>
    <w:rsid w:val="00081953"/>
    <w:rsid w:val="00083B1F"/>
    <w:rsid w:val="0008437F"/>
    <w:rsid w:val="00084C6A"/>
    <w:rsid w:val="000851DE"/>
    <w:rsid w:val="00085E9B"/>
    <w:rsid w:val="0008754D"/>
    <w:rsid w:val="00091A8A"/>
    <w:rsid w:val="000927EC"/>
    <w:rsid w:val="000962F2"/>
    <w:rsid w:val="00096731"/>
    <w:rsid w:val="00096B60"/>
    <w:rsid w:val="00096E62"/>
    <w:rsid w:val="00097211"/>
    <w:rsid w:val="000A099C"/>
    <w:rsid w:val="000A15D6"/>
    <w:rsid w:val="000A1751"/>
    <w:rsid w:val="000A1A9A"/>
    <w:rsid w:val="000A1A9E"/>
    <w:rsid w:val="000A2904"/>
    <w:rsid w:val="000A2B22"/>
    <w:rsid w:val="000A3E68"/>
    <w:rsid w:val="000B00BB"/>
    <w:rsid w:val="000B0F8F"/>
    <w:rsid w:val="000B177C"/>
    <w:rsid w:val="000B1801"/>
    <w:rsid w:val="000B2D88"/>
    <w:rsid w:val="000B3AD9"/>
    <w:rsid w:val="000B5408"/>
    <w:rsid w:val="000B596F"/>
    <w:rsid w:val="000B5B66"/>
    <w:rsid w:val="000B7D9F"/>
    <w:rsid w:val="000C0781"/>
    <w:rsid w:val="000C08CC"/>
    <w:rsid w:val="000D02E1"/>
    <w:rsid w:val="000D1A9F"/>
    <w:rsid w:val="000D2BB5"/>
    <w:rsid w:val="000D3CEC"/>
    <w:rsid w:val="000D670C"/>
    <w:rsid w:val="000D75B0"/>
    <w:rsid w:val="000E025C"/>
    <w:rsid w:val="000E0660"/>
    <w:rsid w:val="000E0797"/>
    <w:rsid w:val="000E254D"/>
    <w:rsid w:val="000E3C13"/>
    <w:rsid w:val="000E3CA2"/>
    <w:rsid w:val="000E3FDC"/>
    <w:rsid w:val="000E4783"/>
    <w:rsid w:val="000E5F35"/>
    <w:rsid w:val="000E62A1"/>
    <w:rsid w:val="000E696D"/>
    <w:rsid w:val="000E75CD"/>
    <w:rsid w:val="000F0396"/>
    <w:rsid w:val="000F14A1"/>
    <w:rsid w:val="000F2F8F"/>
    <w:rsid w:val="000F3130"/>
    <w:rsid w:val="000F5324"/>
    <w:rsid w:val="000F5F26"/>
    <w:rsid w:val="000F68B8"/>
    <w:rsid w:val="0010051B"/>
    <w:rsid w:val="0010083A"/>
    <w:rsid w:val="00101098"/>
    <w:rsid w:val="001014E6"/>
    <w:rsid w:val="00101D9F"/>
    <w:rsid w:val="00102093"/>
    <w:rsid w:val="00103915"/>
    <w:rsid w:val="001039A0"/>
    <w:rsid w:val="0010531D"/>
    <w:rsid w:val="00106AA4"/>
    <w:rsid w:val="00111802"/>
    <w:rsid w:val="00111C68"/>
    <w:rsid w:val="00113862"/>
    <w:rsid w:val="00113CE0"/>
    <w:rsid w:val="00113D7F"/>
    <w:rsid w:val="00114AEE"/>
    <w:rsid w:val="00114F1F"/>
    <w:rsid w:val="001150AC"/>
    <w:rsid w:val="00115A40"/>
    <w:rsid w:val="00115E83"/>
    <w:rsid w:val="001179F7"/>
    <w:rsid w:val="00120BE8"/>
    <w:rsid w:val="00121427"/>
    <w:rsid w:val="00124ED7"/>
    <w:rsid w:val="0012520D"/>
    <w:rsid w:val="0012751A"/>
    <w:rsid w:val="00127524"/>
    <w:rsid w:val="00130498"/>
    <w:rsid w:val="00130A1A"/>
    <w:rsid w:val="0013167A"/>
    <w:rsid w:val="00131C22"/>
    <w:rsid w:val="00132F76"/>
    <w:rsid w:val="0013409E"/>
    <w:rsid w:val="001352A2"/>
    <w:rsid w:val="001360F9"/>
    <w:rsid w:val="0013656E"/>
    <w:rsid w:val="0013729B"/>
    <w:rsid w:val="00137BE4"/>
    <w:rsid w:val="001402AB"/>
    <w:rsid w:val="00140F85"/>
    <w:rsid w:val="0014221C"/>
    <w:rsid w:val="00146485"/>
    <w:rsid w:val="0015000C"/>
    <w:rsid w:val="001513C2"/>
    <w:rsid w:val="0015167E"/>
    <w:rsid w:val="00151E68"/>
    <w:rsid w:val="00154A49"/>
    <w:rsid w:val="00157254"/>
    <w:rsid w:val="00157BC0"/>
    <w:rsid w:val="001626CA"/>
    <w:rsid w:val="001628D4"/>
    <w:rsid w:val="0016477D"/>
    <w:rsid w:val="001652EB"/>
    <w:rsid w:val="00165E53"/>
    <w:rsid w:val="0016641F"/>
    <w:rsid w:val="001713E0"/>
    <w:rsid w:val="00171569"/>
    <w:rsid w:val="00172C28"/>
    <w:rsid w:val="00173597"/>
    <w:rsid w:val="00174320"/>
    <w:rsid w:val="00175638"/>
    <w:rsid w:val="001769B9"/>
    <w:rsid w:val="00176B6F"/>
    <w:rsid w:val="0018193D"/>
    <w:rsid w:val="00182244"/>
    <w:rsid w:val="00182BA6"/>
    <w:rsid w:val="00182E1F"/>
    <w:rsid w:val="00183B4E"/>
    <w:rsid w:val="001847F1"/>
    <w:rsid w:val="00186180"/>
    <w:rsid w:val="001871FA"/>
    <w:rsid w:val="001907A3"/>
    <w:rsid w:val="00191076"/>
    <w:rsid w:val="00191B30"/>
    <w:rsid w:val="001921AD"/>
    <w:rsid w:val="0019325A"/>
    <w:rsid w:val="001936C5"/>
    <w:rsid w:val="001A0A2A"/>
    <w:rsid w:val="001A290E"/>
    <w:rsid w:val="001A3401"/>
    <w:rsid w:val="001A42B5"/>
    <w:rsid w:val="001A706A"/>
    <w:rsid w:val="001A77B2"/>
    <w:rsid w:val="001A7C85"/>
    <w:rsid w:val="001B09B8"/>
    <w:rsid w:val="001B0C2E"/>
    <w:rsid w:val="001B0EE3"/>
    <w:rsid w:val="001B117E"/>
    <w:rsid w:val="001B11B1"/>
    <w:rsid w:val="001B1329"/>
    <w:rsid w:val="001B24A7"/>
    <w:rsid w:val="001B2BCE"/>
    <w:rsid w:val="001B2FAA"/>
    <w:rsid w:val="001B39BD"/>
    <w:rsid w:val="001B66FD"/>
    <w:rsid w:val="001B6871"/>
    <w:rsid w:val="001B72A7"/>
    <w:rsid w:val="001B738C"/>
    <w:rsid w:val="001C13AC"/>
    <w:rsid w:val="001C18C4"/>
    <w:rsid w:val="001C3CF6"/>
    <w:rsid w:val="001C3EE4"/>
    <w:rsid w:val="001C5C06"/>
    <w:rsid w:val="001C6C56"/>
    <w:rsid w:val="001D03E4"/>
    <w:rsid w:val="001D21B3"/>
    <w:rsid w:val="001D3CFF"/>
    <w:rsid w:val="001D5F6E"/>
    <w:rsid w:val="001D65C0"/>
    <w:rsid w:val="001D663A"/>
    <w:rsid w:val="001D6E2E"/>
    <w:rsid w:val="001D7A03"/>
    <w:rsid w:val="001D7E08"/>
    <w:rsid w:val="001E0624"/>
    <w:rsid w:val="001E19D7"/>
    <w:rsid w:val="001E216F"/>
    <w:rsid w:val="001E3A8A"/>
    <w:rsid w:val="001E4961"/>
    <w:rsid w:val="001E49E7"/>
    <w:rsid w:val="001E5512"/>
    <w:rsid w:val="001E7497"/>
    <w:rsid w:val="001E7F88"/>
    <w:rsid w:val="001F14D5"/>
    <w:rsid w:val="001F1A14"/>
    <w:rsid w:val="001F1C71"/>
    <w:rsid w:val="001F1CEE"/>
    <w:rsid w:val="001F36A0"/>
    <w:rsid w:val="001F477D"/>
    <w:rsid w:val="001F490B"/>
    <w:rsid w:val="001F63F4"/>
    <w:rsid w:val="0020184F"/>
    <w:rsid w:val="00201B62"/>
    <w:rsid w:val="00202D93"/>
    <w:rsid w:val="0020492B"/>
    <w:rsid w:val="00205F28"/>
    <w:rsid w:val="0020713D"/>
    <w:rsid w:val="002127FE"/>
    <w:rsid w:val="00212EBB"/>
    <w:rsid w:val="00213615"/>
    <w:rsid w:val="00213D0E"/>
    <w:rsid w:val="0021415C"/>
    <w:rsid w:val="00216C5B"/>
    <w:rsid w:val="00217DDD"/>
    <w:rsid w:val="00217FAD"/>
    <w:rsid w:val="0022127E"/>
    <w:rsid w:val="00221A44"/>
    <w:rsid w:val="00223371"/>
    <w:rsid w:val="002237BF"/>
    <w:rsid w:val="00226343"/>
    <w:rsid w:val="00230A2A"/>
    <w:rsid w:val="00230B24"/>
    <w:rsid w:val="00233C8F"/>
    <w:rsid w:val="00234052"/>
    <w:rsid w:val="00234813"/>
    <w:rsid w:val="00235ACF"/>
    <w:rsid w:val="00236370"/>
    <w:rsid w:val="00236DCD"/>
    <w:rsid w:val="00236E99"/>
    <w:rsid w:val="002405AE"/>
    <w:rsid w:val="00240BB3"/>
    <w:rsid w:val="00240C08"/>
    <w:rsid w:val="00242578"/>
    <w:rsid w:val="00242B90"/>
    <w:rsid w:val="002446C7"/>
    <w:rsid w:val="002447BA"/>
    <w:rsid w:val="0025141E"/>
    <w:rsid w:val="0025215E"/>
    <w:rsid w:val="0025258B"/>
    <w:rsid w:val="00253008"/>
    <w:rsid w:val="0025645D"/>
    <w:rsid w:val="0025790C"/>
    <w:rsid w:val="002601ED"/>
    <w:rsid w:val="00260F41"/>
    <w:rsid w:val="002618B8"/>
    <w:rsid w:val="00264809"/>
    <w:rsid w:val="00264C76"/>
    <w:rsid w:val="002670CE"/>
    <w:rsid w:val="00270238"/>
    <w:rsid w:val="00273DE3"/>
    <w:rsid w:val="00274165"/>
    <w:rsid w:val="00274D9E"/>
    <w:rsid w:val="00276423"/>
    <w:rsid w:val="00277CAD"/>
    <w:rsid w:val="00280408"/>
    <w:rsid w:val="00281653"/>
    <w:rsid w:val="002823AB"/>
    <w:rsid w:val="00283B36"/>
    <w:rsid w:val="00283BDA"/>
    <w:rsid w:val="002851DF"/>
    <w:rsid w:val="002859DB"/>
    <w:rsid w:val="002868E0"/>
    <w:rsid w:val="0029008D"/>
    <w:rsid w:val="00290F96"/>
    <w:rsid w:val="002965DE"/>
    <w:rsid w:val="0029673A"/>
    <w:rsid w:val="002968B8"/>
    <w:rsid w:val="00296F6C"/>
    <w:rsid w:val="00297528"/>
    <w:rsid w:val="00297ABA"/>
    <w:rsid w:val="002A2496"/>
    <w:rsid w:val="002A2EFE"/>
    <w:rsid w:val="002A5D77"/>
    <w:rsid w:val="002A6A79"/>
    <w:rsid w:val="002A72A4"/>
    <w:rsid w:val="002B03B4"/>
    <w:rsid w:val="002B091D"/>
    <w:rsid w:val="002B5622"/>
    <w:rsid w:val="002B5A69"/>
    <w:rsid w:val="002B5F5F"/>
    <w:rsid w:val="002C059B"/>
    <w:rsid w:val="002C268B"/>
    <w:rsid w:val="002C3374"/>
    <w:rsid w:val="002C3AED"/>
    <w:rsid w:val="002C3F80"/>
    <w:rsid w:val="002C4090"/>
    <w:rsid w:val="002D2169"/>
    <w:rsid w:val="002D33F2"/>
    <w:rsid w:val="002D3D30"/>
    <w:rsid w:val="002D4384"/>
    <w:rsid w:val="002D4AAF"/>
    <w:rsid w:val="002D51D8"/>
    <w:rsid w:val="002D6299"/>
    <w:rsid w:val="002D707C"/>
    <w:rsid w:val="002D72FD"/>
    <w:rsid w:val="002D7692"/>
    <w:rsid w:val="002E1EE0"/>
    <w:rsid w:val="002E2E26"/>
    <w:rsid w:val="002E32B8"/>
    <w:rsid w:val="002E338A"/>
    <w:rsid w:val="002E3C61"/>
    <w:rsid w:val="002E4CD5"/>
    <w:rsid w:val="002E58E0"/>
    <w:rsid w:val="002E664F"/>
    <w:rsid w:val="002F06C2"/>
    <w:rsid w:val="002F0833"/>
    <w:rsid w:val="002F205E"/>
    <w:rsid w:val="002F3835"/>
    <w:rsid w:val="002F5640"/>
    <w:rsid w:val="002F67C3"/>
    <w:rsid w:val="00300C03"/>
    <w:rsid w:val="003013A2"/>
    <w:rsid w:val="00301525"/>
    <w:rsid w:val="00301FA8"/>
    <w:rsid w:val="00302FBE"/>
    <w:rsid w:val="00304F39"/>
    <w:rsid w:val="003062D4"/>
    <w:rsid w:val="003103BC"/>
    <w:rsid w:val="003122AF"/>
    <w:rsid w:val="00313DCC"/>
    <w:rsid w:val="00315F20"/>
    <w:rsid w:val="00316339"/>
    <w:rsid w:val="0031642D"/>
    <w:rsid w:val="003169FD"/>
    <w:rsid w:val="0032190E"/>
    <w:rsid w:val="00322C6E"/>
    <w:rsid w:val="00323E6F"/>
    <w:rsid w:val="00324A45"/>
    <w:rsid w:val="00325357"/>
    <w:rsid w:val="003263B0"/>
    <w:rsid w:val="00326616"/>
    <w:rsid w:val="00327766"/>
    <w:rsid w:val="003325CF"/>
    <w:rsid w:val="00332EBF"/>
    <w:rsid w:val="003330B3"/>
    <w:rsid w:val="0033400C"/>
    <w:rsid w:val="00335D75"/>
    <w:rsid w:val="00340D1C"/>
    <w:rsid w:val="003424A0"/>
    <w:rsid w:val="00346ACC"/>
    <w:rsid w:val="00346B73"/>
    <w:rsid w:val="00350AC4"/>
    <w:rsid w:val="003521D6"/>
    <w:rsid w:val="0035260F"/>
    <w:rsid w:val="003526F3"/>
    <w:rsid w:val="0035280F"/>
    <w:rsid w:val="003532DA"/>
    <w:rsid w:val="003542F0"/>
    <w:rsid w:val="00354450"/>
    <w:rsid w:val="003550B5"/>
    <w:rsid w:val="00355F2F"/>
    <w:rsid w:val="00356392"/>
    <w:rsid w:val="00356BD2"/>
    <w:rsid w:val="00357486"/>
    <w:rsid w:val="00357F49"/>
    <w:rsid w:val="00361677"/>
    <w:rsid w:val="00361A75"/>
    <w:rsid w:val="00362EF8"/>
    <w:rsid w:val="00363481"/>
    <w:rsid w:val="003637D6"/>
    <w:rsid w:val="00364EE5"/>
    <w:rsid w:val="0036724E"/>
    <w:rsid w:val="00367917"/>
    <w:rsid w:val="00374310"/>
    <w:rsid w:val="003748C7"/>
    <w:rsid w:val="00376582"/>
    <w:rsid w:val="00377786"/>
    <w:rsid w:val="00380083"/>
    <w:rsid w:val="00382294"/>
    <w:rsid w:val="00383EBD"/>
    <w:rsid w:val="003849B5"/>
    <w:rsid w:val="00384B7B"/>
    <w:rsid w:val="00386CBC"/>
    <w:rsid w:val="0039141A"/>
    <w:rsid w:val="00393225"/>
    <w:rsid w:val="0039460B"/>
    <w:rsid w:val="0039467E"/>
    <w:rsid w:val="00395364"/>
    <w:rsid w:val="00396B09"/>
    <w:rsid w:val="00396E9E"/>
    <w:rsid w:val="003A0C14"/>
    <w:rsid w:val="003A0EAD"/>
    <w:rsid w:val="003A398C"/>
    <w:rsid w:val="003A3AC3"/>
    <w:rsid w:val="003A49F5"/>
    <w:rsid w:val="003A566F"/>
    <w:rsid w:val="003A639E"/>
    <w:rsid w:val="003A7FE6"/>
    <w:rsid w:val="003B05E7"/>
    <w:rsid w:val="003B0E8D"/>
    <w:rsid w:val="003B1C19"/>
    <w:rsid w:val="003B1C3D"/>
    <w:rsid w:val="003B287F"/>
    <w:rsid w:val="003B2A94"/>
    <w:rsid w:val="003B48A6"/>
    <w:rsid w:val="003B6CCA"/>
    <w:rsid w:val="003B79E8"/>
    <w:rsid w:val="003C1A57"/>
    <w:rsid w:val="003C2831"/>
    <w:rsid w:val="003C4FA8"/>
    <w:rsid w:val="003C562A"/>
    <w:rsid w:val="003C7F2F"/>
    <w:rsid w:val="003D5A2C"/>
    <w:rsid w:val="003D6BBE"/>
    <w:rsid w:val="003D73C6"/>
    <w:rsid w:val="003E0793"/>
    <w:rsid w:val="003E18E6"/>
    <w:rsid w:val="003E1DD7"/>
    <w:rsid w:val="003E2477"/>
    <w:rsid w:val="003E30EB"/>
    <w:rsid w:val="003E44D4"/>
    <w:rsid w:val="003E4F62"/>
    <w:rsid w:val="003E5BAE"/>
    <w:rsid w:val="003E6F8A"/>
    <w:rsid w:val="003F08E0"/>
    <w:rsid w:val="003F13CC"/>
    <w:rsid w:val="003F315C"/>
    <w:rsid w:val="003F406E"/>
    <w:rsid w:val="003F60E3"/>
    <w:rsid w:val="003F788C"/>
    <w:rsid w:val="00401FE5"/>
    <w:rsid w:val="004036BD"/>
    <w:rsid w:val="004069CE"/>
    <w:rsid w:val="00406F9A"/>
    <w:rsid w:val="004072E0"/>
    <w:rsid w:val="00415B95"/>
    <w:rsid w:val="00416071"/>
    <w:rsid w:val="0042118C"/>
    <w:rsid w:val="004215DA"/>
    <w:rsid w:val="004220C5"/>
    <w:rsid w:val="0042421F"/>
    <w:rsid w:val="00424FDB"/>
    <w:rsid w:val="0043321D"/>
    <w:rsid w:val="004332D3"/>
    <w:rsid w:val="004333AF"/>
    <w:rsid w:val="00433862"/>
    <w:rsid w:val="00434F5D"/>
    <w:rsid w:val="004353F7"/>
    <w:rsid w:val="004368AB"/>
    <w:rsid w:val="00437613"/>
    <w:rsid w:val="00437BD0"/>
    <w:rsid w:val="00437D4C"/>
    <w:rsid w:val="00440C01"/>
    <w:rsid w:val="00441432"/>
    <w:rsid w:val="00444F63"/>
    <w:rsid w:val="00445D57"/>
    <w:rsid w:val="00446218"/>
    <w:rsid w:val="004470AA"/>
    <w:rsid w:val="00450631"/>
    <w:rsid w:val="00451FD2"/>
    <w:rsid w:val="00452BB2"/>
    <w:rsid w:val="004532C5"/>
    <w:rsid w:val="00453EA5"/>
    <w:rsid w:val="00453F13"/>
    <w:rsid w:val="0045640B"/>
    <w:rsid w:val="004578A1"/>
    <w:rsid w:val="00461021"/>
    <w:rsid w:val="004621B1"/>
    <w:rsid w:val="00463DC7"/>
    <w:rsid w:val="00465BE9"/>
    <w:rsid w:val="0046620D"/>
    <w:rsid w:val="004667F5"/>
    <w:rsid w:val="00467A75"/>
    <w:rsid w:val="00467DF5"/>
    <w:rsid w:val="00470582"/>
    <w:rsid w:val="00470CFC"/>
    <w:rsid w:val="0047524C"/>
    <w:rsid w:val="0047557A"/>
    <w:rsid w:val="0047729E"/>
    <w:rsid w:val="004819D9"/>
    <w:rsid w:val="00481FCC"/>
    <w:rsid w:val="004856D9"/>
    <w:rsid w:val="004870A4"/>
    <w:rsid w:val="004878FC"/>
    <w:rsid w:val="00487E22"/>
    <w:rsid w:val="004909F6"/>
    <w:rsid w:val="004913F7"/>
    <w:rsid w:val="00493513"/>
    <w:rsid w:val="00494397"/>
    <w:rsid w:val="0049456A"/>
    <w:rsid w:val="00494B29"/>
    <w:rsid w:val="004956F9"/>
    <w:rsid w:val="0049638B"/>
    <w:rsid w:val="004964E9"/>
    <w:rsid w:val="004A2D51"/>
    <w:rsid w:val="004A3F84"/>
    <w:rsid w:val="004A44A4"/>
    <w:rsid w:val="004A5604"/>
    <w:rsid w:val="004A69B2"/>
    <w:rsid w:val="004A7033"/>
    <w:rsid w:val="004A740F"/>
    <w:rsid w:val="004B17FE"/>
    <w:rsid w:val="004B1964"/>
    <w:rsid w:val="004B2198"/>
    <w:rsid w:val="004B224E"/>
    <w:rsid w:val="004B2C90"/>
    <w:rsid w:val="004B2E56"/>
    <w:rsid w:val="004B3EDD"/>
    <w:rsid w:val="004B40D5"/>
    <w:rsid w:val="004B4BFD"/>
    <w:rsid w:val="004B7471"/>
    <w:rsid w:val="004B748A"/>
    <w:rsid w:val="004C04BF"/>
    <w:rsid w:val="004C34AB"/>
    <w:rsid w:val="004C56A0"/>
    <w:rsid w:val="004C56D1"/>
    <w:rsid w:val="004C5D3A"/>
    <w:rsid w:val="004D100D"/>
    <w:rsid w:val="004D1018"/>
    <w:rsid w:val="004D2C06"/>
    <w:rsid w:val="004D583D"/>
    <w:rsid w:val="004D75A7"/>
    <w:rsid w:val="004E0BDA"/>
    <w:rsid w:val="004E0DAA"/>
    <w:rsid w:val="004E3F51"/>
    <w:rsid w:val="004E56B9"/>
    <w:rsid w:val="004E79A5"/>
    <w:rsid w:val="004E7B34"/>
    <w:rsid w:val="004F015A"/>
    <w:rsid w:val="004F11A4"/>
    <w:rsid w:val="004F151B"/>
    <w:rsid w:val="004F2C3D"/>
    <w:rsid w:val="004F46B2"/>
    <w:rsid w:val="004F6DE0"/>
    <w:rsid w:val="004F70B4"/>
    <w:rsid w:val="00501503"/>
    <w:rsid w:val="00501FA9"/>
    <w:rsid w:val="005024A5"/>
    <w:rsid w:val="00503F73"/>
    <w:rsid w:val="00505579"/>
    <w:rsid w:val="005065FA"/>
    <w:rsid w:val="00506AD6"/>
    <w:rsid w:val="00506D8E"/>
    <w:rsid w:val="00511F8D"/>
    <w:rsid w:val="00512C2C"/>
    <w:rsid w:val="00513DF4"/>
    <w:rsid w:val="00514DCA"/>
    <w:rsid w:val="005168CE"/>
    <w:rsid w:val="00516A12"/>
    <w:rsid w:val="0051772B"/>
    <w:rsid w:val="00522405"/>
    <w:rsid w:val="005225E3"/>
    <w:rsid w:val="00522977"/>
    <w:rsid w:val="005238B0"/>
    <w:rsid w:val="0052417D"/>
    <w:rsid w:val="0052547A"/>
    <w:rsid w:val="00525B11"/>
    <w:rsid w:val="005264E5"/>
    <w:rsid w:val="00526F65"/>
    <w:rsid w:val="00527584"/>
    <w:rsid w:val="00527651"/>
    <w:rsid w:val="00527929"/>
    <w:rsid w:val="0053035B"/>
    <w:rsid w:val="00530812"/>
    <w:rsid w:val="005325D3"/>
    <w:rsid w:val="00532646"/>
    <w:rsid w:val="00533F9B"/>
    <w:rsid w:val="00535C4E"/>
    <w:rsid w:val="00540A10"/>
    <w:rsid w:val="00542407"/>
    <w:rsid w:val="005425BF"/>
    <w:rsid w:val="00542981"/>
    <w:rsid w:val="00543E69"/>
    <w:rsid w:val="0054466B"/>
    <w:rsid w:val="00545269"/>
    <w:rsid w:val="00550038"/>
    <w:rsid w:val="00551CD2"/>
    <w:rsid w:val="005548D9"/>
    <w:rsid w:val="00554BD6"/>
    <w:rsid w:val="005557DE"/>
    <w:rsid w:val="00555F7D"/>
    <w:rsid w:val="005562DB"/>
    <w:rsid w:val="005563C6"/>
    <w:rsid w:val="0055689A"/>
    <w:rsid w:val="00556E19"/>
    <w:rsid w:val="00560769"/>
    <w:rsid w:val="00561030"/>
    <w:rsid w:val="00561E19"/>
    <w:rsid w:val="00562973"/>
    <w:rsid w:val="00562B1A"/>
    <w:rsid w:val="00563283"/>
    <w:rsid w:val="0056594A"/>
    <w:rsid w:val="00565FE5"/>
    <w:rsid w:val="005715B4"/>
    <w:rsid w:val="00571E3E"/>
    <w:rsid w:val="0057221C"/>
    <w:rsid w:val="0057222A"/>
    <w:rsid w:val="005722E7"/>
    <w:rsid w:val="00573265"/>
    <w:rsid w:val="00573C8C"/>
    <w:rsid w:val="00576A05"/>
    <w:rsid w:val="0057784F"/>
    <w:rsid w:val="00577E5F"/>
    <w:rsid w:val="00581EA2"/>
    <w:rsid w:val="00581FE3"/>
    <w:rsid w:val="005822A4"/>
    <w:rsid w:val="00582802"/>
    <w:rsid w:val="0058322F"/>
    <w:rsid w:val="005849B2"/>
    <w:rsid w:val="00586E4D"/>
    <w:rsid w:val="005871DD"/>
    <w:rsid w:val="00587555"/>
    <w:rsid w:val="00591189"/>
    <w:rsid w:val="00593284"/>
    <w:rsid w:val="00593487"/>
    <w:rsid w:val="005A1F20"/>
    <w:rsid w:val="005A2861"/>
    <w:rsid w:val="005A4815"/>
    <w:rsid w:val="005A5F28"/>
    <w:rsid w:val="005A698B"/>
    <w:rsid w:val="005B02FC"/>
    <w:rsid w:val="005B27E9"/>
    <w:rsid w:val="005B46D9"/>
    <w:rsid w:val="005B4E66"/>
    <w:rsid w:val="005B52A2"/>
    <w:rsid w:val="005B58B1"/>
    <w:rsid w:val="005B670F"/>
    <w:rsid w:val="005B6A4E"/>
    <w:rsid w:val="005B6D72"/>
    <w:rsid w:val="005B75B1"/>
    <w:rsid w:val="005B7E73"/>
    <w:rsid w:val="005C050F"/>
    <w:rsid w:val="005C0B3E"/>
    <w:rsid w:val="005C1026"/>
    <w:rsid w:val="005C129B"/>
    <w:rsid w:val="005C16A9"/>
    <w:rsid w:val="005C18E5"/>
    <w:rsid w:val="005C207B"/>
    <w:rsid w:val="005C4C90"/>
    <w:rsid w:val="005C5322"/>
    <w:rsid w:val="005C61D2"/>
    <w:rsid w:val="005C6B63"/>
    <w:rsid w:val="005C7CCC"/>
    <w:rsid w:val="005D08D5"/>
    <w:rsid w:val="005D113D"/>
    <w:rsid w:val="005D35D2"/>
    <w:rsid w:val="005D3E1B"/>
    <w:rsid w:val="005D4E0F"/>
    <w:rsid w:val="005D4EF2"/>
    <w:rsid w:val="005D761E"/>
    <w:rsid w:val="005D7F8C"/>
    <w:rsid w:val="005E1ED0"/>
    <w:rsid w:val="005E36D8"/>
    <w:rsid w:val="005E5C5A"/>
    <w:rsid w:val="005E5E67"/>
    <w:rsid w:val="005E7300"/>
    <w:rsid w:val="005E789A"/>
    <w:rsid w:val="005E7A68"/>
    <w:rsid w:val="005E7E51"/>
    <w:rsid w:val="005F07E8"/>
    <w:rsid w:val="005F0824"/>
    <w:rsid w:val="005F1BBE"/>
    <w:rsid w:val="005F21DE"/>
    <w:rsid w:val="005F279E"/>
    <w:rsid w:val="005F2F65"/>
    <w:rsid w:val="005F3872"/>
    <w:rsid w:val="005F4374"/>
    <w:rsid w:val="005F45F6"/>
    <w:rsid w:val="005F483C"/>
    <w:rsid w:val="005F4848"/>
    <w:rsid w:val="005F5E9E"/>
    <w:rsid w:val="005F6252"/>
    <w:rsid w:val="005F6827"/>
    <w:rsid w:val="005F6CC9"/>
    <w:rsid w:val="005F7178"/>
    <w:rsid w:val="005F78E4"/>
    <w:rsid w:val="00600169"/>
    <w:rsid w:val="00600A90"/>
    <w:rsid w:val="00600CEB"/>
    <w:rsid w:val="0060115C"/>
    <w:rsid w:val="0060139C"/>
    <w:rsid w:val="00602464"/>
    <w:rsid w:val="006047E8"/>
    <w:rsid w:val="00606E6F"/>
    <w:rsid w:val="00607EDC"/>
    <w:rsid w:val="00610238"/>
    <w:rsid w:val="00611957"/>
    <w:rsid w:val="00611B47"/>
    <w:rsid w:val="00612F69"/>
    <w:rsid w:val="00615292"/>
    <w:rsid w:val="006160B3"/>
    <w:rsid w:val="006160EC"/>
    <w:rsid w:val="00617AF5"/>
    <w:rsid w:val="00617CB0"/>
    <w:rsid w:val="00620D0F"/>
    <w:rsid w:val="00621B8F"/>
    <w:rsid w:val="0062373D"/>
    <w:rsid w:val="0062506D"/>
    <w:rsid w:val="00625174"/>
    <w:rsid w:val="00625877"/>
    <w:rsid w:val="006260CA"/>
    <w:rsid w:val="00626DB8"/>
    <w:rsid w:val="00627301"/>
    <w:rsid w:val="00630CFA"/>
    <w:rsid w:val="0063138E"/>
    <w:rsid w:val="00631745"/>
    <w:rsid w:val="006326B9"/>
    <w:rsid w:val="00634B79"/>
    <w:rsid w:val="00634D87"/>
    <w:rsid w:val="00636070"/>
    <w:rsid w:val="0063705A"/>
    <w:rsid w:val="0063770C"/>
    <w:rsid w:val="0063774F"/>
    <w:rsid w:val="00637B0E"/>
    <w:rsid w:val="00637E37"/>
    <w:rsid w:val="00640FEA"/>
    <w:rsid w:val="006416FD"/>
    <w:rsid w:val="006419C5"/>
    <w:rsid w:val="00642E88"/>
    <w:rsid w:val="0064389D"/>
    <w:rsid w:val="006443B1"/>
    <w:rsid w:val="0064488F"/>
    <w:rsid w:val="0064509E"/>
    <w:rsid w:val="0064569A"/>
    <w:rsid w:val="006467ED"/>
    <w:rsid w:val="006469E2"/>
    <w:rsid w:val="0065228C"/>
    <w:rsid w:val="0065342E"/>
    <w:rsid w:val="006536D5"/>
    <w:rsid w:val="006546FE"/>
    <w:rsid w:val="00654D0C"/>
    <w:rsid w:val="00655A86"/>
    <w:rsid w:val="00656C6E"/>
    <w:rsid w:val="006623B6"/>
    <w:rsid w:val="00666801"/>
    <w:rsid w:val="00667D06"/>
    <w:rsid w:val="006703BA"/>
    <w:rsid w:val="006721C9"/>
    <w:rsid w:val="00673A34"/>
    <w:rsid w:val="00673D73"/>
    <w:rsid w:val="0067646C"/>
    <w:rsid w:val="006779BF"/>
    <w:rsid w:val="00681309"/>
    <w:rsid w:val="00681CB8"/>
    <w:rsid w:val="0068391E"/>
    <w:rsid w:val="00684A69"/>
    <w:rsid w:val="00685052"/>
    <w:rsid w:val="00686ADF"/>
    <w:rsid w:val="00686EDF"/>
    <w:rsid w:val="00690E59"/>
    <w:rsid w:val="00690E85"/>
    <w:rsid w:val="00694296"/>
    <w:rsid w:val="00694E78"/>
    <w:rsid w:val="00696F3C"/>
    <w:rsid w:val="0069712A"/>
    <w:rsid w:val="00697A82"/>
    <w:rsid w:val="00697AF9"/>
    <w:rsid w:val="006A0361"/>
    <w:rsid w:val="006A41AF"/>
    <w:rsid w:val="006A5938"/>
    <w:rsid w:val="006A5B96"/>
    <w:rsid w:val="006A64BF"/>
    <w:rsid w:val="006A6A5C"/>
    <w:rsid w:val="006A6F3F"/>
    <w:rsid w:val="006A79B3"/>
    <w:rsid w:val="006A7B83"/>
    <w:rsid w:val="006B00CA"/>
    <w:rsid w:val="006B022F"/>
    <w:rsid w:val="006B12EA"/>
    <w:rsid w:val="006B1718"/>
    <w:rsid w:val="006B1860"/>
    <w:rsid w:val="006B190F"/>
    <w:rsid w:val="006B2065"/>
    <w:rsid w:val="006B3D91"/>
    <w:rsid w:val="006B4AA0"/>
    <w:rsid w:val="006B600B"/>
    <w:rsid w:val="006B6F2C"/>
    <w:rsid w:val="006B6FA4"/>
    <w:rsid w:val="006B70D2"/>
    <w:rsid w:val="006C0545"/>
    <w:rsid w:val="006C0554"/>
    <w:rsid w:val="006C34B9"/>
    <w:rsid w:val="006C40B2"/>
    <w:rsid w:val="006C4875"/>
    <w:rsid w:val="006C4912"/>
    <w:rsid w:val="006C57D2"/>
    <w:rsid w:val="006C7B21"/>
    <w:rsid w:val="006D0058"/>
    <w:rsid w:val="006D1EF8"/>
    <w:rsid w:val="006E0C8B"/>
    <w:rsid w:val="006E21FB"/>
    <w:rsid w:val="006E2B43"/>
    <w:rsid w:val="006E2B85"/>
    <w:rsid w:val="006E2F26"/>
    <w:rsid w:val="006E3D3D"/>
    <w:rsid w:val="006E3D43"/>
    <w:rsid w:val="006E4685"/>
    <w:rsid w:val="006E48A8"/>
    <w:rsid w:val="006E593D"/>
    <w:rsid w:val="006E7607"/>
    <w:rsid w:val="006E7AE8"/>
    <w:rsid w:val="006F0CE8"/>
    <w:rsid w:val="006F1063"/>
    <w:rsid w:val="006F1FA5"/>
    <w:rsid w:val="006F4999"/>
    <w:rsid w:val="006F51B3"/>
    <w:rsid w:val="006F594B"/>
    <w:rsid w:val="006F6F12"/>
    <w:rsid w:val="007009A6"/>
    <w:rsid w:val="00706176"/>
    <w:rsid w:val="0070617A"/>
    <w:rsid w:val="0071207E"/>
    <w:rsid w:val="00712A7A"/>
    <w:rsid w:val="007138D9"/>
    <w:rsid w:val="00714D1C"/>
    <w:rsid w:val="007203D9"/>
    <w:rsid w:val="007205C6"/>
    <w:rsid w:val="00721752"/>
    <w:rsid w:val="00725EE2"/>
    <w:rsid w:val="007260A4"/>
    <w:rsid w:val="007271F6"/>
    <w:rsid w:val="0072785D"/>
    <w:rsid w:val="0073003C"/>
    <w:rsid w:val="00730093"/>
    <w:rsid w:val="007302DD"/>
    <w:rsid w:val="00731726"/>
    <w:rsid w:val="00731814"/>
    <w:rsid w:val="007319B6"/>
    <w:rsid w:val="00731A9F"/>
    <w:rsid w:val="0073208F"/>
    <w:rsid w:val="00732F2A"/>
    <w:rsid w:val="00734EAC"/>
    <w:rsid w:val="00736559"/>
    <w:rsid w:val="00736AC1"/>
    <w:rsid w:val="007379D8"/>
    <w:rsid w:val="00737EAD"/>
    <w:rsid w:val="00740AB5"/>
    <w:rsid w:val="00741A78"/>
    <w:rsid w:val="00742304"/>
    <w:rsid w:val="00742D92"/>
    <w:rsid w:val="00746653"/>
    <w:rsid w:val="00747D3B"/>
    <w:rsid w:val="00751178"/>
    <w:rsid w:val="00751C75"/>
    <w:rsid w:val="00760C6C"/>
    <w:rsid w:val="00760DC4"/>
    <w:rsid w:val="007614B1"/>
    <w:rsid w:val="0076162A"/>
    <w:rsid w:val="00761B50"/>
    <w:rsid w:val="00762DE4"/>
    <w:rsid w:val="0076404D"/>
    <w:rsid w:val="00764B29"/>
    <w:rsid w:val="00764B2B"/>
    <w:rsid w:val="007652DB"/>
    <w:rsid w:val="00765ABB"/>
    <w:rsid w:val="00766048"/>
    <w:rsid w:val="0076685B"/>
    <w:rsid w:val="0077101D"/>
    <w:rsid w:val="00771F3A"/>
    <w:rsid w:val="00772041"/>
    <w:rsid w:val="00772204"/>
    <w:rsid w:val="0077232F"/>
    <w:rsid w:val="0077288F"/>
    <w:rsid w:val="007736F2"/>
    <w:rsid w:val="00774183"/>
    <w:rsid w:val="007749F9"/>
    <w:rsid w:val="007753C5"/>
    <w:rsid w:val="007774A4"/>
    <w:rsid w:val="00777660"/>
    <w:rsid w:val="007821DA"/>
    <w:rsid w:val="00782F75"/>
    <w:rsid w:val="00783ECD"/>
    <w:rsid w:val="007844AC"/>
    <w:rsid w:val="00784554"/>
    <w:rsid w:val="007846D7"/>
    <w:rsid w:val="00790567"/>
    <w:rsid w:val="00790ED5"/>
    <w:rsid w:val="0079137F"/>
    <w:rsid w:val="00791757"/>
    <w:rsid w:val="0079482A"/>
    <w:rsid w:val="00795B04"/>
    <w:rsid w:val="00797E32"/>
    <w:rsid w:val="00797E98"/>
    <w:rsid w:val="007A05E7"/>
    <w:rsid w:val="007A1087"/>
    <w:rsid w:val="007A2A88"/>
    <w:rsid w:val="007A3D09"/>
    <w:rsid w:val="007A58F7"/>
    <w:rsid w:val="007B064F"/>
    <w:rsid w:val="007B13ED"/>
    <w:rsid w:val="007B33A9"/>
    <w:rsid w:val="007B459B"/>
    <w:rsid w:val="007B4F58"/>
    <w:rsid w:val="007B6296"/>
    <w:rsid w:val="007B6616"/>
    <w:rsid w:val="007B66B4"/>
    <w:rsid w:val="007B7DDF"/>
    <w:rsid w:val="007C0C55"/>
    <w:rsid w:val="007C1095"/>
    <w:rsid w:val="007C2C40"/>
    <w:rsid w:val="007C3A7D"/>
    <w:rsid w:val="007C53B5"/>
    <w:rsid w:val="007C6423"/>
    <w:rsid w:val="007D1B8E"/>
    <w:rsid w:val="007D2A23"/>
    <w:rsid w:val="007D32B3"/>
    <w:rsid w:val="007D346E"/>
    <w:rsid w:val="007D3769"/>
    <w:rsid w:val="007D46BF"/>
    <w:rsid w:val="007D6017"/>
    <w:rsid w:val="007D68E6"/>
    <w:rsid w:val="007D6C95"/>
    <w:rsid w:val="007E14EA"/>
    <w:rsid w:val="007E3842"/>
    <w:rsid w:val="007E3DE0"/>
    <w:rsid w:val="007E5890"/>
    <w:rsid w:val="007E6452"/>
    <w:rsid w:val="007F095A"/>
    <w:rsid w:val="007F26CC"/>
    <w:rsid w:val="007F2B38"/>
    <w:rsid w:val="007F2C74"/>
    <w:rsid w:val="007F40E9"/>
    <w:rsid w:val="007F491D"/>
    <w:rsid w:val="007F49FD"/>
    <w:rsid w:val="007F49FF"/>
    <w:rsid w:val="007F4E5D"/>
    <w:rsid w:val="007F63F8"/>
    <w:rsid w:val="00800E45"/>
    <w:rsid w:val="00800EDC"/>
    <w:rsid w:val="008012A2"/>
    <w:rsid w:val="008027CD"/>
    <w:rsid w:val="00802DB3"/>
    <w:rsid w:val="00804345"/>
    <w:rsid w:val="00806554"/>
    <w:rsid w:val="00806A87"/>
    <w:rsid w:val="0081032E"/>
    <w:rsid w:val="00812A9C"/>
    <w:rsid w:val="00813F51"/>
    <w:rsid w:val="0081527B"/>
    <w:rsid w:val="00816106"/>
    <w:rsid w:val="008176BC"/>
    <w:rsid w:val="00817B93"/>
    <w:rsid w:val="00820FE1"/>
    <w:rsid w:val="008213C6"/>
    <w:rsid w:val="008234AA"/>
    <w:rsid w:val="0082350E"/>
    <w:rsid w:val="00827036"/>
    <w:rsid w:val="00830283"/>
    <w:rsid w:val="00830B6F"/>
    <w:rsid w:val="0083250E"/>
    <w:rsid w:val="00842C37"/>
    <w:rsid w:val="00843CD7"/>
    <w:rsid w:val="00845F77"/>
    <w:rsid w:val="00847626"/>
    <w:rsid w:val="008477CF"/>
    <w:rsid w:val="008520A0"/>
    <w:rsid w:val="00854CDA"/>
    <w:rsid w:val="00854E8A"/>
    <w:rsid w:val="0085524D"/>
    <w:rsid w:val="0085538D"/>
    <w:rsid w:val="00855446"/>
    <w:rsid w:val="00864374"/>
    <w:rsid w:val="00864BB3"/>
    <w:rsid w:val="00867ADE"/>
    <w:rsid w:val="00870930"/>
    <w:rsid w:val="00870E6D"/>
    <w:rsid w:val="00871505"/>
    <w:rsid w:val="00872721"/>
    <w:rsid w:val="00872DD6"/>
    <w:rsid w:val="00874724"/>
    <w:rsid w:val="0087751E"/>
    <w:rsid w:val="00877EBF"/>
    <w:rsid w:val="008801CF"/>
    <w:rsid w:val="00880F57"/>
    <w:rsid w:val="008838A0"/>
    <w:rsid w:val="00891A95"/>
    <w:rsid w:val="00894330"/>
    <w:rsid w:val="0089471C"/>
    <w:rsid w:val="008955BC"/>
    <w:rsid w:val="00895883"/>
    <w:rsid w:val="00895FCC"/>
    <w:rsid w:val="008971ED"/>
    <w:rsid w:val="00897271"/>
    <w:rsid w:val="008979DE"/>
    <w:rsid w:val="00897D7F"/>
    <w:rsid w:val="008A0865"/>
    <w:rsid w:val="008A1281"/>
    <w:rsid w:val="008A1C69"/>
    <w:rsid w:val="008A2246"/>
    <w:rsid w:val="008A24D9"/>
    <w:rsid w:val="008A2FAF"/>
    <w:rsid w:val="008A608F"/>
    <w:rsid w:val="008A768C"/>
    <w:rsid w:val="008B0553"/>
    <w:rsid w:val="008B375E"/>
    <w:rsid w:val="008B4ACF"/>
    <w:rsid w:val="008B7579"/>
    <w:rsid w:val="008C14ED"/>
    <w:rsid w:val="008C2D41"/>
    <w:rsid w:val="008C37ED"/>
    <w:rsid w:val="008C4213"/>
    <w:rsid w:val="008C4AD7"/>
    <w:rsid w:val="008C66A5"/>
    <w:rsid w:val="008C7077"/>
    <w:rsid w:val="008C7FEC"/>
    <w:rsid w:val="008D042E"/>
    <w:rsid w:val="008D27EF"/>
    <w:rsid w:val="008D4192"/>
    <w:rsid w:val="008D4E96"/>
    <w:rsid w:val="008D52E9"/>
    <w:rsid w:val="008D6846"/>
    <w:rsid w:val="008D6E98"/>
    <w:rsid w:val="008D74B1"/>
    <w:rsid w:val="008E202D"/>
    <w:rsid w:val="008E2086"/>
    <w:rsid w:val="008E2E8C"/>
    <w:rsid w:val="008E2F91"/>
    <w:rsid w:val="008E4700"/>
    <w:rsid w:val="008E7BAC"/>
    <w:rsid w:val="008F0285"/>
    <w:rsid w:val="008F10A7"/>
    <w:rsid w:val="008F22D8"/>
    <w:rsid w:val="008F331F"/>
    <w:rsid w:val="008F5059"/>
    <w:rsid w:val="008F7638"/>
    <w:rsid w:val="008F780A"/>
    <w:rsid w:val="008F79EB"/>
    <w:rsid w:val="00903027"/>
    <w:rsid w:val="00903E05"/>
    <w:rsid w:val="009041FC"/>
    <w:rsid w:val="00905372"/>
    <w:rsid w:val="00905F85"/>
    <w:rsid w:val="00906E99"/>
    <w:rsid w:val="009071E3"/>
    <w:rsid w:val="009071EF"/>
    <w:rsid w:val="0091088F"/>
    <w:rsid w:val="009113E0"/>
    <w:rsid w:val="00911500"/>
    <w:rsid w:val="00912235"/>
    <w:rsid w:val="009135A9"/>
    <w:rsid w:val="009164BB"/>
    <w:rsid w:val="009212C8"/>
    <w:rsid w:val="009213CE"/>
    <w:rsid w:val="0092156C"/>
    <w:rsid w:val="009220DE"/>
    <w:rsid w:val="00923328"/>
    <w:rsid w:val="009256A9"/>
    <w:rsid w:val="009263CD"/>
    <w:rsid w:val="009269D4"/>
    <w:rsid w:val="00930C46"/>
    <w:rsid w:val="0093140B"/>
    <w:rsid w:val="00931C1C"/>
    <w:rsid w:val="00931C9E"/>
    <w:rsid w:val="00932556"/>
    <w:rsid w:val="00934A0A"/>
    <w:rsid w:val="00934E29"/>
    <w:rsid w:val="00940AED"/>
    <w:rsid w:val="009418C7"/>
    <w:rsid w:val="00941DA6"/>
    <w:rsid w:val="00941FFD"/>
    <w:rsid w:val="00944B92"/>
    <w:rsid w:val="00944D1A"/>
    <w:rsid w:val="009454BA"/>
    <w:rsid w:val="00946DED"/>
    <w:rsid w:val="00950040"/>
    <w:rsid w:val="00951F0A"/>
    <w:rsid w:val="00954968"/>
    <w:rsid w:val="0095711D"/>
    <w:rsid w:val="00960C7D"/>
    <w:rsid w:val="0096167B"/>
    <w:rsid w:val="009616FE"/>
    <w:rsid w:val="00961F6D"/>
    <w:rsid w:val="00962E14"/>
    <w:rsid w:val="009630C1"/>
    <w:rsid w:val="00963553"/>
    <w:rsid w:val="00963E23"/>
    <w:rsid w:val="00965623"/>
    <w:rsid w:val="009658C7"/>
    <w:rsid w:val="009659CD"/>
    <w:rsid w:val="009669C4"/>
    <w:rsid w:val="00966D8F"/>
    <w:rsid w:val="00967C64"/>
    <w:rsid w:val="00967D71"/>
    <w:rsid w:val="009738DD"/>
    <w:rsid w:val="0097490D"/>
    <w:rsid w:val="00975858"/>
    <w:rsid w:val="0097662E"/>
    <w:rsid w:val="0097694E"/>
    <w:rsid w:val="00976EE4"/>
    <w:rsid w:val="00977DA3"/>
    <w:rsid w:val="00980E90"/>
    <w:rsid w:val="00981005"/>
    <w:rsid w:val="00984529"/>
    <w:rsid w:val="009875D2"/>
    <w:rsid w:val="00991DBD"/>
    <w:rsid w:val="009931F2"/>
    <w:rsid w:val="0099491D"/>
    <w:rsid w:val="009964D8"/>
    <w:rsid w:val="009A08BF"/>
    <w:rsid w:val="009A1781"/>
    <w:rsid w:val="009A28E6"/>
    <w:rsid w:val="009A475C"/>
    <w:rsid w:val="009A6836"/>
    <w:rsid w:val="009A77BF"/>
    <w:rsid w:val="009B0D58"/>
    <w:rsid w:val="009B12F3"/>
    <w:rsid w:val="009B1B1A"/>
    <w:rsid w:val="009B2072"/>
    <w:rsid w:val="009B28F9"/>
    <w:rsid w:val="009B37FC"/>
    <w:rsid w:val="009B44B1"/>
    <w:rsid w:val="009B5D36"/>
    <w:rsid w:val="009B6336"/>
    <w:rsid w:val="009B6CD5"/>
    <w:rsid w:val="009B7F51"/>
    <w:rsid w:val="009C03A0"/>
    <w:rsid w:val="009C0FB5"/>
    <w:rsid w:val="009C17A2"/>
    <w:rsid w:val="009C2EC3"/>
    <w:rsid w:val="009C33DE"/>
    <w:rsid w:val="009C3AA0"/>
    <w:rsid w:val="009C4B93"/>
    <w:rsid w:val="009C501F"/>
    <w:rsid w:val="009C7E3E"/>
    <w:rsid w:val="009D02D4"/>
    <w:rsid w:val="009D0B79"/>
    <w:rsid w:val="009D1443"/>
    <w:rsid w:val="009D1ABC"/>
    <w:rsid w:val="009D28B9"/>
    <w:rsid w:val="009D2C76"/>
    <w:rsid w:val="009D3C8F"/>
    <w:rsid w:val="009D4398"/>
    <w:rsid w:val="009E074A"/>
    <w:rsid w:val="009E2692"/>
    <w:rsid w:val="009E302C"/>
    <w:rsid w:val="009E4C5A"/>
    <w:rsid w:val="009F091B"/>
    <w:rsid w:val="009F0F3B"/>
    <w:rsid w:val="009F1770"/>
    <w:rsid w:val="009F26EA"/>
    <w:rsid w:val="009F2CD0"/>
    <w:rsid w:val="009F3147"/>
    <w:rsid w:val="009F59C1"/>
    <w:rsid w:val="009F61E2"/>
    <w:rsid w:val="009F7AA9"/>
    <w:rsid w:val="00A004DE"/>
    <w:rsid w:val="00A00925"/>
    <w:rsid w:val="00A00EC6"/>
    <w:rsid w:val="00A0158E"/>
    <w:rsid w:val="00A01ADF"/>
    <w:rsid w:val="00A02543"/>
    <w:rsid w:val="00A02CC1"/>
    <w:rsid w:val="00A04315"/>
    <w:rsid w:val="00A04953"/>
    <w:rsid w:val="00A05380"/>
    <w:rsid w:val="00A1025E"/>
    <w:rsid w:val="00A12AC3"/>
    <w:rsid w:val="00A12DCD"/>
    <w:rsid w:val="00A12F74"/>
    <w:rsid w:val="00A15BD9"/>
    <w:rsid w:val="00A15E07"/>
    <w:rsid w:val="00A1679F"/>
    <w:rsid w:val="00A16B19"/>
    <w:rsid w:val="00A17766"/>
    <w:rsid w:val="00A213AB"/>
    <w:rsid w:val="00A213D1"/>
    <w:rsid w:val="00A2149B"/>
    <w:rsid w:val="00A21A30"/>
    <w:rsid w:val="00A2204C"/>
    <w:rsid w:val="00A232D6"/>
    <w:rsid w:val="00A2360D"/>
    <w:rsid w:val="00A26DC1"/>
    <w:rsid w:val="00A30A66"/>
    <w:rsid w:val="00A315C2"/>
    <w:rsid w:val="00A3288C"/>
    <w:rsid w:val="00A32F53"/>
    <w:rsid w:val="00A336B0"/>
    <w:rsid w:val="00A35053"/>
    <w:rsid w:val="00A3505F"/>
    <w:rsid w:val="00A35BE6"/>
    <w:rsid w:val="00A36133"/>
    <w:rsid w:val="00A37D6D"/>
    <w:rsid w:val="00A4064D"/>
    <w:rsid w:val="00A412C6"/>
    <w:rsid w:val="00A418AA"/>
    <w:rsid w:val="00A42635"/>
    <w:rsid w:val="00A43B38"/>
    <w:rsid w:val="00A45A82"/>
    <w:rsid w:val="00A475F5"/>
    <w:rsid w:val="00A5078D"/>
    <w:rsid w:val="00A525A9"/>
    <w:rsid w:val="00A52802"/>
    <w:rsid w:val="00A52E7B"/>
    <w:rsid w:val="00A5339A"/>
    <w:rsid w:val="00A62616"/>
    <w:rsid w:val="00A62AFE"/>
    <w:rsid w:val="00A63AD4"/>
    <w:rsid w:val="00A64826"/>
    <w:rsid w:val="00A65EBA"/>
    <w:rsid w:val="00A66926"/>
    <w:rsid w:val="00A70B16"/>
    <w:rsid w:val="00A714F4"/>
    <w:rsid w:val="00A71F42"/>
    <w:rsid w:val="00A74BCF"/>
    <w:rsid w:val="00A752AB"/>
    <w:rsid w:val="00A77E45"/>
    <w:rsid w:val="00A809B8"/>
    <w:rsid w:val="00A81011"/>
    <w:rsid w:val="00A85AF9"/>
    <w:rsid w:val="00A85D37"/>
    <w:rsid w:val="00A86E7C"/>
    <w:rsid w:val="00A873AC"/>
    <w:rsid w:val="00A87BB3"/>
    <w:rsid w:val="00A91F95"/>
    <w:rsid w:val="00A957BB"/>
    <w:rsid w:val="00A95E59"/>
    <w:rsid w:val="00A9663F"/>
    <w:rsid w:val="00A97DDC"/>
    <w:rsid w:val="00AA02BD"/>
    <w:rsid w:val="00AA1BD7"/>
    <w:rsid w:val="00AA217F"/>
    <w:rsid w:val="00AA264C"/>
    <w:rsid w:val="00AA37D0"/>
    <w:rsid w:val="00AA6054"/>
    <w:rsid w:val="00AA78AE"/>
    <w:rsid w:val="00AA7D2C"/>
    <w:rsid w:val="00AB1B16"/>
    <w:rsid w:val="00AB23D4"/>
    <w:rsid w:val="00AB2A57"/>
    <w:rsid w:val="00AB309B"/>
    <w:rsid w:val="00AB7FE4"/>
    <w:rsid w:val="00AC0747"/>
    <w:rsid w:val="00AC1622"/>
    <w:rsid w:val="00AC1D45"/>
    <w:rsid w:val="00AC4702"/>
    <w:rsid w:val="00AC52C6"/>
    <w:rsid w:val="00AC569D"/>
    <w:rsid w:val="00AC75E3"/>
    <w:rsid w:val="00AC7D09"/>
    <w:rsid w:val="00AD268C"/>
    <w:rsid w:val="00AD2BA8"/>
    <w:rsid w:val="00AD3A80"/>
    <w:rsid w:val="00AD3E4C"/>
    <w:rsid w:val="00AD40E0"/>
    <w:rsid w:val="00AD4203"/>
    <w:rsid w:val="00AD42F3"/>
    <w:rsid w:val="00AD476A"/>
    <w:rsid w:val="00AD48E3"/>
    <w:rsid w:val="00AD53F1"/>
    <w:rsid w:val="00AD5835"/>
    <w:rsid w:val="00AE2217"/>
    <w:rsid w:val="00AE2E06"/>
    <w:rsid w:val="00AE589A"/>
    <w:rsid w:val="00AE7155"/>
    <w:rsid w:val="00AE74F9"/>
    <w:rsid w:val="00AF0AF6"/>
    <w:rsid w:val="00AF31C7"/>
    <w:rsid w:val="00AF73B1"/>
    <w:rsid w:val="00B00762"/>
    <w:rsid w:val="00B024B5"/>
    <w:rsid w:val="00B02ACE"/>
    <w:rsid w:val="00B03634"/>
    <w:rsid w:val="00B03780"/>
    <w:rsid w:val="00B037B3"/>
    <w:rsid w:val="00B06A06"/>
    <w:rsid w:val="00B07010"/>
    <w:rsid w:val="00B10BE3"/>
    <w:rsid w:val="00B12662"/>
    <w:rsid w:val="00B12EDD"/>
    <w:rsid w:val="00B134EA"/>
    <w:rsid w:val="00B17FB6"/>
    <w:rsid w:val="00B21556"/>
    <w:rsid w:val="00B21726"/>
    <w:rsid w:val="00B2202F"/>
    <w:rsid w:val="00B23EA7"/>
    <w:rsid w:val="00B24217"/>
    <w:rsid w:val="00B246E0"/>
    <w:rsid w:val="00B24841"/>
    <w:rsid w:val="00B25E4B"/>
    <w:rsid w:val="00B26092"/>
    <w:rsid w:val="00B26316"/>
    <w:rsid w:val="00B27EDA"/>
    <w:rsid w:val="00B30239"/>
    <w:rsid w:val="00B306DD"/>
    <w:rsid w:val="00B31DEA"/>
    <w:rsid w:val="00B31FB3"/>
    <w:rsid w:val="00B325AA"/>
    <w:rsid w:val="00B34564"/>
    <w:rsid w:val="00B347B5"/>
    <w:rsid w:val="00B364D5"/>
    <w:rsid w:val="00B37CFE"/>
    <w:rsid w:val="00B43795"/>
    <w:rsid w:val="00B44CA5"/>
    <w:rsid w:val="00B46B7F"/>
    <w:rsid w:val="00B46D3B"/>
    <w:rsid w:val="00B47966"/>
    <w:rsid w:val="00B51060"/>
    <w:rsid w:val="00B5255F"/>
    <w:rsid w:val="00B52584"/>
    <w:rsid w:val="00B52697"/>
    <w:rsid w:val="00B562D5"/>
    <w:rsid w:val="00B565AA"/>
    <w:rsid w:val="00B56E3A"/>
    <w:rsid w:val="00B62370"/>
    <w:rsid w:val="00B6349E"/>
    <w:rsid w:val="00B6414B"/>
    <w:rsid w:val="00B644DB"/>
    <w:rsid w:val="00B6615E"/>
    <w:rsid w:val="00B66E98"/>
    <w:rsid w:val="00B70F31"/>
    <w:rsid w:val="00B73101"/>
    <w:rsid w:val="00B73A44"/>
    <w:rsid w:val="00B73B1F"/>
    <w:rsid w:val="00B73C2E"/>
    <w:rsid w:val="00B775C7"/>
    <w:rsid w:val="00B805AF"/>
    <w:rsid w:val="00B8174D"/>
    <w:rsid w:val="00B83965"/>
    <w:rsid w:val="00B8601D"/>
    <w:rsid w:val="00B86993"/>
    <w:rsid w:val="00B86DC9"/>
    <w:rsid w:val="00B909B7"/>
    <w:rsid w:val="00B923D4"/>
    <w:rsid w:val="00B92D55"/>
    <w:rsid w:val="00B93F8A"/>
    <w:rsid w:val="00B941BD"/>
    <w:rsid w:val="00B9422E"/>
    <w:rsid w:val="00B95FFF"/>
    <w:rsid w:val="00B96430"/>
    <w:rsid w:val="00B96692"/>
    <w:rsid w:val="00B97C89"/>
    <w:rsid w:val="00BA08F2"/>
    <w:rsid w:val="00BA0AD7"/>
    <w:rsid w:val="00BA2ED9"/>
    <w:rsid w:val="00BA3382"/>
    <w:rsid w:val="00BA5138"/>
    <w:rsid w:val="00BA589A"/>
    <w:rsid w:val="00BA6343"/>
    <w:rsid w:val="00BA67CC"/>
    <w:rsid w:val="00BB0460"/>
    <w:rsid w:val="00BB0897"/>
    <w:rsid w:val="00BB15F0"/>
    <w:rsid w:val="00BB26DE"/>
    <w:rsid w:val="00BB397D"/>
    <w:rsid w:val="00BB4B7D"/>
    <w:rsid w:val="00BB5239"/>
    <w:rsid w:val="00BB70BC"/>
    <w:rsid w:val="00BB74F7"/>
    <w:rsid w:val="00BB7A3F"/>
    <w:rsid w:val="00BB7CAC"/>
    <w:rsid w:val="00BC2654"/>
    <w:rsid w:val="00BC2C74"/>
    <w:rsid w:val="00BC4803"/>
    <w:rsid w:val="00BC4C54"/>
    <w:rsid w:val="00BC5882"/>
    <w:rsid w:val="00BC5CFD"/>
    <w:rsid w:val="00BC6C14"/>
    <w:rsid w:val="00BC75B1"/>
    <w:rsid w:val="00BD00B5"/>
    <w:rsid w:val="00BD26B9"/>
    <w:rsid w:val="00BD58C3"/>
    <w:rsid w:val="00BD676B"/>
    <w:rsid w:val="00BE06D1"/>
    <w:rsid w:val="00BE0917"/>
    <w:rsid w:val="00BE1AD7"/>
    <w:rsid w:val="00BE332E"/>
    <w:rsid w:val="00BE38D9"/>
    <w:rsid w:val="00BE6509"/>
    <w:rsid w:val="00BE7470"/>
    <w:rsid w:val="00BF08D9"/>
    <w:rsid w:val="00BF2954"/>
    <w:rsid w:val="00BF3A12"/>
    <w:rsid w:val="00BF3A43"/>
    <w:rsid w:val="00BF3B52"/>
    <w:rsid w:val="00BF4462"/>
    <w:rsid w:val="00BF4511"/>
    <w:rsid w:val="00BF4537"/>
    <w:rsid w:val="00BF4690"/>
    <w:rsid w:val="00BF5234"/>
    <w:rsid w:val="00BF63E2"/>
    <w:rsid w:val="00BF6471"/>
    <w:rsid w:val="00BF7E17"/>
    <w:rsid w:val="00BF7EEB"/>
    <w:rsid w:val="00C03218"/>
    <w:rsid w:val="00C035BD"/>
    <w:rsid w:val="00C038B5"/>
    <w:rsid w:val="00C03F67"/>
    <w:rsid w:val="00C05386"/>
    <w:rsid w:val="00C053C9"/>
    <w:rsid w:val="00C063FF"/>
    <w:rsid w:val="00C06C09"/>
    <w:rsid w:val="00C077F2"/>
    <w:rsid w:val="00C1051E"/>
    <w:rsid w:val="00C12DD2"/>
    <w:rsid w:val="00C1437B"/>
    <w:rsid w:val="00C15FFA"/>
    <w:rsid w:val="00C170F9"/>
    <w:rsid w:val="00C17D78"/>
    <w:rsid w:val="00C20175"/>
    <w:rsid w:val="00C20872"/>
    <w:rsid w:val="00C2153E"/>
    <w:rsid w:val="00C2165B"/>
    <w:rsid w:val="00C2295A"/>
    <w:rsid w:val="00C25C42"/>
    <w:rsid w:val="00C26618"/>
    <w:rsid w:val="00C274CC"/>
    <w:rsid w:val="00C27F47"/>
    <w:rsid w:val="00C30F9D"/>
    <w:rsid w:val="00C3329B"/>
    <w:rsid w:val="00C3330D"/>
    <w:rsid w:val="00C358A6"/>
    <w:rsid w:val="00C36C79"/>
    <w:rsid w:val="00C37429"/>
    <w:rsid w:val="00C37FA9"/>
    <w:rsid w:val="00C41255"/>
    <w:rsid w:val="00C416FF"/>
    <w:rsid w:val="00C41F65"/>
    <w:rsid w:val="00C43F4E"/>
    <w:rsid w:val="00C4712E"/>
    <w:rsid w:val="00C51FB2"/>
    <w:rsid w:val="00C5207C"/>
    <w:rsid w:val="00C52E1F"/>
    <w:rsid w:val="00C54195"/>
    <w:rsid w:val="00C571B4"/>
    <w:rsid w:val="00C57C96"/>
    <w:rsid w:val="00C607C7"/>
    <w:rsid w:val="00C60D4A"/>
    <w:rsid w:val="00C61BC5"/>
    <w:rsid w:val="00C627DD"/>
    <w:rsid w:val="00C62C54"/>
    <w:rsid w:val="00C62CE4"/>
    <w:rsid w:val="00C635C4"/>
    <w:rsid w:val="00C63DD5"/>
    <w:rsid w:val="00C64CE2"/>
    <w:rsid w:val="00C65176"/>
    <w:rsid w:val="00C6655C"/>
    <w:rsid w:val="00C66967"/>
    <w:rsid w:val="00C67561"/>
    <w:rsid w:val="00C7044A"/>
    <w:rsid w:val="00C72BA6"/>
    <w:rsid w:val="00C74BAB"/>
    <w:rsid w:val="00C776CA"/>
    <w:rsid w:val="00C80399"/>
    <w:rsid w:val="00C8103B"/>
    <w:rsid w:val="00C810C0"/>
    <w:rsid w:val="00C83274"/>
    <w:rsid w:val="00C833BE"/>
    <w:rsid w:val="00C8383B"/>
    <w:rsid w:val="00C8467A"/>
    <w:rsid w:val="00C864A2"/>
    <w:rsid w:val="00C8754F"/>
    <w:rsid w:val="00C87D96"/>
    <w:rsid w:val="00C90EC9"/>
    <w:rsid w:val="00C91CCB"/>
    <w:rsid w:val="00C92DB6"/>
    <w:rsid w:val="00C93814"/>
    <w:rsid w:val="00C94732"/>
    <w:rsid w:val="00C957B9"/>
    <w:rsid w:val="00C96C07"/>
    <w:rsid w:val="00CA09AA"/>
    <w:rsid w:val="00CA3A0D"/>
    <w:rsid w:val="00CA45A7"/>
    <w:rsid w:val="00CA5CC1"/>
    <w:rsid w:val="00CA60F2"/>
    <w:rsid w:val="00CA7862"/>
    <w:rsid w:val="00CB1B1C"/>
    <w:rsid w:val="00CB485D"/>
    <w:rsid w:val="00CB5CA9"/>
    <w:rsid w:val="00CB6BE7"/>
    <w:rsid w:val="00CB72D8"/>
    <w:rsid w:val="00CC07F8"/>
    <w:rsid w:val="00CC1A4F"/>
    <w:rsid w:val="00CC27C0"/>
    <w:rsid w:val="00CC2E3B"/>
    <w:rsid w:val="00CC4619"/>
    <w:rsid w:val="00CD09AB"/>
    <w:rsid w:val="00CD154F"/>
    <w:rsid w:val="00CD48AD"/>
    <w:rsid w:val="00CD7C9A"/>
    <w:rsid w:val="00CE0A3E"/>
    <w:rsid w:val="00CE0D44"/>
    <w:rsid w:val="00CE1F98"/>
    <w:rsid w:val="00CE36A0"/>
    <w:rsid w:val="00CE51ED"/>
    <w:rsid w:val="00CE52C9"/>
    <w:rsid w:val="00CE5370"/>
    <w:rsid w:val="00CE7230"/>
    <w:rsid w:val="00CE7768"/>
    <w:rsid w:val="00CE7C03"/>
    <w:rsid w:val="00CF060B"/>
    <w:rsid w:val="00CF2DAA"/>
    <w:rsid w:val="00CF2E1E"/>
    <w:rsid w:val="00CF4943"/>
    <w:rsid w:val="00CF55BC"/>
    <w:rsid w:val="00CF5D75"/>
    <w:rsid w:val="00CF5DF4"/>
    <w:rsid w:val="00CF6425"/>
    <w:rsid w:val="00CF7367"/>
    <w:rsid w:val="00CF7379"/>
    <w:rsid w:val="00CF7595"/>
    <w:rsid w:val="00CF7ABC"/>
    <w:rsid w:val="00D007ED"/>
    <w:rsid w:val="00D02C8C"/>
    <w:rsid w:val="00D03666"/>
    <w:rsid w:val="00D062A7"/>
    <w:rsid w:val="00D065D0"/>
    <w:rsid w:val="00D06AE9"/>
    <w:rsid w:val="00D1321E"/>
    <w:rsid w:val="00D14EF1"/>
    <w:rsid w:val="00D15CE9"/>
    <w:rsid w:val="00D163E2"/>
    <w:rsid w:val="00D16426"/>
    <w:rsid w:val="00D16CF7"/>
    <w:rsid w:val="00D16EB8"/>
    <w:rsid w:val="00D17099"/>
    <w:rsid w:val="00D20251"/>
    <w:rsid w:val="00D202E1"/>
    <w:rsid w:val="00D219B8"/>
    <w:rsid w:val="00D31E83"/>
    <w:rsid w:val="00D3230E"/>
    <w:rsid w:val="00D3282D"/>
    <w:rsid w:val="00D32FE9"/>
    <w:rsid w:val="00D33107"/>
    <w:rsid w:val="00D35E09"/>
    <w:rsid w:val="00D40F06"/>
    <w:rsid w:val="00D41C7C"/>
    <w:rsid w:val="00D42DE3"/>
    <w:rsid w:val="00D4432A"/>
    <w:rsid w:val="00D4437C"/>
    <w:rsid w:val="00D44738"/>
    <w:rsid w:val="00D47EE8"/>
    <w:rsid w:val="00D50471"/>
    <w:rsid w:val="00D508FB"/>
    <w:rsid w:val="00D50FB3"/>
    <w:rsid w:val="00D52F2A"/>
    <w:rsid w:val="00D53E28"/>
    <w:rsid w:val="00D54EEC"/>
    <w:rsid w:val="00D565E9"/>
    <w:rsid w:val="00D56C2E"/>
    <w:rsid w:val="00D5779D"/>
    <w:rsid w:val="00D57F85"/>
    <w:rsid w:val="00D614C2"/>
    <w:rsid w:val="00D621BB"/>
    <w:rsid w:val="00D63029"/>
    <w:rsid w:val="00D63CBF"/>
    <w:rsid w:val="00D63E48"/>
    <w:rsid w:val="00D63FAC"/>
    <w:rsid w:val="00D67F46"/>
    <w:rsid w:val="00D70961"/>
    <w:rsid w:val="00D7150B"/>
    <w:rsid w:val="00D71AC2"/>
    <w:rsid w:val="00D73A10"/>
    <w:rsid w:val="00D7668F"/>
    <w:rsid w:val="00D77108"/>
    <w:rsid w:val="00D8036F"/>
    <w:rsid w:val="00D834F2"/>
    <w:rsid w:val="00D83D8B"/>
    <w:rsid w:val="00D847BC"/>
    <w:rsid w:val="00D85030"/>
    <w:rsid w:val="00D85F8B"/>
    <w:rsid w:val="00D9044C"/>
    <w:rsid w:val="00D9235E"/>
    <w:rsid w:val="00D92BBD"/>
    <w:rsid w:val="00D94307"/>
    <w:rsid w:val="00D947D1"/>
    <w:rsid w:val="00D97D4A"/>
    <w:rsid w:val="00DA15B3"/>
    <w:rsid w:val="00DA23B0"/>
    <w:rsid w:val="00DA4B4C"/>
    <w:rsid w:val="00DA5185"/>
    <w:rsid w:val="00DB0A37"/>
    <w:rsid w:val="00DB2310"/>
    <w:rsid w:val="00DB46CB"/>
    <w:rsid w:val="00DB5F91"/>
    <w:rsid w:val="00DB6690"/>
    <w:rsid w:val="00DB7A66"/>
    <w:rsid w:val="00DC1322"/>
    <w:rsid w:val="00DC18EA"/>
    <w:rsid w:val="00DC456E"/>
    <w:rsid w:val="00DC497A"/>
    <w:rsid w:val="00DC50F4"/>
    <w:rsid w:val="00DC71C3"/>
    <w:rsid w:val="00DC7F94"/>
    <w:rsid w:val="00DD0798"/>
    <w:rsid w:val="00DD43FE"/>
    <w:rsid w:val="00DD6D46"/>
    <w:rsid w:val="00DD72D3"/>
    <w:rsid w:val="00DD7ECC"/>
    <w:rsid w:val="00DE053B"/>
    <w:rsid w:val="00DE0CD6"/>
    <w:rsid w:val="00DE2029"/>
    <w:rsid w:val="00DE24E7"/>
    <w:rsid w:val="00DE411A"/>
    <w:rsid w:val="00DE5159"/>
    <w:rsid w:val="00DE5B17"/>
    <w:rsid w:val="00DE6A6B"/>
    <w:rsid w:val="00DE6C02"/>
    <w:rsid w:val="00DF27BE"/>
    <w:rsid w:val="00DF2F59"/>
    <w:rsid w:val="00DF5203"/>
    <w:rsid w:val="00DF5B7D"/>
    <w:rsid w:val="00DF5BD6"/>
    <w:rsid w:val="00DF5D7E"/>
    <w:rsid w:val="00DF68A9"/>
    <w:rsid w:val="00E00075"/>
    <w:rsid w:val="00E015C1"/>
    <w:rsid w:val="00E01ACB"/>
    <w:rsid w:val="00E03228"/>
    <w:rsid w:val="00E0362E"/>
    <w:rsid w:val="00E0661B"/>
    <w:rsid w:val="00E06698"/>
    <w:rsid w:val="00E071DD"/>
    <w:rsid w:val="00E10A0A"/>
    <w:rsid w:val="00E11D79"/>
    <w:rsid w:val="00E14B62"/>
    <w:rsid w:val="00E1621F"/>
    <w:rsid w:val="00E17879"/>
    <w:rsid w:val="00E2052E"/>
    <w:rsid w:val="00E2461E"/>
    <w:rsid w:val="00E25870"/>
    <w:rsid w:val="00E264B1"/>
    <w:rsid w:val="00E275A2"/>
    <w:rsid w:val="00E27D1C"/>
    <w:rsid w:val="00E30729"/>
    <w:rsid w:val="00E30D7D"/>
    <w:rsid w:val="00E310A7"/>
    <w:rsid w:val="00E31A04"/>
    <w:rsid w:val="00E347F7"/>
    <w:rsid w:val="00E35197"/>
    <w:rsid w:val="00E44BB2"/>
    <w:rsid w:val="00E478CF"/>
    <w:rsid w:val="00E47B43"/>
    <w:rsid w:val="00E507F7"/>
    <w:rsid w:val="00E5081A"/>
    <w:rsid w:val="00E5118E"/>
    <w:rsid w:val="00E52D09"/>
    <w:rsid w:val="00E551F9"/>
    <w:rsid w:val="00E55EAE"/>
    <w:rsid w:val="00E564DD"/>
    <w:rsid w:val="00E567F5"/>
    <w:rsid w:val="00E62A90"/>
    <w:rsid w:val="00E6391F"/>
    <w:rsid w:val="00E63DF2"/>
    <w:rsid w:val="00E64578"/>
    <w:rsid w:val="00E66AE8"/>
    <w:rsid w:val="00E67A35"/>
    <w:rsid w:val="00E71ABE"/>
    <w:rsid w:val="00E729A3"/>
    <w:rsid w:val="00E72B1E"/>
    <w:rsid w:val="00E73BA4"/>
    <w:rsid w:val="00E73EBC"/>
    <w:rsid w:val="00E74E33"/>
    <w:rsid w:val="00E75B77"/>
    <w:rsid w:val="00E763EC"/>
    <w:rsid w:val="00E800A2"/>
    <w:rsid w:val="00E800F8"/>
    <w:rsid w:val="00E8040E"/>
    <w:rsid w:val="00E80FC4"/>
    <w:rsid w:val="00E82B9B"/>
    <w:rsid w:val="00E8435D"/>
    <w:rsid w:val="00E868E6"/>
    <w:rsid w:val="00E868F7"/>
    <w:rsid w:val="00E90AB7"/>
    <w:rsid w:val="00E91EC9"/>
    <w:rsid w:val="00E9209F"/>
    <w:rsid w:val="00E9276B"/>
    <w:rsid w:val="00E92818"/>
    <w:rsid w:val="00E933FB"/>
    <w:rsid w:val="00E935B5"/>
    <w:rsid w:val="00E938F8"/>
    <w:rsid w:val="00E942FA"/>
    <w:rsid w:val="00E94E20"/>
    <w:rsid w:val="00E978AA"/>
    <w:rsid w:val="00EA1C7F"/>
    <w:rsid w:val="00EA2353"/>
    <w:rsid w:val="00EA3163"/>
    <w:rsid w:val="00EA35B7"/>
    <w:rsid w:val="00EA39FB"/>
    <w:rsid w:val="00EA6381"/>
    <w:rsid w:val="00EA7C38"/>
    <w:rsid w:val="00EB00AD"/>
    <w:rsid w:val="00EB012B"/>
    <w:rsid w:val="00EB0ECD"/>
    <w:rsid w:val="00EB265C"/>
    <w:rsid w:val="00EB2772"/>
    <w:rsid w:val="00EB4715"/>
    <w:rsid w:val="00EB6463"/>
    <w:rsid w:val="00EB6507"/>
    <w:rsid w:val="00EB79FB"/>
    <w:rsid w:val="00EC346A"/>
    <w:rsid w:val="00EC3EE2"/>
    <w:rsid w:val="00EC62CB"/>
    <w:rsid w:val="00EC6949"/>
    <w:rsid w:val="00EC6EB3"/>
    <w:rsid w:val="00EC76B9"/>
    <w:rsid w:val="00EC7B1E"/>
    <w:rsid w:val="00ED0216"/>
    <w:rsid w:val="00ED090F"/>
    <w:rsid w:val="00ED0D4A"/>
    <w:rsid w:val="00ED1E1D"/>
    <w:rsid w:val="00ED24AC"/>
    <w:rsid w:val="00ED2E1B"/>
    <w:rsid w:val="00ED45BA"/>
    <w:rsid w:val="00ED6C81"/>
    <w:rsid w:val="00ED6D00"/>
    <w:rsid w:val="00EE0994"/>
    <w:rsid w:val="00EE12A6"/>
    <w:rsid w:val="00EE1714"/>
    <w:rsid w:val="00EE1C49"/>
    <w:rsid w:val="00EE30DD"/>
    <w:rsid w:val="00EE5FA1"/>
    <w:rsid w:val="00EE78C7"/>
    <w:rsid w:val="00EF0B36"/>
    <w:rsid w:val="00EF13E9"/>
    <w:rsid w:val="00EF1500"/>
    <w:rsid w:val="00EF1D20"/>
    <w:rsid w:val="00EF4021"/>
    <w:rsid w:val="00EF4ADD"/>
    <w:rsid w:val="00EF4FA3"/>
    <w:rsid w:val="00EF54ED"/>
    <w:rsid w:val="00EF5718"/>
    <w:rsid w:val="00EF68EC"/>
    <w:rsid w:val="00EF71E3"/>
    <w:rsid w:val="00F031A1"/>
    <w:rsid w:val="00F0367C"/>
    <w:rsid w:val="00F04CE3"/>
    <w:rsid w:val="00F07D68"/>
    <w:rsid w:val="00F11281"/>
    <w:rsid w:val="00F1161D"/>
    <w:rsid w:val="00F12119"/>
    <w:rsid w:val="00F1232D"/>
    <w:rsid w:val="00F12599"/>
    <w:rsid w:val="00F13600"/>
    <w:rsid w:val="00F1362F"/>
    <w:rsid w:val="00F14475"/>
    <w:rsid w:val="00F16DC8"/>
    <w:rsid w:val="00F213E1"/>
    <w:rsid w:val="00F24FB3"/>
    <w:rsid w:val="00F254FE"/>
    <w:rsid w:val="00F261AC"/>
    <w:rsid w:val="00F26289"/>
    <w:rsid w:val="00F26761"/>
    <w:rsid w:val="00F267B0"/>
    <w:rsid w:val="00F275E0"/>
    <w:rsid w:val="00F346AB"/>
    <w:rsid w:val="00F36139"/>
    <w:rsid w:val="00F37922"/>
    <w:rsid w:val="00F40051"/>
    <w:rsid w:val="00F41938"/>
    <w:rsid w:val="00F41C2A"/>
    <w:rsid w:val="00F42EE1"/>
    <w:rsid w:val="00F42FAC"/>
    <w:rsid w:val="00F44DEC"/>
    <w:rsid w:val="00F50A9C"/>
    <w:rsid w:val="00F51265"/>
    <w:rsid w:val="00F51812"/>
    <w:rsid w:val="00F52F23"/>
    <w:rsid w:val="00F53FDA"/>
    <w:rsid w:val="00F549D5"/>
    <w:rsid w:val="00F55406"/>
    <w:rsid w:val="00F55558"/>
    <w:rsid w:val="00F561BE"/>
    <w:rsid w:val="00F56A67"/>
    <w:rsid w:val="00F5720E"/>
    <w:rsid w:val="00F61B93"/>
    <w:rsid w:val="00F61D08"/>
    <w:rsid w:val="00F63AED"/>
    <w:rsid w:val="00F63EAD"/>
    <w:rsid w:val="00F646EC"/>
    <w:rsid w:val="00F6511D"/>
    <w:rsid w:val="00F65959"/>
    <w:rsid w:val="00F67356"/>
    <w:rsid w:val="00F70AC8"/>
    <w:rsid w:val="00F7116A"/>
    <w:rsid w:val="00F71D59"/>
    <w:rsid w:val="00F76909"/>
    <w:rsid w:val="00F77955"/>
    <w:rsid w:val="00F80DFF"/>
    <w:rsid w:val="00F8161F"/>
    <w:rsid w:val="00F83C4A"/>
    <w:rsid w:val="00F83E5A"/>
    <w:rsid w:val="00F84480"/>
    <w:rsid w:val="00F8479F"/>
    <w:rsid w:val="00F85B11"/>
    <w:rsid w:val="00F86A98"/>
    <w:rsid w:val="00F86D39"/>
    <w:rsid w:val="00F9005E"/>
    <w:rsid w:val="00F903A5"/>
    <w:rsid w:val="00F921BE"/>
    <w:rsid w:val="00F923D7"/>
    <w:rsid w:val="00F92866"/>
    <w:rsid w:val="00F930EA"/>
    <w:rsid w:val="00F94A22"/>
    <w:rsid w:val="00F95D54"/>
    <w:rsid w:val="00F95E68"/>
    <w:rsid w:val="00F96D8E"/>
    <w:rsid w:val="00FA02F0"/>
    <w:rsid w:val="00FA243C"/>
    <w:rsid w:val="00FA3401"/>
    <w:rsid w:val="00FA3D73"/>
    <w:rsid w:val="00FA4F6C"/>
    <w:rsid w:val="00FA54E2"/>
    <w:rsid w:val="00FB03AE"/>
    <w:rsid w:val="00FB0E1C"/>
    <w:rsid w:val="00FB1339"/>
    <w:rsid w:val="00FB2D32"/>
    <w:rsid w:val="00FB3080"/>
    <w:rsid w:val="00FB339C"/>
    <w:rsid w:val="00FB573B"/>
    <w:rsid w:val="00FB6388"/>
    <w:rsid w:val="00FB64DF"/>
    <w:rsid w:val="00FB694C"/>
    <w:rsid w:val="00FB6959"/>
    <w:rsid w:val="00FB74C4"/>
    <w:rsid w:val="00FB772A"/>
    <w:rsid w:val="00FC0B20"/>
    <w:rsid w:val="00FC1729"/>
    <w:rsid w:val="00FC276C"/>
    <w:rsid w:val="00FC29A3"/>
    <w:rsid w:val="00FC3164"/>
    <w:rsid w:val="00FC40D1"/>
    <w:rsid w:val="00FC4BF9"/>
    <w:rsid w:val="00FC50A4"/>
    <w:rsid w:val="00FC5B8A"/>
    <w:rsid w:val="00FC7278"/>
    <w:rsid w:val="00FC7D82"/>
    <w:rsid w:val="00FD018C"/>
    <w:rsid w:val="00FD0291"/>
    <w:rsid w:val="00FD04CB"/>
    <w:rsid w:val="00FD07E0"/>
    <w:rsid w:val="00FD0F70"/>
    <w:rsid w:val="00FD11B0"/>
    <w:rsid w:val="00FD1D48"/>
    <w:rsid w:val="00FD4CB6"/>
    <w:rsid w:val="00FD5259"/>
    <w:rsid w:val="00FD5896"/>
    <w:rsid w:val="00FD5E65"/>
    <w:rsid w:val="00FE0835"/>
    <w:rsid w:val="00FE0B44"/>
    <w:rsid w:val="00FE0D68"/>
    <w:rsid w:val="00FE14AF"/>
    <w:rsid w:val="00FE3FA1"/>
    <w:rsid w:val="00FE45A6"/>
    <w:rsid w:val="00FE526A"/>
    <w:rsid w:val="00FE53B5"/>
    <w:rsid w:val="00FE7B5B"/>
    <w:rsid w:val="00FF13BE"/>
    <w:rsid w:val="00FF1D15"/>
    <w:rsid w:val="00FF2315"/>
    <w:rsid w:val="00FF33AB"/>
    <w:rsid w:val="00FF5F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09B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82A"/>
    <w:pPr>
      <w:jc w:val="both"/>
    </w:pPr>
  </w:style>
  <w:style w:type="paragraph" w:styleId="Heading1">
    <w:name w:val="heading 1"/>
    <w:basedOn w:val="Normal"/>
    <w:next w:val="Normal"/>
    <w:link w:val="Heading1Char"/>
    <w:uiPriority w:val="9"/>
    <w:qFormat/>
    <w:rsid w:val="00A04315"/>
    <w:pPr>
      <w:keepNext/>
      <w:keepLines/>
      <w:numPr>
        <w:numId w:val="23"/>
      </w:numPr>
      <w:spacing w:before="240" w:after="360" w:line="240" w:lineRule="auto"/>
      <w:ind w:left="431" w:hanging="431"/>
      <w:outlineLvl w:val="0"/>
    </w:pPr>
    <w:rPr>
      <w:rFonts w:asciiTheme="majorHAnsi" w:eastAsiaTheme="majorEastAsia" w:hAnsiTheme="majorHAnsi" w:cstheme="majorBidi"/>
      <w:b/>
      <w:color w:val="1F4E79" w:themeColor="accent1" w:themeShade="80"/>
      <w:sz w:val="36"/>
      <w:szCs w:val="32"/>
    </w:rPr>
  </w:style>
  <w:style w:type="paragraph" w:styleId="Heading2">
    <w:name w:val="heading 2"/>
    <w:basedOn w:val="Normal"/>
    <w:next w:val="Normal"/>
    <w:link w:val="Heading2Char"/>
    <w:uiPriority w:val="9"/>
    <w:unhideWhenUsed/>
    <w:qFormat/>
    <w:rsid w:val="00797E32"/>
    <w:pPr>
      <w:keepNext/>
      <w:keepLines/>
      <w:numPr>
        <w:ilvl w:val="1"/>
        <w:numId w:val="23"/>
      </w:numPr>
      <w:spacing w:before="240" w:after="240"/>
      <w:ind w:left="578" w:hanging="578"/>
      <w:outlineLvl w:val="1"/>
    </w:pPr>
    <w:rPr>
      <w:rFonts w:asciiTheme="majorHAnsi" w:eastAsiaTheme="majorEastAsia" w:hAnsiTheme="majorHAnsi" w:cstheme="majorBidi"/>
      <w:b/>
      <w:color w:val="2E74B5" w:themeColor="accent1" w:themeShade="BF"/>
      <w:sz w:val="32"/>
      <w:szCs w:val="26"/>
    </w:rPr>
  </w:style>
  <w:style w:type="paragraph" w:styleId="Heading3">
    <w:name w:val="heading 3"/>
    <w:basedOn w:val="Normal"/>
    <w:next w:val="Normal"/>
    <w:link w:val="Heading3Char"/>
    <w:uiPriority w:val="9"/>
    <w:unhideWhenUsed/>
    <w:qFormat/>
    <w:rsid w:val="003532DA"/>
    <w:pPr>
      <w:keepNext/>
      <w:keepLines/>
      <w:numPr>
        <w:ilvl w:val="2"/>
        <w:numId w:val="23"/>
      </w:numPr>
      <w:spacing w:before="40" w:after="240"/>
      <w:outlineLvl w:val="2"/>
    </w:pPr>
    <w:rPr>
      <w:rFonts w:asciiTheme="majorHAnsi" w:eastAsiaTheme="majorEastAsia" w:hAnsiTheme="majorHAnsi" w:cstheme="majorBidi"/>
      <w:color w:val="1F4D78" w:themeColor="accent1" w:themeShade="7F"/>
      <w:sz w:val="28"/>
      <w:szCs w:val="28"/>
    </w:rPr>
  </w:style>
  <w:style w:type="paragraph" w:styleId="Heading4">
    <w:name w:val="heading 4"/>
    <w:basedOn w:val="Normal"/>
    <w:next w:val="Normal"/>
    <w:link w:val="Heading4Char"/>
    <w:uiPriority w:val="9"/>
    <w:semiHidden/>
    <w:unhideWhenUsed/>
    <w:qFormat/>
    <w:rsid w:val="00742D92"/>
    <w:pPr>
      <w:keepNext/>
      <w:keepLines/>
      <w:numPr>
        <w:ilvl w:val="3"/>
        <w:numId w:val="2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2D92"/>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2D92"/>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42D92"/>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42D92"/>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2D92"/>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7ECC"/>
    <w:rPr>
      <w:sz w:val="16"/>
      <w:szCs w:val="16"/>
    </w:rPr>
  </w:style>
  <w:style w:type="paragraph" w:styleId="CommentText">
    <w:name w:val="annotation text"/>
    <w:basedOn w:val="Normal"/>
    <w:link w:val="CommentTextChar"/>
    <w:uiPriority w:val="99"/>
    <w:unhideWhenUsed/>
    <w:rsid w:val="00DD7ECC"/>
    <w:pPr>
      <w:spacing w:line="240" w:lineRule="auto"/>
    </w:pPr>
    <w:rPr>
      <w:sz w:val="20"/>
      <w:szCs w:val="20"/>
    </w:rPr>
  </w:style>
  <w:style w:type="character" w:customStyle="1" w:styleId="CommentTextChar">
    <w:name w:val="Comment Text Char"/>
    <w:basedOn w:val="DefaultParagraphFont"/>
    <w:link w:val="CommentText"/>
    <w:uiPriority w:val="99"/>
    <w:rsid w:val="00DD7ECC"/>
    <w:rPr>
      <w:sz w:val="20"/>
      <w:szCs w:val="20"/>
    </w:rPr>
  </w:style>
  <w:style w:type="paragraph" w:styleId="CommentSubject">
    <w:name w:val="annotation subject"/>
    <w:basedOn w:val="CommentText"/>
    <w:next w:val="CommentText"/>
    <w:link w:val="CommentSubjectChar"/>
    <w:uiPriority w:val="99"/>
    <w:semiHidden/>
    <w:unhideWhenUsed/>
    <w:rsid w:val="00DD7ECC"/>
    <w:rPr>
      <w:b/>
      <w:bCs/>
    </w:rPr>
  </w:style>
  <w:style w:type="character" w:customStyle="1" w:styleId="CommentSubjectChar">
    <w:name w:val="Comment Subject Char"/>
    <w:basedOn w:val="CommentTextChar"/>
    <w:link w:val="CommentSubject"/>
    <w:uiPriority w:val="99"/>
    <w:semiHidden/>
    <w:rsid w:val="00DD7ECC"/>
    <w:rPr>
      <w:b/>
      <w:bCs/>
      <w:sz w:val="20"/>
      <w:szCs w:val="20"/>
    </w:rPr>
  </w:style>
  <w:style w:type="paragraph" w:styleId="BalloonText">
    <w:name w:val="Balloon Text"/>
    <w:basedOn w:val="Normal"/>
    <w:link w:val="BalloonTextChar"/>
    <w:uiPriority w:val="99"/>
    <w:semiHidden/>
    <w:unhideWhenUsed/>
    <w:rsid w:val="00DD7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ECC"/>
    <w:rPr>
      <w:rFonts w:ascii="Segoe UI" w:hAnsi="Segoe UI" w:cs="Segoe UI"/>
      <w:sz w:val="18"/>
      <w:szCs w:val="18"/>
    </w:rPr>
  </w:style>
  <w:style w:type="paragraph" w:styleId="ListParagraph">
    <w:name w:val="List Paragraph"/>
    <w:basedOn w:val="Normal"/>
    <w:uiPriority w:val="34"/>
    <w:qFormat/>
    <w:rsid w:val="00802DB3"/>
    <w:pPr>
      <w:ind w:left="720"/>
      <w:contextualSpacing/>
    </w:pPr>
  </w:style>
  <w:style w:type="paragraph" w:styleId="FootnoteText">
    <w:name w:val="footnote text"/>
    <w:basedOn w:val="Normal"/>
    <w:link w:val="FootnoteTextChar"/>
    <w:uiPriority w:val="99"/>
    <w:unhideWhenUsed/>
    <w:rsid w:val="00FB339C"/>
    <w:pPr>
      <w:spacing w:after="0" w:line="240" w:lineRule="auto"/>
    </w:pPr>
    <w:rPr>
      <w:sz w:val="20"/>
      <w:szCs w:val="20"/>
    </w:rPr>
  </w:style>
  <w:style w:type="character" w:customStyle="1" w:styleId="FootnoteTextChar">
    <w:name w:val="Footnote Text Char"/>
    <w:basedOn w:val="DefaultParagraphFont"/>
    <w:link w:val="FootnoteText"/>
    <w:uiPriority w:val="99"/>
    <w:rsid w:val="00FB339C"/>
    <w:rPr>
      <w:sz w:val="20"/>
      <w:szCs w:val="20"/>
    </w:rPr>
  </w:style>
  <w:style w:type="character" w:styleId="FootnoteReference">
    <w:name w:val="footnote reference"/>
    <w:basedOn w:val="DefaultParagraphFont"/>
    <w:uiPriority w:val="99"/>
    <w:semiHidden/>
    <w:unhideWhenUsed/>
    <w:rsid w:val="00FB339C"/>
    <w:rPr>
      <w:vertAlign w:val="superscript"/>
    </w:rPr>
  </w:style>
  <w:style w:type="table" w:styleId="TableGrid">
    <w:name w:val="Table Grid"/>
    <w:basedOn w:val="TableNormal"/>
    <w:uiPriority w:val="59"/>
    <w:rsid w:val="00421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5DA"/>
  </w:style>
  <w:style w:type="paragraph" w:styleId="Footer">
    <w:name w:val="footer"/>
    <w:basedOn w:val="Normal"/>
    <w:link w:val="FooterChar"/>
    <w:uiPriority w:val="99"/>
    <w:unhideWhenUsed/>
    <w:rsid w:val="00421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5DA"/>
  </w:style>
  <w:style w:type="paragraph" w:styleId="Caption">
    <w:name w:val="caption"/>
    <w:basedOn w:val="Normal"/>
    <w:next w:val="Normal"/>
    <w:uiPriority w:val="35"/>
    <w:unhideWhenUsed/>
    <w:rsid w:val="00CD154F"/>
    <w:pPr>
      <w:spacing w:after="120" w:line="276" w:lineRule="auto"/>
    </w:pPr>
    <w:rPr>
      <w:rFonts w:cstheme="minorHAnsi"/>
      <w:b/>
      <w:bCs/>
      <w:caps/>
      <w:sz w:val="20"/>
      <w:szCs w:val="18"/>
    </w:rPr>
  </w:style>
  <w:style w:type="table" w:styleId="ListTable3-Accent5">
    <w:name w:val="List Table 3 Accent 5"/>
    <w:basedOn w:val="TableNormal"/>
    <w:uiPriority w:val="48"/>
    <w:rsid w:val="00101D9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Heading1Char">
    <w:name w:val="Heading 1 Char"/>
    <w:basedOn w:val="DefaultParagraphFont"/>
    <w:link w:val="Heading1"/>
    <w:uiPriority w:val="9"/>
    <w:rsid w:val="00A04315"/>
    <w:rPr>
      <w:rFonts w:asciiTheme="majorHAnsi" w:eastAsiaTheme="majorEastAsia" w:hAnsiTheme="majorHAnsi" w:cstheme="majorBidi"/>
      <w:b/>
      <w:color w:val="1F4E79" w:themeColor="accent1" w:themeShade="80"/>
      <w:sz w:val="36"/>
      <w:szCs w:val="32"/>
    </w:rPr>
  </w:style>
  <w:style w:type="character" w:customStyle="1" w:styleId="Heading2Char">
    <w:name w:val="Heading 2 Char"/>
    <w:basedOn w:val="DefaultParagraphFont"/>
    <w:link w:val="Heading2"/>
    <w:uiPriority w:val="9"/>
    <w:rsid w:val="00797E32"/>
    <w:rPr>
      <w:rFonts w:asciiTheme="majorHAnsi" w:eastAsiaTheme="majorEastAsia" w:hAnsiTheme="majorHAnsi" w:cstheme="majorBidi"/>
      <w:b/>
      <w:color w:val="2E74B5" w:themeColor="accent1" w:themeShade="BF"/>
      <w:sz w:val="32"/>
      <w:szCs w:val="26"/>
    </w:rPr>
  </w:style>
  <w:style w:type="character" w:customStyle="1" w:styleId="Heading3Char">
    <w:name w:val="Heading 3 Char"/>
    <w:basedOn w:val="DefaultParagraphFont"/>
    <w:link w:val="Heading3"/>
    <w:uiPriority w:val="9"/>
    <w:rsid w:val="003532DA"/>
    <w:rPr>
      <w:rFonts w:asciiTheme="majorHAnsi" w:eastAsiaTheme="majorEastAsia" w:hAnsiTheme="majorHAnsi" w:cstheme="majorBidi"/>
      <w:color w:val="1F4D78" w:themeColor="accent1" w:themeShade="7F"/>
      <w:sz w:val="28"/>
      <w:szCs w:val="28"/>
    </w:rPr>
  </w:style>
  <w:style w:type="character" w:customStyle="1" w:styleId="Heading4Char">
    <w:name w:val="Heading 4 Char"/>
    <w:basedOn w:val="DefaultParagraphFont"/>
    <w:link w:val="Heading4"/>
    <w:uiPriority w:val="9"/>
    <w:semiHidden/>
    <w:rsid w:val="00742D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2D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2D9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42D9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42D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2D9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47EE8"/>
    <w:pPr>
      <w:numPr>
        <w:numId w:val="0"/>
      </w:numPr>
      <w:spacing w:line="259" w:lineRule="auto"/>
      <w:outlineLvl w:val="9"/>
    </w:pPr>
    <w:rPr>
      <w:b w:val="0"/>
      <w:color w:val="2E74B5" w:themeColor="accent1" w:themeShade="BF"/>
      <w:sz w:val="32"/>
      <w:lang w:val="en-US"/>
    </w:rPr>
  </w:style>
  <w:style w:type="paragraph" w:styleId="TOC1">
    <w:name w:val="toc 1"/>
    <w:basedOn w:val="Normal"/>
    <w:next w:val="Normal"/>
    <w:autoRedefine/>
    <w:uiPriority w:val="39"/>
    <w:unhideWhenUsed/>
    <w:rsid w:val="00D47EE8"/>
    <w:pPr>
      <w:spacing w:before="120" w:after="120"/>
      <w:jc w:val="left"/>
    </w:pPr>
    <w:rPr>
      <w:b/>
      <w:bCs/>
      <w:caps/>
      <w:sz w:val="20"/>
      <w:szCs w:val="20"/>
    </w:rPr>
  </w:style>
  <w:style w:type="paragraph" w:styleId="TOC2">
    <w:name w:val="toc 2"/>
    <w:basedOn w:val="Normal"/>
    <w:next w:val="Normal"/>
    <w:autoRedefine/>
    <w:uiPriority w:val="39"/>
    <w:unhideWhenUsed/>
    <w:rsid w:val="00D47EE8"/>
    <w:pPr>
      <w:spacing w:after="0"/>
      <w:ind w:left="220"/>
      <w:jc w:val="left"/>
    </w:pPr>
    <w:rPr>
      <w:smallCaps/>
      <w:sz w:val="20"/>
      <w:szCs w:val="20"/>
    </w:rPr>
  </w:style>
  <w:style w:type="paragraph" w:styleId="TOC3">
    <w:name w:val="toc 3"/>
    <w:basedOn w:val="Normal"/>
    <w:next w:val="Normal"/>
    <w:autoRedefine/>
    <w:uiPriority w:val="39"/>
    <w:unhideWhenUsed/>
    <w:rsid w:val="00D47EE8"/>
    <w:pPr>
      <w:spacing w:after="0"/>
      <w:ind w:left="440"/>
      <w:jc w:val="left"/>
    </w:pPr>
    <w:rPr>
      <w:i/>
      <w:iCs/>
      <w:sz w:val="20"/>
      <w:szCs w:val="20"/>
    </w:rPr>
  </w:style>
  <w:style w:type="character" w:styleId="Hyperlink">
    <w:name w:val="Hyperlink"/>
    <w:basedOn w:val="DefaultParagraphFont"/>
    <w:uiPriority w:val="99"/>
    <w:unhideWhenUsed/>
    <w:rsid w:val="00D47EE8"/>
    <w:rPr>
      <w:color w:val="0563C1" w:themeColor="hyperlink"/>
      <w:u w:val="single"/>
    </w:rPr>
  </w:style>
  <w:style w:type="paragraph" w:styleId="TOC4">
    <w:name w:val="toc 4"/>
    <w:basedOn w:val="Normal"/>
    <w:next w:val="Normal"/>
    <w:autoRedefine/>
    <w:uiPriority w:val="39"/>
    <w:unhideWhenUsed/>
    <w:rsid w:val="00D47EE8"/>
    <w:pPr>
      <w:spacing w:after="0"/>
      <w:ind w:left="660"/>
      <w:jc w:val="left"/>
    </w:pPr>
    <w:rPr>
      <w:sz w:val="18"/>
      <w:szCs w:val="18"/>
    </w:rPr>
  </w:style>
  <w:style w:type="paragraph" w:styleId="TOC5">
    <w:name w:val="toc 5"/>
    <w:basedOn w:val="Normal"/>
    <w:next w:val="Normal"/>
    <w:autoRedefine/>
    <w:uiPriority w:val="39"/>
    <w:unhideWhenUsed/>
    <w:rsid w:val="00D47EE8"/>
    <w:pPr>
      <w:spacing w:after="0"/>
      <w:ind w:left="880"/>
      <w:jc w:val="left"/>
    </w:pPr>
    <w:rPr>
      <w:sz w:val="18"/>
      <w:szCs w:val="18"/>
    </w:rPr>
  </w:style>
  <w:style w:type="paragraph" w:styleId="TOC6">
    <w:name w:val="toc 6"/>
    <w:basedOn w:val="Normal"/>
    <w:next w:val="Normal"/>
    <w:autoRedefine/>
    <w:uiPriority w:val="39"/>
    <w:unhideWhenUsed/>
    <w:rsid w:val="00D47EE8"/>
    <w:pPr>
      <w:spacing w:after="0"/>
      <w:ind w:left="1100"/>
      <w:jc w:val="left"/>
    </w:pPr>
    <w:rPr>
      <w:sz w:val="18"/>
      <w:szCs w:val="18"/>
    </w:rPr>
  </w:style>
  <w:style w:type="paragraph" w:styleId="TOC7">
    <w:name w:val="toc 7"/>
    <w:basedOn w:val="Normal"/>
    <w:next w:val="Normal"/>
    <w:autoRedefine/>
    <w:uiPriority w:val="39"/>
    <w:unhideWhenUsed/>
    <w:rsid w:val="00D47EE8"/>
    <w:pPr>
      <w:spacing w:after="0"/>
      <w:ind w:left="1320"/>
      <w:jc w:val="left"/>
    </w:pPr>
    <w:rPr>
      <w:sz w:val="18"/>
      <w:szCs w:val="18"/>
    </w:rPr>
  </w:style>
  <w:style w:type="paragraph" w:styleId="TOC8">
    <w:name w:val="toc 8"/>
    <w:basedOn w:val="Normal"/>
    <w:next w:val="Normal"/>
    <w:autoRedefine/>
    <w:uiPriority w:val="39"/>
    <w:unhideWhenUsed/>
    <w:rsid w:val="00D47EE8"/>
    <w:pPr>
      <w:spacing w:after="0"/>
      <w:ind w:left="1540"/>
      <w:jc w:val="left"/>
    </w:pPr>
    <w:rPr>
      <w:sz w:val="18"/>
      <w:szCs w:val="18"/>
    </w:rPr>
  </w:style>
  <w:style w:type="paragraph" w:styleId="TOC9">
    <w:name w:val="toc 9"/>
    <w:basedOn w:val="Normal"/>
    <w:next w:val="Normal"/>
    <w:autoRedefine/>
    <w:uiPriority w:val="39"/>
    <w:unhideWhenUsed/>
    <w:rsid w:val="00D47EE8"/>
    <w:pPr>
      <w:spacing w:after="0"/>
      <w:ind w:left="1760"/>
      <w:jc w:val="left"/>
    </w:pPr>
    <w:rPr>
      <w:sz w:val="18"/>
      <w:szCs w:val="18"/>
    </w:rPr>
  </w:style>
  <w:style w:type="table" w:styleId="ListTable3-Accent1">
    <w:name w:val="List Table 3 Accent 1"/>
    <w:basedOn w:val="TableNormal"/>
    <w:uiPriority w:val="48"/>
    <w:rsid w:val="00025A2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ableofFigures">
    <w:name w:val="table of figures"/>
    <w:basedOn w:val="Normal"/>
    <w:next w:val="Normal"/>
    <w:uiPriority w:val="99"/>
    <w:unhideWhenUsed/>
    <w:rsid w:val="00600CEB"/>
    <w:pPr>
      <w:spacing w:after="0"/>
    </w:pPr>
  </w:style>
  <w:style w:type="table" w:styleId="ListTable3">
    <w:name w:val="List Table 3"/>
    <w:basedOn w:val="TableNormal"/>
    <w:uiPriority w:val="48"/>
    <w:rsid w:val="003574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IntenseEmphasis">
    <w:name w:val="Intense Emphasis"/>
    <w:basedOn w:val="DefaultParagraphFont"/>
    <w:uiPriority w:val="21"/>
    <w:qFormat/>
    <w:rsid w:val="00130498"/>
    <w:rPr>
      <w:i/>
      <w:iCs/>
      <w:color w:val="5B9BD5" w:themeColor="accent1"/>
    </w:rPr>
  </w:style>
  <w:style w:type="paragraph" w:styleId="IntenseQuote">
    <w:name w:val="Intense Quote"/>
    <w:basedOn w:val="Normal"/>
    <w:next w:val="Normal"/>
    <w:link w:val="IntenseQuoteChar"/>
    <w:uiPriority w:val="30"/>
    <w:qFormat/>
    <w:rsid w:val="0013049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30498"/>
    <w:rPr>
      <w:i/>
      <w:iCs/>
      <w:color w:val="5B9BD5" w:themeColor="accent1"/>
    </w:rPr>
  </w:style>
  <w:style w:type="table" w:customStyle="1" w:styleId="ListTable3-Accent11">
    <w:name w:val="List Table 3 - Accent 11"/>
    <w:basedOn w:val="TableNormal"/>
    <w:next w:val="ListTable3-Accent1"/>
    <w:uiPriority w:val="48"/>
    <w:rsid w:val="0047524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NormalWeb">
    <w:name w:val="Normal (Web)"/>
    <w:basedOn w:val="Normal"/>
    <w:uiPriority w:val="99"/>
    <w:semiHidden/>
    <w:unhideWhenUsed/>
    <w:rsid w:val="00730093"/>
    <w:rPr>
      <w:rFonts w:ascii="Times New Roman" w:hAnsi="Times New Roman" w:cs="Times New Roman"/>
      <w:sz w:val="24"/>
      <w:szCs w:val="24"/>
    </w:rPr>
  </w:style>
  <w:style w:type="table" w:customStyle="1" w:styleId="ListTable3-Accent12">
    <w:name w:val="List Table 3 - Accent 12"/>
    <w:basedOn w:val="TableNormal"/>
    <w:uiPriority w:val="48"/>
    <w:rsid w:val="00E55EAE"/>
    <w:pPr>
      <w:spacing w:after="0" w:line="240" w:lineRule="auto"/>
    </w:p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styleId="Revision">
    <w:name w:val="Revision"/>
    <w:hidden/>
    <w:uiPriority w:val="99"/>
    <w:semiHidden/>
    <w:rsid w:val="002D33F2"/>
    <w:pPr>
      <w:spacing w:after="0" w:line="240" w:lineRule="auto"/>
    </w:pPr>
  </w:style>
  <w:style w:type="paragraph" w:customStyle="1" w:styleId="Default">
    <w:name w:val="Default"/>
    <w:rsid w:val="002D33F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B4E66"/>
    <w:rPr>
      <w:color w:val="954F72" w:themeColor="followedHyperlink"/>
      <w:u w:val="single"/>
    </w:rPr>
  </w:style>
  <w:style w:type="table" w:customStyle="1" w:styleId="ListTable3-Accent121">
    <w:name w:val="List Table 3 - Accent 121"/>
    <w:basedOn w:val="TableNormal"/>
    <w:uiPriority w:val="48"/>
    <w:rsid w:val="00FA02F0"/>
    <w:pPr>
      <w:spacing w:after="0" w:line="240" w:lineRule="auto"/>
    </w:p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7102">
      <w:bodyDiv w:val="1"/>
      <w:marLeft w:val="0"/>
      <w:marRight w:val="0"/>
      <w:marTop w:val="0"/>
      <w:marBottom w:val="0"/>
      <w:divBdr>
        <w:top w:val="none" w:sz="0" w:space="0" w:color="auto"/>
        <w:left w:val="none" w:sz="0" w:space="0" w:color="auto"/>
        <w:bottom w:val="none" w:sz="0" w:space="0" w:color="auto"/>
        <w:right w:val="none" w:sz="0" w:space="0" w:color="auto"/>
      </w:divBdr>
    </w:div>
    <w:div w:id="101339860">
      <w:bodyDiv w:val="1"/>
      <w:marLeft w:val="0"/>
      <w:marRight w:val="0"/>
      <w:marTop w:val="0"/>
      <w:marBottom w:val="0"/>
      <w:divBdr>
        <w:top w:val="none" w:sz="0" w:space="0" w:color="auto"/>
        <w:left w:val="none" w:sz="0" w:space="0" w:color="auto"/>
        <w:bottom w:val="none" w:sz="0" w:space="0" w:color="auto"/>
        <w:right w:val="none" w:sz="0" w:space="0" w:color="auto"/>
      </w:divBdr>
    </w:div>
    <w:div w:id="126513534">
      <w:bodyDiv w:val="1"/>
      <w:marLeft w:val="0"/>
      <w:marRight w:val="0"/>
      <w:marTop w:val="0"/>
      <w:marBottom w:val="0"/>
      <w:divBdr>
        <w:top w:val="none" w:sz="0" w:space="0" w:color="auto"/>
        <w:left w:val="none" w:sz="0" w:space="0" w:color="auto"/>
        <w:bottom w:val="none" w:sz="0" w:space="0" w:color="auto"/>
        <w:right w:val="none" w:sz="0" w:space="0" w:color="auto"/>
      </w:divBdr>
    </w:div>
    <w:div w:id="148252367">
      <w:bodyDiv w:val="1"/>
      <w:marLeft w:val="0"/>
      <w:marRight w:val="0"/>
      <w:marTop w:val="0"/>
      <w:marBottom w:val="0"/>
      <w:divBdr>
        <w:top w:val="none" w:sz="0" w:space="0" w:color="auto"/>
        <w:left w:val="none" w:sz="0" w:space="0" w:color="auto"/>
        <w:bottom w:val="none" w:sz="0" w:space="0" w:color="auto"/>
        <w:right w:val="none" w:sz="0" w:space="0" w:color="auto"/>
      </w:divBdr>
    </w:div>
    <w:div w:id="188639707">
      <w:bodyDiv w:val="1"/>
      <w:marLeft w:val="0"/>
      <w:marRight w:val="0"/>
      <w:marTop w:val="0"/>
      <w:marBottom w:val="0"/>
      <w:divBdr>
        <w:top w:val="none" w:sz="0" w:space="0" w:color="auto"/>
        <w:left w:val="none" w:sz="0" w:space="0" w:color="auto"/>
        <w:bottom w:val="none" w:sz="0" w:space="0" w:color="auto"/>
        <w:right w:val="none" w:sz="0" w:space="0" w:color="auto"/>
      </w:divBdr>
    </w:div>
    <w:div w:id="200673791">
      <w:bodyDiv w:val="1"/>
      <w:marLeft w:val="0"/>
      <w:marRight w:val="0"/>
      <w:marTop w:val="0"/>
      <w:marBottom w:val="0"/>
      <w:divBdr>
        <w:top w:val="none" w:sz="0" w:space="0" w:color="auto"/>
        <w:left w:val="none" w:sz="0" w:space="0" w:color="auto"/>
        <w:bottom w:val="none" w:sz="0" w:space="0" w:color="auto"/>
        <w:right w:val="none" w:sz="0" w:space="0" w:color="auto"/>
      </w:divBdr>
    </w:div>
    <w:div w:id="236937655">
      <w:bodyDiv w:val="1"/>
      <w:marLeft w:val="0"/>
      <w:marRight w:val="0"/>
      <w:marTop w:val="0"/>
      <w:marBottom w:val="0"/>
      <w:divBdr>
        <w:top w:val="none" w:sz="0" w:space="0" w:color="auto"/>
        <w:left w:val="none" w:sz="0" w:space="0" w:color="auto"/>
        <w:bottom w:val="none" w:sz="0" w:space="0" w:color="auto"/>
        <w:right w:val="none" w:sz="0" w:space="0" w:color="auto"/>
      </w:divBdr>
    </w:div>
    <w:div w:id="237374473">
      <w:bodyDiv w:val="1"/>
      <w:marLeft w:val="0"/>
      <w:marRight w:val="0"/>
      <w:marTop w:val="0"/>
      <w:marBottom w:val="0"/>
      <w:divBdr>
        <w:top w:val="none" w:sz="0" w:space="0" w:color="auto"/>
        <w:left w:val="none" w:sz="0" w:space="0" w:color="auto"/>
        <w:bottom w:val="none" w:sz="0" w:space="0" w:color="auto"/>
        <w:right w:val="none" w:sz="0" w:space="0" w:color="auto"/>
      </w:divBdr>
    </w:div>
    <w:div w:id="266238593">
      <w:bodyDiv w:val="1"/>
      <w:marLeft w:val="0"/>
      <w:marRight w:val="0"/>
      <w:marTop w:val="0"/>
      <w:marBottom w:val="0"/>
      <w:divBdr>
        <w:top w:val="none" w:sz="0" w:space="0" w:color="auto"/>
        <w:left w:val="none" w:sz="0" w:space="0" w:color="auto"/>
        <w:bottom w:val="none" w:sz="0" w:space="0" w:color="auto"/>
        <w:right w:val="none" w:sz="0" w:space="0" w:color="auto"/>
      </w:divBdr>
    </w:div>
    <w:div w:id="284502824">
      <w:bodyDiv w:val="1"/>
      <w:marLeft w:val="0"/>
      <w:marRight w:val="0"/>
      <w:marTop w:val="0"/>
      <w:marBottom w:val="0"/>
      <w:divBdr>
        <w:top w:val="none" w:sz="0" w:space="0" w:color="auto"/>
        <w:left w:val="none" w:sz="0" w:space="0" w:color="auto"/>
        <w:bottom w:val="none" w:sz="0" w:space="0" w:color="auto"/>
        <w:right w:val="none" w:sz="0" w:space="0" w:color="auto"/>
      </w:divBdr>
    </w:div>
    <w:div w:id="312879979">
      <w:bodyDiv w:val="1"/>
      <w:marLeft w:val="0"/>
      <w:marRight w:val="0"/>
      <w:marTop w:val="0"/>
      <w:marBottom w:val="0"/>
      <w:divBdr>
        <w:top w:val="none" w:sz="0" w:space="0" w:color="auto"/>
        <w:left w:val="none" w:sz="0" w:space="0" w:color="auto"/>
        <w:bottom w:val="none" w:sz="0" w:space="0" w:color="auto"/>
        <w:right w:val="none" w:sz="0" w:space="0" w:color="auto"/>
      </w:divBdr>
    </w:div>
    <w:div w:id="330253096">
      <w:bodyDiv w:val="1"/>
      <w:marLeft w:val="0"/>
      <w:marRight w:val="0"/>
      <w:marTop w:val="0"/>
      <w:marBottom w:val="0"/>
      <w:divBdr>
        <w:top w:val="none" w:sz="0" w:space="0" w:color="auto"/>
        <w:left w:val="none" w:sz="0" w:space="0" w:color="auto"/>
        <w:bottom w:val="none" w:sz="0" w:space="0" w:color="auto"/>
        <w:right w:val="none" w:sz="0" w:space="0" w:color="auto"/>
      </w:divBdr>
    </w:div>
    <w:div w:id="437675017">
      <w:bodyDiv w:val="1"/>
      <w:marLeft w:val="0"/>
      <w:marRight w:val="0"/>
      <w:marTop w:val="0"/>
      <w:marBottom w:val="0"/>
      <w:divBdr>
        <w:top w:val="none" w:sz="0" w:space="0" w:color="auto"/>
        <w:left w:val="none" w:sz="0" w:space="0" w:color="auto"/>
        <w:bottom w:val="none" w:sz="0" w:space="0" w:color="auto"/>
        <w:right w:val="none" w:sz="0" w:space="0" w:color="auto"/>
      </w:divBdr>
    </w:div>
    <w:div w:id="458454261">
      <w:bodyDiv w:val="1"/>
      <w:marLeft w:val="0"/>
      <w:marRight w:val="0"/>
      <w:marTop w:val="0"/>
      <w:marBottom w:val="0"/>
      <w:divBdr>
        <w:top w:val="none" w:sz="0" w:space="0" w:color="auto"/>
        <w:left w:val="none" w:sz="0" w:space="0" w:color="auto"/>
        <w:bottom w:val="none" w:sz="0" w:space="0" w:color="auto"/>
        <w:right w:val="none" w:sz="0" w:space="0" w:color="auto"/>
      </w:divBdr>
    </w:div>
    <w:div w:id="460928203">
      <w:bodyDiv w:val="1"/>
      <w:marLeft w:val="0"/>
      <w:marRight w:val="0"/>
      <w:marTop w:val="0"/>
      <w:marBottom w:val="0"/>
      <w:divBdr>
        <w:top w:val="none" w:sz="0" w:space="0" w:color="auto"/>
        <w:left w:val="none" w:sz="0" w:space="0" w:color="auto"/>
        <w:bottom w:val="none" w:sz="0" w:space="0" w:color="auto"/>
        <w:right w:val="none" w:sz="0" w:space="0" w:color="auto"/>
      </w:divBdr>
    </w:div>
    <w:div w:id="475267517">
      <w:bodyDiv w:val="1"/>
      <w:marLeft w:val="0"/>
      <w:marRight w:val="0"/>
      <w:marTop w:val="0"/>
      <w:marBottom w:val="0"/>
      <w:divBdr>
        <w:top w:val="none" w:sz="0" w:space="0" w:color="auto"/>
        <w:left w:val="none" w:sz="0" w:space="0" w:color="auto"/>
        <w:bottom w:val="none" w:sz="0" w:space="0" w:color="auto"/>
        <w:right w:val="none" w:sz="0" w:space="0" w:color="auto"/>
      </w:divBdr>
    </w:div>
    <w:div w:id="486945189">
      <w:bodyDiv w:val="1"/>
      <w:marLeft w:val="0"/>
      <w:marRight w:val="0"/>
      <w:marTop w:val="0"/>
      <w:marBottom w:val="0"/>
      <w:divBdr>
        <w:top w:val="none" w:sz="0" w:space="0" w:color="auto"/>
        <w:left w:val="none" w:sz="0" w:space="0" w:color="auto"/>
        <w:bottom w:val="none" w:sz="0" w:space="0" w:color="auto"/>
        <w:right w:val="none" w:sz="0" w:space="0" w:color="auto"/>
      </w:divBdr>
    </w:div>
    <w:div w:id="520631939">
      <w:bodyDiv w:val="1"/>
      <w:marLeft w:val="0"/>
      <w:marRight w:val="0"/>
      <w:marTop w:val="0"/>
      <w:marBottom w:val="0"/>
      <w:divBdr>
        <w:top w:val="none" w:sz="0" w:space="0" w:color="auto"/>
        <w:left w:val="none" w:sz="0" w:space="0" w:color="auto"/>
        <w:bottom w:val="none" w:sz="0" w:space="0" w:color="auto"/>
        <w:right w:val="none" w:sz="0" w:space="0" w:color="auto"/>
      </w:divBdr>
    </w:div>
    <w:div w:id="525484813">
      <w:bodyDiv w:val="1"/>
      <w:marLeft w:val="0"/>
      <w:marRight w:val="0"/>
      <w:marTop w:val="0"/>
      <w:marBottom w:val="0"/>
      <w:divBdr>
        <w:top w:val="none" w:sz="0" w:space="0" w:color="auto"/>
        <w:left w:val="none" w:sz="0" w:space="0" w:color="auto"/>
        <w:bottom w:val="none" w:sz="0" w:space="0" w:color="auto"/>
        <w:right w:val="none" w:sz="0" w:space="0" w:color="auto"/>
      </w:divBdr>
    </w:div>
    <w:div w:id="551507495">
      <w:bodyDiv w:val="1"/>
      <w:marLeft w:val="0"/>
      <w:marRight w:val="0"/>
      <w:marTop w:val="0"/>
      <w:marBottom w:val="0"/>
      <w:divBdr>
        <w:top w:val="none" w:sz="0" w:space="0" w:color="auto"/>
        <w:left w:val="none" w:sz="0" w:space="0" w:color="auto"/>
        <w:bottom w:val="none" w:sz="0" w:space="0" w:color="auto"/>
        <w:right w:val="none" w:sz="0" w:space="0" w:color="auto"/>
      </w:divBdr>
    </w:div>
    <w:div w:id="553155690">
      <w:bodyDiv w:val="1"/>
      <w:marLeft w:val="0"/>
      <w:marRight w:val="0"/>
      <w:marTop w:val="0"/>
      <w:marBottom w:val="0"/>
      <w:divBdr>
        <w:top w:val="none" w:sz="0" w:space="0" w:color="auto"/>
        <w:left w:val="none" w:sz="0" w:space="0" w:color="auto"/>
        <w:bottom w:val="none" w:sz="0" w:space="0" w:color="auto"/>
        <w:right w:val="none" w:sz="0" w:space="0" w:color="auto"/>
      </w:divBdr>
    </w:div>
    <w:div w:id="588854327">
      <w:bodyDiv w:val="1"/>
      <w:marLeft w:val="0"/>
      <w:marRight w:val="0"/>
      <w:marTop w:val="0"/>
      <w:marBottom w:val="0"/>
      <w:divBdr>
        <w:top w:val="none" w:sz="0" w:space="0" w:color="auto"/>
        <w:left w:val="none" w:sz="0" w:space="0" w:color="auto"/>
        <w:bottom w:val="none" w:sz="0" w:space="0" w:color="auto"/>
        <w:right w:val="none" w:sz="0" w:space="0" w:color="auto"/>
      </w:divBdr>
    </w:div>
    <w:div w:id="589507379">
      <w:bodyDiv w:val="1"/>
      <w:marLeft w:val="0"/>
      <w:marRight w:val="0"/>
      <w:marTop w:val="0"/>
      <w:marBottom w:val="0"/>
      <w:divBdr>
        <w:top w:val="none" w:sz="0" w:space="0" w:color="auto"/>
        <w:left w:val="none" w:sz="0" w:space="0" w:color="auto"/>
        <w:bottom w:val="none" w:sz="0" w:space="0" w:color="auto"/>
        <w:right w:val="none" w:sz="0" w:space="0" w:color="auto"/>
      </w:divBdr>
    </w:div>
    <w:div w:id="632444741">
      <w:bodyDiv w:val="1"/>
      <w:marLeft w:val="0"/>
      <w:marRight w:val="0"/>
      <w:marTop w:val="0"/>
      <w:marBottom w:val="0"/>
      <w:divBdr>
        <w:top w:val="none" w:sz="0" w:space="0" w:color="auto"/>
        <w:left w:val="none" w:sz="0" w:space="0" w:color="auto"/>
        <w:bottom w:val="none" w:sz="0" w:space="0" w:color="auto"/>
        <w:right w:val="none" w:sz="0" w:space="0" w:color="auto"/>
      </w:divBdr>
    </w:div>
    <w:div w:id="663319998">
      <w:bodyDiv w:val="1"/>
      <w:marLeft w:val="0"/>
      <w:marRight w:val="0"/>
      <w:marTop w:val="0"/>
      <w:marBottom w:val="0"/>
      <w:divBdr>
        <w:top w:val="none" w:sz="0" w:space="0" w:color="auto"/>
        <w:left w:val="none" w:sz="0" w:space="0" w:color="auto"/>
        <w:bottom w:val="none" w:sz="0" w:space="0" w:color="auto"/>
        <w:right w:val="none" w:sz="0" w:space="0" w:color="auto"/>
      </w:divBdr>
    </w:div>
    <w:div w:id="706297818">
      <w:bodyDiv w:val="1"/>
      <w:marLeft w:val="0"/>
      <w:marRight w:val="0"/>
      <w:marTop w:val="0"/>
      <w:marBottom w:val="0"/>
      <w:divBdr>
        <w:top w:val="none" w:sz="0" w:space="0" w:color="auto"/>
        <w:left w:val="none" w:sz="0" w:space="0" w:color="auto"/>
        <w:bottom w:val="none" w:sz="0" w:space="0" w:color="auto"/>
        <w:right w:val="none" w:sz="0" w:space="0" w:color="auto"/>
      </w:divBdr>
    </w:div>
    <w:div w:id="717170489">
      <w:bodyDiv w:val="1"/>
      <w:marLeft w:val="0"/>
      <w:marRight w:val="0"/>
      <w:marTop w:val="0"/>
      <w:marBottom w:val="0"/>
      <w:divBdr>
        <w:top w:val="none" w:sz="0" w:space="0" w:color="auto"/>
        <w:left w:val="none" w:sz="0" w:space="0" w:color="auto"/>
        <w:bottom w:val="none" w:sz="0" w:space="0" w:color="auto"/>
        <w:right w:val="none" w:sz="0" w:space="0" w:color="auto"/>
      </w:divBdr>
    </w:div>
    <w:div w:id="723336546">
      <w:bodyDiv w:val="1"/>
      <w:marLeft w:val="0"/>
      <w:marRight w:val="0"/>
      <w:marTop w:val="0"/>
      <w:marBottom w:val="0"/>
      <w:divBdr>
        <w:top w:val="none" w:sz="0" w:space="0" w:color="auto"/>
        <w:left w:val="none" w:sz="0" w:space="0" w:color="auto"/>
        <w:bottom w:val="none" w:sz="0" w:space="0" w:color="auto"/>
        <w:right w:val="none" w:sz="0" w:space="0" w:color="auto"/>
      </w:divBdr>
    </w:div>
    <w:div w:id="755596155">
      <w:bodyDiv w:val="1"/>
      <w:marLeft w:val="0"/>
      <w:marRight w:val="0"/>
      <w:marTop w:val="0"/>
      <w:marBottom w:val="0"/>
      <w:divBdr>
        <w:top w:val="none" w:sz="0" w:space="0" w:color="auto"/>
        <w:left w:val="none" w:sz="0" w:space="0" w:color="auto"/>
        <w:bottom w:val="none" w:sz="0" w:space="0" w:color="auto"/>
        <w:right w:val="none" w:sz="0" w:space="0" w:color="auto"/>
      </w:divBdr>
    </w:div>
    <w:div w:id="782573047">
      <w:bodyDiv w:val="1"/>
      <w:marLeft w:val="0"/>
      <w:marRight w:val="0"/>
      <w:marTop w:val="0"/>
      <w:marBottom w:val="0"/>
      <w:divBdr>
        <w:top w:val="none" w:sz="0" w:space="0" w:color="auto"/>
        <w:left w:val="none" w:sz="0" w:space="0" w:color="auto"/>
        <w:bottom w:val="none" w:sz="0" w:space="0" w:color="auto"/>
        <w:right w:val="none" w:sz="0" w:space="0" w:color="auto"/>
      </w:divBdr>
    </w:div>
    <w:div w:id="794328708">
      <w:bodyDiv w:val="1"/>
      <w:marLeft w:val="0"/>
      <w:marRight w:val="0"/>
      <w:marTop w:val="0"/>
      <w:marBottom w:val="0"/>
      <w:divBdr>
        <w:top w:val="none" w:sz="0" w:space="0" w:color="auto"/>
        <w:left w:val="none" w:sz="0" w:space="0" w:color="auto"/>
        <w:bottom w:val="none" w:sz="0" w:space="0" w:color="auto"/>
        <w:right w:val="none" w:sz="0" w:space="0" w:color="auto"/>
      </w:divBdr>
    </w:div>
    <w:div w:id="798189172">
      <w:bodyDiv w:val="1"/>
      <w:marLeft w:val="0"/>
      <w:marRight w:val="0"/>
      <w:marTop w:val="0"/>
      <w:marBottom w:val="0"/>
      <w:divBdr>
        <w:top w:val="none" w:sz="0" w:space="0" w:color="auto"/>
        <w:left w:val="none" w:sz="0" w:space="0" w:color="auto"/>
        <w:bottom w:val="none" w:sz="0" w:space="0" w:color="auto"/>
        <w:right w:val="none" w:sz="0" w:space="0" w:color="auto"/>
      </w:divBdr>
    </w:div>
    <w:div w:id="800272784">
      <w:bodyDiv w:val="1"/>
      <w:marLeft w:val="0"/>
      <w:marRight w:val="0"/>
      <w:marTop w:val="0"/>
      <w:marBottom w:val="0"/>
      <w:divBdr>
        <w:top w:val="none" w:sz="0" w:space="0" w:color="auto"/>
        <w:left w:val="none" w:sz="0" w:space="0" w:color="auto"/>
        <w:bottom w:val="none" w:sz="0" w:space="0" w:color="auto"/>
        <w:right w:val="none" w:sz="0" w:space="0" w:color="auto"/>
      </w:divBdr>
    </w:div>
    <w:div w:id="858279296">
      <w:bodyDiv w:val="1"/>
      <w:marLeft w:val="0"/>
      <w:marRight w:val="0"/>
      <w:marTop w:val="0"/>
      <w:marBottom w:val="0"/>
      <w:divBdr>
        <w:top w:val="none" w:sz="0" w:space="0" w:color="auto"/>
        <w:left w:val="none" w:sz="0" w:space="0" w:color="auto"/>
        <w:bottom w:val="none" w:sz="0" w:space="0" w:color="auto"/>
        <w:right w:val="none" w:sz="0" w:space="0" w:color="auto"/>
      </w:divBdr>
    </w:div>
    <w:div w:id="868495336">
      <w:bodyDiv w:val="1"/>
      <w:marLeft w:val="0"/>
      <w:marRight w:val="0"/>
      <w:marTop w:val="0"/>
      <w:marBottom w:val="0"/>
      <w:divBdr>
        <w:top w:val="none" w:sz="0" w:space="0" w:color="auto"/>
        <w:left w:val="none" w:sz="0" w:space="0" w:color="auto"/>
        <w:bottom w:val="none" w:sz="0" w:space="0" w:color="auto"/>
        <w:right w:val="none" w:sz="0" w:space="0" w:color="auto"/>
      </w:divBdr>
    </w:div>
    <w:div w:id="871965593">
      <w:bodyDiv w:val="1"/>
      <w:marLeft w:val="0"/>
      <w:marRight w:val="0"/>
      <w:marTop w:val="0"/>
      <w:marBottom w:val="0"/>
      <w:divBdr>
        <w:top w:val="none" w:sz="0" w:space="0" w:color="auto"/>
        <w:left w:val="none" w:sz="0" w:space="0" w:color="auto"/>
        <w:bottom w:val="none" w:sz="0" w:space="0" w:color="auto"/>
        <w:right w:val="none" w:sz="0" w:space="0" w:color="auto"/>
      </w:divBdr>
    </w:div>
    <w:div w:id="882791905">
      <w:bodyDiv w:val="1"/>
      <w:marLeft w:val="0"/>
      <w:marRight w:val="0"/>
      <w:marTop w:val="0"/>
      <w:marBottom w:val="0"/>
      <w:divBdr>
        <w:top w:val="none" w:sz="0" w:space="0" w:color="auto"/>
        <w:left w:val="none" w:sz="0" w:space="0" w:color="auto"/>
        <w:bottom w:val="none" w:sz="0" w:space="0" w:color="auto"/>
        <w:right w:val="none" w:sz="0" w:space="0" w:color="auto"/>
      </w:divBdr>
    </w:div>
    <w:div w:id="935022515">
      <w:bodyDiv w:val="1"/>
      <w:marLeft w:val="0"/>
      <w:marRight w:val="0"/>
      <w:marTop w:val="0"/>
      <w:marBottom w:val="0"/>
      <w:divBdr>
        <w:top w:val="none" w:sz="0" w:space="0" w:color="auto"/>
        <w:left w:val="none" w:sz="0" w:space="0" w:color="auto"/>
        <w:bottom w:val="none" w:sz="0" w:space="0" w:color="auto"/>
        <w:right w:val="none" w:sz="0" w:space="0" w:color="auto"/>
      </w:divBdr>
    </w:div>
    <w:div w:id="973604364">
      <w:bodyDiv w:val="1"/>
      <w:marLeft w:val="0"/>
      <w:marRight w:val="0"/>
      <w:marTop w:val="0"/>
      <w:marBottom w:val="0"/>
      <w:divBdr>
        <w:top w:val="none" w:sz="0" w:space="0" w:color="auto"/>
        <w:left w:val="none" w:sz="0" w:space="0" w:color="auto"/>
        <w:bottom w:val="none" w:sz="0" w:space="0" w:color="auto"/>
        <w:right w:val="none" w:sz="0" w:space="0" w:color="auto"/>
      </w:divBdr>
    </w:div>
    <w:div w:id="998769151">
      <w:bodyDiv w:val="1"/>
      <w:marLeft w:val="0"/>
      <w:marRight w:val="0"/>
      <w:marTop w:val="0"/>
      <w:marBottom w:val="0"/>
      <w:divBdr>
        <w:top w:val="none" w:sz="0" w:space="0" w:color="auto"/>
        <w:left w:val="none" w:sz="0" w:space="0" w:color="auto"/>
        <w:bottom w:val="none" w:sz="0" w:space="0" w:color="auto"/>
        <w:right w:val="none" w:sz="0" w:space="0" w:color="auto"/>
      </w:divBdr>
    </w:div>
    <w:div w:id="1022707983">
      <w:bodyDiv w:val="1"/>
      <w:marLeft w:val="0"/>
      <w:marRight w:val="0"/>
      <w:marTop w:val="0"/>
      <w:marBottom w:val="0"/>
      <w:divBdr>
        <w:top w:val="none" w:sz="0" w:space="0" w:color="auto"/>
        <w:left w:val="none" w:sz="0" w:space="0" w:color="auto"/>
        <w:bottom w:val="none" w:sz="0" w:space="0" w:color="auto"/>
        <w:right w:val="none" w:sz="0" w:space="0" w:color="auto"/>
      </w:divBdr>
    </w:div>
    <w:div w:id="1036858221">
      <w:bodyDiv w:val="1"/>
      <w:marLeft w:val="0"/>
      <w:marRight w:val="0"/>
      <w:marTop w:val="0"/>
      <w:marBottom w:val="0"/>
      <w:divBdr>
        <w:top w:val="none" w:sz="0" w:space="0" w:color="auto"/>
        <w:left w:val="none" w:sz="0" w:space="0" w:color="auto"/>
        <w:bottom w:val="none" w:sz="0" w:space="0" w:color="auto"/>
        <w:right w:val="none" w:sz="0" w:space="0" w:color="auto"/>
      </w:divBdr>
    </w:div>
    <w:div w:id="1037970530">
      <w:bodyDiv w:val="1"/>
      <w:marLeft w:val="0"/>
      <w:marRight w:val="0"/>
      <w:marTop w:val="0"/>
      <w:marBottom w:val="0"/>
      <w:divBdr>
        <w:top w:val="none" w:sz="0" w:space="0" w:color="auto"/>
        <w:left w:val="none" w:sz="0" w:space="0" w:color="auto"/>
        <w:bottom w:val="none" w:sz="0" w:space="0" w:color="auto"/>
        <w:right w:val="none" w:sz="0" w:space="0" w:color="auto"/>
      </w:divBdr>
    </w:div>
    <w:div w:id="1065639173">
      <w:bodyDiv w:val="1"/>
      <w:marLeft w:val="0"/>
      <w:marRight w:val="0"/>
      <w:marTop w:val="0"/>
      <w:marBottom w:val="0"/>
      <w:divBdr>
        <w:top w:val="none" w:sz="0" w:space="0" w:color="auto"/>
        <w:left w:val="none" w:sz="0" w:space="0" w:color="auto"/>
        <w:bottom w:val="none" w:sz="0" w:space="0" w:color="auto"/>
        <w:right w:val="none" w:sz="0" w:space="0" w:color="auto"/>
      </w:divBdr>
    </w:div>
    <w:div w:id="1094588862">
      <w:bodyDiv w:val="1"/>
      <w:marLeft w:val="0"/>
      <w:marRight w:val="0"/>
      <w:marTop w:val="0"/>
      <w:marBottom w:val="0"/>
      <w:divBdr>
        <w:top w:val="none" w:sz="0" w:space="0" w:color="auto"/>
        <w:left w:val="none" w:sz="0" w:space="0" w:color="auto"/>
        <w:bottom w:val="none" w:sz="0" w:space="0" w:color="auto"/>
        <w:right w:val="none" w:sz="0" w:space="0" w:color="auto"/>
      </w:divBdr>
    </w:div>
    <w:div w:id="1129666491">
      <w:bodyDiv w:val="1"/>
      <w:marLeft w:val="0"/>
      <w:marRight w:val="0"/>
      <w:marTop w:val="0"/>
      <w:marBottom w:val="0"/>
      <w:divBdr>
        <w:top w:val="none" w:sz="0" w:space="0" w:color="auto"/>
        <w:left w:val="none" w:sz="0" w:space="0" w:color="auto"/>
        <w:bottom w:val="none" w:sz="0" w:space="0" w:color="auto"/>
        <w:right w:val="none" w:sz="0" w:space="0" w:color="auto"/>
      </w:divBdr>
    </w:div>
    <w:div w:id="1197961056">
      <w:bodyDiv w:val="1"/>
      <w:marLeft w:val="0"/>
      <w:marRight w:val="0"/>
      <w:marTop w:val="0"/>
      <w:marBottom w:val="0"/>
      <w:divBdr>
        <w:top w:val="none" w:sz="0" w:space="0" w:color="auto"/>
        <w:left w:val="none" w:sz="0" w:space="0" w:color="auto"/>
        <w:bottom w:val="none" w:sz="0" w:space="0" w:color="auto"/>
        <w:right w:val="none" w:sz="0" w:space="0" w:color="auto"/>
      </w:divBdr>
    </w:div>
    <w:div w:id="1257596592">
      <w:bodyDiv w:val="1"/>
      <w:marLeft w:val="0"/>
      <w:marRight w:val="0"/>
      <w:marTop w:val="0"/>
      <w:marBottom w:val="0"/>
      <w:divBdr>
        <w:top w:val="none" w:sz="0" w:space="0" w:color="auto"/>
        <w:left w:val="none" w:sz="0" w:space="0" w:color="auto"/>
        <w:bottom w:val="none" w:sz="0" w:space="0" w:color="auto"/>
        <w:right w:val="none" w:sz="0" w:space="0" w:color="auto"/>
      </w:divBdr>
    </w:div>
    <w:div w:id="1267233463">
      <w:bodyDiv w:val="1"/>
      <w:marLeft w:val="0"/>
      <w:marRight w:val="0"/>
      <w:marTop w:val="0"/>
      <w:marBottom w:val="0"/>
      <w:divBdr>
        <w:top w:val="none" w:sz="0" w:space="0" w:color="auto"/>
        <w:left w:val="none" w:sz="0" w:space="0" w:color="auto"/>
        <w:bottom w:val="none" w:sz="0" w:space="0" w:color="auto"/>
        <w:right w:val="none" w:sz="0" w:space="0" w:color="auto"/>
      </w:divBdr>
    </w:div>
    <w:div w:id="1272320522">
      <w:bodyDiv w:val="1"/>
      <w:marLeft w:val="0"/>
      <w:marRight w:val="0"/>
      <w:marTop w:val="0"/>
      <w:marBottom w:val="0"/>
      <w:divBdr>
        <w:top w:val="none" w:sz="0" w:space="0" w:color="auto"/>
        <w:left w:val="none" w:sz="0" w:space="0" w:color="auto"/>
        <w:bottom w:val="none" w:sz="0" w:space="0" w:color="auto"/>
        <w:right w:val="none" w:sz="0" w:space="0" w:color="auto"/>
      </w:divBdr>
    </w:div>
    <w:div w:id="1282112508">
      <w:bodyDiv w:val="1"/>
      <w:marLeft w:val="0"/>
      <w:marRight w:val="0"/>
      <w:marTop w:val="0"/>
      <w:marBottom w:val="0"/>
      <w:divBdr>
        <w:top w:val="none" w:sz="0" w:space="0" w:color="auto"/>
        <w:left w:val="none" w:sz="0" w:space="0" w:color="auto"/>
        <w:bottom w:val="none" w:sz="0" w:space="0" w:color="auto"/>
        <w:right w:val="none" w:sz="0" w:space="0" w:color="auto"/>
      </w:divBdr>
    </w:div>
    <w:div w:id="1306734878">
      <w:bodyDiv w:val="1"/>
      <w:marLeft w:val="0"/>
      <w:marRight w:val="0"/>
      <w:marTop w:val="0"/>
      <w:marBottom w:val="0"/>
      <w:divBdr>
        <w:top w:val="none" w:sz="0" w:space="0" w:color="auto"/>
        <w:left w:val="none" w:sz="0" w:space="0" w:color="auto"/>
        <w:bottom w:val="none" w:sz="0" w:space="0" w:color="auto"/>
        <w:right w:val="none" w:sz="0" w:space="0" w:color="auto"/>
      </w:divBdr>
    </w:div>
    <w:div w:id="1320579399">
      <w:bodyDiv w:val="1"/>
      <w:marLeft w:val="0"/>
      <w:marRight w:val="0"/>
      <w:marTop w:val="0"/>
      <w:marBottom w:val="0"/>
      <w:divBdr>
        <w:top w:val="none" w:sz="0" w:space="0" w:color="auto"/>
        <w:left w:val="none" w:sz="0" w:space="0" w:color="auto"/>
        <w:bottom w:val="none" w:sz="0" w:space="0" w:color="auto"/>
        <w:right w:val="none" w:sz="0" w:space="0" w:color="auto"/>
      </w:divBdr>
    </w:div>
    <w:div w:id="1359576467">
      <w:bodyDiv w:val="1"/>
      <w:marLeft w:val="0"/>
      <w:marRight w:val="0"/>
      <w:marTop w:val="0"/>
      <w:marBottom w:val="0"/>
      <w:divBdr>
        <w:top w:val="none" w:sz="0" w:space="0" w:color="auto"/>
        <w:left w:val="none" w:sz="0" w:space="0" w:color="auto"/>
        <w:bottom w:val="none" w:sz="0" w:space="0" w:color="auto"/>
        <w:right w:val="none" w:sz="0" w:space="0" w:color="auto"/>
      </w:divBdr>
    </w:div>
    <w:div w:id="1458601158">
      <w:bodyDiv w:val="1"/>
      <w:marLeft w:val="0"/>
      <w:marRight w:val="0"/>
      <w:marTop w:val="0"/>
      <w:marBottom w:val="0"/>
      <w:divBdr>
        <w:top w:val="none" w:sz="0" w:space="0" w:color="auto"/>
        <w:left w:val="none" w:sz="0" w:space="0" w:color="auto"/>
        <w:bottom w:val="none" w:sz="0" w:space="0" w:color="auto"/>
        <w:right w:val="none" w:sz="0" w:space="0" w:color="auto"/>
      </w:divBdr>
    </w:div>
    <w:div w:id="1517964626">
      <w:bodyDiv w:val="1"/>
      <w:marLeft w:val="0"/>
      <w:marRight w:val="0"/>
      <w:marTop w:val="0"/>
      <w:marBottom w:val="0"/>
      <w:divBdr>
        <w:top w:val="none" w:sz="0" w:space="0" w:color="auto"/>
        <w:left w:val="none" w:sz="0" w:space="0" w:color="auto"/>
        <w:bottom w:val="none" w:sz="0" w:space="0" w:color="auto"/>
        <w:right w:val="none" w:sz="0" w:space="0" w:color="auto"/>
      </w:divBdr>
    </w:div>
    <w:div w:id="1532958686">
      <w:bodyDiv w:val="1"/>
      <w:marLeft w:val="0"/>
      <w:marRight w:val="0"/>
      <w:marTop w:val="0"/>
      <w:marBottom w:val="0"/>
      <w:divBdr>
        <w:top w:val="none" w:sz="0" w:space="0" w:color="auto"/>
        <w:left w:val="none" w:sz="0" w:space="0" w:color="auto"/>
        <w:bottom w:val="none" w:sz="0" w:space="0" w:color="auto"/>
        <w:right w:val="none" w:sz="0" w:space="0" w:color="auto"/>
      </w:divBdr>
    </w:div>
    <w:div w:id="1561474284">
      <w:bodyDiv w:val="1"/>
      <w:marLeft w:val="0"/>
      <w:marRight w:val="0"/>
      <w:marTop w:val="0"/>
      <w:marBottom w:val="0"/>
      <w:divBdr>
        <w:top w:val="none" w:sz="0" w:space="0" w:color="auto"/>
        <w:left w:val="none" w:sz="0" w:space="0" w:color="auto"/>
        <w:bottom w:val="none" w:sz="0" w:space="0" w:color="auto"/>
        <w:right w:val="none" w:sz="0" w:space="0" w:color="auto"/>
      </w:divBdr>
    </w:div>
    <w:div w:id="1614243311">
      <w:bodyDiv w:val="1"/>
      <w:marLeft w:val="0"/>
      <w:marRight w:val="0"/>
      <w:marTop w:val="0"/>
      <w:marBottom w:val="0"/>
      <w:divBdr>
        <w:top w:val="none" w:sz="0" w:space="0" w:color="auto"/>
        <w:left w:val="none" w:sz="0" w:space="0" w:color="auto"/>
        <w:bottom w:val="none" w:sz="0" w:space="0" w:color="auto"/>
        <w:right w:val="none" w:sz="0" w:space="0" w:color="auto"/>
      </w:divBdr>
    </w:div>
    <w:div w:id="1624654488">
      <w:bodyDiv w:val="1"/>
      <w:marLeft w:val="0"/>
      <w:marRight w:val="0"/>
      <w:marTop w:val="0"/>
      <w:marBottom w:val="0"/>
      <w:divBdr>
        <w:top w:val="none" w:sz="0" w:space="0" w:color="auto"/>
        <w:left w:val="none" w:sz="0" w:space="0" w:color="auto"/>
        <w:bottom w:val="none" w:sz="0" w:space="0" w:color="auto"/>
        <w:right w:val="none" w:sz="0" w:space="0" w:color="auto"/>
      </w:divBdr>
    </w:div>
    <w:div w:id="1625964317">
      <w:bodyDiv w:val="1"/>
      <w:marLeft w:val="0"/>
      <w:marRight w:val="0"/>
      <w:marTop w:val="0"/>
      <w:marBottom w:val="0"/>
      <w:divBdr>
        <w:top w:val="none" w:sz="0" w:space="0" w:color="auto"/>
        <w:left w:val="none" w:sz="0" w:space="0" w:color="auto"/>
        <w:bottom w:val="none" w:sz="0" w:space="0" w:color="auto"/>
        <w:right w:val="none" w:sz="0" w:space="0" w:color="auto"/>
      </w:divBdr>
    </w:div>
    <w:div w:id="1629897485">
      <w:bodyDiv w:val="1"/>
      <w:marLeft w:val="0"/>
      <w:marRight w:val="0"/>
      <w:marTop w:val="0"/>
      <w:marBottom w:val="0"/>
      <w:divBdr>
        <w:top w:val="none" w:sz="0" w:space="0" w:color="auto"/>
        <w:left w:val="none" w:sz="0" w:space="0" w:color="auto"/>
        <w:bottom w:val="none" w:sz="0" w:space="0" w:color="auto"/>
        <w:right w:val="none" w:sz="0" w:space="0" w:color="auto"/>
      </w:divBdr>
    </w:div>
    <w:div w:id="1652752423">
      <w:bodyDiv w:val="1"/>
      <w:marLeft w:val="0"/>
      <w:marRight w:val="0"/>
      <w:marTop w:val="0"/>
      <w:marBottom w:val="0"/>
      <w:divBdr>
        <w:top w:val="none" w:sz="0" w:space="0" w:color="auto"/>
        <w:left w:val="none" w:sz="0" w:space="0" w:color="auto"/>
        <w:bottom w:val="none" w:sz="0" w:space="0" w:color="auto"/>
        <w:right w:val="none" w:sz="0" w:space="0" w:color="auto"/>
      </w:divBdr>
    </w:div>
    <w:div w:id="1661426174">
      <w:bodyDiv w:val="1"/>
      <w:marLeft w:val="0"/>
      <w:marRight w:val="0"/>
      <w:marTop w:val="0"/>
      <w:marBottom w:val="0"/>
      <w:divBdr>
        <w:top w:val="none" w:sz="0" w:space="0" w:color="auto"/>
        <w:left w:val="none" w:sz="0" w:space="0" w:color="auto"/>
        <w:bottom w:val="none" w:sz="0" w:space="0" w:color="auto"/>
        <w:right w:val="none" w:sz="0" w:space="0" w:color="auto"/>
      </w:divBdr>
    </w:div>
    <w:div w:id="1694384608">
      <w:bodyDiv w:val="1"/>
      <w:marLeft w:val="0"/>
      <w:marRight w:val="0"/>
      <w:marTop w:val="0"/>
      <w:marBottom w:val="0"/>
      <w:divBdr>
        <w:top w:val="none" w:sz="0" w:space="0" w:color="auto"/>
        <w:left w:val="none" w:sz="0" w:space="0" w:color="auto"/>
        <w:bottom w:val="none" w:sz="0" w:space="0" w:color="auto"/>
        <w:right w:val="none" w:sz="0" w:space="0" w:color="auto"/>
      </w:divBdr>
    </w:div>
    <w:div w:id="1719473496">
      <w:bodyDiv w:val="1"/>
      <w:marLeft w:val="0"/>
      <w:marRight w:val="0"/>
      <w:marTop w:val="0"/>
      <w:marBottom w:val="0"/>
      <w:divBdr>
        <w:top w:val="none" w:sz="0" w:space="0" w:color="auto"/>
        <w:left w:val="none" w:sz="0" w:space="0" w:color="auto"/>
        <w:bottom w:val="none" w:sz="0" w:space="0" w:color="auto"/>
        <w:right w:val="none" w:sz="0" w:space="0" w:color="auto"/>
      </w:divBdr>
    </w:div>
    <w:div w:id="1769740151">
      <w:bodyDiv w:val="1"/>
      <w:marLeft w:val="0"/>
      <w:marRight w:val="0"/>
      <w:marTop w:val="0"/>
      <w:marBottom w:val="0"/>
      <w:divBdr>
        <w:top w:val="none" w:sz="0" w:space="0" w:color="auto"/>
        <w:left w:val="none" w:sz="0" w:space="0" w:color="auto"/>
        <w:bottom w:val="none" w:sz="0" w:space="0" w:color="auto"/>
        <w:right w:val="none" w:sz="0" w:space="0" w:color="auto"/>
      </w:divBdr>
    </w:div>
    <w:div w:id="1811557733">
      <w:bodyDiv w:val="1"/>
      <w:marLeft w:val="0"/>
      <w:marRight w:val="0"/>
      <w:marTop w:val="0"/>
      <w:marBottom w:val="0"/>
      <w:divBdr>
        <w:top w:val="none" w:sz="0" w:space="0" w:color="auto"/>
        <w:left w:val="none" w:sz="0" w:space="0" w:color="auto"/>
        <w:bottom w:val="none" w:sz="0" w:space="0" w:color="auto"/>
        <w:right w:val="none" w:sz="0" w:space="0" w:color="auto"/>
      </w:divBdr>
    </w:div>
    <w:div w:id="1865053593">
      <w:bodyDiv w:val="1"/>
      <w:marLeft w:val="0"/>
      <w:marRight w:val="0"/>
      <w:marTop w:val="0"/>
      <w:marBottom w:val="0"/>
      <w:divBdr>
        <w:top w:val="none" w:sz="0" w:space="0" w:color="auto"/>
        <w:left w:val="none" w:sz="0" w:space="0" w:color="auto"/>
        <w:bottom w:val="none" w:sz="0" w:space="0" w:color="auto"/>
        <w:right w:val="none" w:sz="0" w:space="0" w:color="auto"/>
      </w:divBdr>
    </w:div>
    <w:div w:id="1890530495">
      <w:bodyDiv w:val="1"/>
      <w:marLeft w:val="0"/>
      <w:marRight w:val="0"/>
      <w:marTop w:val="0"/>
      <w:marBottom w:val="0"/>
      <w:divBdr>
        <w:top w:val="none" w:sz="0" w:space="0" w:color="auto"/>
        <w:left w:val="none" w:sz="0" w:space="0" w:color="auto"/>
        <w:bottom w:val="none" w:sz="0" w:space="0" w:color="auto"/>
        <w:right w:val="none" w:sz="0" w:space="0" w:color="auto"/>
      </w:divBdr>
    </w:div>
    <w:div w:id="1946841556">
      <w:bodyDiv w:val="1"/>
      <w:marLeft w:val="0"/>
      <w:marRight w:val="0"/>
      <w:marTop w:val="0"/>
      <w:marBottom w:val="0"/>
      <w:divBdr>
        <w:top w:val="none" w:sz="0" w:space="0" w:color="auto"/>
        <w:left w:val="none" w:sz="0" w:space="0" w:color="auto"/>
        <w:bottom w:val="none" w:sz="0" w:space="0" w:color="auto"/>
        <w:right w:val="none" w:sz="0" w:space="0" w:color="auto"/>
      </w:divBdr>
    </w:div>
    <w:div w:id="1973052814">
      <w:bodyDiv w:val="1"/>
      <w:marLeft w:val="0"/>
      <w:marRight w:val="0"/>
      <w:marTop w:val="0"/>
      <w:marBottom w:val="0"/>
      <w:divBdr>
        <w:top w:val="none" w:sz="0" w:space="0" w:color="auto"/>
        <w:left w:val="none" w:sz="0" w:space="0" w:color="auto"/>
        <w:bottom w:val="none" w:sz="0" w:space="0" w:color="auto"/>
        <w:right w:val="none" w:sz="0" w:space="0" w:color="auto"/>
      </w:divBdr>
    </w:div>
    <w:div w:id="20936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jpg"/><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hyperlink" Target="https://www.ncver.edu.au/research-and-statistics/collections/students-and-courses-collection/total-vet-students-and-courses" TargetMode="External"/><Relationship Id="rId50" Type="http://schemas.openxmlformats.org/officeDocument/2006/relationships/hyperlink" Target="https://secure.olgr.qld.gov.au/dcm/Gaming"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hyperlink" Target="https://www.aedc.gov.au/data/downloads"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image" Target="media/image29.emf"/><Relationship Id="rId54" Type="http://schemas.openxmlformats.org/officeDocument/2006/relationships/hyperlink" Target="https://www.police.qld.gov.au/maps-and-statist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hyperlink" Target="https://www.abs.gov.au/websitedbs/censushome.nsf/home/seifa" TargetMode="External"/><Relationship Id="rId53"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hyperlink" Target="https://www.data.qld.gov.au/dataset/state-school-attendance-rate" TargetMode="Externa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hyperlink" Target="https://www.abs.gov.au/websitedbs/d3310114.nsf/home/about+tablebuilder" TargetMode="External"/><Relationship Id="rId52" Type="http://schemas.openxmlformats.org/officeDocument/2006/relationships/hyperlink" Target="https://www.health.qld.gov.au/widebay/our-services-and-faciliti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hyperlink" Target="https://www.dss.gov.au/our-responsibilities/communities-and-vulnerable-people/programs-services/emergency-relief" TargetMode="External"/><Relationship Id="rId48" Type="http://schemas.openxmlformats.org/officeDocument/2006/relationships/hyperlink" Target="https://www.data.qld.gov.au/dataset/emergency-departments"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health.qld.gov.au/widebay"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qld.gov.au/widebay/our-services-and-facilities" TargetMode="External"/><Relationship Id="rId7" Type="http://schemas.openxmlformats.org/officeDocument/2006/relationships/hyperlink" Target="https://www.aedc.gov.au/resources/detail/2018-aedc-national-report" TargetMode="External"/><Relationship Id="rId2" Type="http://schemas.openxmlformats.org/officeDocument/2006/relationships/hyperlink" Target="https://www.dss.gov.au/families-and-children-programs-services-welfare-reform-cashless-debit-card/cashless-debit-card-bundaberg-and-hervey-bay-region" TargetMode="External"/><Relationship Id="rId1" Type="http://schemas.openxmlformats.org/officeDocument/2006/relationships/hyperlink" Target="http://doi.org/10.1016/0272-7757(84)90032-3" TargetMode="External"/><Relationship Id="rId6" Type="http://schemas.openxmlformats.org/officeDocument/2006/relationships/hyperlink" Target="https://www.ncver.edu.au/research-and-statistics/collections/students-and-courses-collection/total-vet-students-and-courses" TargetMode="External"/><Relationship Id="rId5" Type="http://schemas.openxmlformats.org/officeDocument/2006/relationships/hyperlink" Target="https://www.abs.gov.au/ausstats/abs@.nsf/Lookup/2901.0Chapter31502016" TargetMode="External"/><Relationship Id="rId4" Type="http://schemas.openxmlformats.org/officeDocument/2006/relationships/hyperlink" Target="https://www.abs.gov.au/websitedbs/censushome.nsf/hom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24388</Words>
  <Characters>139018</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2020-04-28T09:54:00Z</dcterms:created>
  <dcterms:modified xsi:type="dcterms:W3CDTF">2020-05-06T04:11:00Z</dcterms:modified>
</cp:coreProperties>
</file>