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9" w:rsidRPr="00B810F0" w:rsidRDefault="001712D9" w:rsidP="00B810F0">
      <w:pPr>
        <w:pStyle w:val="Heading1"/>
        <w:ind w:left="454"/>
        <w:sectPr w:rsidR="001712D9" w:rsidRPr="00B810F0" w:rsidSect="003E2D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01" w:right="2546" w:bottom="1134" w:left="737" w:header="737" w:footer="1489" w:gutter="0"/>
          <w:cols w:space="708"/>
          <w:titlePg/>
          <w:docGrid w:linePitch="360"/>
        </w:sectPr>
      </w:pPr>
      <w:bookmarkStart w:id="0" w:name="_Toc391890680"/>
      <w:bookmarkStart w:id="1" w:name="_GoBack"/>
      <w:bookmarkEnd w:id="1"/>
      <w:r w:rsidRPr="00DA4BA0">
        <w:t xml:space="preserve">Australian Priority Investment </w:t>
      </w:r>
      <w:r w:rsidR="00261A54" w:rsidRPr="004B74EB">
        <w:br/>
      </w:r>
      <w:r w:rsidRPr="00B810F0">
        <w:t>Approach to Welfare –</w:t>
      </w:r>
      <w:r w:rsidR="007F7843" w:rsidRPr="00B810F0">
        <w:t xml:space="preserve"> </w:t>
      </w:r>
      <w:r w:rsidR="00B810F0" w:rsidRPr="00B810F0">
        <w:t>Carers</w:t>
      </w:r>
    </w:p>
    <w:bookmarkEnd w:id="0"/>
    <w:p w:rsidR="001F4B82" w:rsidRDefault="001F4B82" w:rsidP="00DA5460">
      <w:pPr>
        <w:pStyle w:val="Heading2"/>
        <w:sectPr w:rsidR="001F4B82" w:rsidSect="001C6104">
          <w:headerReference w:type="first" r:id="rId15"/>
          <w:footerReference w:type="first" r:id="rId16"/>
          <w:type w:val="continuous"/>
          <w:pgSz w:w="11906" w:h="16838" w:code="9"/>
          <w:pgMar w:top="737" w:right="2268" w:bottom="1134" w:left="737" w:header="737" w:footer="454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0979E" wp14:editId="6F25551F">
                <wp:simplePos x="0" y="0"/>
                <wp:positionH relativeFrom="column">
                  <wp:posOffset>274955</wp:posOffset>
                </wp:positionH>
                <wp:positionV relativeFrom="paragraph">
                  <wp:posOffset>54610</wp:posOffset>
                </wp:positionV>
                <wp:extent cx="6029325" cy="752475"/>
                <wp:effectExtent l="0" t="0" r="28575" b="28575"/>
                <wp:wrapTight wrapText="bothSides">
                  <wp:wrapPolygon edited="0">
                    <wp:start x="0" y="0"/>
                    <wp:lineTo x="0" y="21873"/>
                    <wp:lineTo x="21634" y="21873"/>
                    <wp:lineTo x="21634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92" w:rsidRDefault="00BD5C92" w:rsidP="00BD5C92">
                            <w:pPr>
                              <w:pStyle w:val="textboxes"/>
                            </w:pP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Priority Investment Approach is a new way of looking at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welfare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system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It uses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data analysis to provide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insights into how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system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 working and 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those insights to find innovative ways of helping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more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Australians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live independently of welfare.</w:t>
                            </w:r>
                          </w:p>
                          <w:p w:rsidR="001712D9" w:rsidRDefault="001712D9" w:rsidP="0015179E">
                            <w:pPr>
                              <w:pStyle w:val="textboxes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5pt;margin-top:4.3pt;width:474.75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" fillcolor="white [3201]" strokecolor="#78be20 [3207]" strokeweight=".5pt">
                <v:textbox inset="5mm">
                  <w:txbxContent>
                    <w:p w:rsidR="00BD5C92" w:rsidRDefault="00BD5C92" w:rsidP="00BD5C92">
                      <w:pPr>
                        <w:pStyle w:val="textboxes"/>
                      </w:pP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Priority Investment Approach is a new way of looking at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welfare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system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It uses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data analysis to provide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insights into how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system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 working and 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those insights to find innovative ways of helping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more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Australians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live independently of welfare.</w:t>
                      </w:r>
                    </w:p>
                    <w:p w:rsidR="001712D9" w:rsidRDefault="001712D9" w:rsidP="0015179E">
                      <w:pPr>
                        <w:pStyle w:val="textboxes"/>
                        <w:ind w:left="-142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F634B" w:rsidRPr="00D7108A" w:rsidRDefault="00D62AA4" w:rsidP="001F634B">
      <w:pPr>
        <w:pStyle w:val="Heading2"/>
        <w:contextualSpacing w:val="0"/>
      </w:pPr>
      <w:r>
        <w:t xml:space="preserve">What </w:t>
      </w:r>
      <w:r w:rsidR="002D2DF5">
        <w:t>we know</w:t>
      </w:r>
    </w:p>
    <w:p w:rsidR="001F634B" w:rsidRDefault="001F634B" w:rsidP="001F634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 </w:t>
      </w:r>
      <w:r w:rsidR="00A57037">
        <w:rPr>
          <w:rFonts w:asciiTheme="minorHAnsi" w:hAnsiTheme="minorHAnsi" w:cstheme="minorHAnsi"/>
          <w:szCs w:val="22"/>
        </w:rPr>
        <w:t>2014-</w:t>
      </w:r>
      <w:r>
        <w:rPr>
          <w:rFonts w:asciiTheme="minorHAnsi" w:hAnsiTheme="minorHAnsi" w:cstheme="minorHAnsi"/>
          <w:szCs w:val="22"/>
        </w:rPr>
        <w:t>2015</w:t>
      </w:r>
      <w:r w:rsidR="0052592A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there were around 265,000 people receiving Carer Payment.</w:t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br/>
        <w:t>It is estimated in 10 years</w:t>
      </w:r>
      <w:r w:rsidR="0052592A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around 40 per cent of those carers will be receiving Carer Payment, with only 12 per cent having left the welfare system.</w:t>
      </w:r>
    </w:p>
    <w:p w:rsidR="001F634B" w:rsidRPr="00D7108A" w:rsidRDefault="001F634B" w:rsidP="001F634B">
      <w:pPr>
        <w:pStyle w:val="Heading2"/>
      </w:pPr>
      <w:r w:rsidRPr="00D7108A">
        <w:t xml:space="preserve">Young </w:t>
      </w:r>
      <w:r>
        <w:t>c</w:t>
      </w:r>
      <w:r w:rsidRPr="00D7108A">
        <w:t>arers</w:t>
      </w:r>
    </w:p>
    <w:p w:rsidR="001F634B" w:rsidRDefault="001F634B" w:rsidP="001F634B">
      <w:pPr>
        <w:tabs>
          <w:tab w:val="center" w:pos="4873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Additional PwC analysis shows that young carers aged 24 and under are particularly vulnerable to the risk of long-term welfare dependenc</w:t>
      </w:r>
      <w:r w:rsidR="0052592A">
        <w:rPr>
          <w:rFonts w:asciiTheme="minorHAnsi" w:hAnsiTheme="minorHAnsi" w:cstheme="minorHAnsi"/>
          <w:szCs w:val="22"/>
        </w:rPr>
        <w:t>y</w:t>
      </w:r>
      <w:r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br/>
      </w:r>
      <w:r w:rsidR="00032CC3"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t>Departmental analysis shows that t</w:t>
      </w:r>
      <w:r w:rsidRPr="00F3347D"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t xml:space="preserve">he number of young carers in the </w:t>
      </w:r>
      <w:r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t xml:space="preserve">welfare </w:t>
      </w:r>
      <w:r w:rsidRPr="00F3347D"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t>system has trebled in the last decade</w:t>
      </w:r>
      <w:r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t xml:space="preserve"> to 11,</w:t>
      </w:r>
      <w:r w:rsidR="001308F1"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t>2</w:t>
      </w:r>
      <w:r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t>00 people.</w:t>
      </w:r>
      <w:r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br/>
      </w:r>
      <w:r>
        <w:rPr>
          <w:rStyle w:val="BookTitle"/>
          <w:rFonts w:asciiTheme="minorHAnsi" w:eastAsiaTheme="majorEastAsia" w:hAnsiTheme="minorHAnsi"/>
          <w:i w:val="0"/>
          <w:iCs w:val="0"/>
          <w:smallCaps w:val="0"/>
          <w:szCs w:val="22"/>
        </w:rPr>
        <w:br/>
      </w:r>
      <w:r>
        <w:rPr>
          <w:rFonts w:asciiTheme="minorHAnsi" w:hAnsiTheme="minorHAnsi" w:cstheme="minorHAnsi"/>
          <w:szCs w:val="22"/>
        </w:rPr>
        <w:t xml:space="preserve">If nothing changes for </w:t>
      </w:r>
      <w:r w:rsidR="0052592A">
        <w:rPr>
          <w:rFonts w:asciiTheme="minorHAnsi" w:hAnsiTheme="minorHAnsi" w:cstheme="minorHAnsi"/>
          <w:szCs w:val="22"/>
        </w:rPr>
        <w:t xml:space="preserve">these </w:t>
      </w:r>
      <w:r>
        <w:rPr>
          <w:rFonts w:asciiTheme="minorHAnsi" w:hAnsiTheme="minorHAnsi" w:cstheme="minorHAnsi"/>
          <w:szCs w:val="22"/>
        </w:rPr>
        <w:t>young carers:</w:t>
      </w:r>
    </w:p>
    <w:p w:rsidR="001F634B" w:rsidRPr="007E404C" w:rsidRDefault="00032CC3" w:rsidP="007E404C">
      <w:pPr>
        <w:pStyle w:val="ListParagraph"/>
        <w:numPr>
          <w:ilvl w:val="0"/>
          <w:numId w:val="65"/>
        </w:numPr>
        <w:tabs>
          <w:tab w:val="center" w:pos="4873"/>
        </w:tabs>
        <w:spacing w:line="240" w:lineRule="auto"/>
        <w:ind w:left="425" w:hanging="35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Over</w:t>
      </w:r>
      <w:r w:rsidRPr="007E404C">
        <w:rPr>
          <w:rFonts w:asciiTheme="minorHAnsi" w:hAnsiTheme="minorHAnsi" w:cstheme="minorHAnsi"/>
          <w:szCs w:val="22"/>
        </w:rPr>
        <w:t xml:space="preserve"> </w:t>
      </w:r>
      <w:r w:rsidR="001F634B" w:rsidRPr="007E404C">
        <w:rPr>
          <w:rFonts w:asciiTheme="minorHAnsi" w:hAnsiTheme="minorHAnsi" w:cstheme="minorHAnsi"/>
          <w:szCs w:val="22"/>
        </w:rPr>
        <w:t>60 per cent will be receiving income support payments in 10 years</w:t>
      </w:r>
      <w:r w:rsidR="007E404C">
        <w:rPr>
          <w:rFonts w:asciiTheme="minorHAnsi" w:hAnsiTheme="minorHAnsi" w:cstheme="minorHAnsi"/>
          <w:szCs w:val="22"/>
        </w:rPr>
        <w:t>.</w:t>
      </w:r>
    </w:p>
    <w:p w:rsidR="001F634B" w:rsidRPr="007E404C" w:rsidRDefault="0052592A" w:rsidP="007E404C">
      <w:pPr>
        <w:pStyle w:val="ListParagraph"/>
        <w:numPr>
          <w:ilvl w:val="0"/>
          <w:numId w:val="65"/>
        </w:numPr>
        <w:tabs>
          <w:tab w:val="center" w:pos="4873"/>
        </w:tabs>
        <w:spacing w:line="240" w:lineRule="auto"/>
        <w:ind w:left="425" w:hanging="357"/>
        <w:contextualSpacing w:val="0"/>
        <w:rPr>
          <w:rFonts w:asciiTheme="minorHAnsi" w:hAnsiTheme="minorHAnsi" w:cstheme="minorHAnsi"/>
          <w:szCs w:val="22"/>
        </w:rPr>
      </w:pPr>
      <w:r w:rsidRPr="007E404C">
        <w:rPr>
          <w:rFonts w:asciiTheme="minorHAnsi" w:hAnsiTheme="minorHAnsi" w:cstheme="minorHAnsi"/>
          <w:szCs w:val="22"/>
        </w:rPr>
        <w:t>Around 50 per cent</w:t>
      </w:r>
      <w:r w:rsidR="001F634B" w:rsidRPr="007E404C">
        <w:rPr>
          <w:rFonts w:asciiTheme="minorHAnsi" w:hAnsiTheme="minorHAnsi" w:cstheme="minorHAnsi"/>
          <w:szCs w:val="22"/>
        </w:rPr>
        <w:t xml:space="preserve"> will be receiving income support payments in 20 years</w:t>
      </w:r>
      <w:r w:rsidR="007E404C">
        <w:rPr>
          <w:rFonts w:asciiTheme="minorHAnsi" w:hAnsiTheme="minorHAnsi" w:cstheme="minorHAnsi"/>
          <w:szCs w:val="22"/>
        </w:rPr>
        <w:t>.</w:t>
      </w:r>
      <w:r w:rsidRPr="007E404C">
        <w:rPr>
          <w:rFonts w:asciiTheme="minorHAnsi" w:hAnsiTheme="minorHAnsi" w:cstheme="minorHAnsi"/>
          <w:szCs w:val="22"/>
        </w:rPr>
        <w:t xml:space="preserve"> </w:t>
      </w:r>
    </w:p>
    <w:p w:rsidR="001F634B" w:rsidRPr="00D7108A" w:rsidRDefault="001F634B" w:rsidP="001F634B">
      <w:pPr>
        <w:pStyle w:val="Heading2"/>
      </w:pPr>
      <w:r>
        <w:t>Why?</w:t>
      </w:r>
    </w:p>
    <w:p w:rsidR="00EE7058" w:rsidRDefault="0052592A" w:rsidP="001F634B">
      <w:pPr>
        <w:tabs>
          <w:tab w:val="center" w:pos="4873"/>
        </w:tabs>
        <w:spacing w:line="240" w:lineRule="auto"/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</w:pPr>
      <w:r>
        <w:rPr>
          <w:rFonts w:asciiTheme="minorHAnsi" w:hAnsiTheme="minorHAnsi" w:cstheme="minorHAnsi"/>
          <w:szCs w:val="22"/>
        </w:rPr>
        <w:t>We know that e</w:t>
      </w:r>
      <w:r w:rsidR="001F634B">
        <w:rPr>
          <w:rFonts w:asciiTheme="minorHAnsi" w:hAnsiTheme="minorHAnsi" w:cstheme="minorHAnsi"/>
          <w:szCs w:val="22"/>
        </w:rPr>
        <w:t>ducation plays a large part in the future of young carers. The</w:t>
      </w:r>
      <w:r w:rsid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 xml:space="preserve"> unfortunate reality presented in Departmental analysis</w:t>
      </w:r>
      <w:r w:rsidR="007E404C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 xml:space="preserve"> </w:t>
      </w:r>
      <w:r w:rsid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 xml:space="preserve">of young carers is that over 60 per cent have not </w:t>
      </w:r>
      <w:r w:rsidR="001F634B" w:rsidRPr="00D7108A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>stud</w:t>
      </w:r>
      <w:r w:rsid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>ied</w:t>
      </w:r>
      <w:r w:rsidR="001F634B" w:rsidRPr="00D7108A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 xml:space="preserve"> beyond high school</w:t>
      </w:r>
      <w:r w:rsid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>.</w:t>
      </w:r>
      <w:r w:rsidR="001F634B" w:rsidRP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br/>
      </w:r>
    </w:p>
    <w:p w:rsidR="001F634B" w:rsidRDefault="00EE7058" w:rsidP="00EE7058">
      <w:pPr>
        <w:tabs>
          <w:tab w:val="center" w:pos="4873"/>
        </w:tabs>
        <w:spacing w:before="0" w:after="0" w:line="240" w:lineRule="auto"/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</w:pPr>
      <w:r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br/>
      </w:r>
      <w:r w:rsid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>Not finishing their education can lead to</w:t>
      </w:r>
      <w:r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 xml:space="preserve"> </w:t>
      </w:r>
      <w:r w:rsid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>young carers becoming welfare</w:t>
      </w:r>
      <w:r w:rsidR="00032CC3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 xml:space="preserve"> </w:t>
      </w:r>
      <w:r w:rsidR="001F634B"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t>dependent—leading to less fulfilling lives with lower career and job prospects.</w:t>
      </w:r>
      <w:r>
        <w:rPr>
          <w:rStyle w:val="BookTitle"/>
          <w:rFonts w:asciiTheme="minorHAnsi" w:eastAsiaTheme="majorEastAsia" w:hAnsiTheme="minorHAnsi" w:cstheme="minorHAnsi"/>
          <w:i w:val="0"/>
          <w:iCs w:val="0"/>
          <w:smallCaps w:val="0"/>
          <w:szCs w:val="22"/>
        </w:rPr>
        <w:br/>
      </w:r>
    </w:p>
    <w:tbl>
      <w:tblPr>
        <w:tblStyle w:val="MediumGrid1-Accent4"/>
        <w:tblW w:w="4395" w:type="dxa"/>
        <w:tblInd w:w="108" w:type="dxa"/>
        <w:tblLook w:val="04A0" w:firstRow="1" w:lastRow="0" w:firstColumn="1" w:lastColumn="0" w:noHBand="0" w:noVBand="1"/>
        <w:tblCaption w:val="Lifetime cost of carer payments"/>
        <w:tblDescription w:val="The Government will spend an estimated $109 billion on future welfare payments for all people currently receiving Carer Payment over their lifetime.&#10;People currently receiving Carer Payment have an average future lifetime cost of $411,000 per person.&#10;Young carers are expected to have a higher average future lifetime cost at $464,000 per person.&#10;"/>
      </w:tblPr>
      <w:tblGrid>
        <w:gridCol w:w="4395"/>
      </w:tblGrid>
      <w:tr w:rsidR="001F634B" w:rsidTr="00245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7E404C" w:rsidRDefault="001F634B" w:rsidP="00FC27C4">
            <w:pPr>
              <w:rPr>
                <w:b w:val="0"/>
                <w:highlight w:val="yellow"/>
              </w:rPr>
            </w:pPr>
            <w:r w:rsidRPr="001E5F3D">
              <w:rPr>
                <w:b w:val="0"/>
              </w:rPr>
              <w:t xml:space="preserve">The Government will spend an estimated $109 billion on </w:t>
            </w:r>
            <w:r w:rsidR="00856803">
              <w:rPr>
                <w:b w:val="0"/>
              </w:rPr>
              <w:t xml:space="preserve">future </w:t>
            </w:r>
            <w:r w:rsidRPr="001E5F3D">
              <w:rPr>
                <w:b w:val="0"/>
              </w:rPr>
              <w:t xml:space="preserve">welfare payments for </w:t>
            </w:r>
            <w:r w:rsidR="007E404C">
              <w:rPr>
                <w:b w:val="0"/>
              </w:rPr>
              <w:t xml:space="preserve">all </w:t>
            </w:r>
            <w:r w:rsidRPr="001E5F3D">
              <w:rPr>
                <w:b w:val="0"/>
              </w:rPr>
              <w:t>people currently receiving Carer Payment over their lifetime.</w:t>
            </w:r>
          </w:p>
          <w:p w:rsidR="001F634B" w:rsidRPr="001E5F3D" w:rsidRDefault="007E404C" w:rsidP="00FC27C4">
            <w:pPr>
              <w:rPr>
                <w:b w:val="0"/>
              </w:rPr>
            </w:pPr>
            <w:r>
              <w:rPr>
                <w:b w:val="0"/>
              </w:rPr>
              <w:t xml:space="preserve">People currently receiving </w:t>
            </w:r>
            <w:r w:rsidR="001F634B" w:rsidRPr="001E5F3D">
              <w:rPr>
                <w:b w:val="0"/>
              </w:rPr>
              <w:t>Carer</w:t>
            </w:r>
            <w:r>
              <w:rPr>
                <w:b w:val="0"/>
              </w:rPr>
              <w:t xml:space="preserve"> Payment</w:t>
            </w:r>
            <w:r w:rsidR="001F634B" w:rsidRPr="001E5F3D">
              <w:rPr>
                <w:b w:val="0"/>
              </w:rPr>
              <w:t xml:space="preserve"> have</w:t>
            </w:r>
            <w:r>
              <w:rPr>
                <w:b w:val="0"/>
              </w:rPr>
              <w:t xml:space="preserve"> an average</w:t>
            </w:r>
            <w:r w:rsidR="001F634B" w:rsidRPr="001E5F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future </w:t>
            </w:r>
            <w:r w:rsidR="001F634B" w:rsidRPr="001E5F3D">
              <w:rPr>
                <w:b w:val="0"/>
              </w:rPr>
              <w:t>lifetime cost of $411,000</w:t>
            </w:r>
            <w:r>
              <w:rPr>
                <w:b w:val="0"/>
              </w:rPr>
              <w:t xml:space="preserve"> per person</w:t>
            </w:r>
            <w:r w:rsidR="001F634B" w:rsidRPr="001E5F3D">
              <w:rPr>
                <w:b w:val="0"/>
              </w:rPr>
              <w:t>.</w:t>
            </w:r>
          </w:p>
          <w:p w:rsidR="001F634B" w:rsidRDefault="001F634B" w:rsidP="00FC27C4">
            <w:pPr>
              <w:rPr>
                <w:rStyle w:val="BookTitle"/>
                <w:rFonts w:asciiTheme="minorHAnsi" w:eastAsiaTheme="majorEastAsia" w:hAnsiTheme="minorHAnsi" w:cstheme="minorHAnsi"/>
                <w:i w:val="0"/>
                <w:iCs w:val="0"/>
                <w:smallCaps w:val="0"/>
                <w:szCs w:val="22"/>
              </w:rPr>
            </w:pPr>
            <w:r w:rsidRPr="001E5F3D">
              <w:rPr>
                <w:b w:val="0"/>
              </w:rPr>
              <w:t>Young carers are expected to have a higher average future lifetime cost at $464,000 per person.</w:t>
            </w:r>
          </w:p>
        </w:tc>
      </w:tr>
    </w:tbl>
    <w:p w:rsidR="001F634B" w:rsidRDefault="001F634B" w:rsidP="001F634B">
      <w:pPr>
        <w:pStyle w:val="Heading2"/>
      </w:pPr>
      <w:r w:rsidRPr="009558DF">
        <w:t>Try</w:t>
      </w:r>
      <w:r>
        <w:t>,</w:t>
      </w:r>
      <w:r w:rsidRPr="009558DF">
        <w:t xml:space="preserve"> Test</w:t>
      </w:r>
      <w:r>
        <w:t xml:space="preserve"> and</w:t>
      </w:r>
      <w:r w:rsidRPr="009558DF">
        <w:t xml:space="preserve"> Learn Fund</w:t>
      </w:r>
    </w:p>
    <w:p w:rsidR="001F634B" w:rsidRPr="00615F6D" w:rsidRDefault="001F634B" w:rsidP="001F634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Try, Test and Learn Fund will seek new and innovative policy responses that support groups identified by Priority Investment Approach analysis as being at risk of long-term welfare dependency.</w:t>
      </w:r>
    </w:p>
    <w:p w:rsidR="001F634B" w:rsidRDefault="001F634B" w:rsidP="001F634B">
      <w:pPr>
        <w:pStyle w:val="Heading2"/>
      </w:pPr>
      <w:r>
        <w:t>About Carer Payment</w:t>
      </w:r>
    </w:p>
    <w:p w:rsidR="001F634B" w:rsidRPr="009558DF" w:rsidRDefault="001F634B" w:rsidP="001F634B">
      <w:pPr>
        <w:rPr>
          <w:rFonts w:ascii="Georgia" w:hAnsi="Georgia" w:cs="Arial"/>
          <w:color w:val="275D38"/>
          <w:kern w:val="32"/>
          <w:sz w:val="36"/>
          <w:szCs w:val="32"/>
        </w:rPr>
      </w:pPr>
      <w:r>
        <w:rPr>
          <w:rFonts w:asciiTheme="minorHAnsi" w:hAnsiTheme="minorHAnsi" w:cstheme="minorHAnsi"/>
          <w:szCs w:val="22"/>
        </w:rPr>
        <w:t>Carer Payment provides income support for people who personally provide constant home care to someone with a severe disability, medical condition, or to someone who is frail aged.</w:t>
      </w:r>
    </w:p>
    <w:p w:rsidR="00226221" w:rsidRPr="002D2DF5" w:rsidRDefault="00226221" w:rsidP="00B810F0"/>
    <w:sectPr w:rsidR="00226221" w:rsidRPr="002D2DF5" w:rsidSect="00B810F0">
      <w:type w:val="continuous"/>
      <w:pgSz w:w="11906" w:h="16838" w:code="9"/>
      <w:pgMar w:top="737" w:right="1274" w:bottom="1134" w:left="1134" w:header="737" w:footer="45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A6" w:rsidRDefault="008103A6">
      <w:r>
        <w:separator/>
      </w:r>
    </w:p>
  </w:endnote>
  <w:endnote w:type="continuationSeparator" w:id="0">
    <w:p w:rsidR="008103A6" w:rsidRDefault="0081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9" w:rsidRDefault="009B7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Pr="00846C1D" w:rsidRDefault="001712D9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2CC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B4CA4" wp14:editId="2348078C">
              <wp:simplePos x="0" y="0"/>
              <wp:positionH relativeFrom="column">
                <wp:posOffset>274955</wp:posOffset>
              </wp:positionH>
              <wp:positionV relativeFrom="paragraph">
                <wp:posOffset>331742</wp:posOffset>
              </wp:positionV>
              <wp:extent cx="6524625" cy="438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12D9" w:rsidRPr="0098780E" w:rsidRDefault="001712D9" w:rsidP="0015179E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For more informatio</w:t>
                          </w:r>
                          <w:r w:rsidR="00D360BA">
                            <w:rPr>
                              <w:color w:val="FFFFFF" w:themeColor="background1"/>
                              <w:sz w:val="24"/>
                            </w:rPr>
                            <w:t xml:space="preserve">n, </w:t>
                          </w: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visit</w:t>
                          </w:r>
                          <w:r w:rsidR="00D360B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="009B7489" w:rsidRPr="009B7489">
                            <w:rPr>
                              <w:b/>
                              <w:color w:val="FFFFFF" w:themeColor="background1"/>
                              <w:sz w:val="24"/>
                            </w:rPr>
                            <w:t>dss.gov.au/priority-investment-approach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.65pt;margin-top:26.1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" filled="f" stroked="f" strokeweight=".5pt">
              <v:textbox>
                <w:txbxContent>
                  <w:p w:rsidR="001712D9" w:rsidRPr="0098780E" w:rsidRDefault="001712D9" w:rsidP="0015179E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  <w:r w:rsidRPr="0098780E">
                      <w:rPr>
                        <w:color w:val="FFFFFF" w:themeColor="background1"/>
                        <w:sz w:val="24"/>
                      </w:rPr>
                      <w:t>For more informatio</w:t>
                    </w:r>
                    <w:r w:rsidR="00D360BA">
                      <w:rPr>
                        <w:color w:val="FFFFFF" w:themeColor="background1"/>
                        <w:sz w:val="24"/>
                      </w:rPr>
                      <w:t xml:space="preserve">n, </w:t>
                    </w:r>
                    <w:r w:rsidRPr="0098780E">
                      <w:rPr>
                        <w:color w:val="FFFFFF" w:themeColor="background1"/>
                        <w:sz w:val="24"/>
                      </w:rPr>
                      <w:t>visit</w:t>
                    </w:r>
                    <w:r w:rsidR="00D360BA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="009B7489" w:rsidRPr="009B7489">
                      <w:rPr>
                        <w:b/>
                        <w:color w:val="FFFFFF" w:themeColor="background1"/>
                        <w:sz w:val="24"/>
                      </w:rPr>
                      <w:t>dss.gov.au/priority-investment-approach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D5642C7" wp14:editId="114C999F">
          <wp:simplePos x="0" y="0"/>
          <wp:positionH relativeFrom="column">
            <wp:posOffset>-467995</wp:posOffset>
          </wp:positionH>
          <wp:positionV relativeFrom="paragraph">
            <wp:posOffset>19685</wp:posOffset>
          </wp:positionV>
          <wp:extent cx="7559675" cy="1081405"/>
          <wp:effectExtent l="0" t="0" r="3175" b="4445"/>
          <wp:wrapNone/>
          <wp:docPr id="7" name="Picture 7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6" w:rsidRDefault="009D7E26" w:rsidP="00261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A6" w:rsidRDefault="008103A6">
      <w:r>
        <w:separator/>
      </w:r>
    </w:p>
  </w:footnote>
  <w:footnote w:type="continuationSeparator" w:id="0">
    <w:p w:rsidR="008103A6" w:rsidRDefault="0081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9" w:rsidRDefault="009B7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Header"/>
      <w:rPr>
        <w:noProof/>
      </w:rPr>
    </w:pPr>
    <w:r w:rsidRPr="00680F71">
      <w:rPr>
        <w:noProof/>
      </w:rPr>
      <w:t>Commonwealth Financial Counselling</w:t>
    </w:r>
  </w:p>
  <w:p w:rsidR="001712D9" w:rsidRDefault="001712D9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55C49F" wp14:editId="6864AFB2">
              <wp:extent cx="6624000" cy="36000"/>
              <wp:effectExtent l="0" t="0" r="5715" b="254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AOO0l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B538BF" wp14:editId="384EE59B">
          <wp:simplePos x="0" y="0"/>
          <wp:positionH relativeFrom="column">
            <wp:posOffset>-467626</wp:posOffset>
          </wp:positionH>
          <wp:positionV relativeFrom="paragraph">
            <wp:posOffset>-201915</wp:posOffset>
          </wp:positionV>
          <wp:extent cx="7146925" cy="3376930"/>
          <wp:effectExtent l="0" t="0" r="0" b="0"/>
          <wp:wrapNone/>
          <wp:docPr id="6" name="Picture 6" descr="Background branding for the Australian Priority Invest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L_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" b="1"/>
                  <a:stretch/>
                </pic:blipFill>
                <pic:spPr bwMode="auto">
                  <a:xfrm>
                    <a:off x="0" y="0"/>
                    <a:ext cx="7146925" cy="337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6" w:rsidRDefault="009D7E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B26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07DB8"/>
    <w:multiLevelType w:val="hybridMultilevel"/>
    <w:tmpl w:val="ACFE3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6537F"/>
    <w:multiLevelType w:val="hybridMultilevel"/>
    <w:tmpl w:val="CD7492C6"/>
    <w:lvl w:ilvl="0" w:tplc="85D00A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178B8"/>
    <w:multiLevelType w:val="hybridMultilevel"/>
    <w:tmpl w:val="05866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BF710E"/>
    <w:multiLevelType w:val="hybridMultilevel"/>
    <w:tmpl w:val="FD94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127B39"/>
    <w:multiLevelType w:val="hybridMultilevel"/>
    <w:tmpl w:val="174AB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12"/>
  </w:num>
  <w:num w:numId="5">
    <w:abstractNumId w:val="17"/>
  </w:num>
  <w:num w:numId="6">
    <w:abstractNumId w:val="60"/>
  </w:num>
  <w:num w:numId="7">
    <w:abstractNumId w:val="46"/>
  </w:num>
  <w:num w:numId="8">
    <w:abstractNumId w:val="51"/>
  </w:num>
  <w:num w:numId="9">
    <w:abstractNumId w:val="8"/>
  </w:num>
  <w:num w:numId="10">
    <w:abstractNumId w:val="59"/>
  </w:num>
  <w:num w:numId="11">
    <w:abstractNumId w:val="18"/>
  </w:num>
  <w:num w:numId="12">
    <w:abstractNumId w:val="43"/>
  </w:num>
  <w:num w:numId="13">
    <w:abstractNumId w:val="53"/>
  </w:num>
  <w:num w:numId="14">
    <w:abstractNumId w:val="36"/>
  </w:num>
  <w:num w:numId="15">
    <w:abstractNumId w:val="3"/>
  </w:num>
  <w:num w:numId="16">
    <w:abstractNumId w:val="14"/>
  </w:num>
  <w:num w:numId="17">
    <w:abstractNumId w:val="58"/>
  </w:num>
  <w:num w:numId="18">
    <w:abstractNumId w:val="50"/>
  </w:num>
  <w:num w:numId="19">
    <w:abstractNumId w:val="15"/>
  </w:num>
  <w:num w:numId="20">
    <w:abstractNumId w:val="2"/>
  </w:num>
  <w:num w:numId="21">
    <w:abstractNumId w:val="6"/>
  </w:num>
  <w:num w:numId="22">
    <w:abstractNumId w:val="22"/>
  </w:num>
  <w:num w:numId="23">
    <w:abstractNumId w:val="19"/>
  </w:num>
  <w:num w:numId="24">
    <w:abstractNumId w:val="62"/>
  </w:num>
  <w:num w:numId="25">
    <w:abstractNumId w:val="34"/>
  </w:num>
  <w:num w:numId="26">
    <w:abstractNumId w:val="40"/>
  </w:num>
  <w:num w:numId="27">
    <w:abstractNumId w:val="21"/>
  </w:num>
  <w:num w:numId="28">
    <w:abstractNumId w:val="61"/>
  </w:num>
  <w:num w:numId="29">
    <w:abstractNumId w:val="49"/>
  </w:num>
  <w:num w:numId="30">
    <w:abstractNumId w:val="27"/>
  </w:num>
  <w:num w:numId="31">
    <w:abstractNumId w:val="45"/>
  </w:num>
  <w:num w:numId="32">
    <w:abstractNumId w:val="54"/>
  </w:num>
  <w:num w:numId="33">
    <w:abstractNumId w:val="57"/>
  </w:num>
  <w:num w:numId="34">
    <w:abstractNumId w:val="4"/>
  </w:num>
  <w:num w:numId="35">
    <w:abstractNumId w:val="25"/>
  </w:num>
  <w:num w:numId="36">
    <w:abstractNumId w:val="48"/>
  </w:num>
  <w:num w:numId="37">
    <w:abstractNumId w:val="9"/>
  </w:num>
  <w:num w:numId="38">
    <w:abstractNumId w:val="30"/>
  </w:num>
  <w:num w:numId="39">
    <w:abstractNumId w:val="24"/>
  </w:num>
  <w:num w:numId="40">
    <w:abstractNumId w:val="33"/>
  </w:num>
  <w:num w:numId="41">
    <w:abstractNumId w:val="38"/>
  </w:num>
  <w:num w:numId="42">
    <w:abstractNumId w:val="23"/>
  </w:num>
  <w:num w:numId="43">
    <w:abstractNumId w:val="16"/>
  </w:num>
  <w:num w:numId="44">
    <w:abstractNumId w:val="42"/>
  </w:num>
  <w:num w:numId="45">
    <w:abstractNumId w:val="47"/>
  </w:num>
  <w:num w:numId="46">
    <w:abstractNumId w:val="32"/>
  </w:num>
  <w:num w:numId="47">
    <w:abstractNumId w:val="31"/>
  </w:num>
  <w:num w:numId="48">
    <w:abstractNumId w:val="1"/>
  </w:num>
  <w:num w:numId="49">
    <w:abstractNumId w:val="44"/>
  </w:num>
  <w:num w:numId="50">
    <w:abstractNumId w:val="55"/>
  </w:num>
  <w:num w:numId="51">
    <w:abstractNumId w:val="41"/>
  </w:num>
  <w:num w:numId="52">
    <w:abstractNumId w:val="10"/>
  </w:num>
  <w:num w:numId="53">
    <w:abstractNumId w:val="52"/>
  </w:num>
  <w:num w:numId="54">
    <w:abstractNumId w:val="26"/>
  </w:num>
  <w:num w:numId="55">
    <w:abstractNumId w:val="20"/>
  </w:num>
  <w:num w:numId="56">
    <w:abstractNumId w:val="29"/>
  </w:num>
  <w:num w:numId="57">
    <w:abstractNumId w:val="28"/>
  </w:num>
  <w:num w:numId="58">
    <w:abstractNumId w:val="11"/>
  </w:num>
  <w:num w:numId="59">
    <w:abstractNumId w:val="37"/>
  </w:num>
  <w:num w:numId="60">
    <w:abstractNumId w:val="7"/>
  </w:num>
  <w:num w:numId="61">
    <w:abstractNumId w:val="13"/>
  </w:num>
  <w:num w:numId="62">
    <w:abstractNumId w:val="7"/>
  </w:num>
  <w:num w:numId="63">
    <w:abstractNumId w:val="35"/>
  </w:num>
  <w:num w:numId="64">
    <w:abstractNumId w:val="56"/>
  </w:num>
  <w:num w:numId="65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CE"/>
    <w:rsid w:val="00002C18"/>
    <w:rsid w:val="000057B5"/>
    <w:rsid w:val="00010549"/>
    <w:rsid w:val="00010A66"/>
    <w:rsid w:val="00012F84"/>
    <w:rsid w:val="00025376"/>
    <w:rsid w:val="000260C5"/>
    <w:rsid w:val="00026D41"/>
    <w:rsid w:val="00027B26"/>
    <w:rsid w:val="0003104E"/>
    <w:rsid w:val="00031195"/>
    <w:rsid w:val="00032861"/>
    <w:rsid w:val="00032CC3"/>
    <w:rsid w:val="00035CA1"/>
    <w:rsid w:val="0003679F"/>
    <w:rsid w:val="000373DB"/>
    <w:rsid w:val="000435BB"/>
    <w:rsid w:val="000450E5"/>
    <w:rsid w:val="00045CCD"/>
    <w:rsid w:val="00047524"/>
    <w:rsid w:val="00047ACD"/>
    <w:rsid w:val="000505B2"/>
    <w:rsid w:val="00050E5B"/>
    <w:rsid w:val="00052943"/>
    <w:rsid w:val="000547EF"/>
    <w:rsid w:val="00054B89"/>
    <w:rsid w:val="00055692"/>
    <w:rsid w:val="00065114"/>
    <w:rsid w:val="00067CD0"/>
    <w:rsid w:val="0007607D"/>
    <w:rsid w:val="00080F2E"/>
    <w:rsid w:val="00081CEB"/>
    <w:rsid w:val="00083791"/>
    <w:rsid w:val="00086E3C"/>
    <w:rsid w:val="00087B2C"/>
    <w:rsid w:val="00087DBD"/>
    <w:rsid w:val="00090570"/>
    <w:rsid w:val="00090753"/>
    <w:rsid w:val="00097BFF"/>
    <w:rsid w:val="000A669D"/>
    <w:rsid w:val="000A66A8"/>
    <w:rsid w:val="000C014D"/>
    <w:rsid w:val="000C5309"/>
    <w:rsid w:val="000D4703"/>
    <w:rsid w:val="000D64F9"/>
    <w:rsid w:val="000D693C"/>
    <w:rsid w:val="000E0564"/>
    <w:rsid w:val="000E12D4"/>
    <w:rsid w:val="000E2CA6"/>
    <w:rsid w:val="000F2A5B"/>
    <w:rsid w:val="00104669"/>
    <w:rsid w:val="00110028"/>
    <w:rsid w:val="00115D09"/>
    <w:rsid w:val="00116EDF"/>
    <w:rsid w:val="00124B26"/>
    <w:rsid w:val="001308F1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4A74"/>
    <w:rsid w:val="0015179E"/>
    <w:rsid w:val="00157709"/>
    <w:rsid w:val="00167330"/>
    <w:rsid w:val="00167CF4"/>
    <w:rsid w:val="001712D9"/>
    <w:rsid w:val="0018001E"/>
    <w:rsid w:val="00183CBC"/>
    <w:rsid w:val="00185F6A"/>
    <w:rsid w:val="001939FF"/>
    <w:rsid w:val="001943DD"/>
    <w:rsid w:val="00194DA0"/>
    <w:rsid w:val="00195374"/>
    <w:rsid w:val="001A127F"/>
    <w:rsid w:val="001A3CA4"/>
    <w:rsid w:val="001A3EA4"/>
    <w:rsid w:val="001A525B"/>
    <w:rsid w:val="001B3352"/>
    <w:rsid w:val="001B3AEC"/>
    <w:rsid w:val="001B42F6"/>
    <w:rsid w:val="001B5000"/>
    <w:rsid w:val="001B6F28"/>
    <w:rsid w:val="001C6104"/>
    <w:rsid w:val="001D4585"/>
    <w:rsid w:val="001D5D54"/>
    <w:rsid w:val="001D5E07"/>
    <w:rsid w:val="001E41C8"/>
    <w:rsid w:val="001E5F3D"/>
    <w:rsid w:val="001F3AD7"/>
    <w:rsid w:val="001F4B82"/>
    <w:rsid w:val="001F634B"/>
    <w:rsid w:val="00201877"/>
    <w:rsid w:val="0020637F"/>
    <w:rsid w:val="00207630"/>
    <w:rsid w:val="00213082"/>
    <w:rsid w:val="00214BA3"/>
    <w:rsid w:val="00216105"/>
    <w:rsid w:val="0021714E"/>
    <w:rsid w:val="00222187"/>
    <w:rsid w:val="00222C8D"/>
    <w:rsid w:val="00222E33"/>
    <w:rsid w:val="00224141"/>
    <w:rsid w:val="00225DB9"/>
    <w:rsid w:val="00226221"/>
    <w:rsid w:val="00227B95"/>
    <w:rsid w:val="00234444"/>
    <w:rsid w:val="0023523A"/>
    <w:rsid w:val="002353DF"/>
    <w:rsid w:val="00235F71"/>
    <w:rsid w:val="00245C2E"/>
    <w:rsid w:val="002465DC"/>
    <w:rsid w:val="00251A3F"/>
    <w:rsid w:val="0025272A"/>
    <w:rsid w:val="002527BC"/>
    <w:rsid w:val="00254055"/>
    <w:rsid w:val="00261A54"/>
    <w:rsid w:val="00263181"/>
    <w:rsid w:val="00266985"/>
    <w:rsid w:val="00271922"/>
    <w:rsid w:val="0027204E"/>
    <w:rsid w:val="00273412"/>
    <w:rsid w:val="00274ACF"/>
    <w:rsid w:val="00285F1B"/>
    <w:rsid w:val="0028605C"/>
    <w:rsid w:val="0028775C"/>
    <w:rsid w:val="00287E66"/>
    <w:rsid w:val="00294078"/>
    <w:rsid w:val="002956E4"/>
    <w:rsid w:val="00295831"/>
    <w:rsid w:val="00296F1B"/>
    <w:rsid w:val="002A2A6A"/>
    <w:rsid w:val="002A6DF5"/>
    <w:rsid w:val="002C1D92"/>
    <w:rsid w:val="002D004A"/>
    <w:rsid w:val="002D00B0"/>
    <w:rsid w:val="002D2DF5"/>
    <w:rsid w:val="002D2E16"/>
    <w:rsid w:val="002D3138"/>
    <w:rsid w:val="002F1411"/>
    <w:rsid w:val="002F19EF"/>
    <w:rsid w:val="002F4E33"/>
    <w:rsid w:val="002F56D2"/>
    <w:rsid w:val="00302415"/>
    <w:rsid w:val="00303971"/>
    <w:rsid w:val="00307100"/>
    <w:rsid w:val="003102F6"/>
    <w:rsid w:val="00313304"/>
    <w:rsid w:val="00313C48"/>
    <w:rsid w:val="003162AD"/>
    <w:rsid w:val="00321148"/>
    <w:rsid w:val="00321798"/>
    <w:rsid w:val="0032414C"/>
    <w:rsid w:val="00325F44"/>
    <w:rsid w:val="00326976"/>
    <w:rsid w:val="003311D7"/>
    <w:rsid w:val="00332B8B"/>
    <w:rsid w:val="00347104"/>
    <w:rsid w:val="0035213F"/>
    <w:rsid w:val="00355132"/>
    <w:rsid w:val="003555D2"/>
    <w:rsid w:val="00363DF3"/>
    <w:rsid w:val="003656B1"/>
    <w:rsid w:val="003703CE"/>
    <w:rsid w:val="0037056B"/>
    <w:rsid w:val="00377173"/>
    <w:rsid w:val="003774DA"/>
    <w:rsid w:val="003918E3"/>
    <w:rsid w:val="00392557"/>
    <w:rsid w:val="003945C0"/>
    <w:rsid w:val="00397A51"/>
    <w:rsid w:val="00397D57"/>
    <w:rsid w:val="003A06C2"/>
    <w:rsid w:val="003B6D2E"/>
    <w:rsid w:val="003C430D"/>
    <w:rsid w:val="003C7404"/>
    <w:rsid w:val="003D3C5A"/>
    <w:rsid w:val="003D404A"/>
    <w:rsid w:val="003E2D56"/>
    <w:rsid w:val="003E4047"/>
    <w:rsid w:val="003E6FDA"/>
    <w:rsid w:val="003F0B98"/>
    <w:rsid w:val="003F3072"/>
    <w:rsid w:val="00401A2A"/>
    <w:rsid w:val="004030E4"/>
    <w:rsid w:val="004103D7"/>
    <w:rsid w:val="0041307C"/>
    <w:rsid w:val="0041643E"/>
    <w:rsid w:val="004167B4"/>
    <w:rsid w:val="00430D7E"/>
    <w:rsid w:val="00431531"/>
    <w:rsid w:val="00433B04"/>
    <w:rsid w:val="00440BD3"/>
    <w:rsid w:val="00446F93"/>
    <w:rsid w:val="00452B29"/>
    <w:rsid w:val="004649E2"/>
    <w:rsid w:val="00464E8C"/>
    <w:rsid w:val="00466D36"/>
    <w:rsid w:val="00467185"/>
    <w:rsid w:val="0047050C"/>
    <w:rsid w:val="00475504"/>
    <w:rsid w:val="00480F21"/>
    <w:rsid w:val="004811E6"/>
    <w:rsid w:val="00484FED"/>
    <w:rsid w:val="00495AF1"/>
    <w:rsid w:val="004B74EB"/>
    <w:rsid w:val="004C6B46"/>
    <w:rsid w:val="004C7954"/>
    <w:rsid w:val="004D33BD"/>
    <w:rsid w:val="004D7AD1"/>
    <w:rsid w:val="004E5664"/>
    <w:rsid w:val="004F3071"/>
    <w:rsid w:val="004F5232"/>
    <w:rsid w:val="004F775C"/>
    <w:rsid w:val="00500B02"/>
    <w:rsid w:val="005015E4"/>
    <w:rsid w:val="0050291D"/>
    <w:rsid w:val="0050697E"/>
    <w:rsid w:val="00511193"/>
    <w:rsid w:val="00521E14"/>
    <w:rsid w:val="00524B3C"/>
    <w:rsid w:val="0052592A"/>
    <w:rsid w:val="005315A9"/>
    <w:rsid w:val="00532B56"/>
    <w:rsid w:val="00534EA5"/>
    <w:rsid w:val="00540AD0"/>
    <w:rsid w:val="0054322A"/>
    <w:rsid w:val="00543923"/>
    <w:rsid w:val="00543A4F"/>
    <w:rsid w:val="00544399"/>
    <w:rsid w:val="005519C9"/>
    <w:rsid w:val="005523D1"/>
    <w:rsid w:val="00554A9C"/>
    <w:rsid w:val="00557624"/>
    <w:rsid w:val="0056023E"/>
    <w:rsid w:val="005658EF"/>
    <w:rsid w:val="005822A3"/>
    <w:rsid w:val="0058371B"/>
    <w:rsid w:val="0059070B"/>
    <w:rsid w:val="00594445"/>
    <w:rsid w:val="005A098C"/>
    <w:rsid w:val="005B1225"/>
    <w:rsid w:val="005B1CAA"/>
    <w:rsid w:val="005B5640"/>
    <w:rsid w:val="005B76B0"/>
    <w:rsid w:val="005C09F4"/>
    <w:rsid w:val="005C561A"/>
    <w:rsid w:val="005C5B93"/>
    <w:rsid w:val="005C66FF"/>
    <w:rsid w:val="005C673E"/>
    <w:rsid w:val="005C785A"/>
    <w:rsid w:val="005D03CA"/>
    <w:rsid w:val="005D45AB"/>
    <w:rsid w:val="005E4662"/>
    <w:rsid w:val="005E6C9D"/>
    <w:rsid w:val="005F093F"/>
    <w:rsid w:val="005F214A"/>
    <w:rsid w:val="005F6BD6"/>
    <w:rsid w:val="00601C99"/>
    <w:rsid w:val="00607597"/>
    <w:rsid w:val="00615F6D"/>
    <w:rsid w:val="006255E4"/>
    <w:rsid w:val="006262F3"/>
    <w:rsid w:val="00630503"/>
    <w:rsid w:val="00635874"/>
    <w:rsid w:val="00641020"/>
    <w:rsid w:val="006410C1"/>
    <w:rsid w:val="00647F05"/>
    <w:rsid w:val="006530EF"/>
    <w:rsid w:val="00654D06"/>
    <w:rsid w:val="006551DE"/>
    <w:rsid w:val="00661536"/>
    <w:rsid w:val="0067233D"/>
    <w:rsid w:val="00673A0A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13D"/>
    <w:rsid w:val="006C45D4"/>
    <w:rsid w:val="006C5F47"/>
    <w:rsid w:val="006D67CC"/>
    <w:rsid w:val="006E1F3C"/>
    <w:rsid w:val="006E6073"/>
    <w:rsid w:val="006F7300"/>
    <w:rsid w:val="00703C09"/>
    <w:rsid w:val="00705C4A"/>
    <w:rsid w:val="00712300"/>
    <w:rsid w:val="0071506D"/>
    <w:rsid w:val="00716306"/>
    <w:rsid w:val="00720739"/>
    <w:rsid w:val="00721695"/>
    <w:rsid w:val="00721ABF"/>
    <w:rsid w:val="007242B4"/>
    <w:rsid w:val="00725FB2"/>
    <w:rsid w:val="00730C64"/>
    <w:rsid w:val="007322AF"/>
    <w:rsid w:val="00733CCE"/>
    <w:rsid w:val="00735477"/>
    <w:rsid w:val="00736DCA"/>
    <w:rsid w:val="00742399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0A40"/>
    <w:rsid w:val="007C1631"/>
    <w:rsid w:val="007C5A60"/>
    <w:rsid w:val="007C636F"/>
    <w:rsid w:val="007D08C4"/>
    <w:rsid w:val="007D0EF8"/>
    <w:rsid w:val="007D39EB"/>
    <w:rsid w:val="007E404C"/>
    <w:rsid w:val="007F6C76"/>
    <w:rsid w:val="007F6E23"/>
    <w:rsid w:val="007F7843"/>
    <w:rsid w:val="008103A6"/>
    <w:rsid w:val="008131E7"/>
    <w:rsid w:val="00813711"/>
    <w:rsid w:val="00814279"/>
    <w:rsid w:val="008263C2"/>
    <w:rsid w:val="0083653B"/>
    <w:rsid w:val="00841884"/>
    <w:rsid w:val="00842959"/>
    <w:rsid w:val="00843FAD"/>
    <w:rsid w:val="008451FE"/>
    <w:rsid w:val="008466A1"/>
    <w:rsid w:val="00846C1D"/>
    <w:rsid w:val="00851758"/>
    <w:rsid w:val="00856803"/>
    <w:rsid w:val="00856D5A"/>
    <w:rsid w:val="008609EB"/>
    <w:rsid w:val="00862D6D"/>
    <w:rsid w:val="008653E0"/>
    <w:rsid w:val="008657FB"/>
    <w:rsid w:val="0086581F"/>
    <w:rsid w:val="00871D4F"/>
    <w:rsid w:val="00874FB3"/>
    <w:rsid w:val="00880BE3"/>
    <w:rsid w:val="00882588"/>
    <w:rsid w:val="008952D8"/>
    <w:rsid w:val="00895792"/>
    <w:rsid w:val="008A0EA6"/>
    <w:rsid w:val="008A3738"/>
    <w:rsid w:val="008B1A62"/>
    <w:rsid w:val="008B294C"/>
    <w:rsid w:val="008B645B"/>
    <w:rsid w:val="008B67B8"/>
    <w:rsid w:val="008B774D"/>
    <w:rsid w:val="008C123E"/>
    <w:rsid w:val="008C3ED0"/>
    <w:rsid w:val="008C5585"/>
    <w:rsid w:val="008C5E94"/>
    <w:rsid w:val="008D4F37"/>
    <w:rsid w:val="008D6790"/>
    <w:rsid w:val="008E6E9D"/>
    <w:rsid w:val="008F68F7"/>
    <w:rsid w:val="008F7480"/>
    <w:rsid w:val="009037B6"/>
    <w:rsid w:val="00904D1D"/>
    <w:rsid w:val="00906CBE"/>
    <w:rsid w:val="00906FFA"/>
    <w:rsid w:val="00910384"/>
    <w:rsid w:val="009139C0"/>
    <w:rsid w:val="009161C8"/>
    <w:rsid w:val="009164AD"/>
    <w:rsid w:val="00922289"/>
    <w:rsid w:val="00926CFA"/>
    <w:rsid w:val="00931F20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75F4D"/>
    <w:rsid w:val="00986EA8"/>
    <w:rsid w:val="0098780E"/>
    <w:rsid w:val="009900F0"/>
    <w:rsid w:val="00991769"/>
    <w:rsid w:val="00994E9F"/>
    <w:rsid w:val="00996931"/>
    <w:rsid w:val="009A4CD8"/>
    <w:rsid w:val="009B1C61"/>
    <w:rsid w:val="009B3ED1"/>
    <w:rsid w:val="009B7489"/>
    <w:rsid w:val="009B761B"/>
    <w:rsid w:val="009C433C"/>
    <w:rsid w:val="009C49A3"/>
    <w:rsid w:val="009D28B7"/>
    <w:rsid w:val="009D6475"/>
    <w:rsid w:val="009D66BA"/>
    <w:rsid w:val="009D7342"/>
    <w:rsid w:val="009D7E1A"/>
    <w:rsid w:val="009D7E26"/>
    <w:rsid w:val="009E2162"/>
    <w:rsid w:val="009E787C"/>
    <w:rsid w:val="009F2E2D"/>
    <w:rsid w:val="00A006EB"/>
    <w:rsid w:val="00A03709"/>
    <w:rsid w:val="00A06C77"/>
    <w:rsid w:val="00A10147"/>
    <w:rsid w:val="00A13D26"/>
    <w:rsid w:val="00A146A5"/>
    <w:rsid w:val="00A17411"/>
    <w:rsid w:val="00A2223D"/>
    <w:rsid w:val="00A32062"/>
    <w:rsid w:val="00A34A74"/>
    <w:rsid w:val="00A35351"/>
    <w:rsid w:val="00A42ADE"/>
    <w:rsid w:val="00A57037"/>
    <w:rsid w:val="00A60693"/>
    <w:rsid w:val="00A67728"/>
    <w:rsid w:val="00A81A4F"/>
    <w:rsid w:val="00A82E14"/>
    <w:rsid w:val="00A901E9"/>
    <w:rsid w:val="00A9710B"/>
    <w:rsid w:val="00A9762C"/>
    <w:rsid w:val="00AA4067"/>
    <w:rsid w:val="00AB1A5B"/>
    <w:rsid w:val="00AB35A1"/>
    <w:rsid w:val="00AC0A54"/>
    <w:rsid w:val="00AC125E"/>
    <w:rsid w:val="00AC1759"/>
    <w:rsid w:val="00AC45DF"/>
    <w:rsid w:val="00AC474D"/>
    <w:rsid w:val="00AC4DFD"/>
    <w:rsid w:val="00AC58FD"/>
    <w:rsid w:val="00AC60CD"/>
    <w:rsid w:val="00AD2107"/>
    <w:rsid w:val="00AD60E6"/>
    <w:rsid w:val="00AD793A"/>
    <w:rsid w:val="00AE2C1B"/>
    <w:rsid w:val="00AE5956"/>
    <w:rsid w:val="00AE619F"/>
    <w:rsid w:val="00AE6239"/>
    <w:rsid w:val="00AF373A"/>
    <w:rsid w:val="00AF7268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33D33"/>
    <w:rsid w:val="00B40D26"/>
    <w:rsid w:val="00B426BE"/>
    <w:rsid w:val="00B4451B"/>
    <w:rsid w:val="00B550EB"/>
    <w:rsid w:val="00B72D62"/>
    <w:rsid w:val="00B810F0"/>
    <w:rsid w:val="00B843C8"/>
    <w:rsid w:val="00B8457B"/>
    <w:rsid w:val="00B845C5"/>
    <w:rsid w:val="00B951E2"/>
    <w:rsid w:val="00B96F37"/>
    <w:rsid w:val="00BA607C"/>
    <w:rsid w:val="00BB3E2A"/>
    <w:rsid w:val="00BB5551"/>
    <w:rsid w:val="00BC16F5"/>
    <w:rsid w:val="00BC1D5D"/>
    <w:rsid w:val="00BC287D"/>
    <w:rsid w:val="00BC4A76"/>
    <w:rsid w:val="00BD0774"/>
    <w:rsid w:val="00BD32E5"/>
    <w:rsid w:val="00BD5C92"/>
    <w:rsid w:val="00BD7ADD"/>
    <w:rsid w:val="00BE41C3"/>
    <w:rsid w:val="00BE6767"/>
    <w:rsid w:val="00BE68D7"/>
    <w:rsid w:val="00BF7763"/>
    <w:rsid w:val="00C04D5E"/>
    <w:rsid w:val="00C15986"/>
    <w:rsid w:val="00C21E92"/>
    <w:rsid w:val="00C24EA2"/>
    <w:rsid w:val="00C24F70"/>
    <w:rsid w:val="00C33479"/>
    <w:rsid w:val="00C350A1"/>
    <w:rsid w:val="00C36D06"/>
    <w:rsid w:val="00C436AF"/>
    <w:rsid w:val="00C47BA2"/>
    <w:rsid w:val="00C539B6"/>
    <w:rsid w:val="00C612DC"/>
    <w:rsid w:val="00C622CB"/>
    <w:rsid w:val="00C64D15"/>
    <w:rsid w:val="00C74F74"/>
    <w:rsid w:val="00C7554B"/>
    <w:rsid w:val="00C83E31"/>
    <w:rsid w:val="00C916A4"/>
    <w:rsid w:val="00CA29C5"/>
    <w:rsid w:val="00CA2A52"/>
    <w:rsid w:val="00CA2B15"/>
    <w:rsid w:val="00CA6490"/>
    <w:rsid w:val="00CB5744"/>
    <w:rsid w:val="00CB7022"/>
    <w:rsid w:val="00CD1937"/>
    <w:rsid w:val="00CE214C"/>
    <w:rsid w:val="00CE6858"/>
    <w:rsid w:val="00CE6D61"/>
    <w:rsid w:val="00CF34DF"/>
    <w:rsid w:val="00CF50BE"/>
    <w:rsid w:val="00CF6A52"/>
    <w:rsid w:val="00D03583"/>
    <w:rsid w:val="00D117B4"/>
    <w:rsid w:val="00D169F7"/>
    <w:rsid w:val="00D24ED8"/>
    <w:rsid w:val="00D26D01"/>
    <w:rsid w:val="00D33DA3"/>
    <w:rsid w:val="00D34C06"/>
    <w:rsid w:val="00D360BA"/>
    <w:rsid w:val="00D405D6"/>
    <w:rsid w:val="00D4723B"/>
    <w:rsid w:val="00D55EE8"/>
    <w:rsid w:val="00D5785A"/>
    <w:rsid w:val="00D62AA4"/>
    <w:rsid w:val="00D63BF3"/>
    <w:rsid w:val="00D64C48"/>
    <w:rsid w:val="00D731C4"/>
    <w:rsid w:val="00D81BAA"/>
    <w:rsid w:val="00D83A0C"/>
    <w:rsid w:val="00D85BE0"/>
    <w:rsid w:val="00D86E3D"/>
    <w:rsid w:val="00D87C1A"/>
    <w:rsid w:val="00D87FD7"/>
    <w:rsid w:val="00D92167"/>
    <w:rsid w:val="00D9502B"/>
    <w:rsid w:val="00D97047"/>
    <w:rsid w:val="00D97108"/>
    <w:rsid w:val="00DA4BA0"/>
    <w:rsid w:val="00DA5460"/>
    <w:rsid w:val="00DC5665"/>
    <w:rsid w:val="00DD0680"/>
    <w:rsid w:val="00DD0B0C"/>
    <w:rsid w:val="00DD4806"/>
    <w:rsid w:val="00DD4F44"/>
    <w:rsid w:val="00DD5D8B"/>
    <w:rsid w:val="00DE0F9E"/>
    <w:rsid w:val="00DE5D76"/>
    <w:rsid w:val="00E0078A"/>
    <w:rsid w:val="00E0283D"/>
    <w:rsid w:val="00E04C8D"/>
    <w:rsid w:val="00E128D8"/>
    <w:rsid w:val="00E17FD7"/>
    <w:rsid w:val="00E300C0"/>
    <w:rsid w:val="00E30D45"/>
    <w:rsid w:val="00E36C13"/>
    <w:rsid w:val="00E42FE4"/>
    <w:rsid w:val="00E46FAA"/>
    <w:rsid w:val="00E566F2"/>
    <w:rsid w:val="00E5750B"/>
    <w:rsid w:val="00E60E2E"/>
    <w:rsid w:val="00E63A24"/>
    <w:rsid w:val="00E71A2D"/>
    <w:rsid w:val="00E8698A"/>
    <w:rsid w:val="00E923F2"/>
    <w:rsid w:val="00E92BFF"/>
    <w:rsid w:val="00EA31CC"/>
    <w:rsid w:val="00EB14DF"/>
    <w:rsid w:val="00EB2B64"/>
    <w:rsid w:val="00EB312E"/>
    <w:rsid w:val="00EB3A07"/>
    <w:rsid w:val="00EB4143"/>
    <w:rsid w:val="00EB4728"/>
    <w:rsid w:val="00EB5193"/>
    <w:rsid w:val="00EC06A8"/>
    <w:rsid w:val="00EC207A"/>
    <w:rsid w:val="00EC381E"/>
    <w:rsid w:val="00EC3F31"/>
    <w:rsid w:val="00EC4853"/>
    <w:rsid w:val="00ED3C91"/>
    <w:rsid w:val="00ED4112"/>
    <w:rsid w:val="00ED51DA"/>
    <w:rsid w:val="00EE7058"/>
    <w:rsid w:val="00EF1347"/>
    <w:rsid w:val="00EF2BEB"/>
    <w:rsid w:val="00F01129"/>
    <w:rsid w:val="00F03D93"/>
    <w:rsid w:val="00F03D9E"/>
    <w:rsid w:val="00F05384"/>
    <w:rsid w:val="00F227BF"/>
    <w:rsid w:val="00F30D3F"/>
    <w:rsid w:val="00F374B2"/>
    <w:rsid w:val="00F40AFC"/>
    <w:rsid w:val="00F4730E"/>
    <w:rsid w:val="00F50A92"/>
    <w:rsid w:val="00F53F24"/>
    <w:rsid w:val="00F63341"/>
    <w:rsid w:val="00F63697"/>
    <w:rsid w:val="00F7536E"/>
    <w:rsid w:val="00F81F93"/>
    <w:rsid w:val="00F86F1B"/>
    <w:rsid w:val="00F92A21"/>
    <w:rsid w:val="00F92E9B"/>
    <w:rsid w:val="00F95814"/>
    <w:rsid w:val="00F96D66"/>
    <w:rsid w:val="00FA01D9"/>
    <w:rsid w:val="00FA031C"/>
    <w:rsid w:val="00FB13C1"/>
    <w:rsid w:val="00FB420B"/>
    <w:rsid w:val="00FC1C5F"/>
    <w:rsid w:val="00FC5C0C"/>
    <w:rsid w:val="00FC64EF"/>
    <w:rsid w:val="00FC69EB"/>
    <w:rsid w:val="00FD2673"/>
    <w:rsid w:val="00FD311A"/>
    <w:rsid w:val="00FD451F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4EB"/>
    <w:pPr>
      <w:spacing w:before="120" w:after="120" w:line="24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A4BA0"/>
    <w:pPr>
      <w:keepNext/>
      <w:keepLines/>
      <w:spacing w:before="36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2465DC"/>
    <w:pPr>
      <w:keepNext/>
      <w:keepLines/>
      <w:spacing w:before="30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DA5460"/>
    <w:tblPr>
      <w:tblInd w:w="108" w:type="dxa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78BE20" w:themeColor="accent4"/>
        <w:insideV w:val="single" w:sz="4" w:space="0" w:color="78BE20" w:themeColor="accent4"/>
      </w:tblBorders>
    </w:tblPr>
    <w:tcPr>
      <w:shd w:val="clear" w:color="auto" w:fill="FFFFFF" w:themeFill="background1"/>
    </w:tc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465DC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4BA0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D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06"/>
    <w:pPr>
      <w:spacing w:before="0"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06"/>
    <w:rPr>
      <w:rFonts w:ascii="Arial" w:eastAsiaTheme="minorHAnsi" w:hAnsi="Arial" w:cstheme="minorBidi"/>
      <w:lang w:eastAsia="en-US"/>
    </w:rPr>
  </w:style>
  <w:style w:type="paragraph" w:styleId="ListParagraph">
    <w:name w:val="List Paragraph"/>
    <w:aliases w:val="Recommendation,L,Level 1 list,List Paragraph1,List Paragraph11,Bullet Point,Bullet points,Content descriptions,List Paragraph Number,Bullet point,NFP GP Bulleted List,AR bullet 1"/>
    <w:basedOn w:val="Normal"/>
    <w:link w:val="ListParagraphChar"/>
    <w:uiPriority w:val="34"/>
    <w:qFormat/>
    <w:rsid w:val="00B550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D66BA"/>
    <w:pPr>
      <w:spacing w:before="120" w:after="12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9D66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C06A8"/>
    <w:rPr>
      <w:rFonts w:ascii="Arial" w:hAnsi="Arial"/>
      <w:szCs w:val="24"/>
    </w:rPr>
  </w:style>
  <w:style w:type="character" w:styleId="BookTitle">
    <w:name w:val="Book Title"/>
    <w:uiPriority w:val="33"/>
    <w:qFormat/>
    <w:rsid w:val="008D6790"/>
    <w:rPr>
      <w:i/>
      <w:iCs/>
      <w:smallCaps/>
      <w:spacing w:val="5"/>
    </w:rPr>
  </w:style>
  <w:style w:type="table" w:styleId="MediumGrid1-Accent4">
    <w:name w:val="Medium Grid 1 Accent 4"/>
    <w:basedOn w:val="TableNormal"/>
    <w:uiPriority w:val="67"/>
    <w:rsid w:val="002F1411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character" w:customStyle="1" w:styleId="ListParagraphChar">
    <w:name w:val="List Paragraph Char"/>
    <w:aliases w:val="Recommendation Char,L Char,Level 1 list Char,List Paragraph1 Char,List Paragraph11 Char,Bullet Point Char,Bullet points Char,Content descriptions Char,List Paragraph Number Char,Bullet point Char,NFP GP Bulleted List Char"/>
    <w:basedOn w:val="DefaultParagraphFont"/>
    <w:link w:val="ListParagraph"/>
    <w:uiPriority w:val="34"/>
    <w:rsid w:val="001F634B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4EB"/>
    <w:pPr>
      <w:spacing w:before="120" w:after="120" w:line="24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A4BA0"/>
    <w:pPr>
      <w:keepNext/>
      <w:keepLines/>
      <w:spacing w:before="36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2465DC"/>
    <w:pPr>
      <w:keepNext/>
      <w:keepLines/>
      <w:spacing w:before="30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DA5460"/>
    <w:tblPr>
      <w:tblInd w:w="108" w:type="dxa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78BE20" w:themeColor="accent4"/>
        <w:insideV w:val="single" w:sz="4" w:space="0" w:color="78BE20" w:themeColor="accent4"/>
      </w:tblBorders>
    </w:tblPr>
    <w:tcPr>
      <w:shd w:val="clear" w:color="auto" w:fill="FFFFFF" w:themeFill="background1"/>
    </w:tc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465DC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4BA0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D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06"/>
    <w:pPr>
      <w:spacing w:before="0"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06"/>
    <w:rPr>
      <w:rFonts w:ascii="Arial" w:eastAsiaTheme="minorHAnsi" w:hAnsi="Arial" w:cstheme="minorBidi"/>
      <w:lang w:eastAsia="en-US"/>
    </w:rPr>
  </w:style>
  <w:style w:type="paragraph" w:styleId="ListParagraph">
    <w:name w:val="List Paragraph"/>
    <w:aliases w:val="Recommendation,L,Level 1 list,List Paragraph1,List Paragraph11,Bullet Point,Bullet points,Content descriptions,List Paragraph Number,Bullet point,NFP GP Bulleted List,AR bullet 1"/>
    <w:basedOn w:val="Normal"/>
    <w:link w:val="ListParagraphChar"/>
    <w:uiPriority w:val="34"/>
    <w:qFormat/>
    <w:rsid w:val="00B550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D66BA"/>
    <w:pPr>
      <w:spacing w:before="120" w:after="12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9D66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C06A8"/>
    <w:rPr>
      <w:rFonts w:ascii="Arial" w:hAnsi="Arial"/>
      <w:szCs w:val="24"/>
    </w:rPr>
  </w:style>
  <w:style w:type="character" w:styleId="BookTitle">
    <w:name w:val="Book Title"/>
    <w:uiPriority w:val="33"/>
    <w:qFormat/>
    <w:rsid w:val="008D6790"/>
    <w:rPr>
      <w:i/>
      <w:iCs/>
      <w:smallCaps/>
      <w:spacing w:val="5"/>
    </w:rPr>
  </w:style>
  <w:style w:type="table" w:styleId="MediumGrid1-Accent4">
    <w:name w:val="Medium Grid 1 Accent 4"/>
    <w:basedOn w:val="TableNormal"/>
    <w:uiPriority w:val="67"/>
    <w:rsid w:val="002F1411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character" w:customStyle="1" w:styleId="ListParagraphChar">
    <w:name w:val="List Paragraph Char"/>
    <w:aliases w:val="Recommendation Char,L Char,Level 1 list Char,List Paragraph1 Char,List Paragraph11 Char,Bullet Point Char,Bullet points Char,Content descriptions Char,List Paragraph Number Char,Bullet point Char,NFP GP Bulleted List Char"/>
    <w:basedOn w:val="DefaultParagraphFont"/>
    <w:link w:val="ListParagraph"/>
    <w:uiPriority w:val="34"/>
    <w:rsid w:val="001F634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S%20New%20Design\Libraries\Corporate%20Branding\Templates\Word%20Templates\Folk%20templates%20(old)\DSS_Fact%20Sheet%20template_Green.dotx" TargetMode="Externa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8F2D-8668-4271-958D-62EE1FEB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DSS_Fact Sheet template_Green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Priority Investment Approach to Welfare – Carers</dc:title>
  <dc:subject>Australian Priority Investment Approach to Welfare – Carers</dc:subject>
  <dc:creator>Department of Social Services</dc:creator>
  <cp:keywords>Australian Priority Investment Approach to Welfare, Carers, Australian Government, Department of Social Services, Carer payment, Try, Test and Learn Fund, PriceWaterhouse Coopers, lifetime costs</cp:keywords>
  <cp:lastModifiedBy>JOHNSON, Ben</cp:lastModifiedBy>
  <cp:revision>4</cp:revision>
  <cp:lastPrinted>2016-08-19T00:35:00Z</cp:lastPrinted>
  <dcterms:created xsi:type="dcterms:W3CDTF">2016-09-16T03:05:00Z</dcterms:created>
  <dcterms:modified xsi:type="dcterms:W3CDTF">2016-09-18T23:03:00Z</dcterms:modified>
  <cp:category>Fact sheet</cp:category>
</cp:coreProperties>
</file>