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CD94B" w14:textId="77777777" w:rsidR="00770D19" w:rsidRDefault="00770D19" w:rsidP="00902EC0">
      <w:bookmarkStart w:id="0" w:name="_GoBack"/>
      <w:bookmarkEnd w:id="0"/>
      <w:r>
        <w:rPr>
          <w:noProof/>
          <w:lang w:val="en-AU" w:eastAsia="en-AU" w:bidi="ar-SA"/>
        </w:rPr>
        <w:drawing>
          <wp:inline distT="0" distB="0" distL="0" distR="0" wp14:anchorId="604208DB" wp14:editId="605AA621">
            <wp:extent cx="4127000" cy="758954"/>
            <wp:effectExtent l="0" t="0" r="6985" b="3175"/>
            <wp:docPr id="1" name="Picture 1" descr="Logo" title="Australian Government | Carer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r-gateway-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7000" cy="758954"/>
                    </a:xfrm>
                    <a:prstGeom prst="rect">
                      <a:avLst/>
                    </a:prstGeom>
                  </pic:spPr>
                </pic:pic>
              </a:graphicData>
            </a:graphic>
          </wp:inline>
        </w:drawing>
      </w:r>
    </w:p>
    <w:p w14:paraId="7E18CF02" w14:textId="77777777" w:rsidR="00902EC0" w:rsidRDefault="00902EC0" w:rsidP="00902EC0">
      <w:pPr>
        <w:pStyle w:val="Heading1"/>
      </w:pPr>
      <w:r>
        <w:t>Carer Gateway service areas</w:t>
      </w:r>
    </w:p>
    <w:p w14:paraId="18CA8BD8" w14:textId="77777777" w:rsidR="00A531B0" w:rsidRDefault="00A531B0" w:rsidP="00A531B0">
      <w:r>
        <w:t>A key element in implementing the new Integrated Carer Support Service (ICSS) is defining the service areas that the Carer Gateway service providers will operate in when they commence service delivery from April 2020.</w:t>
      </w:r>
    </w:p>
    <w:p w14:paraId="2D63AAB9" w14:textId="77777777" w:rsidR="00902EC0" w:rsidRDefault="00902EC0" w:rsidP="00902EC0">
      <w:r>
        <w:t xml:space="preserve">In </w:t>
      </w:r>
      <w:proofErr w:type="spellStart"/>
      <w:r>
        <w:t>finalising</w:t>
      </w:r>
      <w:proofErr w:type="spellEnd"/>
      <w:r>
        <w:t xml:space="preserve"> a decision on these service areas, the Department of Social Services (the department) has undertaken extensive analysis and consultation, including public consultation in April 2018 through a discussion paper. </w:t>
      </w:r>
    </w:p>
    <w:p w14:paraId="63993919" w14:textId="77777777" w:rsidR="00902EC0" w:rsidRDefault="00902EC0" w:rsidP="00902EC0">
      <w:pPr>
        <w:rPr>
          <w:rStyle w:val="CommentReference"/>
        </w:rPr>
      </w:pPr>
      <w:r>
        <w:t>Key suggestions from stakeholders included:</w:t>
      </w:r>
    </w:p>
    <w:p w14:paraId="08304F46" w14:textId="77777777" w:rsidR="00902EC0" w:rsidRDefault="00902EC0" w:rsidP="00902EC0">
      <w:pPr>
        <w:pStyle w:val="ListParagraph"/>
        <w:numPr>
          <w:ilvl w:val="0"/>
          <w:numId w:val="29"/>
        </w:numPr>
      </w:pPr>
      <w:r>
        <w:t xml:space="preserve">aligning service areas to an existing Government service delivery boundary structure, with a strong preference for the Primary Health Network regions </w:t>
      </w:r>
    </w:p>
    <w:p w14:paraId="405DE614" w14:textId="77777777" w:rsidR="00902EC0" w:rsidRDefault="00902EC0" w:rsidP="00902EC0">
      <w:pPr>
        <w:pStyle w:val="ListParagraph"/>
        <w:numPr>
          <w:ilvl w:val="0"/>
          <w:numId w:val="29"/>
        </w:numPr>
      </w:pPr>
      <w:r>
        <w:t xml:space="preserve">containing service areas within state and territory jurisdictional boundaries </w:t>
      </w:r>
    </w:p>
    <w:p w14:paraId="6D506933" w14:textId="77777777" w:rsidR="005E450C" w:rsidRPr="005E450C" w:rsidRDefault="00902EC0" w:rsidP="005E450C">
      <w:pPr>
        <w:pStyle w:val="ListParagraph"/>
        <w:numPr>
          <w:ilvl w:val="0"/>
          <w:numId w:val="29"/>
        </w:numPr>
      </w:pPr>
      <w:r>
        <w:t xml:space="preserve">avoiding artificial division of metropolitan service delivery areas </w:t>
      </w:r>
    </w:p>
    <w:p w14:paraId="40E0C4DC" w14:textId="77777777" w:rsidR="00902EC0" w:rsidRDefault="00902EC0" w:rsidP="005E450C">
      <w:r>
        <w:t xml:space="preserve">The consultations also indicated the </w:t>
      </w:r>
      <w:proofErr w:type="spellStart"/>
      <w:r>
        <w:t>carer</w:t>
      </w:r>
      <w:proofErr w:type="spellEnd"/>
      <w:r>
        <w:t xml:space="preserve"> provider sector has the capability, capacity and willingness to establish and manage consortia required to deliver across large service areas. </w:t>
      </w:r>
    </w:p>
    <w:p w14:paraId="09ED052A" w14:textId="77777777" w:rsidR="00902EC0" w:rsidRDefault="00902EC0" w:rsidP="00902EC0">
      <w:r>
        <w:t xml:space="preserve">This stakeholder feedback has informed a decision on service delivery areas, as described below. </w:t>
      </w:r>
    </w:p>
    <w:p w14:paraId="64EBDC8B" w14:textId="77777777" w:rsidR="00902EC0" w:rsidRDefault="00902EC0" w:rsidP="00902EC0">
      <w:pPr>
        <w:pStyle w:val="Heading2"/>
      </w:pPr>
      <w:r>
        <w:t xml:space="preserve">The future service area model </w:t>
      </w:r>
    </w:p>
    <w:p w14:paraId="4778BADB" w14:textId="77777777" w:rsidR="00902EC0" w:rsidRDefault="00902EC0" w:rsidP="00902EC0">
      <w:r>
        <w:t xml:space="preserve">There will be 16 Carer Gateway service areas under the new model (a map and table outlining the areas is provided on the following pages). </w:t>
      </w:r>
    </w:p>
    <w:p w14:paraId="7DA52EC8" w14:textId="77777777" w:rsidR="00902EC0" w:rsidRDefault="00902EC0" w:rsidP="00902EC0">
      <w:r>
        <w:t>The new model provides clearly defined service areas that align to existing Primary Health Network regions.</w:t>
      </w:r>
    </w:p>
    <w:p w14:paraId="4500BCF2" w14:textId="77777777" w:rsidR="00902EC0" w:rsidRDefault="00902EC0" w:rsidP="00902EC0">
      <w:r>
        <w:t xml:space="preserve">Each service area is based on groupings of Primary Health Network regions. The grouping matches like-for-like areas (e.g. metropolitan with metropolitan and rural with rural) to achieve a lower number of service areas overall. </w:t>
      </w:r>
    </w:p>
    <w:p w14:paraId="485D675B" w14:textId="77777777" w:rsidR="00902EC0" w:rsidRDefault="00902EC0" w:rsidP="00902EC0">
      <w:r>
        <w:t xml:space="preserve">A smaller number of service areas means each service area has a higher number of </w:t>
      </w:r>
      <w:proofErr w:type="spellStart"/>
      <w:r>
        <w:t>carers</w:t>
      </w:r>
      <w:proofErr w:type="spellEnd"/>
      <w:r>
        <w:t xml:space="preserve">, making service delivery more viable for providers. It also encourages ‘economies of scale’ in the administration of services, which in turn </w:t>
      </w:r>
      <w:proofErr w:type="spellStart"/>
      <w:r>
        <w:t>maximises</w:t>
      </w:r>
      <w:proofErr w:type="spellEnd"/>
      <w:r>
        <w:t xml:space="preserve"> the amount of program funds that can be directed to support </w:t>
      </w:r>
      <w:proofErr w:type="spellStart"/>
      <w:r>
        <w:t>carers</w:t>
      </w:r>
      <w:proofErr w:type="spellEnd"/>
      <w:r>
        <w:t xml:space="preserve">. </w:t>
      </w:r>
    </w:p>
    <w:p w14:paraId="4252E6EC" w14:textId="77777777" w:rsidR="00902EC0" w:rsidRDefault="00902EC0" w:rsidP="00902EC0">
      <w:r>
        <w:t>The new service areas are within state and territory borders, removing added complexity that occurs when services deliver across jurisdictions.</w:t>
      </w:r>
    </w:p>
    <w:p w14:paraId="0171D5E9" w14:textId="77777777" w:rsidR="00902EC0" w:rsidRDefault="00902EC0" w:rsidP="00902EC0">
      <w:r>
        <w:t xml:space="preserve">The new model also responds to a number of other key themes that emerged from the consultation process: </w:t>
      </w:r>
    </w:p>
    <w:p w14:paraId="07280DE3" w14:textId="77777777" w:rsidR="00902EC0" w:rsidRDefault="00902EC0" w:rsidP="00902EC0">
      <w:pPr>
        <w:pStyle w:val="ListParagraph"/>
        <w:numPr>
          <w:ilvl w:val="0"/>
          <w:numId w:val="30"/>
        </w:numPr>
      </w:pPr>
      <w:proofErr w:type="spellStart"/>
      <w:r>
        <w:t>Recognises</w:t>
      </w:r>
      <w:proofErr w:type="spellEnd"/>
      <w:r>
        <w:t xml:space="preserve"> rural and remote regions have quite different characteristics that are best</w:t>
      </w:r>
      <w:r w:rsidR="007C0A0A">
        <w:t xml:space="preserve"> </w:t>
      </w:r>
      <w:r>
        <w:t xml:space="preserve">served by treating them as distinct areas for service delivery. </w:t>
      </w:r>
    </w:p>
    <w:p w14:paraId="26A96076" w14:textId="77777777" w:rsidR="00902EC0" w:rsidRDefault="00902EC0" w:rsidP="00902EC0">
      <w:pPr>
        <w:pStyle w:val="ListParagraph"/>
        <w:numPr>
          <w:ilvl w:val="0"/>
          <w:numId w:val="30"/>
        </w:numPr>
      </w:pPr>
      <w:r>
        <w:t xml:space="preserve">Aligning to Primary Health Network boundaries provides the opportunity to leverage the needs </w:t>
      </w:r>
      <w:r>
        <w:lastRenderedPageBreak/>
        <w:t>assessment process undertaken by the Primary Health Netw</w:t>
      </w:r>
      <w:r w:rsidR="007C0A0A">
        <w:t xml:space="preserve">orks, </w:t>
      </w:r>
      <w:r>
        <w:t xml:space="preserve">which may provide insights into </w:t>
      </w:r>
      <w:proofErr w:type="spellStart"/>
      <w:r>
        <w:t>carer</w:t>
      </w:r>
      <w:proofErr w:type="spellEnd"/>
      <w:r>
        <w:t xml:space="preserve"> needs within the service area. As well as an opportunity to identify hidden </w:t>
      </w:r>
      <w:proofErr w:type="spellStart"/>
      <w:r>
        <w:t>carers</w:t>
      </w:r>
      <w:proofErr w:type="spellEnd"/>
      <w:r>
        <w:t xml:space="preserve"> via the health services linked to Primary Health Networks. </w:t>
      </w:r>
    </w:p>
    <w:p w14:paraId="4AE6472D" w14:textId="77777777" w:rsidR="00902EC0" w:rsidRDefault="00902EC0" w:rsidP="00902EC0">
      <w:pPr>
        <w:pStyle w:val="ListParagraph"/>
        <w:numPr>
          <w:ilvl w:val="0"/>
          <w:numId w:val="30"/>
        </w:numPr>
      </w:pPr>
      <w:r>
        <w:t xml:space="preserve">Provide the opportunity to leverage existing patterns of service partnerships or communities. </w:t>
      </w:r>
    </w:p>
    <w:p w14:paraId="7F45634C" w14:textId="77777777" w:rsidR="00902EC0" w:rsidRDefault="00902EC0" w:rsidP="00902EC0">
      <w:pPr>
        <w:pStyle w:val="Body"/>
      </w:pPr>
    </w:p>
    <w:p w14:paraId="23FF49F4" w14:textId="77777777" w:rsidR="00D33511" w:rsidRDefault="00D33511">
      <w:pPr>
        <w:widowControl/>
        <w:autoSpaceDE/>
        <w:autoSpaceDN/>
        <w:spacing w:before="0" w:after="200"/>
        <w:rPr>
          <w:rFonts w:eastAsia="Lucida Sans" w:cs="Lucida Sans"/>
          <w:b/>
          <w:color w:val="5F4D9B"/>
          <w:sz w:val="28"/>
          <w:szCs w:val="44"/>
        </w:rPr>
      </w:pPr>
      <w:r>
        <w:br w:type="page"/>
      </w:r>
    </w:p>
    <w:p w14:paraId="13C4EC7C" w14:textId="77777777" w:rsidR="00902EC0" w:rsidRDefault="00902EC0" w:rsidP="009524C7">
      <w:pPr>
        <w:pStyle w:val="Heading2"/>
      </w:pPr>
      <w:r w:rsidRPr="00F4524A">
        <w:lastRenderedPageBreak/>
        <w:t>Carer Gateway service areas</w:t>
      </w:r>
      <w:r w:rsidR="00D33511">
        <w:rPr>
          <w:rStyle w:val="FootnoteReference"/>
        </w:rPr>
        <w:footnoteReference w:id="1"/>
      </w:r>
    </w:p>
    <w:tbl>
      <w:tblPr>
        <w:tblStyle w:val="TableGrid"/>
        <w:tblW w:w="0" w:type="auto"/>
        <w:tblLayout w:type="fixed"/>
        <w:tblLook w:val="0420" w:firstRow="1" w:lastRow="0" w:firstColumn="0" w:lastColumn="0" w:noHBand="0" w:noVBand="1"/>
        <w:tblCaption w:val="Carer Gateway service areas"/>
        <w:tblDescription w:val="Service area, corresponding PHNs and carer population"/>
      </w:tblPr>
      <w:tblGrid>
        <w:gridCol w:w="2041"/>
        <w:gridCol w:w="5575"/>
        <w:gridCol w:w="2009"/>
      </w:tblGrid>
      <w:tr w:rsidR="00902EC0" w14:paraId="2C34A85C" w14:textId="77777777" w:rsidTr="009524C7">
        <w:trPr>
          <w:cnfStyle w:val="100000000000" w:firstRow="1" w:lastRow="0" w:firstColumn="0" w:lastColumn="0" w:oddVBand="0" w:evenVBand="0" w:oddHBand="0" w:evenHBand="0" w:firstRowFirstColumn="0" w:firstRowLastColumn="0" w:lastRowFirstColumn="0" w:lastRowLastColumn="0"/>
          <w:trHeight w:val="27"/>
          <w:tblHeader/>
        </w:trPr>
        <w:tc>
          <w:tcPr>
            <w:tcW w:w="2041" w:type="dxa"/>
          </w:tcPr>
          <w:p w14:paraId="04B11888" w14:textId="77777777" w:rsidR="00902EC0" w:rsidRPr="00E13D36" w:rsidRDefault="00902EC0" w:rsidP="009524C7">
            <w:pPr>
              <w:pStyle w:val="TableHeading"/>
              <w:spacing w:line="264" w:lineRule="auto"/>
              <w:rPr>
                <w:b/>
              </w:rPr>
            </w:pPr>
            <w:r w:rsidRPr="00E13D36">
              <w:rPr>
                <w:b/>
              </w:rPr>
              <w:t xml:space="preserve">Service area </w:t>
            </w:r>
          </w:p>
        </w:tc>
        <w:tc>
          <w:tcPr>
            <w:tcW w:w="5575" w:type="dxa"/>
          </w:tcPr>
          <w:p w14:paraId="1906D7D3" w14:textId="77777777" w:rsidR="00902EC0" w:rsidRPr="00E13D36" w:rsidRDefault="00902EC0" w:rsidP="009524C7">
            <w:pPr>
              <w:pStyle w:val="TableHeading"/>
              <w:spacing w:line="264" w:lineRule="auto"/>
              <w:rPr>
                <w:b/>
              </w:rPr>
            </w:pPr>
            <w:r w:rsidRPr="00E13D36">
              <w:rPr>
                <w:b/>
              </w:rPr>
              <w:t xml:space="preserve">Corresponding PHNs </w:t>
            </w:r>
          </w:p>
        </w:tc>
        <w:tc>
          <w:tcPr>
            <w:tcW w:w="2009" w:type="dxa"/>
          </w:tcPr>
          <w:p w14:paraId="369278E5" w14:textId="77777777" w:rsidR="00902EC0" w:rsidRPr="00E13D36" w:rsidRDefault="00902EC0" w:rsidP="009524C7">
            <w:pPr>
              <w:pStyle w:val="TableHeading"/>
              <w:spacing w:line="264" w:lineRule="auto"/>
              <w:rPr>
                <w:b/>
              </w:rPr>
            </w:pPr>
            <w:r w:rsidRPr="00E13D36">
              <w:rPr>
                <w:b/>
              </w:rPr>
              <w:t xml:space="preserve">Carer population </w:t>
            </w:r>
          </w:p>
        </w:tc>
      </w:tr>
      <w:tr w:rsidR="00902EC0" w14:paraId="5F3720BC" w14:textId="77777777" w:rsidTr="009524C7">
        <w:trPr>
          <w:cnfStyle w:val="000000100000" w:firstRow="0" w:lastRow="0" w:firstColumn="0" w:lastColumn="0" w:oddVBand="0" w:evenVBand="0" w:oddHBand="1" w:evenHBand="0" w:firstRowFirstColumn="0" w:firstRowLastColumn="0" w:lastRowFirstColumn="0" w:lastRowLastColumn="0"/>
          <w:trHeight w:val="17"/>
        </w:trPr>
        <w:tc>
          <w:tcPr>
            <w:tcW w:w="2041" w:type="dxa"/>
          </w:tcPr>
          <w:p w14:paraId="7B2B899D" w14:textId="77777777" w:rsidR="00902EC0" w:rsidRPr="009524C7" w:rsidRDefault="00902EC0" w:rsidP="009524C7">
            <w:pPr>
              <w:pStyle w:val="TableParagraph"/>
              <w:spacing w:line="264" w:lineRule="auto"/>
            </w:pPr>
            <w:r w:rsidRPr="009524C7">
              <w:t>ACT 1</w:t>
            </w:r>
          </w:p>
        </w:tc>
        <w:tc>
          <w:tcPr>
            <w:tcW w:w="5575" w:type="dxa"/>
          </w:tcPr>
          <w:p w14:paraId="504B5514" w14:textId="77777777" w:rsidR="00902EC0" w:rsidRPr="009524C7" w:rsidRDefault="00902EC0" w:rsidP="009524C7">
            <w:pPr>
              <w:pStyle w:val="TableParagraph"/>
              <w:spacing w:line="264" w:lineRule="auto"/>
            </w:pPr>
            <w:r w:rsidRPr="009524C7">
              <w:t>31 – ACT</w:t>
            </w:r>
          </w:p>
        </w:tc>
        <w:tc>
          <w:tcPr>
            <w:tcW w:w="2009" w:type="dxa"/>
          </w:tcPr>
          <w:p w14:paraId="750BC2A5" w14:textId="77777777" w:rsidR="00902EC0" w:rsidRPr="009524C7" w:rsidRDefault="00902EC0" w:rsidP="009524C7">
            <w:pPr>
              <w:pStyle w:val="TableParagraph"/>
              <w:spacing w:line="264" w:lineRule="auto"/>
              <w:jc w:val="right"/>
            </w:pPr>
            <w:r w:rsidRPr="009524C7">
              <w:t xml:space="preserve">44,700 </w:t>
            </w:r>
          </w:p>
        </w:tc>
      </w:tr>
      <w:tr w:rsidR="00902EC0" w14:paraId="5FCFC7EE"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60EFC29B" w14:textId="77777777" w:rsidR="00902EC0" w:rsidRPr="009524C7" w:rsidRDefault="00902EC0" w:rsidP="009524C7">
            <w:pPr>
              <w:pStyle w:val="TableParagraph"/>
              <w:spacing w:line="264" w:lineRule="auto"/>
            </w:pPr>
            <w:r w:rsidRPr="009524C7">
              <w:t>NSW 1</w:t>
            </w:r>
          </w:p>
        </w:tc>
        <w:tc>
          <w:tcPr>
            <w:tcW w:w="5575" w:type="dxa"/>
          </w:tcPr>
          <w:p w14:paraId="6909AD3E" w14:textId="77777777" w:rsidR="00902EC0" w:rsidRPr="009524C7" w:rsidRDefault="00902EC0" w:rsidP="009524C7">
            <w:pPr>
              <w:pStyle w:val="TableParagraph"/>
              <w:spacing w:line="264" w:lineRule="auto"/>
            </w:pPr>
            <w:r w:rsidRPr="009524C7">
              <w:t> 1 – Central and Eastern Sydney</w:t>
            </w:r>
          </w:p>
          <w:p w14:paraId="334803CF" w14:textId="77777777" w:rsidR="00902EC0" w:rsidRPr="009524C7" w:rsidRDefault="00902EC0" w:rsidP="009524C7">
            <w:pPr>
              <w:pStyle w:val="TableParagraph"/>
              <w:spacing w:line="264" w:lineRule="auto"/>
            </w:pPr>
            <w:r w:rsidRPr="009524C7">
              <w:t> 2 – Northern Sydney</w:t>
            </w:r>
          </w:p>
          <w:p w14:paraId="6CC6DF55" w14:textId="77777777" w:rsidR="00902EC0" w:rsidRPr="009524C7" w:rsidRDefault="00902EC0" w:rsidP="009524C7">
            <w:pPr>
              <w:pStyle w:val="TableParagraph"/>
              <w:spacing w:line="264" w:lineRule="auto"/>
            </w:pPr>
            <w:r w:rsidRPr="009524C7">
              <w:t> 3 – Western Sydney</w:t>
            </w:r>
          </w:p>
        </w:tc>
        <w:tc>
          <w:tcPr>
            <w:tcW w:w="2009" w:type="dxa"/>
          </w:tcPr>
          <w:p w14:paraId="2472B67E" w14:textId="77777777" w:rsidR="00902EC0" w:rsidRPr="009524C7" w:rsidRDefault="00902EC0" w:rsidP="009524C7">
            <w:pPr>
              <w:pStyle w:val="TableParagraph"/>
              <w:spacing w:line="264" w:lineRule="auto"/>
              <w:jc w:val="right"/>
            </w:pPr>
            <w:r w:rsidRPr="009524C7">
              <w:t xml:space="preserve">345,054 </w:t>
            </w:r>
          </w:p>
        </w:tc>
      </w:tr>
      <w:tr w:rsidR="00902EC0" w14:paraId="3C08096F"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4135CC3A" w14:textId="77777777" w:rsidR="00902EC0" w:rsidRPr="009524C7" w:rsidRDefault="00902EC0" w:rsidP="009524C7">
            <w:pPr>
              <w:pStyle w:val="TableParagraph"/>
              <w:spacing w:line="264" w:lineRule="auto"/>
            </w:pPr>
            <w:r w:rsidRPr="009524C7">
              <w:t>NSW 2</w:t>
            </w:r>
          </w:p>
        </w:tc>
        <w:tc>
          <w:tcPr>
            <w:tcW w:w="5575" w:type="dxa"/>
          </w:tcPr>
          <w:p w14:paraId="47E8B3F2" w14:textId="77777777" w:rsidR="00902EC0" w:rsidRPr="009524C7" w:rsidRDefault="00902EC0" w:rsidP="009524C7">
            <w:pPr>
              <w:pStyle w:val="TableParagraph"/>
              <w:spacing w:line="264" w:lineRule="auto"/>
            </w:pPr>
            <w:r w:rsidRPr="009524C7">
              <w:t> 4 – Nepean Blue Mountains</w:t>
            </w:r>
          </w:p>
          <w:p w14:paraId="454C33D0" w14:textId="77777777" w:rsidR="00902EC0" w:rsidRPr="009524C7" w:rsidRDefault="00902EC0" w:rsidP="009524C7">
            <w:pPr>
              <w:pStyle w:val="TableParagraph"/>
              <w:spacing w:line="264" w:lineRule="auto"/>
            </w:pPr>
            <w:r w:rsidRPr="009524C7">
              <w:t> 5 – South Western Sydney</w:t>
            </w:r>
          </w:p>
        </w:tc>
        <w:tc>
          <w:tcPr>
            <w:tcW w:w="2009" w:type="dxa"/>
          </w:tcPr>
          <w:p w14:paraId="176C97CB" w14:textId="77777777" w:rsidR="00902EC0" w:rsidRPr="009524C7" w:rsidRDefault="00902EC0" w:rsidP="009524C7">
            <w:pPr>
              <w:pStyle w:val="TableParagraph"/>
              <w:spacing w:line="264" w:lineRule="auto"/>
              <w:jc w:val="right"/>
            </w:pPr>
            <w:r w:rsidRPr="009524C7">
              <w:t xml:space="preserve">175,074 </w:t>
            </w:r>
          </w:p>
        </w:tc>
      </w:tr>
      <w:tr w:rsidR="00902EC0" w14:paraId="08FA272C"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1B5EB421" w14:textId="77777777" w:rsidR="00902EC0" w:rsidRPr="009524C7" w:rsidRDefault="00902EC0" w:rsidP="009524C7">
            <w:pPr>
              <w:pStyle w:val="TableParagraph"/>
              <w:spacing w:line="264" w:lineRule="auto"/>
            </w:pPr>
            <w:r w:rsidRPr="009524C7">
              <w:t>NSW 3</w:t>
            </w:r>
          </w:p>
        </w:tc>
        <w:tc>
          <w:tcPr>
            <w:tcW w:w="5575" w:type="dxa"/>
          </w:tcPr>
          <w:p w14:paraId="1B31106F" w14:textId="77777777" w:rsidR="00902EC0" w:rsidRPr="009524C7" w:rsidRDefault="00902EC0" w:rsidP="009524C7">
            <w:pPr>
              <w:pStyle w:val="TableParagraph"/>
              <w:spacing w:line="264" w:lineRule="auto"/>
            </w:pPr>
            <w:r w:rsidRPr="009524C7">
              <w:t> 6 – South Eastern NSW</w:t>
            </w:r>
          </w:p>
          <w:p w14:paraId="44503FE0" w14:textId="77777777" w:rsidR="00902EC0" w:rsidRPr="009524C7" w:rsidRDefault="00902EC0" w:rsidP="009524C7">
            <w:pPr>
              <w:pStyle w:val="TableParagraph"/>
              <w:spacing w:line="264" w:lineRule="auto"/>
            </w:pPr>
            <w:r w:rsidRPr="009524C7">
              <w:t> 7 – Western NSW</w:t>
            </w:r>
          </w:p>
          <w:p w14:paraId="55AF4E23" w14:textId="77777777" w:rsidR="00902EC0" w:rsidRPr="009524C7" w:rsidRDefault="00902EC0" w:rsidP="009524C7">
            <w:pPr>
              <w:pStyle w:val="TableParagraph"/>
              <w:spacing w:line="264" w:lineRule="auto"/>
            </w:pPr>
            <w:r w:rsidRPr="009524C7">
              <w:t xml:space="preserve">10 – </w:t>
            </w:r>
            <w:proofErr w:type="spellStart"/>
            <w:r w:rsidRPr="009524C7">
              <w:t>Murrumbidgee</w:t>
            </w:r>
            <w:proofErr w:type="spellEnd"/>
          </w:p>
        </w:tc>
        <w:tc>
          <w:tcPr>
            <w:tcW w:w="2009" w:type="dxa"/>
          </w:tcPr>
          <w:p w14:paraId="415585C8" w14:textId="77777777" w:rsidR="00902EC0" w:rsidRPr="009524C7" w:rsidRDefault="00902EC0" w:rsidP="009524C7">
            <w:pPr>
              <w:pStyle w:val="TableParagraph"/>
              <w:spacing w:line="264" w:lineRule="auto"/>
              <w:jc w:val="right"/>
            </w:pPr>
            <w:r w:rsidRPr="009524C7">
              <w:t xml:space="preserve">167,783 </w:t>
            </w:r>
          </w:p>
        </w:tc>
      </w:tr>
      <w:tr w:rsidR="00902EC0" w14:paraId="7671B7C6"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7FBD6A78" w14:textId="77777777" w:rsidR="00902EC0" w:rsidRPr="009524C7" w:rsidRDefault="00902EC0" w:rsidP="009524C7">
            <w:pPr>
              <w:pStyle w:val="TableParagraph"/>
              <w:spacing w:line="264" w:lineRule="auto"/>
            </w:pPr>
            <w:r w:rsidRPr="009524C7">
              <w:t xml:space="preserve">NSW 4 </w:t>
            </w:r>
          </w:p>
        </w:tc>
        <w:tc>
          <w:tcPr>
            <w:tcW w:w="5575" w:type="dxa"/>
          </w:tcPr>
          <w:p w14:paraId="20AA733C" w14:textId="77777777" w:rsidR="00902EC0" w:rsidRPr="009524C7" w:rsidRDefault="00902EC0" w:rsidP="009524C7">
            <w:pPr>
              <w:pStyle w:val="TableParagraph"/>
              <w:spacing w:line="264" w:lineRule="auto"/>
            </w:pPr>
            <w:r w:rsidRPr="009524C7">
              <w:t> 8 – Hunter New England and Central Coast</w:t>
            </w:r>
          </w:p>
          <w:p w14:paraId="46137F2A" w14:textId="77777777" w:rsidR="00902EC0" w:rsidRPr="009524C7" w:rsidRDefault="00902EC0" w:rsidP="009524C7">
            <w:pPr>
              <w:pStyle w:val="TableParagraph"/>
              <w:spacing w:line="264" w:lineRule="auto"/>
            </w:pPr>
            <w:r w:rsidRPr="009524C7">
              <w:t> 9 – North Coast</w:t>
            </w:r>
          </w:p>
        </w:tc>
        <w:tc>
          <w:tcPr>
            <w:tcW w:w="2009" w:type="dxa"/>
          </w:tcPr>
          <w:p w14:paraId="75025B33" w14:textId="77777777" w:rsidR="00902EC0" w:rsidRPr="009524C7" w:rsidRDefault="00902EC0" w:rsidP="009524C7">
            <w:pPr>
              <w:pStyle w:val="TableParagraph"/>
              <w:spacing w:line="264" w:lineRule="auto"/>
              <w:jc w:val="right"/>
            </w:pPr>
            <w:r w:rsidRPr="009524C7">
              <w:t xml:space="preserve">215,535 </w:t>
            </w:r>
          </w:p>
        </w:tc>
      </w:tr>
      <w:tr w:rsidR="00902EC0" w14:paraId="48843F20"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03A417B3" w14:textId="77777777" w:rsidR="00902EC0" w:rsidRPr="009524C7" w:rsidRDefault="00902EC0" w:rsidP="009524C7">
            <w:pPr>
              <w:pStyle w:val="TableParagraph"/>
              <w:spacing w:line="264" w:lineRule="auto"/>
            </w:pPr>
            <w:r w:rsidRPr="009524C7">
              <w:t>QLD 1</w:t>
            </w:r>
          </w:p>
        </w:tc>
        <w:tc>
          <w:tcPr>
            <w:tcW w:w="5575" w:type="dxa"/>
          </w:tcPr>
          <w:p w14:paraId="492DEFBD" w14:textId="77777777" w:rsidR="00902EC0" w:rsidRPr="009524C7" w:rsidRDefault="00902EC0" w:rsidP="009524C7">
            <w:pPr>
              <w:pStyle w:val="TableParagraph"/>
              <w:spacing w:line="264" w:lineRule="auto"/>
            </w:pPr>
            <w:r w:rsidRPr="009524C7">
              <w:t>17 – Brisbane North</w:t>
            </w:r>
          </w:p>
          <w:p w14:paraId="02530AF8" w14:textId="77777777" w:rsidR="00902EC0" w:rsidRPr="009524C7" w:rsidRDefault="00902EC0" w:rsidP="009524C7">
            <w:pPr>
              <w:pStyle w:val="TableParagraph"/>
              <w:spacing w:line="264" w:lineRule="auto"/>
            </w:pPr>
            <w:r w:rsidRPr="009524C7">
              <w:t>18 – Brisbane South</w:t>
            </w:r>
          </w:p>
          <w:p w14:paraId="46D86F63" w14:textId="77777777" w:rsidR="00902EC0" w:rsidRPr="009524C7" w:rsidRDefault="00902EC0" w:rsidP="009524C7">
            <w:pPr>
              <w:pStyle w:val="TableParagraph"/>
              <w:spacing w:line="264" w:lineRule="auto"/>
            </w:pPr>
            <w:r w:rsidRPr="009524C7">
              <w:t>19 – Gold Coast</w:t>
            </w:r>
          </w:p>
        </w:tc>
        <w:tc>
          <w:tcPr>
            <w:tcW w:w="2009" w:type="dxa"/>
          </w:tcPr>
          <w:p w14:paraId="7835F1A5" w14:textId="77777777" w:rsidR="00902EC0" w:rsidRPr="009524C7" w:rsidRDefault="00902EC0" w:rsidP="009524C7">
            <w:pPr>
              <w:pStyle w:val="TableParagraph"/>
              <w:spacing w:line="264" w:lineRule="auto"/>
              <w:jc w:val="right"/>
            </w:pPr>
            <w:r w:rsidRPr="009524C7">
              <w:t xml:space="preserve">253,254 </w:t>
            </w:r>
          </w:p>
        </w:tc>
      </w:tr>
      <w:tr w:rsidR="00902EC0" w14:paraId="21790746"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147695F4" w14:textId="77777777" w:rsidR="00902EC0" w:rsidRPr="009524C7" w:rsidRDefault="00902EC0" w:rsidP="009524C7">
            <w:pPr>
              <w:pStyle w:val="TableParagraph"/>
              <w:spacing w:line="264" w:lineRule="auto"/>
            </w:pPr>
            <w:r w:rsidRPr="009524C7">
              <w:t>QLD 2</w:t>
            </w:r>
          </w:p>
        </w:tc>
        <w:tc>
          <w:tcPr>
            <w:tcW w:w="5575" w:type="dxa"/>
          </w:tcPr>
          <w:p w14:paraId="246377A0" w14:textId="77777777" w:rsidR="00902EC0" w:rsidRPr="009524C7" w:rsidRDefault="00902EC0" w:rsidP="009524C7">
            <w:pPr>
              <w:pStyle w:val="TableParagraph"/>
              <w:spacing w:line="264" w:lineRule="auto"/>
            </w:pPr>
            <w:r w:rsidRPr="009524C7">
              <w:t>20 – Darling Downs &amp; West Moreton</w:t>
            </w:r>
          </w:p>
          <w:p w14:paraId="16F101A1" w14:textId="77777777" w:rsidR="00902EC0" w:rsidRPr="009524C7" w:rsidRDefault="00902EC0" w:rsidP="009524C7">
            <w:pPr>
              <w:pStyle w:val="TableParagraph"/>
              <w:spacing w:line="264" w:lineRule="auto"/>
            </w:pPr>
            <w:r w:rsidRPr="009524C7">
              <w:t>21 – Western Queensland</w:t>
            </w:r>
          </w:p>
        </w:tc>
        <w:tc>
          <w:tcPr>
            <w:tcW w:w="2009" w:type="dxa"/>
          </w:tcPr>
          <w:p w14:paraId="36D8426C" w14:textId="77777777" w:rsidR="00902EC0" w:rsidRPr="009524C7" w:rsidRDefault="00902EC0" w:rsidP="009524C7">
            <w:pPr>
              <w:pStyle w:val="TableParagraph"/>
              <w:spacing w:line="264" w:lineRule="auto"/>
              <w:jc w:val="right"/>
            </w:pPr>
            <w:r w:rsidRPr="009524C7">
              <w:t xml:space="preserve">64,741 </w:t>
            </w:r>
          </w:p>
        </w:tc>
      </w:tr>
      <w:tr w:rsidR="00902EC0" w14:paraId="78EE645A"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3B18BA55" w14:textId="77777777" w:rsidR="00902EC0" w:rsidRPr="009524C7" w:rsidRDefault="00902EC0" w:rsidP="009524C7">
            <w:pPr>
              <w:pStyle w:val="TableParagraph"/>
              <w:spacing w:line="264" w:lineRule="auto"/>
            </w:pPr>
            <w:r w:rsidRPr="009524C7">
              <w:t>QLD 3</w:t>
            </w:r>
          </w:p>
        </w:tc>
        <w:tc>
          <w:tcPr>
            <w:tcW w:w="5575" w:type="dxa"/>
          </w:tcPr>
          <w:p w14:paraId="3EB127AB" w14:textId="77777777" w:rsidR="00902EC0" w:rsidRPr="009524C7" w:rsidRDefault="00902EC0" w:rsidP="009524C7">
            <w:pPr>
              <w:pStyle w:val="TableParagraph"/>
              <w:spacing w:line="264" w:lineRule="auto"/>
            </w:pPr>
            <w:r w:rsidRPr="009524C7">
              <w:t>22 – Central Queensland, Wide Bay, Sunshine Coast</w:t>
            </w:r>
          </w:p>
          <w:p w14:paraId="2D4BAE54" w14:textId="77777777" w:rsidR="00902EC0" w:rsidRPr="009524C7" w:rsidRDefault="00902EC0" w:rsidP="009524C7">
            <w:pPr>
              <w:pStyle w:val="TableParagraph"/>
              <w:spacing w:line="264" w:lineRule="auto"/>
            </w:pPr>
            <w:r w:rsidRPr="009524C7">
              <w:t>23 – Northern Queensland</w:t>
            </w:r>
          </w:p>
        </w:tc>
        <w:tc>
          <w:tcPr>
            <w:tcW w:w="2009" w:type="dxa"/>
          </w:tcPr>
          <w:p w14:paraId="4B6B92DF" w14:textId="77777777" w:rsidR="00902EC0" w:rsidRPr="009524C7" w:rsidRDefault="00902EC0" w:rsidP="009524C7">
            <w:pPr>
              <w:pStyle w:val="TableParagraph"/>
              <w:spacing w:line="264" w:lineRule="auto"/>
              <w:jc w:val="right"/>
            </w:pPr>
            <w:r w:rsidRPr="009524C7">
              <w:t xml:space="preserve">163,130 </w:t>
            </w:r>
          </w:p>
        </w:tc>
      </w:tr>
      <w:tr w:rsidR="00902EC0" w14:paraId="3EE2D954"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6C8CCDC0" w14:textId="77777777" w:rsidR="00902EC0" w:rsidRPr="009524C7" w:rsidRDefault="00902EC0" w:rsidP="009524C7">
            <w:pPr>
              <w:pStyle w:val="TableParagraph"/>
              <w:spacing w:line="264" w:lineRule="auto"/>
            </w:pPr>
            <w:r w:rsidRPr="009524C7">
              <w:t>VIC 1</w:t>
            </w:r>
          </w:p>
        </w:tc>
        <w:tc>
          <w:tcPr>
            <w:tcW w:w="5575" w:type="dxa"/>
          </w:tcPr>
          <w:p w14:paraId="70BE1EBB" w14:textId="77777777" w:rsidR="00902EC0" w:rsidRPr="009524C7" w:rsidRDefault="00902EC0" w:rsidP="009524C7">
            <w:pPr>
              <w:pStyle w:val="TableParagraph"/>
              <w:spacing w:line="264" w:lineRule="auto"/>
            </w:pPr>
            <w:r w:rsidRPr="009524C7">
              <w:t>11 – North Western Melbourne</w:t>
            </w:r>
          </w:p>
          <w:p w14:paraId="48ADDFFF" w14:textId="77777777" w:rsidR="00902EC0" w:rsidRPr="009524C7" w:rsidRDefault="00902EC0" w:rsidP="009524C7">
            <w:pPr>
              <w:pStyle w:val="TableParagraph"/>
              <w:spacing w:line="264" w:lineRule="auto"/>
            </w:pPr>
            <w:r w:rsidRPr="009524C7">
              <w:t>12 – Eastern Melbourne</w:t>
            </w:r>
          </w:p>
          <w:p w14:paraId="51772169" w14:textId="77777777" w:rsidR="00902EC0" w:rsidRPr="009524C7" w:rsidRDefault="00902EC0" w:rsidP="009524C7">
            <w:pPr>
              <w:pStyle w:val="TableParagraph"/>
              <w:spacing w:line="264" w:lineRule="auto"/>
            </w:pPr>
            <w:r w:rsidRPr="009524C7">
              <w:t>13 – South Eastern Melbourne</w:t>
            </w:r>
          </w:p>
        </w:tc>
        <w:tc>
          <w:tcPr>
            <w:tcW w:w="2009" w:type="dxa"/>
          </w:tcPr>
          <w:p w14:paraId="6249A8F0" w14:textId="77777777" w:rsidR="00902EC0" w:rsidRPr="009524C7" w:rsidRDefault="00902EC0" w:rsidP="009524C7">
            <w:pPr>
              <w:pStyle w:val="TableParagraph"/>
              <w:spacing w:line="264" w:lineRule="auto"/>
              <w:jc w:val="right"/>
            </w:pPr>
            <w:r w:rsidRPr="009524C7">
              <w:t xml:space="preserve">526,051 </w:t>
            </w:r>
          </w:p>
        </w:tc>
      </w:tr>
      <w:tr w:rsidR="00902EC0" w14:paraId="6145EA8C"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1FB832B3" w14:textId="77777777" w:rsidR="00902EC0" w:rsidRPr="009524C7" w:rsidRDefault="00902EC0" w:rsidP="009524C7">
            <w:pPr>
              <w:pStyle w:val="TableParagraph"/>
              <w:spacing w:line="264" w:lineRule="auto"/>
            </w:pPr>
            <w:r w:rsidRPr="009524C7">
              <w:t>VIC 2</w:t>
            </w:r>
          </w:p>
        </w:tc>
        <w:tc>
          <w:tcPr>
            <w:tcW w:w="5575" w:type="dxa"/>
          </w:tcPr>
          <w:p w14:paraId="787DC5EE" w14:textId="77777777" w:rsidR="00902EC0" w:rsidRPr="009524C7" w:rsidRDefault="00902EC0" w:rsidP="009524C7">
            <w:pPr>
              <w:pStyle w:val="TableParagraph"/>
              <w:spacing w:line="264" w:lineRule="auto"/>
            </w:pPr>
            <w:r w:rsidRPr="009524C7">
              <w:t xml:space="preserve">14 – Gippsland </w:t>
            </w:r>
          </w:p>
          <w:p w14:paraId="0C1F318D" w14:textId="77777777" w:rsidR="00902EC0" w:rsidRPr="009524C7" w:rsidRDefault="00902EC0" w:rsidP="009524C7">
            <w:pPr>
              <w:pStyle w:val="TableParagraph"/>
              <w:spacing w:line="264" w:lineRule="auto"/>
            </w:pPr>
            <w:r w:rsidRPr="009524C7">
              <w:t xml:space="preserve">15 – Murray </w:t>
            </w:r>
          </w:p>
          <w:p w14:paraId="23BCABE4" w14:textId="77777777" w:rsidR="00902EC0" w:rsidRPr="009524C7" w:rsidRDefault="00902EC0" w:rsidP="009524C7">
            <w:pPr>
              <w:pStyle w:val="TableParagraph"/>
              <w:spacing w:line="264" w:lineRule="auto"/>
            </w:pPr>
            <w:r w:rsidRPr="009524C7">
              <w:t>16 – Western Victoria</w:t>
            </w:r>
          </w:p>
        </w:tc>
        <w:tc>
          <w:tcPr>
            <w:tcW w:w="2009" w:type="dxa"/>
          </w:tcPr>
          <w:p w14:paraId="181B101D" w14:textId="77777777" w:rsidR="00902EC0" w:rsidRPr="009524C7" w:rsidRDefault="00902EC0" w:rsidP="009524C7">
            <w:pPr>
              <w:pStyle w:val="TableParagraph"/>
              <w:spacing w:line="264" w:lineRule="auto"/>
              <w:jc w:val="right"/>
            </w:pPr>
            <w:r w:rsidRPr="009524C7">
              <w:t xml:space="preserve">216,939 </w:t>
            </w:r>
          </w:p>
        </w:tc>
      </w:tr>
      <w:tr w:rsidR="00902EC0" w14:paraId="75A557BB"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5243D7AC" w14:textId="77777777" w:rsidR="00902EC0" w:rsidRPr="009524C7" w:rsidRDefault="00902EC0" w:rsidP="009524C7">
            <w:pPr>
              <w:pStyle w:val="TableParagraph"/>
              <w:spacing w:line="264" w:lineRule="auto"/>
            </w:pPr>
            <w:r w:rsidRPr="009524C7">
              <w:t>SA 1</w:t>
            </w:r>
          </w:p>
        </w:tc>
        <w:tc>
          <w:tcPr>
            <w:tcW w:w="5575" w:type="dxa"/>
          </w:tcPr>
          <w:p w14:paraId="0FB5C105" w14:textId="77777777" w:rsidR="00902EC0" w:rsidRPr="009524C7" w:rsidRDefault="00902EC0" w:rsidP="009524C7">
            <w:pPr>
              <w:pStyle w:val="TableParagraph"/>
              <w:spacing w:line="264" w:lineRule="auto"/>
            </w:pPr>
            <w:r w:rsidRPr="009524C7">
              <w:t xml:space="preserve">24 – Adelaide </w:t>
            </w:r>
          </w:p>
        </w:tc>
        <w:tc>
          <w:tcPr>
            <w:tcW w:w="2009" w:type="dxa"/>
          </w:tcPr>
          <w:p w14:paraId="4ABAA6FF" w14:textId="77777777" w:rsidR="00902EC0" w:rsidRPr="009524C7" w:rsidRDefault="00902EC0" w:rsidP="009524C7">
            <w:pPr>
              <w:pStyle w:val="TableParagraph"/>
              <w:spacing w:line="264" w:lineRule="auto"/>
              <w:jc w:val="right"/>
            </w:pPr>
            <w:r w:rsidRPr="009524C7">
              <w:t xml:space="preserve">177,676 </w:t>
            </w:r>
          </w:p>
        </w:tc>
      </w:tr>
      <w:tr w:rsidR="00902EC0" w14:paraId="5D0DCF17"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63238BA1" w14:textId="77777777" w:rsidR="00902EC0" w:rsidRPr="009524C7" w:rsidRDefault="00902EC0" w:rsidP="009524C7">
            <w:pPr>
              <w:pStyle w:val="TableParagraph"/>
              <w:spacing w:line="264" w:lineRule="auto"/>
            </w:pPr>
            <w:r w:rsidRPr="009524C7">
              <w:t>SA 2</w:t>
            </w:r>
          </w:p>
        </w:tc>
        <w:tc>
          <w:tcPr>
            <w:tcW w:w="5575" w:type="dxa"/>
          </w:tcPr>
          <w:p w14:paraId="65B09280" w14:textId="77777777" w:rsidR="00902EC0" w:rsidRPr="009524C7" w:rsidRDefault="00902EC0" w:rsidP="009524C7">
            <w:pPr>
              <w:pStyle w:val="TableParagraph"/>
              <w:spacing w:line="264" w:lineRule="auto"/>
            </w:pPr>
            <w:r w:rsidRPr="009524C7">
              <w:t>25 – Country SA</w:t>
            </w:r>
          </w:p>
        </w:tc>
        <w:tc>
          <w:tcPr>
            <w:tcW w:w="2009" w:type="dxa"/>
          </w:tcPr>
          <w:p w14:paraId="41F131BC" w14:textId="77777777" w:rsidR="00902EC0" w:rsidRPr="009524C7" w:rsidRDefault="00902EC0" w:rsidP="009524C7">
            <w:pPr>
              <w:pStyle w:val="TableParagraph"/>
              <w:spacing w:line="264" w:lineRule="auto"/>
              <w:jc w:val="right"/>
            </w:pPr>
            <w:r w:rsidRPr="009524C7">
              <w:t xml:space="preserve">66,116 </w:t>
            </w:r>
          </w:p>
        </w:tc>
      </w:tr>
      <w:tr w:rsidR="00902EC0" w14:paraId="37B46D80"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75CE7E5E" w14:textId="77777777" w:rsidR="00902EC0" w:rsidRPr="009524C7" w:rsidRDefault="00902EC0" w:rsidP="009524C7">
            <w:pPr>
              <w:pStyle w:val="TableParagraph"/>
              <w:spacing w:line="264" w:lineRule="auto"/>
            </w:pPr>
            <w:r w:rsidRPr="009524C7">
              <w:t>WA 1</w:t>
            </w:r>
          </w:p>
        </w:tc>
        <w:tc>
          <w:tcPr>
            <w:tcW w:w="5575" w:type="dxa"/>
          </w:tcPr>
          <w:p w14:paraId="0DD2D443" w14:textId="77777777" w:rsidR="00902EC0" w:rsidRPr="009524C7" w:rsidRDefault="00902EC0" w:rsidP="009524C7">
            <w:pPr>
              <w:pStyle w:val="TableParagraph"/>
              <w:spacing w:line="264" w:lineRule="auto"/>
            </w:pPr>
            <w:r w:rsidRPr="009524C7">
              <w:t>26 – Perth North</w:t>
            </w:r>
          </w:p>
          <w:p w14:paraId="6C25C868" w14:textId="77777777" w:rsidR="00902EC0" w:rsidRPr="009524C7" w:rsidRDefault="00902EC0" w:rsidP="009524C7">
            <w:pPr>
              <w:pStyle w:val="TableParagraph"/>
              <w:spacing w:line="264" w:lineRule="auto"/>
            </w:pPr>
            <w:r w:rsidRPr="009524C7">
              <w:t>27 – Perth South</w:t>
            </w:r>
          </w:p>
        </w:tc>
        <w:tc>
          <w:tcPr>
            <w:tcW w:w="2009" w:type="dxa"/>
          </w:tcPr>
          <w:p w14:paraId="00863539" w14:textId="77777777" w:rsidR="00902EC0" w:rsidRPr="009524C7" w:rsidRDefault="00902EC0" w:rsidP="009524C7">
            <w:pPr>
              <w:pStyle w:val="TableParagraph"/>
              <w:spacing w:line="264" w:lineRule="auto"/>
              <w:jc w:val="right"/>
            </w:pPr>
            <w:r w:rsidRPr="009524C7">
              <w:t xml:space="preserve">149,032 </w:t>
            </w:r>
          </w:p>
        </w:tc>
      </w:tr>
      <w:tr w:rsidR="00902EC0" w14:paraId="6B0ACB54"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1FD99E45" w14:textId="77777777" w:rsidR="00902EC0" w:rsidRPr="009524C7" w:rsidRDefault="00902EC0" w:rsidP="009524C7">
            <w:pPr>
              <w:pStyle w:val="TableParagraph"/>
              <w:spacing w:line="264" w:lineRule="auto"/>
            </w:pPr>
            <w:r w:rsidRPr="009524C7">
              <w:t>WA 2</w:t>
            </w:r>
          </w:p>
        </w:tc>
        <w:tc>
          <w:tcPr>
            <w:tcW w:w="5575" w:type="dxa"/>
          </w:tcPr>
          <w:p w14:paraId="7A99890A" w14:textId="77777777" w:rsidR="00902EC0" w:rsidRPr="009524C7" w:rsidRDefault="00902EC0" w:rsidP="009524C7">
            <w:pPr>
              <w:pStyle w:val="TableParagraph"/>
              <w:spacing w:line="264" w:lineRule="auto"/>
            </w:pPr>
            <w:r w:rsidRPr="009524C7">
              <w:t>28 – Country WA</w:t>
            </w:r>
          </w:p>
        </w:tc>
        <w:tc>
          <w:tcPr>
            <w:tcW w:w="2009" w:type="dxa"/>
          </w:tcPr>
          <w:p w14:paraId="6F2B4BE0" w14:textId="77777777" w:rsidR="00902EC0" w:rsidRPr="009524C7" w:rsidRDefault="00902EC0" w:rsidP="009524C7">
            <w:pPr>
              <w:pStyle w:val="TableParagraph"/>
              <w:spacing w:line="264" w:lineRule="auto"/>
              <w:jc w:val="right"/>
            </w:pPr>
            <w:r w:rsidRPr="009524C7">
              <w:t xml:space="preserve">54,570 </w:t>
            </w:r>
          </w:p>
        </w:tc>
      </w:tr>
      <w:tr w:rsidR="00902EC0" w14:paraId="3C2BF9CA"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18275891" w14:textId="77777777" w:rsidR="00902EC0" w:rsidRPr="009524C7" w:rsidRDefault="00902EC0" w:rsidP="009524C7">
            <w:pPr>
              <w:pStyle w:val="TableParagraph"/>
              <w:spacing w:line="264" w:lineRule="auto"/>
            </w:pPr>
            <w:r w:rsidRPr="009524C7">
              <w:t>TAS 1</w:t>
            </w:r>
          </w:p>
        </w:tc>
        <w:tc>
          <w:tcPr>
            <w:tcW w:w="5575" w:type="dxa"/>
          </w:tcPr>
          <w:p w14:paraId="387D80AD" w14:textId="77777777" w:rsidR="00902EC0" w:rsidRPr="009524C7" w:rsidRDefault="00902EC0" w:rsidP="009524C7">
            <w:pPr>
              <w:pStyle w:val="TableParagraph"/>
              <w:spacing w:line="264" w:lineRule="auto"/>
            </w:pPr>
            <w:r w:rsidRPr="009524C7">
              <w:t>29 – TAS</w:t>
            </w:r>
          </w:p>
        </w:tc>
        <w:tc>
          <w:tcPr>
            <w:tcW w:w="2009" w:type="dxa"/>
          </w:tcPr>
          <w:p w14:paraId="41BE4A0F" w14:textId="77777777" w:rsidR="00902EC0" w:rsidRPr="009524C7" w:rsidRDefault="00902EC0" w:rsidP="009524C7">
            <w:pPr>
              <w:pStyle w:val="TableParagraph"/>
              <w:spacing w:line="264" w:lineRule="auto"/>
              <w:jc w:val="right"/>
            </w:pPr>
            <w:r w:rsidRPr="009524C7">
              <w:t xml:space="preserve">85,508 </w:t>
            </w:r>
          </w:p>
        </w:tc>
      </w:tr>
      <w:tr w:rsidR="00902EC0" w14:paraId="6C09489A" w14:textId="77777777" w:rsidTr="009524C7">
        <w:trPr>
          <w:cnfStyle w:val="000000010000" w:firstRow="0" w:lastRow="0" w:firstColumn="0" w:lastColumn="0" w:oddVBand="0" w:evenVBand="0" w:oddHBand="0" w:evenHBand="1" w:firstRowFirstColumn="0" w:firstRowLastColumn="0" w:lastRowFirstColumn="0" w:lastRowLastColumn="0"/>
          <w:trHeight w:val="284"/>
        </w:trPr>
        <w:tc>
          <w:tcPr>
            <w:tcW w:w="2041" w:type="dxa"/>
          </w:tcPr>
          <w:p w14:paraId="7E1A9A23" w14:textId="77777777" w:rsidR="00902EC0" w:rsidRPr="009524C7" w:rsidRDefault="00902EC0" w:rsidP="009524C7">
            <w:pPr>
              <w:pStyle w:val="TableParagraph"/>
              <w:spacing w:line="264" w:lineRule="auto"/>
            </w:pPr>
            <w:r w:rsidRPr="009524C7">
              <w:t>NT 1</w:t>
            </w:r>
          </w:p>
        </w:tc>
        <w:tc>
          <w:tcPr>
            <w:tcW w:w="5575" w:type="dxa"/>
          </w:tcPr>
          <w:p w14:paraId="5D983629" w14:textId="77777777" w:rsidR="00902EC0" w:rsidRPr="009524C7" w:rsidRDefault="00902EC0" w:rsidP="009524C7">
            <w:pPr>
              <w:pStyle w:val="TableParagraph"/>
              <w:spacing w:line="264" w:lineRule="auto"/>
            </w:pPr>
            <w:r w:rsidRPr="009524C7">
              <w:t>30 – NT</w:t>
            </w:r>
          </w:p>
        </w:tc>
        <w:tc>
          <w:tcPr>
            <w:tcW w:w="2009" w:type="dxa"/>
          </w:tcPr>
          <w:p w14:paraId="3362B011" w14:textId="77777777" w:rsidR="00902EC0" w:rsidRPr="009524C7" w:rsidRDefault="00902EC0" w:rsidP="009524C7">
            <w:pPr>
              <w:pStyle w:val="TableParagraph"/>
              <w:spacing w:line="264" w:lineRule="auto"/>
              <w:jc w:val="right"/>
            </w:pPr>
            <w:r w:rsidRPr="009524C7">
              <w:t xml:space="preserve">11,520 </w:t>
            </w:r>
          </w:p>
        </w:tc>
      </w:tr>
      <w:tr w:rsidR="00902EC0" w14:paraId="03DEF6CF" w14:textId="77777777" w:rsidTr="009524C7">
        <w:trPr>
          <w:cnfStyle w:val="000000100000" w:firstRow="0" w:lastRow="0" w:firstColumn="0" w:lastColumn="0" w:oddVBand="0" w:evenVBand="0" w:oddHBand="1" w:evenHBand="0" w:firstRowFirstColumn="0" w:firstRowLastColumn="0" w:lastRowFirstColumn="0" w:lastRowLastColumn="0"/>
          <w:trHeight w:val="284"/>
        </w:trPr>
        <w:tc>
          <w:tcPr>
            <w:tcW w:w="2041" w:type="dxa"/>
          </w:tcPr>
          <w:p w14:paraId="3B332046" w14:textId="77777777" w:rsidR="00902EC0" w:rsidRPr="00E13D36" w:rsidRDefault="00902EC0" w:rsidP="009524C7">
            <w:pPr>
              <w:pStyle w:val="TableParagraph"/>
              <w:spacing w:line="264" w:lineRule="auto"/>
              <w:rPr>
                <w:rFonts w:ascii="Open Sans" w:hAnsi="Open Sans" w:cs="Times New Roman"/>
                <w:color w:val="auto"/>
                <w:sz w:val="22"/>
                <w:lang w:val="en-AU"/>
              </w:rPr>
            </w:pPr>
          </w:p>
        </w:tc>
        <w:tc>
          <w:tcPr>
            <w:tcW w:w="5575" w:type="dxa"/>
          </w:tcPr>
          <w:p w14:paraId="3369FFA9" w14:textId="77777777" w:rsidR="00902EC0" w:rsidRPr="00E13D36" w:rsidRDefault="00902EC0" w:rsidP="009524C7">
            <w:pPr>
              <w:pStyle w:val="TableParagraph"/>
              <w:spacing w:line="264" w:lineRule="auto"/>
              <w:jc w:val="right"/>
              <w:rPr>
                <w:sz w:val="22"/>
              </w:rPr>
            </w:pPr>
            <w:r w:rsidRPr="00E13D36">
              <w:rPr>
                <w:rStyle w:val="Bold"/>
                <w:sz w:val="22"/>
              </w:rPr>
              <w:t xml:space="preserve">Total </w:t>
            </w:r>
          </w:p>
        </w:tc>
        <w:tc>
          <w:tcPr>
            <w:tcW w:w="2009" w:type="dxa"/>
          </w:tcPr>
          <w:p w14:paraId="0481D542" w14:textId="77777777" w:rsidR="00902EC0" w:rsidRPr="00E13D36" w:rsidRDefault="00902EC0" w:rsidP="009524C7">
            <w:pPr>
              <w:pStyle w:val="TableParagraph"/>
              <w:spacing w:line="264" w:lineRule="auto"/>
              <w:jc w:val="right"/>
              <w:rPr>
                <w:sz w:val="22"/>
              </w:rPr>
            </w:pPr>
            <w:r w:rsidRPr="00E13D36">
              <w:rPr>
                <w:rStyle w:val="Bold"/>
                <w:sz w:val="22"/>
              </w:rPr>
              <w:t>2,716,683</w:t>
            </w:r>
          </w:p>
        </w:tc>
      </w:tr>
    </w:tbl>
    <w:p w14:paraId="1BAF0EA9" w14:textId="77777777" w:rsidR="00902EC0" w:rsidRDefault="00902EC0" w:rsidP="003F2E44">
      <w:pPr>
        <w:pStyle w:val="Heading2"/>
        <w:spacing w:before="0"/>
      </w:pPr>
      <w:r>
        <w:lastRenderedPageBreak/>
        <w:t>Background</w:t>
      </w:r>
    </w:p>
    <w:p w14:paraId="25D22A5C" w14:textId="77777777" w:rsidR="00902EC0" w:rsidRDefault="00902EC0" w:rsidP="00902EC0">
      <w:r>
        <w:t>In designing the future state service areas</w:t>
      </w:r>
      <w:r w:rsidR="00E13D36">
        <w:t xml:space="preserve"> for the Carer Gateway, the d</w:t>
      </w:r>
      <w:r>
        <w:t xml:space="preserve">epartment undertook analysis and consultation with stakeholders across the </w:t>
      </w:r>
      <w:proofErr w:type="spellStart"/>
      <w:r>
        <w:t>carer</w:t>
      </w:r>
      <w:proofErr w:type="spellEnd"/>
      <w:r>
        <w:t xml:space="preserve"> sector. </w:t>
      </w:r>
    </w:p>
    <w:p w14:paraId="0AAFD169" w14:textId="77777777" w:rsidR="00902EC0" w:rsidRDefault="00902EC0" w:rsidP="00902EC0">
      <w:r>
        <w:t xml:space="preserve">Previous analysis and consultation on the current service area model found that currently: </w:t>
      </w:r>
    </w:p>
    <w:p w14:paraId="16014F49" w14:textId="77777777" w:rsidR="00902EC0" w:rsidRDefault="00902EC0" w:rsidP="00902EC0">
      <w:pPr>
        <w:pStyle w:val="ListParagraph"/>
        <w:numPr>
          <w:ilvl w:val="0"/>
          <w:numId w:val="28"/>
        </w:numPr>
      </w:pPr>
      <w:r>
        <w:t xml:space="preserve">Since the cessation of the Aged Care Home &amp; Community Care (HACC) program, the 52 HACC Planning Regions are no longer </w:t>
      </w:r>
      <w:proofErr w:type="spellStart"/>
      <w:r>
        <w:t>recognised</w:t>
      </w:r>
      <w:proofErr w:type="spellEnd"/>
      <w:r>
        <w:t xml:space="preserve"> or maintained by Government </w:t>
      </w:r>
    </w:p>
    <w:p w14:paraId="4B4B6874" w14:textId="77777777" w:rsidR="00902EC0" w:rsidRDefault="00902EC0" w:rsidP="00902EC0">
      <w:pPr>
        <w:pStyle w:val="ListParagraph"/>
        <w:numPr>
          <w:ilvl w:val="0"/>
          <w:numId w:val="28"/>
        </w:numPr>
      </w:pPr>
      <w:r>
        <w:t xml:space="preserve">there are a large number of service areas resulting in the fragmentation of services across numerous providers </w:t>
      </w:r>
    </w:p>
    <w:p w14:paraId="26F3082D" w14:textId="77777777" w:rsidR="00902EC0" w:rsidRDefault="00902EC0" w:rsidP="00902EC0">
      <w:pPr>
        <w:pStyle w:val="ListParagraph"/>
        <w:numPr>
          <w:ilvl w:val="0"/>
          <w:numId w:val="28"/>
        </w:numPr>
      </w:pPr>
      <w:r>
        <w:t xml:space="preserve">there are service gaps in some regional and rural areas </w:t>
      </w:r>
    </w:p>
    <w:p w14:paraId="548D7E9D" w14:textId="77777777" w:rsidR="00902EC0" w:rsidRDefault="00902EC0" w:rsidP="00902EC0">
      <w:pPr>
        <w:pStyle w:val="ListParagraph"/>
        <w:numPr>
          <w:ilvl w:val="0"/>
          <w:numId w:val="28"/>
        </w:numPr>
      </w:pPr>
      <w:r>
        <w:t>there is a non-</w:t>
      </w:r>
      <w:proofErr w:type="spellStart"/>
      <w:r>
        <w:t>standardised</w:t>
      </w:r>
      <w:proofErr w:type="spellEnd"/>
      <w:r>
        <w:t xml:space="preserve"> approach to allocation of services. </w:t>
      </w:r>
    </w:p>
    <w:p w14:paraId="533F25D3" w14:textId="77777777" w:rsidR="00902EC0" w:rsidRDefault="00902EC0" w:rsidP="00902EC0">
      <w:pPr>
        <w:pStyle w:val="Heading3"/>
      </w:pPr>
      <w:r>
        <w:t xml:space="preserve">The analysis and consultation process </w:t>
      </w:r>
    </w:p>
    <w:p w14:paraId="389AF2DC" w14:textId="77777777" w:rsidR="00902EC0" w:rsidRDefault="00E13D36" w:rsidP="00902EC0">
      <w:r>
        <w:t>The d</w:t>
      </w:r>
      <w:r w:rsidR="00902EC0">
        <w:t xml:space="preserve">epartment conducted detailed service analysis and mapping work that </w:t>
      </w:r>
      <w:proofErr w:type="spellStart"/>
      <w:r w:rsidR="00902EC0">
        <w:t>focussed</w:t>
      </w:r>
      <w:proofErr w:type="spellEnd"/>
      <w:r w:rsidR="00902EC0">
        <w:t xml:space="preserve"> on </w:t>
      </w:r>
      <w:proofErr w:type="spellStart"/>
      <w:r w:rsidR="00902EC0">
        <w:t>carer</w:t>
      </w:r>
      <w:proofErr w:type="spellEnd"/>
      <w:r w:rsidR="00902EC0">
        <w:t xml:space="preserve"> population and location, and data on current </w:t>
      </w:r>
      <w:proofErr w:type="spellStart"/>
      <w:r w:rsidR="00902EC0">
        <w:t>carer</w:t>
      </w:r>
      <w:proofErr w:type="spellEnd"/>
      <w:r w:rsidR="00902EC0">
        <w:t xml:space="preserve"> and mainstream services. </w:t>
      </w:r>
    </w:p>
    <w:p w14:paraId="2B63A848" w14:textId="77777777" w:rsidR="00902EC0" w:rsidRDefault="00902EC0" w:rsidP="00902EC0">
      <w:r>
        <w:t xml:space="preserve">This work resulted in the drafting of two options based on Australian Bureau of Statistics Statistical Area level 4 regions. </w:t>
      </w:r>
    </w:p>
    <w:p w14:paraId="293B9B23" w14:textId="77777777" w:rsidR="00902EC0" w:rsidRDefault="00E13D36" w:rsidP="00902EC0">
      <w:r>
        <w:t>The d</w:t>
      </w:r>
      <w:r w:rsidR="00902EC0">
        <w:t xml:space="preserve">epartment then undertook a public consultation in April 2018 to validate these two options via a </w:t>
      </w:r>
      <w:hyperlink r:id="rId12" w:history="1">
        <w:r w:rsidR="00902EC0" w:rsidRPr="000B424B">
          <w:rPr>
            <w:rStyle w:val="Hyperlink"/>
          </w:rPr>
          <w:t>discussion</w:t>
        </w:r>
      </w:hyperlink>
      <w:r w:rsidR="00902EC0">
        <w:rPr>
          <w:rStyle w:val="Hyperlink"/>
        </w:rPr>
        <w:t xml:space="preserve"> paper</w:t>
      </w:r>
      <w:r>
        <w:t xml:space="preserve"> released on the d</w:t>
      </w:r>
      <w:r w:rsidR="00902EC0">
        <w:t xml:space="preserve">epartment’s engagement website (DSS Engage). </w:t>
      </w:r>
    </w:p>
    <w:p w14:paraId="6EBB6468" w14:textId="77777777" w:rsidR="00902EC0" w:rsidRDefault="00902EC0" w:rsidP="00902EC0">
      <w:r>
        <w:t xml:space="preserve">The </w:t>
      </w:r>
      <w:r w:rsidR="00E13D36">
        <w:t>d</w:t>
      </w:r>
      <w:r>
        <w:t xml:space="preserve">epartment received 42 submissions from a mix of </w:t>
      </w:r>
      <w:proofErr w:type="spellStart"/>
      <w:r>
        <w:t>carers</w:t>
      </w:r>
      <w:proofErr w:type="spellEnd"/>
      <w:r>
        <w:t xml:space="preserve">, service providers, peak bodies and other Government departments. </w:t>
      </w:r>
    </w:p>
    <w:p w14:paraId="2607C9B1" w14:textId="77777777" w:rsidR="00902EC0" w:rsidRDefault="00902EC0" w:rsidP="00902EC0">
      <w:r>
        <w:t xml:space="preserve">Further consultation was undertaken with representatives from all state and territory government departments and a number of peak bodies to further understand any concerns in relation to the proposed service areas. </w:t>
      </w:r>
    </w:p>
    <w:p w14:paraId="13D151F6" w14:textId="77777777" w:rsidR="00902EC0" w:rsidRPr="003F2E44" w:rsidRDefault="00902EC0" w:rsidP="00902EC0">
      <w:r>
        <w:t xml:space="preserve">In consolidating the feedback from the consultation process the </w:t>
      </w:r>
      <w:r w:rsidR="00E13D36">
        <w:t>d</w:t>
      </w:r>
      <w:r>
        <w:t xml:space="preserve">epartment undertook further analysis and modelling to </w:t>
      </w:r>
      <w:proofErr w:type="spellStart"/>
      <w:r>
        <w:t>finalise</w:t>
      </w:r>
      <w:proofErr w:type="spellEnd"/>
      <w:r>
        <w:t xml:space="preserve"> the service area model.</w:t>
      </w:r>
    </w:p>
    <w:sectPr w:rsidR="00902EC0" w:rsidRPr="003F2E44" w:rsidSect="00D33511">
      <w:footerReference w:type="default" r:id="rId13"/>
      <w:pgSz w:w="11906" w:h="16838"/>
      <w:pgMar w:top="1134" w:right="1134" w:bottom="1418" w:left="1134"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B685" w14:textId="77777777" w:rsidR="00B252BE" w:rsidRDefault="00B252BE" w:rsidP="00B04ED8">
      <w:pPr>
        <w:spacing w:line="240" w:lineRule="auto"/>
      </w:pPr>
      <w:r>
        <w:separator/>
      </w:r>
    </w:p>
  </w:endnote>
  <w:endnote w:type="continuationSeparator" w:id="0">
    <w:p w14:paraId="090ACD06" w14:textId="77777777" w:rsidR="00B252BE" w:rsidRDefault="00B252BE" w:rsidP="00B0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
    <w:altName w:val="Tahoma"/>
    <w:panose1 w:val="020B0806030504020204"/>
    <w:charset w:val="00"/>
    <w:family w:val="swiss"/>
    <w:pitch w:val="variable"/>
    <w:sig w:usb0="E00002EF" w:usb1="4000205B" w:usb2="00000028" w:usb3="00000000" w:csb0="0000019F" w:csb1="00000000"/>
  </w:font>
  <w:font w:name="Open Sans Light">
    <w:panose1 w:val="020B0604020202020204"/>
    <w:charset w:val="00"/>
    <w:family w:val="swiss"/>
    <w:pitch w:val="variable"/>
    <w:sig w:usb0="E00002EF" w:usb1="4000205B" w:usb2="00000028" w:usb3="00000000" w:csb0="0000019F" w:csb1="00000000"/>
  </w:font>
  <w:font w:name="MinionPro-Regular">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63DB" w14:textId="77777777" w:rsidR="00902EC0" w:rsidRPr="00902EC0" w:rsidRDefault="00902EC0">
    <w:pPr>
      <w:pStyle w:val="Footer"/>
      <w:rPr>
        <w:color w:val="404040" w:themeColor="text1"/>
      </w:rPr>
    </w:pPr>
    <w:r w:rsidRPr="00902EC0">
      <w:rPr>
        <w:color w:val="404040" w:themeColor="text1"/>
      </w:rPr>
      <w:t>Carer Gateway service areas</w:t>
    </w:r>
    <w:r w:rsidRPr="00902EC0">
      <w:rPr>
        <w:color w:val="404040" w:themeColor="text1"/>
      </w:rPr>
      <w:ptab w:relativeTo="margin" w:alignment="right" w:leader="none"/>
    </w:r>
    <w:r w:rsidRPr="00902EC0">
      <w:rPr>
        <w:color w:val="404040" w:themeColor="text1"/>
      </w:rPr>
      <w:fldChar w:fldCharType="begin"/>
    </w:r>
    <w:r w:rsidRPr="00902EC0">
      <w:rPr>
        <w:color w:val="404040" w:themeColor="text1"/>
      </w:rPr>
      <w:instrText xml:space="preserve"> PAGE   \* MERGEFORMAT </w:instrText>
    </w:r>
    <w:r w:rsidRPr="00902EC0">
      <w:rPr>
        <w:color w:val="404040" w:themeColor="text1"/>
      </w:rPr>
      <w:fldChar w:fldCharType="separate"/>
    </w:r>
    <w:r w:rsidR="00A531B0">
      <w:rPr>
        <w:noProof/>
        <w:color w:val="404040" w:themeColor="text1"/>
      </w:rPr>
      <w:t>4</w:t>
    </w:r>
    <w:r w:rsidRPr="00902EC0">
      <w:rPr>
        <w:noProof/>
        <w:color w:val="40404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06D7" w14:textId="77777777" w:rsidR="00B252BE" w:rsidRDefault="00B252BE" w:rsidP="00B04ED8">
      <w:pPr>
        <w:spacing w:line="240" w:lineRule="auto"/>
      </w:pPr>
      <w:r>
        <w:separator/>
      </w:r>
    </w:p>
  </w:footnote>
  <w:footnote w:type="continuationSeparator" w:id="0">
    <w:p w14:paraId="5E996861" w14:textId="77777777" w:rsidR="00B252BE" w:rsidRDefault="00B252BE" w:rsidP="00B04ED8">
      <w:pPr>
        <w:spacing w:line="240" w:lineRule="auto"/>
      </w:pPr>
      <w:r>
        <w:continuationSeparator/>
      </w:r>
    </w:p>
  </w:footnote>
  <w:footnote w:id="1">
    <w:p w14:paraId="35FAAD5D" w14:textId="77777777" w:rsidR="00D33511" w:rsidRPr="00D33511" w:rsidRDefault="00D33511">
      <w:pPr>
        <w:pStyle w:val="FootnoteText"/>
        <w:rPr>
          <w:lang w:val="en-AU"/>
        </w:rPr>
      </w:pPr>
      <w:r>
        <w:rPr>
          <w:rStyle w:val="FootnoteReference"/>
        </w:rPr>
        <w:footnoteRef/>
      </w:r>
      <w:r>
        <w:t xml:space="preserve"> </w:t>
      </w:r>
      <w:r w:rsidRPr="00D33511">
        <w:t>The carer population data provided in this table is based on the Australian Bureau of Statistics, Survey Disability Ageing and Carers data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426"/>
    <w:multiLevelType w:val="hybridMultilevel"/>
    <w:tmpl w:val="AB66E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9460F"/>
    <w:multiLevelType w:val="hybridMultilevel"/>
    <w:tmpl w:val="E9EA5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41646"/>
    <w:multiLevelType w:val="hybridMultilevel"/>
    <w:tmpl w:val="6046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B2757"/>
    <w:multiLevelType w:val="hybridMultilevel"/>
    <w:tmpl w:val="F672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836B1"/>
    <w:multiLevelType w:val="hybridMultilevel"/>
    <w:tmpl w:val="AAF6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413EF"/>
    <w:multiLevelType w:val="hybridMultilevel"/>
    <w:tmpl w:val="DC7CF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D53E9"/>
    <w:multiLevelType w:val="hybridMultilevel"/>
    <w:tmpl w:val="AC5E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35894"/>
    <w:multiLevelType w:val="hybridMultilevel"/>
    <w:tmpl w:val="FE1E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E70C0"/>
    <w:multiLevelType w:val="hybridMultilevel"/>
    <w:tmpl w:val="9E22036A"/>
    <w:lvl w:ilvl="0" w:tplc="921A80D6">
      <w:start w:val="1"/>
      <w:numFmt w:val="bullet"/>
      <w:pStyle w:val="Bod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13386"/>
    <w:multiLevelType w:val="hybridMultilevel"/>
    <w:tmpl w:val="B8B2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333263"/>
    <w:multiLevelType w:val="hybridMultilevel"/>
    <w:tmpl w:val="790A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97D7C"/>
    <w:multiLevelType w:val="hybridMultilevel"/>
    <w:tmpl w:val="9AF6492C"/>
    <w:lvl w:ilvl="0" w:tplc="7340FA7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A476F7"/>
    <w:multiLevelType w:val="hybridMultilevel"/>
    <w:tmpl w:val="7CA44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9C5C51"/>
    <w:multiLevelType w:val="hybridMultilevel"/>
    <w:tmpl w:val="AC68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505A1E"/>
    <w:multiLevelType w:val="hybridMultilevel"/>
    <w:tmpl w:val="F77CE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66D5A"/>
    <w:multiLevelType w:val="hybridMultilevel"/>
    <w:tmpl w:val="D5C0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257E3"/>
    <w:multiLevelType w:val="hybridMultilevel"/>
    <w:tmpl w:val="C206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A6B32"/>
    <w:multiLevelType w:val="hybridMultilevel"/>
    <w:tmpl w:val="7F8694A8"/>
    <w:lvl w:ilvl="0" w:tplc="BB94ACB0">
      <w:start w:val="1"/>
      <w:numFmt w:val="bullet"/>
      <w:pStyle w:val="ListParagraph"/>
      <w:lvlText w:val="•"/>
      <w:lvlJc w:val="left"/>
      <w:pPr>
        <w:ind w:left="720" w:hanging="360"/>
      </w:pPr>
      <w:rPr>
        <w:rFonts w:ascii="Arial" w:hAnsi="Arial" w:hint="default"/>
        <w:color w:val="57575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7523B"/>
    <w:multiLevelType w:val="hybridMultilevel"/>
    <w:tmpl w:val="DCB8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D1466"/>
    <w:multiLevelType w:val="hybridMultilevel"/>
    <w:tmpl w:val="5DA6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4736B1"/>
    <w:multiLevelType w:val="hybridMultilevel"/>
    <w:tmpl w:val="CDDE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FD48AC"/>
    <w:multiLevelType w:val="hybridMultilevel"/>
    <w:tmpl w:val="5BC88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FE01C4"/>
    <w:multiLevelType w:val="hybridMultilevel"/>
    <w:tmpl w:val="F7D6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884CC9"/>
    <w:multiLevelType w:val="hybridMultilevel"/>
    <w:tmpl w:val="DA7C5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074598"/>
    <w:multiLevelType w:val="hybridMultilevel"/>
    <w:tmpl w:val="125E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6A5994"/>
    <w:multiLevelType w:val="hybridMultilevel"/>
    <w:tmpl w:val="B940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5E3CB3"/>
    <w:multiLevelType w:val="hybridMultilevel"/>
    <w:tmpl w:val="C5DC0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5D75F2"/>
    <w:multiLevelType w:val="hybridMultilevel"/>
    <w:tmpl w:val="10004F0C"/>
    <w:lvl w:ilvl="0" w:tplc="0C8A4BC4">
      <w:start w:val="1"/>
      <w:numFmt w:val="decimal"/>
      <w:lvlText w:val="%1. "/>
      <w:lvlJc w:val="left"/>
      <w:pPr>
        <w:ind w:left="4754"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5834" w:hanging="360"/>
      </w:pPr>
    </w:lvl>
    <w:lvl w:ilvl="2" w:tplc="0C09001B" w:tentative="1">
      <w:start w:val="1"/>
      <w:numFmt w:val="lowerRoman"/>
      <w:lvlText w:val="%3."/>
      <w:lvlJc w:val="right"/>
      <w:pPr>
        <w:ind w:left="6554" w:hanging="180"/>
      </w:pPr>
    </w:lvl>
    <w:lvl w:ilvl="3" w:tplc="0C09000F" w:tentative="1">
      <w:start w:val="1"/>
      <w:numFmt w:val="decimal"/>
      <w:lvlText w:val="%4."/>
      <w:lvlJc w:val="left"/>
      <w:pPr>
        <w:ind w:left="7274" w:hanging="360"/>
      </w:pPr>
    </w:lvl>
    <w:lvl w:ilvl="4" w:tplc="0C090019" w:tentative="1">
      <w:start w:val="1"/>
      <w:numFmt w:val="lowerLetter"/>
      <w:lvlText w:val="%5."/>
      <w:lvlJc w:val="left"/>
      <w:pPr>
        <w:ind w:left="7994" w:hanging="360"/>
      </w:pPr>
    </w:lvl>
    <w:lvl w:ilvl="5" w:tplc="0C09001B" w:tentative="1">
      <w:start w:val="1"/>
      <w:numFmt w:val="lowerRoman"/>
      <w:lvlText w:val="%6."/>
      <w:lvlJc w:val="right"/>
      <w:pPr>
        <w:ind w:left="8714" w:hanging="180"/>
      </w:pPr>
    </w:lvl>
    <w:lvl w:ilvl="6" w:tplc="0C09000F" w:tentative="1">
      <w:start w:val="1"/>
      <w:numFmt w:val="decimal"/>
      <w:lvlText w:val="%7."/>
      <w:lvlJc w:val="left"/>
      <w:pPr>
        <w:ind w:left="9434" w:hanging="360"/>
      </w:pPr>
    </w:lvl>
    <w:lvl w:ilvl="7" w:tplc="0C090019" w:tentative="1">
      <w:start w:val="1"/>
      <w:numFmt w:val="lowerLetter"/>
      <w:lvlText w:val="%8."/>
      <w:lvlJc w:val="left"/>
      <w:pPr>
        <w:ind w:left="10154" w:hanging="360"/>
      </w:pPr>
    </w:lvl>
    <w:lvl w:ilvl="8" w:tplc="0C09001B" w:tentative="1">
      <w:start w:val="1"/>
      <w:numFmt w:val="lowerRoman"/>
      <w:lvlText w:val="%9."/>
      <w:lvlJc w:val="right"/>
      <w:pPr>
        <w:ind w:left="10874" w:hanging="180"/>
      </w:pPr>
    </w:lvl>
  </w:abstractNum>
  <w:abstractNum w:abstractNumId="28" w15:restartNumberingAfterBreak="0">
    <w:nsid w:val="7D0572BA"/>
    <w:multiLevelType w:val="hybridMultilevel"/>
    <w:tmpl w:val="BBD4675A"/>
    <w:lvl w:ilvl="0" w:tplc="CBC6F1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5949E0"/>
    <w:multiLevelType w:val="hybridMultilevel"/>
    <w:tmpl w:val="A450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4"/>
  </w:num>
  <w:num w:numId="4">
    <w:abstractNumId w:val="23"/>
  </w:num>
  <w:num w:numId="5">
    <w:abstractNumId w:val="5"/>
  </w:num>
  <w:num w:numId="6">
    <w:abstractNumId w:val="16"/>
  </w:num>
  <w:num w:numId="7">
    <w:abstractNumId w:val="1"/>
  </w:num>
  <w:num w:numId="8">
    <w:abstractNumId w:val="18"/>
  </w:num>
  <w:num w:numId="9">
    <w:abstractNumId w:val="19"/>
  </w:num>
  <w:num w:numId="10">
    <w:abstractNumId w:val="2"/>
  </w:num>
  <w:num w:numId="11">
    <w:abstractNumId w:val="3"/>
  </w:num>
  <w:num w:numId="12">
    <w:abstractNumId w:val="6"/>
  </w:num>
  <w:num w:numId="13">
    <w:abstractNumId w:val="11"/>
  </w:num>
  <w:num w:numId="14">
    <w:abstractNumId w:val="8"/>
  </w:num>
  <w:num w:numId="15">
    <w:abstractNumId w:val="24"/>
  </w:num>
  <w:num w:numId="16">
    <w:abstractNumId w:val="9"/>
  </w:num>
  <w:num w:numId="17">
    <w:abstractNumId w:val="20"/>
  </w:num>
  <w:num w:numId="18">
    <w:abstractNumId w:val="15"/>
  </w:num>
  <w:num w:numId="19">
    <w:abstractNumId w:val="22"/>
  </w:num>
  <w:num w:numId="20">
    <w:abstractNumId w:val="12"/>
  </w:num>
  <w:num w:numId="21">
    <w:abstractNumId w:val="21"/>
  </w:num>
  <w:num w:numId="22">
    <w:abstractNumId w:val="25"/>
  </w:num>
  <w:num w:numId="23">
    <w:abstractNumId w:val="29"/>
  </w:num>
  <w:num w:numId="24">
    <w:abstractNumId w:val="13"/>
  </w:num>
  <w:num w:numId="25">
    <w:abstractNumId w:val="17"/>
  </w:num>
  <w:num w:numId="26">
    <w:abstractNumId w:val="28"/>
  </w:num>
  <w:num w:numId="27">
    <w:abstractNumId w:val="27"/>
  </w:num>
  <w:num w:numId="28">
    <w:abstractNumId w:val="0"/>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0E"/>
    <w:rsid w:val="00005633"/>
    <w:rsid w:val="000519DD"/>
    <w:rsid w:val="00074B1C"/>
    <w:rsid w:val="000B0167"/>
    <w:rsid w:val="000B424B"/>
    <w:rsid w:val="000B6769"/>
    <w:rsid w:val="000D1A0E"/>
    <w:rsid w:val="00125481"/>
    <w:rsid w:val="0013022C"/>
    <w:rsid w:val="001940CE"/>
    <w:rsid w:val="001E630D"/>
    <w:rsid w:val="00271ECA"/>
    <w:rsid w:val="00284DC9"/>
    <w:rsid w:val="002F358D"/>
    <w:rsid w:val="00311D2E"/>
    <w:rsid w:val="00356371"/>
    <w:rsid w:val="00366943"/>
    <w:rsid w:val="003B2BB8"/>
    <w:rsid w:val="003D34FF"/>
    <w:rsid w:val="003F2E44"/>
    <w:rsid w:val="004962E3"/>
    <w:rsid w:val="004B54CA"/>
    <w:rsid w:val="004E5CBF"/>
    <w:rsid w:val="005A1626"/>
    <w:rsid w:val="005C3AA9"/>
    <w:rsid w:val="005E450C"/>
    <w:rsid w:val="00621FC5"/>
    <w:rsid w:val="00637B02"/>
    <w:rsid w:val="00683A84"/>
    <w:rsid w:val="006A4CE7"/>
    <w:rsid w:val="006C0387"/>
    <w:rsid w:val="007552ED"/>
    <w:rsid w:val="0076440B"/>
    <w:rsid w:val="00770D19"/>
    <w:rsid w:val="00785261"/>
    <w:rsid w:val="007B0256"/>
    <w:rsid w:val="007C0A0A"/>
    <w:rsid w:val="007D0D77"/>
    <w:rsid w:val="007F7DCC"/>
    <w:rsid w:val="0083177B"/>
    <w:rsid w:val="0083249E"/>
    <w:rsid w:val="008F6F62"/>
    <w:rsid w:val="00902EC0"/>
    <w:rsid w:val="009225F0"/>
    <w:rsid w:val="0093462C"/>
    <w:rsid w:val="009524C7"/>
    <w:rsid w:val="00953795"/>
    <w:rsid w:val="00974189"/>
    <w:rsid w:val="009B1565"/>
    <w:rsid w:val="009D5D13"/>
    <w:rsid w:val="00A06F7A"/>
    <w:rsid w:val="00A31C19"/>
    <w:rsid w:val="00A531B0"/>
    <w:rsid w:val="00A76212"/>
    <w:rsid w:val="00AA40D8"/>
    <w:rsid w:val="00AE6F1E"/>
    <w:rsid w:val="00B03C39"/>
    <w:rsid w:val="00B04ED8"/>
    <w:rsid w:val="00B252BE"/>
    <w:rsid w:val="00B357AE"/>
    <w:rsid w:val="00B90D33"/>
    <w:rsid w:val="00B91E3E"/>
    <w:rsid w:val="00BA2DB9"/>
    <w:rsid w:val="00BE7148"/>
    <w:rsid w:val="00C12D57"/>
    <w:rsid w:val="00C84DD7"/>
    <w:rsid w:val="00C93B51"/>
    <w:rsid w:val="00CB5863"/>
    <w:rsid w:val="00CF4951"/>
    <w:rsid w:val="00D33511"/>
    <w:rsid w:val="00D372DF"/>
    <w:rsid w:val="00D81EE7"/>
    <w:rsid w:val="00DA061E"/>
    <w:rsid w:val="00DA243A"/>
    <w:rsid w:val="00E13D36"/>
    <w:rsid w:val="00E273E4"/>
    <w:rsid w:val="00E7117C"/>
    <w:rsid w:val="00EB0912"/>
    <w:rsid w:val="00EB4AA1"/>
    <w:rsid w:val="00F04BE4"/>
    <w:rsid w:val="00F20C0F"/>
    <w:rsid w:val="00F30AFE"/>
    <w:rsid w:val="00F4524A"/>
    <w:rsid w:val="00F97C01"/>
    <w:rsid w:val="00FD2D4A"/>
    <w:rsid w:val="00FF6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6B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0387"/>
    <w:pPr>
      <w:widowControl w:val="0"/>
      <w:autoSpaceDE w:val="0"/>
      <w:autoSpaceDN w:val="0"/>
      <w:spacing w:before="240" w:after="0"/>
    </w:pPr>
    <w:rPr>
      <w:rFonts w:ascii="Arial" w:eastAsia="Arial" w:hAnsi="Arial" w:cs="Arial"/>
      <w:color w:val="575757"/>
      <w:sz w:val="20"/>
      <w:szCs w:val="20"/>
      <w:lang w:val="en-US" w:bidi="en-US"/>
    </w:rPr>
  </w:style>
  <w:style w:type="paragraph" w:styleId="Heading1">
    <w:name w:val="heading 1"/>
    <w:basedOn w:val="Normal"/>
    <w:link w:val="Heading1Char"/>
    <w:qFormat/>
    <w:locked/>
    <w:rsid w:val="00902EC0"/>
    <w:pPr>
      <w:spacing w:before="360"/>
      <w:outlineLvl w:val="0"/>
    </w:pPr>
    <w:rPr>
      <w:b/>
      <w:color w:val="5F4D9B"/>
      <w:sz w:val="44"/>
    </w:rPr>
  </w:style>
  <w:style w:type="paragraph" w:styleId="Heading2">
    <w:name w:val="heading 2"/>
    <w:basedOn w:val="Heading1"/>
    <w:link w:val="Heading2Char"/>
    <w:qFormat/>
    <w:locked/>
    <w:rsid w:val="00902EC0"/>
    <w:pPr>
      <w:keepNext/>
      <w:spacing w:before="480" w:after="120"/>
      <w:outlineLvl w:val="1"/>
    </w:pPr>
    <w:rPr>
      <w:rFonts w:eastAsia="Lucida Sans" w:cs="Lucida Sans"/>
      <w:sz w:val="28"/>
      <w:szCs w:val="44"/>
    </w:rPr>
  </w:style>
  <w:style w:type="paragraph" w:styleId="Heading3">
    <w:name w:val="heading 3"/>
    <w:basedOn w:val="Heading2"/>
    <w:link w:val="Heading3Char"/>
    <w:qFormat/>
    <w:locked/>
    <w:rsid w:val="005A1626"/>
    <w:pPr>
      <w:outlineLvl w:val="2"/>
    </w:pPr>
    <w:rPr>
      <w:sz w:val="24"/>
      <w:szCs w:val="24"/>
    </w:rPr>
  </w:style>
  <w:style w:type="paragraph" w:styleId="Heading4">
    <w:name w:val="heading 4"/>
    <w:basedOn w:val="Normal"/>
    <w:next w:val="Normal"/>
    <w:link w:val="Heading4Char"/>
    <w:uiPriority w:val="9"/>
    <w:unhideWhenUsed/>
    <w:qFormat/>
    <w:locked/>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locked/>
    <w:rsid w:val="004B54CA"/>
    <w:pPr>
      <w:spacing w:before="200"/>
      <w:outlineLvl w:val="4"/>
    </w:pPr>
    <w:rPr>
      <w:rFonts w:eastAsiaTheme="majorEastAsia" w:cstheme="majorBidi"/>
      <w:b/>
      <w:bCs/>
      <w:color w:val="9F9F9F" w:themeColor="text1" w:themeTint="80"/>
    </w:rPr>
  </w:style>
  <w:style w:type="paragraph" w:styleId="Heading6">
    <w:name w:val="heading 6"/>
    <w:basedOn w:val="Normal"/>
    <w:next w:val="Normal"/>
    <w:link w:val="Heading6Char"/>
    <w:uiPriority w:val="9"/>
    <w:unhideWhenUsed/>
    <w:qFormat/>
    <w:locked/>
    <w:rsid w:val="004B54CA"/>
    <w:pPr>
      <w:spacing w:line="271" w:lineRule="auto"/>
      <w:outlineLvl w:val="5"/>
    </w:pPr>
    <w:rPr>
      <w:rFonts w:eastAsiaTheme="majorEastAsia" w:cstheme="majorBidi"/>
      <w:b/>
      <w:bCs/>
      <w:i/>
      <w:iCs/>
      <w:color w:val="9F9F9F" w:themeColor="text1" w:themeTint="80"/>
    </w:rPr>
  </w:style>
  <w:style w:type="paragraph" w:styleId="Heading7">
    <w:name w:val="heading 7"/>
    <w:basedOn w:val="Normal"/>
    <w:next w:val="Normal"/>
    <w:link w:val="Heading7Char"/>
    <w:uiPriority w:val="9"/>
    <w:unhideWhenUsed/>
    <w:qFormat/>
    <w:locked/>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locked/>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locked/>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EC0"/>
    <w:rPr>
      <w:rFonts w:ascii="Arial" w:eastAsia="Arial" w:hAnsi="Arial" w:cs="Arial"/>
      <w:b/>
      <w:color w:val="5F4D9B"/>
      <w:sz w:val="44"/>
      <w:szCs w:val="20"/>
      <w:lang w:val="en-US" w:bidi="en-US"/>
    </w:rPr>
  </w:style>
  <w:style w:type="character" w:customStyle="1" w:styleId="Heading2Char">
    <w:name w:val="Heading 2 Char"/>
    <w:basedOn w:val="DefaultParagraphFont"/>
    <w:link w:val="Heading2"/>
    <w:rsid w:val="00902EC0"/>
    <w:rPr>
      <w:rFonts w:ascii="Arial" w:eastAsia="Lucida Sans" w:hAnsi="Arial" w:cs="Lucida Sans"/>
      <w:b/>
      <w:color w:val="5F4D9B"/>
      <w:sz w:val="28"/>
      <w:szCs w:val="44"/>
      <w:lang w:val="en-US" w:bidi="en-US"/>
    </w:rPr>
  </w:style>
  <w:style w:type="paragraph" w:styleId="NoSpacing">
    <w:name w:val="No Spacing"/>
    <w:basedOn w:val="Normal"/>
    <w:link w:val="NoSpacingChar"/>
    <w:uiPriority w:val="1"/>
    <w:qFormat/>
    <w:locked/>
    <w:rsid w:val="004B54CA"/>
    <w:pPr>
      <w:spacing w:line="240" w:lineRule="auto"/>
    </w:pPr>
  </w:style>
  <w:style w:type="character" w:customStyle="1" w:styleId="Heading3Char">
    <w:name w:val="Heading 3 Char"/>
    <w:basedOn w:val="DefaultParagraphFont"/>
    <w:link w:val="Heading3"/>
    <w:rsid w:val="005A1626"/>
    <w:rPr>
      <w:rFonts w:ascii="Arial" w:eastAsia="Lucida Sans" w:hAnsi="Arial" w:cs="Lucida Sans"/>
      <w:b/>
      <w:color w:val="5F4D9B"/>
      <w:sz w:val="24"/>
      <w:szCs w:val="24"/>
      <w:lang w:val="en-US" w:bidi="en-U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9F9F9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9F9F9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qFormat/>
    <w:locked/>
    <w:rsid w:val="00AE6F1E"/>
    <w:pPr>
      <w:spacing w:before="0" w:line="360" w:lineRule="auto"/>
    </w:pPr>
    <w:rPr>
      <w:b/>
      <w:color w:val="5F4D9B"/>
      <w:sz w:val="60"/>
    </w:rPr>
  </w:style>
  <w:style w:type="character" w:customStyle="1" w:styleId="TitleChar">
    <w:name w:val="Title Char"/>
    <w:basedOn w:val="DefaultParagraphFont"/>
    <w:link w:val="Title"/>
    <w:rsid w:val="006C0387"/>
    <w:rPr>
      <w:rFonts w:ascii="Arial" w:eastAsia="Arial" w:hAnsi="Arial" w:cs="Arial"/>
      <w:b/>
      <w:color w:val="5F4D9B"/>
      <w:sz w:val="60"/>
      <w:szCs w:val="20"/>
      <w:lang w:val="en-US" w:bidi="en-US"/>
    </w:rPr>
  </w:style>
  <w:style w:type="paragraph" w:styleId="Subtitle">
    <w:name w:val="Subtitle"/>
    <w:basedOn w:val="Normal"/>
    <w:next w:val="Normal"/>
    <w:link w:val="SubtitleChar"/>
    <w:uiPriority w:val="11"/>
    <w:qFormat/>
    <w:locked/>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locked/>
    <w:rsid w:val="004B54CA"/>
    <w:rPr>
      <w:i/>
      <w:iCs/>
    </w:rPr>
  </w:style>
  <w:style w:type="character" w:styleId="Strong">
    <w:name w:val="Strong"/>
    <w:uiPriority w:val="22"/>
    <w:qFormat/>
    <w:locked/>
    <w:rsid w:val="004B54CA"/>
    <w:rPr>
      <w:b/>
      <w:bCs/>
    </w:rPr>
  </w:style>
  <w:style w:type="paragraph" w:styleId="ListParagraph">
    <w:name w:val="List Paragraph"/>
    <w:basedOn w:val="Normal"/>
    <w:autoRedefine/>
    <w:uiPriority w:val="1"/>
    <w:semiHidden/>
    <w:qFormat/>
    <w:rsid w:val="00A06F7A"/>
    <w:pPr>
      <w:numPr>
        <w:numId w:val="25"/>
      </w:numPr>
      <w:spacing w:before="60" w:after="120"/>
      <w:ind w:left="680" w:hanging="340"/>
    </w:pPr>
  </w:style>
  <w:style w:type="character" w:styleId="Emphasis">
    <w:name w:val="Emphasis"/>
    <w:uiPriority w:val="20"/>
    <w:qFormat/>
    <w:locked/>
    <w:rsid w:val="004B54CA"/>
    <w:rPr>
      <w:b/>
      <w:bCs/>
      <w:i/>
      <w:iCs/>
      <w:spacing w:val="10"/>
      <w:bdr w:val="none" w:sz="0" w:space="0" w:color="auto"/>
      <w:shd w:val="clear" w:color="auto" w:fill="auto"/>
    </w:rPr>
  </w:style>
  <w:style w:type="character" w:styleId="IntenseEmphasis">
    <w:name w:val="Intense Emphasis"/>
    <w:uiPriority w:val="21"/>
    <w:qFormat/>
    <w:locked/>
    <w:rsid w:val="004B54CA"/>
    <w:rPr>
      <w:b/>
      <w:bCs/>
    </w:rPr>
  </w:style>
  <w:style w:type="paragraph" w:styleId="Quote">
    <w:name w:val="Quote"/>
    <w:aliases w:val="Carer story"/>
    <w:basedOn w:val="Normal"/>
    <w:next w:val="Normal"/>
    <w:link w:val="QuoteChar"/>
    <w:autoRedefine/>
    <w:uiPriority w:val="29"/>
    <w:qFormat/>
    <w:locked/>
    <w:rsid w:val="00902EC0"/>
    <w:pPr>
      <w:pBdr>
        <w:top w:val="single" w:sz="4" w:space="10" w:color="EAEBEC" w:themeColor="accent1"/>
        <w:left w:val="single" w:sz="4" w:space="10" w:color="EAEBEC" w:themeColor="accent1"/>
        <w:bottom w:val="single" w:sz="4" w:space="10" w:color="EAEBEC" w:themeColor="accent1"/>
        <w:right w:val="single" w:sz="4" w:space="10" w:color="EAEBEC" w:themeColor="accent1"/>
      </w:pBdr>
      <w:shd w:val="clear" w:color="auto" w:fill="EAEBEC"/>
      <w:spacing w:before="360"/>
      <w:ind w:left="284" w:right="284"/>
    </w:pPr>
    <w:rPr>
      <w:iCs/>
      <w:color w:val="404040" w:themeColor="text1"/>
    </w:rPr>
  </w:style>
  <w:style w:type="character" w:customStyle="1" w:styleId="QuoteChar">
    <w:name w:val="Quote Char"/>
    <w:aliases w:val="Carer story Char"/>
    <w:basedOn w:val="DefaultParagraphFont"/>
    <w:link w:val="Quote"/>
    <w:uiPriority w:val="29"/>
    <w:rsid w:val="00902EC0"/>
    <w:rPr>
      <w:rFonts w:ascii="Arial" w:eastAsia="Arial" w:hAnsi="Arial" w:cs="Arial"/>
      <w:iCs/>
      <w:color w:val="404040" w:themeColor="text1"/>
      <w:sz w:val="20"/>
      <w:szCs w:val="20"/>
      <w:shd w:val="clear" w:color="auto" w:fill="EAEBEC"/>
      <w:lang w:val="en-US" w:bidi="en-US"/>
    </w:rPr>
  </w:style>
  <w:style w:type="paragraph" w:styleId="IntenseQuote">
    <w:name w:val="Intense Quote"/>
    <w:basedOn w:val="Normal"/>
    <w:next w:val="Normal"/>
    <w:link w:val="IntenseQuoteChar"/>
    <w:uiPriority w:val="30"/>
    <w:qFormat/>
    <w:locked/>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locked/>
    <w:rsid w:val="004B54CA"/>
    <w:rPr>
      <w:smallCaps/>
    </w:rPr>
  </w:style>
  <w:style w:type="character" w:styleId="IntenseReference">
    <w:name w:val="Intense Reference"/>
    <w:uiPriority w:val="32"/>
    <w:qFormat/>
    <w:locked/>
    <w:rsid w:val="004B54CA"/>
    <w:rPr>
      <w:smallCaps/>
      <w:spacing w:val="5"/>
      <w:u w:val="single"/>
    </w:rPr>
  </w:style>
  <w:style w:type="character" w:styleId="BookTitle">
    <w:name w:val="Book Title"/>
    <w:uiPriority w:val="33"/>
    <w:qFormat/>
    <w:locked/>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locked/>
    <w:rsid w:val="00AE6F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E6F1E"/>
    <w:rPr>
      <w:rFonts w:ascii="Arial" w:eastAsia="Arial" w:hAnsi="Arial" w:cs="Arial"/>
      <w:color w:val="575757"/>
      <w:sz w:val="20"/>
      <w:szCs w:val="20"/>
      <w:lang w:val="en-US" w:bidi="en-US"/>
    </w:rPr>
  </w:style>
  <w:style w:type="paragraph" w:styleId="Footer">
    <w:name w:val="footer"/>
    <w:basedOn w:val="Normal"/>
    <w:link w:val="FooterChar"/>
    <w:uiPriority w:val="99"/>
    <w:unhideWhenUsed/>
    <w:locked/>
    <w:rsid w:val="00AE6F1E"/>
    <w:rPr>
      <w:color w:val="5F4D9B"/>
    </w:rPr>
  </w:style>
  <w:style w:type="character" w:customStyle="1" w:styleId="FooterChar">
    <w:name w:val="Footer Char"/>
    <w:basedOn w:val="DefaultParagraphFont"/>
    <w:link w:val="Footer"/>
    <w:uiPriority w:val="99"/>
    <w:rsid w:val="00AE6F1E"/>
    <w:rPr>
      <w:rFonts w:ascii="Arial" w:eastAsia="Arial" w:hAnsi="Arial" w:cs="Arial"/>
      <w:color w:val="5F4D9B"/>
      <w:sz w:val="20"/>
      <w:szCs w:val="20"/>
      <w:lang w:val="en-US" w:bidi="en-US"/>
    </w:rPr>
  </w:style>
  <w:style w:type="paragraph" w:customStyle="1" w:styleId="Body">
    <w:name w:val="Body"/>
    <w:basedOn w:val="Normal"/>
    <w:uiPriority w:val="99"/>
    <w:locked/>
    <w:rsid w:val="000D1A0E"/>
    <w:pPr>
      <w:suppressAutoHyphens/>
      <w:adjustRightInd w:val="0"/>
      <w:spacing w:before="170" w:line="280" w:lineRule="atLeast"/>
      <w:textAlignment w:val="center"/>
    </w:pPr>
    <w:rPr>
      <w:rFonts w:ascii="Open Sans" w:hAnsi="Open Sans" w:cs="Open Sans"/>
      <w:color w:val="000000"/>
    </w:rPr>
  </w:style>
  <w:style w:type="paragraph" w:customStyle="1" w:styleId="Introtext">
    <w:name w:val="Intro text"/>
    <w:basedOn w:val="Body"/>
    <w:uiPriority w:val="99"/>
    <w:locked/>
    <w:rsid w:val="000D1A0E"/>
    <w:pPr>
      <w:spacing w:line="340" w:lineRule="atLeast"/>
    </w:pPr>
    <w:rPr>
      <w:rFonts w:ascii="Open Sans Light" w:hAnsi="Open Sans Light" w:cs="Open Sans Light"/>
      <w:sz w:val="26"/>
      <w:szCs w:val="26"/>
    </w:rPr>
  </w:style>
  <w:style w:type="paragraph" w:customStyle="1" w:styleId="Bodybullets">
    <w:name w:val="Body bullets"/>
    <w:basedOn w:val="Body"/>
    <w:uiPriority w:val="99"/>
    <w:locked/>
    <w:rsid w:val="000D1A0E"/>
    <w:pPr>
      <w:numPr>
        <w:numId w:val="14"/>
      </w:numPr>
      <w:tabs>
        <w:tab w:val="left" w:pos="340"/>
      </w:tabs>
      <w:spacing w:line="320" w:lineRule="atLeast"/>
    </w:pPr>
  </w:style>
  <w:style w:type="paragraph" w:customStyle="1" w:styleId="BasicParagraph">
    <w:name w:val="[Basic Paragraph]"/>
    <w:basedOn w:val="Normal"/>
    <w:uiPriority w:val="99"/>
    <w:locked/>
    <w:rsid w:val="000D1A0E"/>
    <w:pPr>
      <w:adjustRightInd w:val="0"/>
      <w:spacing w:line="288" w:lineRule="auto"/>
      <w:textAlignment w:val="center"/>
    </w:pPr>
    <w:rPr>
      <w:rFonts w:ascii="MinionPro-Regular" w:hAnsi="MinionPro-Regular" w:cs="MinionPro-Regular"/>
      <w:color w:val="000000"/>
      <w:sz w:val="24"/>
      <w:szCs w:val="24"/>
    </w:rPr>
  </w:style>
  <w:style w:type="paragraph" w:customStyle="1" w:styleId="Calltoaction">
    <w:name w:val="Call to action"/>
    <w:basedOn w:val="Body"/>
    <w:uiPriority w:val="99"/>
    <w:locked/>
    <w:rsid w:val="000D1A0E"/>
    <w:pPr>
      <w:spacing w:before="113" w:line="300" w:lineRule="atLeast"/>
    </w:pPr>
    <w:rPr>
      <w:b/>
      <w:bCs/>
    </w:rPr>
  </w:style>
  <w:style w:type="paragraph" w:customStyle="1" w:styleId="Heading2Black">
    <w:name w:val="Heading 2 Black"/>
    <w:basedOn w:val="Heading2"/>
    <w:uiPriority w:val="99"/>
    <w:locked/>
    <w:rsid w:val="000D1A0E"/>
    <w:pPr>
      <w:suppressAutoHyphens/>
      <w:adjustRightInd w:val="0"/>
      <w:spacing w:before="0" w:line="340" w:lineRule="atLeast"/>
      <w:textAlignment w:val="center"/>
      <w:outlineLvl w:val="9"/>
    </w:pPr>
    <w:rPr>
      <w:rFonts w:ascii="Open Sans" w:eastAsiaTheme="minorHAnsi" w:hAnsi="Open Sans" w:cs="Open Sans"/>
      <w:color w:val="000000"/>
      <w:szCs w:val="28"/>
    </w:rPr>
  </w:style>
  <w:style w:type="character" w:styleId="Hyperlink">
    <w:name w:val="Hyperlink"/>
    <w:basedOn w:val="DefaultParagraphFont"/>
    <w:uiPriority w:val="99"/>
    <w:unhideWhenUsed/>
    <w:locked/>
    <w:rsid w:val="00AE6F1E"/>
    <w:rPr>
      <w:color w:val="5F4D9B"/>
      <w:u w:val="single"/>
    </w:rPr>
  </w:style>
  <w:style w:type="character" w:styleId="PlaceholderText">
    <w:name w:val="Placeholder Text"/>
    <w:basedOn w:val="DefaultParagraphFont"/>
    <w:uiPriority w:val="99"/>
    <w:semiHidden/>
    <w:rsid w:val="008F6F62"/>
    <w:rPr>
      <w:color w:val="808080"/>
    </w:rPr>
  </w:style>
  <w:style w:type="paragraph" w:styleId="TOC1">
    <w:name w:val="toc 1"/>
    <w:basedOn w:val="Normal"/>
    <w:next w:val="Normal"/>
    <w:autoRedefine/>
    <w:uiPriority w:val="39"/>
    <w:unhideWhenUsed/>
    <w:locked/>
    <w:rsid w:val="00FF669A"/>
    <w:pPr>
      <w:spacing w:after="100"/>
    </w:pPr>
  </w:style>
  <w:style w:type="table" w:styleId="TableGrid">
    <w:name w:val="Table Grid"/>
    <w:basedOn w:val="TableNormal"/>
    <w:uiPriority w:val="39"/>
    <w:locked/>
    <w:rsid w:val="003F2E44"/>
    <w:pPr>
      <w:widowControl w:val="0"/>
      <w:autoSpaceDE w:val="0"/>
      <w:autoSpaceDN w:val="0"/>
      <w:spacing w:after="0" w:line="288" w:lineRule="auto"/>
    </w:pPr>
    <w:rPr>
      <w:rFonts w:ascii="Arial" w:hAnsi="Arial"/>
      <w:color w:val="575757"/>
      <w:sz w:val="20"/>
      <w:lang w:val="en-US"/>
    </w:rPr>
    <w:tblPr>
      <w:tblStyleRowBandSize w:val="1"/>
      <w:tblStyleColBandSize w:val="1"/>
      <w:tblBorders>
        <w:bottom w:val="single" w:sz="4" w:space="0" w:color="504C8F" w:themeColor="text2"/>
        <w:insideH w:val="single" w:sz="4" w:space="0" w:color="504C8F" w:themeColor="text2"/>
      </w:tblBorders>
      <w:tblCellMar>
        <w:top w:w="113" w:type="dxa"/>
        <w:left w:w="113" w:type="dxa"/>
        <w:bottom w:w="113" w:type="dxa"/>
        <w:right w:w="113" w:type="dxa"/>
      </w:tblCellMar>
    </w:tblPr>
    <w:tcPr>
      <w:shd w:val="clear" w:color="auto" w:fill="FFFFFF" w:themeFill="background1"/>
    </w:tcPr>
    <w:tblStylePr w:type="firstRow">
      <w:pPr>
        <w:jc w:val="left"/>
      </w:pPr>
      <w:rPr>
        <w:rFonts w:ascii="Arial" w:hAnsi="Arial"/>
        <w:b/>
        <w:color w:val="FFFFFF"/>
        <w:sz w:val="24"/>
      </w:rPr>
      <w:tblPr/>
      <w:tcPr>
        <w:shd w:val="clear" w:color="auto" w:fill="5F4D9B"/>
      </w:tcPr>
    </w:tblStylePr>
    <w:tblStylePr w:type="band1Horz">
      <w:rPr>
        <w:color w:val="FFFFFF" w:themeColor="background1"/>
      </w:rPr>
      <w:tblPr/>
      <w:tcPr>
        <w:shd w:val="clear" w:color="auto" w:fill="FFFFFF" w:themeFill="background1"/>
      </w:tcPr>
    </w:tblStylePr>
    <w:tblStylePr w:type="band2Horz">
      <w:rPr>
        <w:color w:val="F2F2F2" w:themeColor="background1" w:themeShade="F2"/>
      </w:rPr>
      <w:tblPr/>
      <w:tcPr>
        <w:shd w:val="clear" w:color="auto" w:fill="F2F2F2" w:themeFill="background1" w:themeFillShade="F2"/>
      </w:tcPr>
    </w:tblStylePr>
  </w:style>
  <w:style w:type="character" w:styleId="CommentReference">
    <w:name w:val="annotation reference"/>
    <w:basedOn w:val="DefaultParagraphFont"/>
    <w:uiPriority w:val="99"/>
    <w:unhideWhenUsed/>
    <w:rsid w:val="00E7117C"/>
    <w:rPr>
      <w:sz w:val="16"/>
      <w:szCs w:val="16"/>
    </w:rPr>
  </w:style>
  <w:style w:type="paragraph" w:styleId="CommentText">
    <w:name w:val="annotation text"/>
    <w:basedOn w:val="Normal"/>
    <w:link w:val="CommentTextChar"/>
    <w:uiPriority w:val="99"/>
    <w:semiHidden/>
    <w:unhideWhenUsed/>
    <w:rsid w:val="00E7117C"/>
    <w:pPr>
      <w:spacing w:line="240" w:lineRule="auto"/>
    </w:pPr>
  </w:style>
  <w:style w:type="character" w:customStyle="1" w:styleId="CommentTextChar">
    <w:name w:val="Comment Text Char"/>
    <w:basedOn w:val="DefaultParagraphFont"/>
    <w:link w:val="CommentText"/>
    <w:uiPriority w:val="99"/>
    <w:semiHidden/>
    <w:rsid w:val="00E711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117C"/>
    <w:rPr>
      <w:b/>
      <w:bCs/>
    </w:rPr>
  </w:style>
  <w:style w:type="character" w:customStyle="1" w:styleId="CommentSubjectChar">
    <w:name w:val="Comment Subject Char"/>
    <w:basedOn w:val="CommentTextChar"/>
    <w:link w:val="CommentSubject"/>
    <w:uiPriority w:val="99"/>
    <w:semiHidden/>
    <w:rsid w:val="00E7117C"/>
    <w:rPr>
      <w:rFonts w:ascii="Arial" w:hAnsi="Arial"/>
      <w:b/>
      <w:bCs/>
      <w:sz w:val="20"/>
      <w:szCs w:val="20"/>
    </w:rPr>
  </w:style>
  <w:style w:type="paragraph" w:styleId="BalloonText">
    <w:name w:val="Balloon Text"/>
    <w:basedOn w:val="Normal"/>
    <w:link w:val="BalloonTextChar"/>
    <w:uiPriority w:val="99"/>
    <w:semiHidden/>
    <w:unhideWhenUsed/>
    <w:rsid w:val="00E711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17C"/>
    <w:rPr>
      <w:rFonts w:ascii="Segoe UI" w:hAnsi="Segoe UI" w:cs="Segoe UI"/>
      <w:sz w:val="18"/>
      <w:szCs w:val="18"/>
    </w:rPr>
  </w:style>
  <w:style w:type="paragraph" w:styleId="BodyText">
    <w:name w:val="Body Text"/>
    <w:basedOn w:val="Normal"/>
    <w:link w:val="BodyTextChar"/>
    <w:uiPriority w:val="1"/>
    <w:semiHidden/>
    <w:qFormat/>
    <w:rsid w:val="00AE6F1E"/>
  </w:style>
  <w:style w:type="character" w:customStyle="1" w:styleId="BodyTextChar">
    <w:name w:val="Body Text Char"/>
    <w:basedOn w:val="DefaultParagraphFont"/>
    <w:link w:val="BodyText"/>
    <w:uiPriority w:val="1"/>
    <w:semiHidden/>
    <w:rsid w:val="006C0387"/>
    <w:rPr>
      <w:rFonts w:ascii="Arial" w:eastAsia="Arial" w:hAnsi="Arial" w:cs="Arial"/>
      <w:color w:val="575757"/>
      <w:sz w:val="20"/>
      <w:szCs w:val="20"/>
      <w:lang w:val="en-US" w:bidi="en-US"/>
    </w:rPr>
  </w:style>
  <w:style w:type="table" w:customStyle="1" w:styleId="CarerGateway">
    <w:name w:val="Carer Gateway"/>
    <w:basedOn w:val="TableNormal"/>
    <w:uiPriority w:val="99"/>
    <w:locked/>
    <w:rsid w:val="00AE6F1E"/>
    <w:pPr>
      <w:spacing w:after="0" w:line="240" w:lineRule="auto"/>
    </w:pPr>
    <w:rPr>
      <w:lang w:val="en-US"/>
    </w:rPr>
    <w:tblPr/>
  </w:style>
  <w:style w:type="paragraph" w:customStyle="1" w:styleId="TableHeading">
    <w:name w:val="Table Heading"/>
    <w:basedOn w:val="Heading2"/>
    <w:autoRedefine/>
    <w:uiPriority w:val="1"/>
    <w:qFormat/>
    <w:locked/>
    <w:rsid w:val="00366943"/>
    <w:pPr>
      <w:spacing w:before="0" w:after="0" w:line="240" w:lineRule="auto"/>
      <w:outlineLvl w:val="9"/>
    </w:pPr>
    <w:rPr>
      <w:color w:val="FFFFFF" w:themeColor="background1"/>
      <w:w w:val="110"/>
      <w:sz w:val="20"/>
    </w:rPr>
  </w:style>
  <w:style w:type="paragraph" w:customStyle="1" w:styleId="TableParagraph">
    <w:name w:val="Table Paragraph"/>
    <w:basedOn w:val="Normal"/>
    <w:uiPriority w:val="1"/>
    <w:qFormat/>
    <w:locked/>
    <w:rsid w:val="00AE6F1E"/>
    <w:pPr>
      <w:spacing w:before="0"/>
    </w:pPr>
  </w:style>
  <w:style w:type="table" w:styleId="ListTable3-Accent4">
    <w:name w:val="List Table 3 Accent 4"/>
    <w:basedOn w:val="TableNormal"/>
    <w:uiPriority w:val="48"/>
    <w:locked/>
    <w:rsid w:val="002F358D"/>
    <w:pPr>
      <w:spacing w:after="0" w:line="240" w:lineRule="auto"/>
    </w:pPr>
    <w:tblPr>
      <w:tblStyleRowBandSize w:val="1"/>
      <w:tblStyleColBandSize w:val="1"/>
      <w:tblBorders>
        <w:top w:val="single" w:sz="4" w:space="0" w:color="009AAC" w:themeColor="accent4"/>
        <w:left w:val="single" w:sz="4" w:space="0" w:color="009AAC" w:themeColor="accent4"/>
        <w:bottom w:val="single" w:sz="4" w:space="0" w:color="009AAC" w:themeColor="accent4"/>
        <w:right w:val="single" w:sz="4" w:space="0" w:color="009AAC" w:themeColor="accent4"/>
      </w:tblBorders>
    </w:tblPr>
    <w:tblStylePr w:type="firstRow">
      <w:rPr>
        <w:b/>
        <w:bCs/>
        <w:color w:val="FFFFFF" w:themeColor="background1"/>
      </w:rPr>
      <w:tblPr/>
      <w:tcPr>
        <w:shd w:val="clear" w:color="auto" w:fill="009AAC" w:themeFill="accent4"/>
      </w:tcPr>
    </w:tblStylePr>
    <w:tblStylePr w:type="lastRow">
      <w:rPr>
        <w:b/>
        <w:bCs/>
      </w:rPr>
      <w:tblPr/>
      <w:tcPr>
        <w:tcBorders>
          <w:top w:val="double" w:sz="4" w:space="0" w:color="009AA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AAC" w:themeColor="accent4"/>
          <w:right w:val="single" w:sz="4" w:space="0" w:color="009AAC" w:themeColor="accent4"/>
        </w:tcBorders>
      </w:tcPr>
    </w:tblStylePr>
    <w:tblStylePr w:type="band1Horz">
      <w:tblPr/>
      <w:tcPr>
        <w:tcBorders>
          <w:top w:val="single" w:sz="4" w:space="0" w:color="009AAC" w:themeColor="accent4"/>
          <w:bottom w:val="single" w:sz="4" w:space="0" w:color="009AA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AAC" w:themeColor="accent4"/>
          <w:left w:val="nil"/>
        </w:tcBorders>
      </w:tcPr>
    </w:tblStylePr>
    <w:tblStylePr w:type="swCell">
      <w:tblPr/>
      <w:tcPr>
        <w:tcBorders>
          <w:top w:val="double" w:sz="4" w:space="0" w:color="009AAC" w:themeColor="accent4"/>
          <w:right w:val="nil"/>
        </w:tcBorders>
      </w:tcPr>
    </w:tblStylePr>
  </w:style>
  <w:style w:type="paragraph" w:customStyle="1" w:styleId="StyleQuoteCarerstoryBold">
    <w:name w:val="Style QuoteCarer story + Bold"/>
    <w:basedOn w:val="Quote"/>
    <w:autoRedefine/>
    <w:semiHidden/>
    <w:rsid w:val="00125481"/>
    <w:pPr>
      <w:spacing w:before="120"/>
    </w:pPr>
    <w:rPr>
      <w:b/>
      <w:bCs/>
      <w:i/>
    </w:rPr>
  </w:style>
  <w:style w:type="paragraph" w:customStyle="1" w:styleId="InspirationalQuote">
    <w:name w:val="Inspirational Quote"/>
    <w:basedOn w:val="Quote"/>
    <w:autoRedefine/>
    <w:uiPriority w:val="1"/>
    <w:semiHidden/>
    <w:qFormat/>
    <w:rsid w:val="00271ECA"/>
    <w:pPr>
      <w:pBdr>
        <w:top w:val="single" w:sz="4" w:space="10" w:color="D9D8EA" w:themeColor="text2" w:themeTint="33"/>
        <w:left w:val="single" w:sz="4" w:space="10" w:color="D9D8EA" w:themeColor="text2" w:themeTint="33"/>
        <w:bottom w:val="single" w:sz="4" w:space="10" w:color="D9D8EA" w:themeColor="text2" w:themeTint="33"/>
        <w:right w:val="single" w:sz="4" w:space="10" w:color="D9D8EA" w:themeColor="text2" w:themeTint="33"/>
      </w:pBdr>
      <w:shd w:val="clear" w:color="auto" w:fill="D9D8EA" w:themeFill="text2" w:themeFillTint="33"/>
    </w:pPr>
    <w:rPr>
      <w:color w:val="575757"/>
    </w:rPr>
  </w:style>
  <w:style w:type="paragraph" w:customStyle="1" w:styleId="StyleQuoteCarerstoryBold1">
    <w:name w:val="Style QuoteCarer story + Bold1"/>
    <w:basedOn w:val="Quote"/>
    <w:semiHidden/>
    <w:rsid w:val="00311D2E"/>
    <w:rPr>
      <w:b/>
      <w:bCs/>
      <w:i/>
    </w:rPr>
  </w:style>
  <w:style w:type="paragraph" w:customStyle="1" w:styleId="StyleInspirationalQuoteBold">
    <w:name w:val="Style Inspirational Quote + Bold"/>
    <w:basedOn w:val="InspirationalQuote"/>
    <w:semiHidden/>
    <w:rsid w:val="00311D2E"/>
    <w:rPr>
      <w:b/>
      <w:bCs/>
      <w:i/>
    </w:rPr>
  </w:style>
  <w:style w:type="paragraph" w:customStyle="1" w:styleId="Note">
    <w:name w:val="Note"/>
    <w:basedOn w:val="Normal"/>
    <w:link w:val="NoteChar"/>
    <w:uiPriority w:val="1"/>
    <w:qFormat/>
    <w:locked/>
    <w:rsid w:val="00B357AE"/>
    <w:rPr>
      <w:sz w:val="16"/>
    </w:rPr>
  </w:style>
  <w:style w:type="character" w:styleId="FollowedHyperlink">
    <w:name w:val="FollowedHyperlink"/>
    <w:basedOn w:val="DefaultParagraphFont"/>
    <w:uiPriority w:val="99"/>
    <w:semiHidden/>
    <w:unhideWhenUsed/>
    <w:rsid w:val="00B357AE"/>
    <w:rPr>
      <w:color w:val="3C3770" w:themeColor="followedHyperlink"/>
      <w:u w:val="single"/>
    </w:rPr>
  </w:style>
  <w:style w:type="character" w:customStyle="1" w:styleId="NoteChar">
    <w:name w:val="Note Char"/>
    <w:basedOn w:val="DefaultParagraphFont"/>
    <w:link w:val="Note"/>
    <w:uiPriority w:val="1"/>
    <w:rsid w:val="00B357AE"/>
    <w:rPr>
      <w:rFonts w:ascii="Arial" w:eastAsia="Arial" w:hAnsi="Arial" w:cs="Arial"/>
      <w:color w:val="575757"/>
      <w:sz w:val="16"/>
      <w:szCs w:val="20"/>
      <w:lang w:val="en-US" w:bidi="en-US"/>
    </w:rPr>
  </w:style>
  <w:style w:type="paragraph" w:customStyle="1" w:styleId="NoParagraphStyle">
    <w:name w:val="[No Paragraph Style]"/>
    <w:rsid w:val="00902EC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H1">
    <w:name w:val="H1"/>
    <w:basedOn w:val="NoParagraphStyle"/>
    <w:uiPriority w:val="99"/>
    <w:rsid w:val="00902EC0"/>
    <w:pPr>
      <w:suppressAutoHyphens/>
      <w:spacing w:before="340" w:after="227" w:line="500" w:lineRule="atLeast"/>
    </w:pPr>
    <w:rPr>
      <w:rFonts w:ascii="Open Sans" w:hAnsi="Open Sans" w:cs="Open Sans"/>
      <w:b/>
      <w:bCs/>
      <w:color w:val="5E4D9A"/>
      <w:sz w:val="44"/>
      <w:szCs w:val="44"/>
    </w:rPr>
  </w:style>
  <w:style w:type="paragraph" w:customStyle="1" w:styleId="Intro">
    <w:name w:val="Intro"/>
    <w:basedOn w:val="Body"/>
    <w:uiPriority w:val="99"/>
    <w:rsid w:val="00902EC0"/>
    <w:pPr>
      <w:keepLines/>
      <w:widowControl/>
      <w:spacing w:before="0" w:after="227" w:line="380" w:lineRule="atLeast"/>
    </w:pPr>
    <w:rPr>
      <w:rFonts w:ascii="Open Sans Light" w:eastAsiaTheme="minorHAnsi" w:hAnsi="Open Sans Light" w:cs="Open Sans Light"/>
      <w:sz w:val="26"/>
      <w:szCs w:val="26"/>
      <w:lang w:val="en-GB" w:bidi="ar-SA"/>
    </w:rPr>
  </w:style>
  <w:style w:type="paragraph" w:customStyle="1" w:styleId="Breakout">
    <w:name w:val="Breakout"/>
    <w:basedOn w:val="Body"/>
    <w:uiPriority w:val="99"/>
    <w:rsid w:val="00902EC0"/>
    <w:pPr>
      <w:keepLines/>
      <w:widowControl/>
      <w:shd w:val="clear" w:color="auto" w:fill="000000"/>
      <w:spacing w:before="454" w:after="567"/>
      <w:ind w:left="340" w:right="340"/>
    </w:pPr>
    <w:rPr>
      <w:rFonts w:eastAsiaTheme="minorHAnsi"/>
      <w:lang w:val="en-GB" w:bidi="ar-SA"/>
    </w:rPr>
  </w:style>
  <w:style w:type="paragraph" w:customStyle="1" w:styleId="H2">
    <w:name w:val="H2"/>
    <w:basedOn w:val="NoParagraphStyle"/>
    <w:uiPriority w:val="99"/>
    <w:rsid w:val="00902EC0"/>
    <w:pPr>
      <w:keepNext/>
      <w:keepLines/>
      <w:suppressAutoHyphens/>
      <w:spacing w:before="113" w:after="113" w:line="400" w:lineRule="atLeast"/>
    </w:pPr>
    <w:rPr>
      <w:rFonts w:ascii="Open Sans" w:hAnsi="Open Sans" w:cs="Open Sans"/>
      <w:b/>
      <w:bCs/>
      <w:color w:val="5E4D9A"/>
      <w:sz w:val="28"/>
      <w:szCs w:val="28"/>
    </w:rPr>
  </w:style>
  <w:style w:type="paragraph" w:customStyle="1" w:styleId="H3">
    <w:name w:val="H3"/>
    <w:basedOn w:val="Body"/>
    <w:uiPriority w:val="99"/>
    <w:rsid w:val="00902EC0"/>
    <w:pPr>
      <w:keepLines/>
      <w:widowControl/>
      <w:spacing w:before="113" w:after="113" w:line="320" w:lineRule="atLeast"/>
    </w:pPr>
    <w:rPr>
      <w:rFonts w:eastAsiaTheme="minorHAnsi"/>
      <w:b/>
      <w:bCs/>
      <w:sz w:val="24"/>
      <w:szCs w:val="24"/>
      <w:lang w:val="en-GB" w:bidi="ar-SA"/>
    </w:rPr>
  </w:style>
  <w:style w:type="paragraph" w:customStyle="1" w:styleId="TableHeaderLA">
    <w:name w:val="Table Header LA"/>
    <w:basedOn w:val="H3"/>
    <w:uiPriority w:val="99"/>
    <w:rsid w:val="00902EC0"/>
    <w:pPr>
      <w:spacing w:line="280" w:lineRule="atLeast"/>
    </w:pPr>
    <w:rPr>
      <w:color w:val="FFFFFF"/>
      <w:sz w:val="20"/>
      <w:szCs w:val="20"/>
    </w:rPr>
  </w:style>
  <w:style w:type="paragraph" w:customStyle="1" w:styleId="TableHeaderRA">
    <w:name w:val="Table Header RA"/>
    <w:basedOn w:val="TableHeaderLA"/>
    <w:uiPriority w:val="99"/>
    <w:rsid w:val="00902EC0"/>
    <w:pPr>
      <w:jc w:val="right"/>
    </w:pPr>
  </w:style>
  <w:style w:type="paragraph" w:customStyle="1" w:styleId="TableBodyRA">
    <w:name w:val="Table Body RA"/>
    <w:basedOn w:val="Body"/>
    <w:uiPriority w:val="99"/>
    <w:rsid w:val="00902EC0"/>
    <w:pPr>
      <w:keepLines/>
      <w:widowControl/>
      <w:spacing w:before="0" w:after="113"/>
      <w:jc w:val="right"/>
    </w:pPr>
    <w:rPr>
      <w:rFonts w:eastAsiaTheme="minorHAnsi"/>
      <w:lang w:val="en-GB" w:bidi="ar-SA"/>
    </w:rPr>
  </w:style>
  <w:style w:type="paragraph" w:customStyle="1" w:styleId="TableBodyLA">
    <w:name w:val="Table Body LA"/>
    <w:basedOn w:val="TableBodyRA"/>
    <w:uiPriority w:val="99"/>
    <w:rsid w:val="00902EC0"/>
    <w:pPr>
      <w:jc w:val="left"/>
    </w:pPr>
  </w:style>
  <w:style w:type="character" w:customStyle="1" w:styleId="White">
    <w:name w:val="White"/>
    <w:uiPriority w:val="99"/>
    <w:rsid w:val="00902EC0"/>
    <w:rPr>
      <w:outline/>
    </w:rPr>
  </w:style>
  <w:style w:type="character" w:customStyle="1" w:styleId="Bold">
    <w:name w:val="Bold"/>
    <w:uiPriority w:val="99"/>
    <w:rsid w:val="00902EC0"/>
    <w:rPr>
      <w:b/>
      <w:bCs/>
    </w:rPr>
  </w:style>
  <w:style w:type="paragraph" w:styleId="FootnoteText">
    <w:name w:val="footnote text"/>
    <w:basedOn w:val="Normal"/>
    <w:link w:val="FootnoteTextChar"/>
    <w:uiPriority w:val="99"/>
    <w:semiHidden/>
    <w:unhideWhenUsed/>
    <w:rsid w:val="000B0167"/>
    <w:pPr>
      <w:spacing w:before="0" w:line="240" w:lineRule="auto"/>
    </w:pPr>
  </w:style>
  <w:style w:type="character" w:customStyle="1" w:styleId="FootnoteTextChar">
    <w:name w:val="Footnote Text Char"/>
    <w:basedOn w:val="DefaultParagraphFont"/>
    <w:link w:val="FootnoteText"/>
    <w:uiPriority w:val="99"/>
    <w:semiHidden/>
    <w:rsid w:val="000B0167"/>
    <w:rPr>
      <w:rFonts w:ascii="Arial" w:eastAsia="Arial" w:hAnsi="Arial" w:cs="Arial"/>
      <w:color w:val="575757"/>
      <w:sz w:val="20"/>
      <w:szCs w:val="20"/>
      <w:lang w:val="en-US" w:bidi="en-US"/>
    </w:rPr>
  </w:style>
  <w:style w:type="character" w:styleId="FootnoteReference">
    <w:name w:val="footnote reference"/>
    <w:basedOn w:val="DefaultParagraphFont"/>
    <w:uiPriority w:val="99"/>
    <w:semiHidden/>
    <w:unhideWhenUsed/>
    <w:rsid w:val="000B0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age.dss.gov.au/integrated-carer-support-service-regional-delivery-mode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404040"/>
      </a:dk1>
      <a:lt1>
        <a:srgbClr val="FFFFFF"/>
      </a:lt1>
      <a:dk2>
        <a:srgbClr val="504C8F"/>
      </a:dk2>
      <a:lt2>
        <a:srgbClr val="D9DADC"/>
      </a:lt2>
      <a:accent1>
        <a:srgbClr val="EAEBEC"/>
      </a:accent1>
      <a:accent2>
        <a:srgbClr val="ED779A"/>
      </a:accent2>
      <a:accent3>
        <a:srgbClr val="EB855D"/>
      </a:accent3>
      <a:accent4>
        <a:srgbClr val="009AAC"/>
      </a:accent4>
      <a:accent5>
        <a:srgbClr val="FFCF07"/>
      </a:accent5>
      <a:accent6>
        <a:srgbClr val="007F91"/>
      </a:accent6>
      <a:hlink>
        <a:srgbClr val="006C7B"/>
      </a:hlink>
      <a:folHlink>
        <a:srgbClr val="3C37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2A58AA92DD14DA0F106A92B6DF4B4" ma:contentTypeVersion="10" ma:contentTypeDescription="Create a new document." ma:contentTypeScope="" ma:versionID="b2b8ab225da861a50366b928e0956a60">
  <xsd:schema xmlns:xsd="http://www.w3.org/2001/XMLSchema" xmlns:xs="http://www.w3.org/2001/XMLSchema" xmlns:p="http://schemas.microsoft.com/office/2006/metadata/properties" xmlns:ns2="3a79c9c6-9326-4084-a4a4-7606151bf2ea" xmlns:ns3="d1a874fd-503a-4e2a-a3fb-624b6a9e575c" targetNamespace="http://schemas.microsoft.com/office/2006/metadata/properties" ma:root="true" ma:fieldsID="55741f1571fb9d9e2a807fc12f9f6b59" ns2:_="" ns3:_="">
    <xsd:import namespace="3a79c9c6-9326-4084-a4a4-7606151bf2ea"/>
    <xsd:import namespace="d1a874fd-503a-4e2a-a3fb-624b6a9e5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c9c6-9326-4084-a4a4-7606151bf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874fd-503a-4e2a-a3fb-624b6a9e5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C865-08D9-437E-8D57-CBD4B07CB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89AD1-8BEC-4FEB-8D95-CB196292A86A}">
  <ds:schemaRefs>
    <ds:schemaRef ds:uri="http://schemas.microsoft.com/sharepoint/v3/contenttype/forms"/>
  </ds:schemaRefs>
</ds:datastoreItem>
</file>

<file path=customXml/itemProps3.xml><?xml version="1.0" encoding="utf-8"?>
<ds:datastoreItem xmlns:ds="http://schemas.openxmlformats.org/officeDocument/2006/customXml" ds:itemID="{48951499-CC25-4D0F-836F-7E8E32A37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c9c6-9326-4084-a4a4-7606151bf2ea"/>
    <ds:schemaRef ds:uri="d1a874fd-503a-4e2a-a3fb-624b6a9e5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CA147-9E87-EB42-A226-CB3568F2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Carer Gateway service areas</vt:lpstr>
    </vt:vector>
  </TitlesOfParts>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Gateway service areas</dc:title>
  <dc:subject/>
  <dc:creator/>
  <cp:keywords/>
  <dc:description/>
  <cp:lastModifiedBy/>
  <cp:revision>1</cp:revision>
  <dcterms:created xsi:type="dcterms:W3CDTF">2019-09-25T23:56:00Z</dcterms:created>
  <dcterms:modified xsi:type="dcterms:W3CDTF">2019-09-25T23:56:00Z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0x0101000402A58AA92DD14DA0F106A92B6DF4B4</vt:lpwstr>
  </property>
</Properties>
</file>