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AC1256" w14:textId="77777777" w:rsidR="00051119" w:rsidRPr="00D46290" w:rsidRDefault="00C973E5" w:rsidP="002F3336">
      <w:pPr>
        <w:spacing w:after="1440"/>
        <w:jc w:val="center"/>
      </w:pPr>
      <w:bookmarkStart w:id="0" w:name="Example"/>
      <w:r>
        <w:rPr>
          <w:noProof/>
        </w:rPr>
        <w:drawing>
          <wp:inline distT="0" distB="0" distL="0" distR="0" wp14:anchorId="435A9C11" wp14:editId="06221A8F">
            <wp:extent cx="3924300" cy="2724150"/>
            <wp:effectExtent l="19050" t="0" r="0" b="0"/>
            <wp:docPr id="12" name="Picture 12" descr="Australian Government, Disability Employment Servic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ustralian Government, Disability Employment Services Logo"/>
                    <pic:cNvPicPr>
                      <a:picLocks noChangeAspect="1" noChangeArrowheads="1"/>
                    </pic:cNvPicPr>
                  </pic:nvPicPr>
                  <pic:blipFill>
                    <a:blip r:embed="rId8" cstate="print"/>
                    <a:srcRect/>
                    <a:stretch>
                      <a:fillRect/>
                    </a:stretch>
                  </pic:blipFill>
                  <pic:spPr bwMode="auto">
                    <a:xfrm>
                      <a:off x="0" y="0"/>
                      <a:ext cx="3924300" cy="2724150"/>
                    </a:xfrm>
                    <a:prstGeom prst="rect">
                      <a:avLst/>
                    </a:prstGeom>
                    <a:noFill/>
                    <a:ln w="9525">
                      <a:noFill/>
                      <a:miter lim="800000"/>
                      <a:headEnd/>
                      <a:tailEnd/>
                    </a:ln>
                  </pic:spPr>
                </pic:pic>
              </a:graphicData>
            </a:graphic>
          </wp:inline>
        </w:drawing>
      </w:r>
    </w:p>
    <w:p w14:paraId="694853D1" w14:textId="0E02B413" w:rsidR="007073F5" w:rsidRPr="00FF5852" w:rsidRDefault="009825F4" w:rsidP="0047387D">
      <w:pPr>
        <w:pStyle w:val="Heading1"/>
        <w:spacing w:before="1320" w:after="0"/>
      </w:pPr>
      <w:bookmarkStart w:id="1" w:name="_Toc23778758"/>
      <w:bookmarkEnd w:id="0"/>
      <w:r>
        <w:t xml:space="preserve">Capability </w:t>
      </w:r>
      <w:r w:rsidR="00D10DF4">
        <w:t>Assessment</w:t>
      </w:r>
      <w:r w:rsidR="004D3DE6">
        <w:t xml:space="preserve"> Guideline</w:t>
      </w:r>
      <w:r w:rsidR="004A4615">
        <w:t>s</w:t>
      </w:r>
      <w:bookmarkEnd w:id="1"/>
    </w:p>
    <w:p w14:paraId="16C46C51" w14:textId="6C6B4695" w:rsidR="007073F5" w:rsidRPr="00934547" w:rsidRDefault="007073F5" w:rsidP="00934547">
      <w:pPr>
        <w:jc w:val="center"/>
        <w:rPr>
          <w:b/>
          <w:sz w:val="36"/>
          <w:szCs w:val="36"/>
          <w:u w:val="double"/>
        </w:rPr>
      </w:pPr>
      <w:bookmarkStart w:id="2" w:name="_Toc495402559"/>
      <w:bookmarkStart w:id="3" w:name="_Toc509998600"/>
      <w:bookmarkStart w:id="4" w:name="_Toc509998874"/>
      <w:r w:rsidRPr="00934547">
        <w:rPr>
          <w:b/>
          <w:sz w:val="36"/>
          <w:szCs w:val="36"/>
        </w:rPr>
        <w:t>V 1.</w:t>
      </w:r>
      <w:bookmarkEnd w:id="2"/>
      <w:bookmarkEnd w:id="3"/>
      <w:bookmarkEnd w:id="4"/>
      <w:r w:rsidR="0044550E">
        <w:rPr>
          <w:b/>
          <w:sz w:val="36"/>
          <w:szCs w:val="36"/>
        </w:rPr>
        <w:t>3</w:t>
      </w:r>
    </w:p>
    <w:p w14:paraId="087C2EC7" w14:textId="77777777" w:rsidR="003757B3" w:rsidRPr="00AC50E9" w:rsidRDefault="00427E22" w:rsidP="00AC50E9">
      <w:pPr>
        <w:pStyle w:val="Disclaimer"/>
        <w:spacing w:before="4800"/>
        <w:rPr>
          <w:sz w:val="20"/>
        </w:rPr>
      </w:pPr>
      <w:r w:rsidRPr="00427E22">
        <w:rPr>
          <w:b/>
          <w:sz w:val="20"/>
        </w:rPr>
        <w:t>Disclaimer</w:t>
      </w:r>
      <w:r w:rsidRPr="00427E22">
        <w:rPr>
          <w:sz w:val="20"/>
        </w:rPr>
        <w:br/>
        <w:t>This document is not a stand-alone document and does not contain the entirety of Disability Employment Services Providers' obligations. It should be read in conjunction with the Disability Employment Services Grant Agreement and any relevant guidelines or reference material issued by the Department of Social Services under or in connection with the Disability Employment Services Grant Agreement.</w:t>
      </w:r>
      <w:r w:rsidR="007073F5" w:rsidRPr="00C07F22">
        <w:br w:type="page"/>
      </w:r>
      <w:bookmarkStart w:id="5" w:name="_Toc495666001"/>
      <w:bookmarkStart w:id="6" w:name="_Toc487730649"/>
      <w:bookmarkStart w:id="7" w:name="_Toc486510119"/>
      <w:bookmarkStart w:id="8" w:name="_Toc425412073"/>
      <w:bookmarkStart w:id="9" w:name="_Toc316553411"/>
      <w:bookmarkStart w:id="10" w:name="_Toc316553386"/>
    </w:p>
    <w:bookmarkEnd w:id="10" w:displacedByCustomXml="next"/>
    <w:bookmarkEnd w:id="9" w:displacedByCustomXml="next"/>
    <w:bookmarkEnd w:id="8" w:displacedByCustomXml="next"/>
    <w:bookmarkEnd w:id="7" w:displacedByCustomXml="next"/>
    <w:bookmarkEnd w:id="6" w:displacedByCustomXml="next"/>
    <w:bookmarkEnd w:id="5" w:displacedByCustomXml="next"/>
    <w:bookmarkStart w:id="11" w:name="_Toc509842407" w:displacedByCustomXml="next"/>
    <w:bookmarkStart w:id="12" w:name="_Toc23778759" w:displacedByCustomXml="next"/>
    <w:sdt>
      <w:sdtPr>
        <w:rPr>
          <w:b w:val="0"/>
          <w:sz w:val="22"/>
          <w:szCs w:val="24"/>
        </w:rPr>
        <w:id w:val="1370883962"/>
        <w:docPartObj>
          <w:docPartGallery w:val="Table of Contents"/>
          <w:docPartUnique/>
        </w:docPartObj>
      </w:sdtPr>
      <w:sdtEndPr>
        <w:rPr>
          <w:bCs/>
          <w:noProof/>
        </w:rPr>
      </w:sdtEndPr>
      <w:sdtContent>
        <w:p w14:paraId="1F1B497C" w14:textId="77777777" w:rsidR="00E341A6" w:rsidRPr="00E341A6" w:rsidRDefault="00E341A6" w:rsidP="00427E22">
          <w:pPr>
            <w:pStyle w:val="Heading2"/>
            <w:spacing w:before="0" w:after="480"/>
          </w:pPr>
          <w:r w:rsidRPr="00E341A6">
            <w:t>Table of Contents</w:t>
          </w:r>
          <w:bookmarkEnd w:id="12"/>
          <w:bookmarkEnd w:id="11"/>
        </w:p>
        <w:p w14:paraId="7BF3DE44" w14:textId="5E53B398" w:rsidR="00DD3760" w:rsidRDefault="009B4050">
          <w:pPr>
            <w:pStyle w:val="TOC1"/>
            <w:tabs>
              <w:tab w:val="right" w:pos="9016"/>
            </w:tabs>
            <w:rPr>
              <w:rFonts w:eastAsiaTheme="minorEastAsia" w:cstheme="minorBidi"/>
              <w:b w:val="0"/>
              <w:bCs w:val="0"/>
              <w:noProof/>
              <w:sz w:val="22"/>
              <w:szCs w:val="22"/>
            </w:rPr>
          </w:pPr>
          <w:r>
            <w:rPr>
              <w:i/>
              <w:iCs/>
            </w:rPr>
            <w:fldChar w:fldCharType="begin"/>
          </w:r>
          <w:r>
            <w:instrText xml:space="preserve"> TOC \o "1-3" \h \z \u </w:instrText>
          </w:r>
          <w:r>
            <w:rPr>
              <w:i/>
              <w:iCs/>
            </w:rPr>
            <w:fldChar w:fldCharType="separate"/>
          </w:r>
          <w:hyperlink w:anchor="_Toc23778758" w:history="1">
            <w:r w:rsidR="00DD3760" w:rsidRPr="00D07892">
              <w:rPr>
                <w:rStyle w:val="Hyperlink"/>
                <w:noProof/>
              </w:rPr>
              <w:t>Capability Assessment Guidelines</w:t>
            </w:r>
            <w:r w:rsidR="00DD3760">
              <w:rPr>
                <w:noProof/>
                <w:webHidden/>
              </w:rPr>
              <w:tab/>
            </w:r>
            <w:r w:rsidR="00DD3760">
              <w:rPr>
                <w:noProof/>
                <w:webHidden/>
              </w:rPr>
              <w:fldChar w:fldCharType="begin"/>
            </w:r>
            <w:r w:rsidR="00DD3760">
              <w:rPr>
                <w:noProof/>
                <w:webHidden/>
              </w:rPr>
              <w:instrText xml:space="preserve"> PAGEREF _Toc23778758 \h </w:instrText>
            </w:r>
            <w:r w:rsidR="00DD3760">
              <w:rPr>
                <w:noProof/>
                <w:webHidden/>
              </w:rPr>
            </w:r>
            <w:r w:rsidR="00DD3760">
              <w:rPr>
                <w:noProof/>
                <w:webHidden/>
              </w:rPr>
              <w:fldChar w:fldCharType="separate"/>
            </w:r>
            <w:r w:rsidR="006C3F96">
              <w:rPr>
                <w:noProof/>
                <w:webHidden/>
              </w:rPr>
              <w:t>1</w:t>
            </w:r>
            <w:r w:rsidR="00DD3760">
              <w:rPr>
                <w:noProof/>
                <w:webHidden/>
              </w:rPr>
              <w:fldChar w:fldCharType="end"/>
            </w:r>
          </w:hyperlink>
        </w:p>
        <w:p w14:paraId="55A2C260" w14:textId="10B1CEC7" w:rsidR="00DD3760" w:rsidRDefault="00E646FC">
          <w:pPr>
            <w:pStyle w:val="TOC2"/>
            <w:tabs>
              <w:tab w:val="right" w:pos="9016"/>
            </w:tabs>
            <w:rPr>
              <w:rFonts w:eastAsiaTheme="minorEastAsia" w:cstheme="minorBidi"/>
              <w:i w:val="0"/>
              <w:iCs w:val="0"/>
              <w:noProof/>
              <w:sz w:val="22"/>
              <w:szCs w:val="22"/>
            </w:rPr>
          </w:pPr>
          <w:hyperlink w:anchor="_Toc23778759" w:history="1">
            <w:r w:rsidR="00DD3760" w:rsidRPr="00D07892">
              <w:rPr>
                <w:rStyle w:val="Hyperlink"/>
                <w:noProof/>
              </w:rPr>
              <w:t>Table of Contents</w:t>
            </w:r>
            <w:r w:rsidR="00DD3760">
              <w:rPr>
                <w:noProof/>
                <w:webHidden/>
              </w:rPr>
              <w:tab/>
            </w:r>
            <w:r w:rsidR="00DD3760">
              <w:rPr>
                <w:noProof/>
                <w:webHidden/>
              </w:rPr>
              <w:fldChar w:fldCharType="begin"/>
            </w:r>
            <w:r w:rsidR="00DD3760">
              <w:rPr>
                <w:noProof/>
                <w:webHidden/>
              </w:rPr>
              <w:instrText xml:space="preserve"> PAGEREF _Toc23778759 \h </w:instrText>
            </w:r>
            <w:r w:rsidR="00DD3760">
              <w:rPr>
                <w:noProof/>
                <w:webHidden/>
              </w:rPr>
            </w:r>
            <w:r w:rsidR="00DD3760">
              <w:rPr>
                <w:noProof/>
                <w:webHidden/>
              </w:rPr>
              <w:fldChar w:fldCharType="separate"/>
            </w:r>
            <w:r w:rsidR="006C3F96">
              <w:rPr>
                <w:noProof/>
                <w:webHidden/>
              </w:rPr>
              <w:t>2</w:t>
            </w:r>
            <w:r w:rsidR="00DD3760">
              <w:rPr>
                <w:noProof/>
                <w:webHidden/>
              </w:rPr>
              <w:fldChar w:fldCharType="end"/>
            </w:r>
          </w:hyperlink>
        </w:p>
        <w:p w14:paraId="6007B776" w14:textId="5F0DC394" w:rsidR="00DD3760" w:rsidRDefault="00E646FC">
          <w:pPr>
            <w:pStyle w:val="TOC3"/>
            <w:tabs>
              <w:tab w:val="right" w:pos="9016"/>
            </w:tabs>
            <w:rPr>
              <w:rFonts w:eastAsiaTheme="minorEastAsia" w:cstheme="minorBidi"/>
              <w:noProof/>
              <w:sz w:val="22"/>
              <w:szCs w:val="22"/>
            </w:rPr>
          </w:pPr>
          <w:hyperlink w:anchor="_Toc23778760" w:history="1">
            <w:r w:rsidR="00DD3760" w:rsidRPr="00D07892">
              <w:rPr>
                <w:rStyle w:val="Hyperlink"/>
                <w:noProof/>
              </w:rPr>
              <w:t>Document Change History</w:t>
            </w:r>
            <w:r w:rsidR="00DD3760">
              <w:rPr>
                <w:noProof/>
                <w:webHidden/>
              </w:rPr>
              <w:tab/>
            </w:r>
            <w:r w:rsidR="00DD3760">
              <w:rPr>
                <w:noProof/>
                <w:webHidden/>
              </w:rPr>
              <w:fldChar w:fldCharType="begin"/>
            </w:r>
            <w:r w:rsidR="00DD3760">
              <w:rPr>
                <w:noProof/>
                <w:webHidden/>
              </w:rPr>
              <w:instrText xml:space="preserve"> PAGEREF _Toc23778760 \h </w:instrText>
            </w:r>
            <w:r w:rsidR="00DD3760">
              <w:rPr>
                <w:noProof/>
                <w:webHidden/>
              </w:rPr>
            </w:r>
            <w:r w:rsidR="00DD3760">
              <w:rPr>
                <w:noProof/>
                <w:webHidden/>
              </w:rPr>
              <w:fldChar w:fldCharType="separate"/>
            </w:r>
            <w:r w:rsidR="006C3F96">
              <w:rPr>
                <w:noProof/>
                <w:webHidden/>
              </w:rPr>
              <w:t>3</w:t>
            </w:r>
            <w:r w:rsidR="00DD3760">
              <w:rPr>
                <w:noProof/>
                <w:webHidden/>
              </w:rPr>
              <w:fldChar w:fldCharType="end"/>
            </w:r>
          </w:hyperlink>
        </w:p>
        <w:p w14:paraId="23161ADC" w14:textId="72D1E4C9" w:rsidR="00DD3760" w:rsidRDefault="00E646FC">
          <w:pPr>
            <w:pStyle w:val="TOC3"/>
            <w:tabs>
              <w:tab w:val="right" w:pos="9016"/>
            </w:tabs>
            <w:rPr>
              <w:rFonts w:eastAsiaTheme="minorEastAsia" w:cstheme="minorBidi"/>
              <w:noProof/>
              <w:sz w:val="22"/>
              <w:szCs w:val="22"/>
            </w:rPr>
          </w:pPr>
          <w:hyperlink w:anchor="_Toc23778761" w:history="1">
            <w:r w:rsidR="00DD3760" w:rsidRPr="00D07892">
              <w:rPr>
                <w:rStyle w:val="Hyperlink"/>
                <w:noProof/>
              </w:rPr>
              <w:t>Background</w:t>
            </w:r>
            <w:r w:rsidR="00DD3760">
              <w:rPr>
                <w:noProof/>
                <w:webHidden/>
              </w:rPr>
              <w:tab/>
            </w:r>
            <w:r w:rsidR="00DD3760">
              <w:rPr>
                <w:noProof/>
                <w:webHidden/>
              </w:rPr>
              <w:fldChar w:fldCharType="begin"/>
            </w:r>
            <w:r w:rsidR="00DD3760">
              <w:rPr>
                <w:noProof/>
                <w:webHidden/>
              </w:rPr>
              <w:instrText xml:space="preserve"> PAGEREF _Toc23778761 \h </w:instrText>
            </w:r>
            <w:r w:rsidR="00DD3760">
              <w:rPr>
                <w:noProof/>
                <w:webHidden/>
              </w:rPr>
            </w:r>
            <w:r w:rsidR="00DD3760">
              <w:rPr>
                <w:noProof/>
                <w:webHidden/>
              </w:rPr>
              <w:fldChar w:fldCharType="separate"/>
            </w:r>
            <w:r w:rsidR="006C3F96">
              <w:rPr>
                <w:noProof/>
                <w:webHidden/>
              </w:rPr>
              <w:t>3</w:t>
            </w:r>
            <w:r w:rsidR="00DD3760">
              <w:rPr>
                <w:noProof/>
                <w:webHidden/>
              </w:rPr>
              <w:fldChar w:fldCharType="end"/>
            </w:r>
          </w:hyperlink>
        </w:p>
        <w:p w14:paraId="22114077" w14:textId="18A7A163" w:rsidR="00DD3760" w:rsidRDefault="00E646FC">
          <w:pPr>
            <w:pStyle w:val="TOC3"/>
            <w:tabs>
              <w:tab w:val="right" w:pos="9016"/>
            </w:tabs>
            <w:rPr>
              <w:rFonts w:eastAsiaTheme="minorEastAsia" w:cstheme="minorBidi"/>
              <w:noProof/>
              <w:sz w:val="22"/>
              <w:szCs w:val="22"/>
            </w:rPr>
          </w:pPr>
          <w:hyperlink w:anchor="_Toc23778762" w:history="1">
            <w:r w:rsidR="00DD3760" w:rsidRPr="00D07892">
              <w:rPr>
                <w:rStyle w:val="Hyperlink"/>
                <w:noProof/>
              </w:rPr>
              <w:t>Disability Employment Services Grant Agreement Clauses:</w:t>
            </w:r>
            <w:r w:rsidR="00DD3760">
              <w:rPr>
                <w:noProof/>
                <w:webHidden/>
              </w:rPr>
              <w:tab/>
            </w:r>
            <w:r w:rsidR="00DD3760">
              <w:rPr>
                <w:noProof/>
                <w:webHidden/>
              </w:rPr>
              <w:fldChar w:fldCharType="begin"/>
            </w:r>
            <w:r w:rsidR="00DD3760">
              <w:rPr>
                <w:noProof/>
                <w:webHidden/>
              </w:rPr>
              <w:instrText xml:space="preserve"> PAGEREF _Toc23778762 \h </w:instrText>
            </w:r>
            <w:r w:rsidR="00DD3760">
              <w:rPr>
                <w:noProof/>
                <w:webHidden/>
              </w:rPr>
            </w:r>
            <w:r w:rsidR="00DD3760">
              <w:rPr>
                <w:noProof/>
                <w:webHidden/>
              </w:rPr>
              <w:fldChar w:fldCharType="separate"/>
            </w:r>
            <w:r w:rsidR="006C3F96">
              <w:rPr>
                <w:noProof/>
                <w:webHidden/>
              </w:rPr>
              <w:t>3</w:t>
            </w:r>
            <w:r w:rsidR="00DD3760">
              <w:rPr>
                <w:noProof/>
                <w:webHidden/>
              </w:rPr>
              <w:fldChar w:fldCharType="end"/>
            </w:r>
          </w:hyperlink>
        </w:p>
        <w:p w14:paraId="0AE2E735" w14:textId="4989D0B8" w:rsidR="00DD3760" w:rsidRDefault="00E646FC">
          <w:pPr>
            <w:pStyle w:val="TOC3"/>
            <w:tabs>
              <w:tab w:val="right" w:pos="9016"/>
            </w:tabs>
            <w:rPr>
              <w:rFonts w:eastAsiaTheme="minorEastAsia" w:cstheme="minorBidi"/>
              <w:noProof/>
              <w:sz w:val="22"/>
              <w:szCs w:val="22"/>
            </w:rPr>
          </w:pPr>
          <w:hyperlink w:anchor="_Toc23778763" w:history="1">
            <w:r w:rsidR="00DD3760" w:rsidRPr="00D07892">
              <w:rPr>
                <w:rStyle w:val="Hyperlink"/>
                <w:noProof/>
              </w:rPr>
              <w:t>Reference documents relevant to these Guidelines:</w:t>
            </w:r>
            <w:r w:rsidR="00DD3760">
              <w:rPr>
                <w:noProof/>
                <w:webHidden/>
              </w:rPr>
              <w:tab/>
            </w:r>
            <w:r w:rsidR="00DD3760">
              <w:rPr>
                <w:noProof/>
                <w:webHidden/>
              </w:rPr>
              <w:fldChar w:fldCharType="begin"/>
            </w:r>
            <w:r w:rsidR="00DD3760">
              <w:rPr>
                <w:noProof/>
                <w:webHidden/>
              </w:rPr>
              <w:instrText xml:space="preserve"> PAGEREF _Toc23778763 \h </w:instrText>
            </w:r>
            <w:r w:rsidR="00DD3760">
              <w:rPr>
                <w:noProof/>
                <w:webHidden/>
              </w:rPr>
            </w:r>
            <w:r w:rsidR="00DD3760">
              <w:rPr>
                <w:noProof/>
                <w:webHidden/>
              </w:rPr>
              <w:fldChar w:fldCharType="separate"/>
            </w:r>
            <w:r w:rsidR="006C3F96">
              <w:rPr>
                <w:noProof/>
                <w:webHidden/>
              </w:rPr>
              <w:t>3</w:t>
            </w:r>
            <w:r w:rsidR="00DD3760">
              <w:rPr>
                <w:noProof/>
                <w:webHidden/>
              </w:rPr>
              <w:fldChar w:fldCharType="end"/>
            </w:r>
          </w:hyperlink>
        </w:p>
        <w:p w14:paraId="3DCC84CA" w14:textId="250A1298" w:rsidR="00DD3760" w:rsidRDefault="00E646FC">
          <w:pPr>
            <w:pStyle w:val="TOC3"/>
            <w:tabs>
              <w:tab w:val="right" w:pos="9016"/>
            </w:tabs>
            <w:rPr>
              <w:rFonts w:eastAsiaTheme="minorEastAsia" w:cstheme="minorBidi"/>
              <w:noProof/>
              <w:sz w:val="22"/>
              <w:szCs w:val="22"/>
            </w:rPr>
          </w:pPr>
          <w:hyperlink w:anchor="_Toc23778764" w:history="1">
            <w:r w:rsidR="00DD3760" w:rsidRPr="00D07892">
              <w:rPr>
                <w:rStyle w:val="Hyperlink"/>
                <w:noProof/>
              </w:rPr>
              <w:t>Explanatory Note:</w:t>
            </w:r>
            <w:r w:rsidR="00DD3760">
              <w:rPr>
                <w:noProof/>
                <w:webHidden/>
              </w:rPr>
              <w:tab/>
            </w:r>
            <w:r w:rsidR="00DD3760">
              <w:rPr>
                <w:noProof/>
                <w:webHidden/>
              </w:rPr>
              <w:fldChar w:fldCharType="begin"/>
            </w:r>
            <w:r w:rsidR="00DD3760">
              <w:rPr>
                <w:noProof/>
                <w:webHidden/>
              </w:rPr>
              <w:instrText xml:space="preserve"> PAGEREF _Toc23778764 \h </w:instrText>
            </w:r>
            <w:r w:rsidR="00DD3760">
              <w:rPr>
                <w:noProof/>
                <w:webHidden/>
              </w:rPr>
            </w:r>
            <w:r w:rsidR="00DD3760">
              <w:rPr>
                <w:noProof/>
                <w:webHidden/>
              </w:rPr>
              <w:fldChar w:fldCharType="separate"/>
            </w:r>
            <w:r w:rsidR="006C3F96">
              <w:rPr>
                <w:noProof/>
                <w:webHidden/>
              </w:rPr>
              <w:t>4</w:t>
            </w:r>
            <w:r w:rsidR="00DD3760">
              <w:rPr>
                <w:noProof/>
                <w:webHidden/>
              </w:rPr>
              <w:fldChar w:fldCharType="end"/>
            </w:r>
          </w:hyperlink>
        </w:p>
        <w:p w14:paraId="6A0F1D7C" w14:textId="2E0B2A52" w:rsidR="00DD3760" w:rsidRDefault="00E646FC">
          <w:pPr>
            <w:pStyle w:val="TOC3"/>
            <w:tabs>
              <w:tab w:val="left" w:pos="880"/>
              <w:tab w:val="right" w:pos="9016"/>
            </w:tabs>
            <w:rPr>
              <w:rFonts w:eastAsiaTheme="minorEastAsia" w:cstheme="minorBidi"/>
              <w:noProof/>
              <w:sz w:val="22"/>
              <w:szCs w:val="22"/>
            </w:rPr>
          </w:pPr>
          <w:hyperlink w:anchor="_Toc23778765" w:history="1">
            <w:r w:rsidR="00DD3760" w:rsidRPr="00D07892">
              <w:rPr>
                <w:rStyle w:val="Hyperlink"/>
                <w:noProof/>
              </w:rPr>
              <w:t>1.</w:t>
            </w:r>
            <w:r w:rsidR="00DD3760">
              <w:rPr>
                <w:rFonts w:eastAsiaTheme="minorEastAsia" w:cstheme="minorBidi"/>
                <w:noProof/>
                <w:sz w:val="22"/>
                <w:szCs w:val="22"/>
              </w:rPr>
              <w:tab/>
            </w:r>
            <w:r w:rsidR="00DD3760" w:rsidRPr="00D07892">
              <w:rPr>
                <w:rStyle w:val="Hyperlink"/>
                <w:noProof/>
              </w:rPr>
              <w:t>The purpose of a Capability Assessment</w:t>
            </w:r>
            <w:r w:rsidR="00DD3760">
              <w:rPr>
                <w:noProof/>
                <w:webHidden/>
              </w:rPr>
              <w:tab/>
            </w:r>
            <w:r w:rsidR="00DD3760">
              <w:rPr>
                <w:noProof/>
                <w:webHidden/>
              </w:rPr>
              <w:fldChar w:fldCharType="begin"/>
            </w:r>
            <w:r w:rsidR="00DD3760">
              <w:rPr>
                <w:noProof/>
                <w:webHidden/>
              </w:rPr>
              <w:instrText xml:space="preserve"> PAGEREF _Toc23778765 \h </w:instrText>
            </w:r>
            <w:r w:rsidR="00DD3760">
              <w:rPr>
                <w:noProof/>
                <w:webHidden/>
              </w:rPr>
            </w:r>
            <w:r w:rsidR="00DD3760">
              <w:rPr>
                <w:noProof/>
                <w:webHidden/>
              </w:rPr>
              <w:fldChar w:fldCharType="separate"/>
            </w:r>
            <w:r w:rsidR="006C3F96">
              <w:rPr>
                <w:noProof/>
                <w:webHidden/>
              </w:rPr>
              <w:t>5</w:t>
            </w:r>
            <w:r w:rsidR="00DD3760">
              <w:rPr>
                <w:noProof/>
                <w:webHidden/>
              </w:rPr>
              <w:fldChar w:fldCharType="end"/>
            </w:r>
          </w:hyperlink>
        </w:p>
        <w:p w14:paraId="60EB11A9" w14:textId="6561CFA5" w:rsidR="00DD3760" w:rsidRDefault="00E646FC">
          <w:pPr>
            <w:pStyle w:val="TOC3"/>
            <w:tabs>
              <w:tab w:val="left" w:pos="880"/>
              <w:tab w:val="right" w:pos="9016"/>
            </w:tabs>
            <w:rPr>
              <w:rFonts w:eastAsiaTheme="minorEastAsia" w:cstheme="minorBidi"/>
              <w:noProof/>
              <w:sz w:val="22"/>
              <w:szCs w:val="22"/>
            </w:rPr>
          </w:pPr>
          <w:hyperlink w:anchor="_Toc23778766" w:history="1">
            <w:r w:rsidR="00DD3760" w:rsidRPr="00D07892">
              <w:rPr>
                <w:rStyle w:val="Hyperlink"/>
                <w:noProof/>
              </w:rPr>
              <w:t>2.</w:t>
            </w:r>
            <w:r w:rsidR="00DD3760">
              <w:rPr>
                <w:rFonts w:eastAsiaTheme="minorEastAsia" w:cstheme="minorBidi"/>
                <w:noProof/>
                <w:sz w:val="22"/>
                <w:szCs w:val="22"/>
              </w:rPr>
              <w:tab/>
            </w:r>
            <w:r w:rsidR="00DD3760" w:rsidRPr="00D07892">
              <w:rPr>
                <w:rStyle w:val="Hyperlink"/>
                <w:noProof/>
              </w:rPr>
              <w:t>When a Capability Assessment is triggered</w:t>
            </w:r>
            <w:r w:rsidR="00DD3760">
              <w:rPr>
                <w:noProof/>
                <w:webHidden/>
              </w:rPr>
              <w:tab/>
            </w:r>
            <w:r w:rsidR="00DD3760">
              <w:rPr>
                <w:noProof/>
                <w:webHidden/>
              </w:rPr>
              <w:fldChar w:fldCharType="begin"/>
            </w:r>
            <w:r w:rsidR="00DD3760">
              <w:rPr>
                <w:noProof/>
                <w:webHidden/>
              </w:rPr>
              <w:instrText xml:space="preserve"> PAGEREF _Toc23778766 \h </w:instrText>
            </w:r>
            <w:r w:rsidR="00DD3760">
              <w:rPr>
                <w:noProof/>
                <w:webHidden/>
              </w:rPr>
            </w:r>
            <w:r w:rsidR="00DD3760">
              <w:rPr>
                <w:noProof/>
                <w:webHidden/>
              </w:rPr>
              <w:fldChar w:fldCharType="separate"/>
            </w:r>
            <w:r w:rsidR="006C3F96">
              <w:rPr>
                <w:noProof/>
                <w:webHidden/>
              </w:rPr>
              <w:t>5</w:t>
            </w:r>
            <w:r w:rsidR="00DD3760">
              <w:rPr>
                <w:noProof/>
                <w:webHidden/>
              </w:rPr>
              <w:fldChar w:fldCharType="end"/>
            </w:r>
          </w:hyperlink>
        </w:p>
        <w:p w14:paraId="351164A6" w14:textId="51B0F9BC" w:rsidR="00DD3760" w:rsidRDefault="00E646FC">
          <w:pPr>
            <w:pStyle w:val="TOC3"/>
            <w:tabs>
              <w:tab w:val="left" w:pos="880"/>
              <w:tab w:val="right" w:pos="9016"/>
            </w:tabs>
            <w:rPr>
              <w:rFonts w:eastAsiaTheme="minorEastAsia" w:cstheme="minorBidi"/>
              <w:noProof/>
              <w:sz w:val="22"/>
              <w:szCs w:val="22"/>
            </w:rPr>
          </w:pPr>
          <w:hyperlink w:anchor="_Toc23778767" w:history="1">
            <w:r w:rsidR="00DD3760" w:rsidRPr="00D07892">
              <w:rPr>
                <w:rStyle w:val="Hyperlink"/>
                <w:noProof/>
              </w:rPr>
              <w:t>3.</w:t>
            </w:r>
            <w:r w:rsidR="00DD3760">
              <w:rPr>
                <w:rFonts w:eastAsiaTheme="minorEastAsia" w:cstheme="minorBidi"/>
                <w:noProof/>
                <w:sz w:val="22"/>
                <w:szCs w:val="22"/>
              </w:rPr>
              <w:tab/>
            </w:r>
            <w:r w:rsidR="00DD3760" w:rsidRPr="00D07892">
              <w:rPr>
                <w:rStyle w:val="Hyperlink"/>
                <w:noProof/>
              </w:rPr>
              <w:t>Delivery of the Capability Assessment and recording outcomes</w:t>
            </w:r>
            <w:r w:rsidR="00DD3760">
              <w:rPr>
                <w:noProof/>
                <w:webHidden/>
              </w:rPr>
              <w:tab/>
            </w:r>
            <w:r w:rsidR="00DD3760">
              <w:rPr>
                <w:noProof/>
                <w:webHidden/>
              </w:rPr>
              <w:fldChar w:fldCharType="begin"/>
            </w:r>
            <w:r w:rsidR="00DD3760">
              <w:rPr>
                <w:noProof/>
                <w:webHidden/>
              </w:rPr>
              <w:instrText xml:space="preserve"> PAGEREF _Toc23778767 \h </w:instrText>
            </w:r>
            <w:r w:rsidR="00DD3760">
              <w:rPr>
                <w:noProof/>
                <w:webHidden/>
              </w:rPr>
            </w:r>
            <w:r w:rsidR="00DD3760">
              <w:rPr>
                <w:noProof/>
                <w:webHidden/>
              </w:rPr>
              <w:fldChar w:fldCharType="separate"/>
            </w:r>
            <w:r w:rsidR="006C3F96">
              <w:rPr>
                <w:noProof/>
                <w:webHidden/>
              </w:rPr>
              <w:t>6</w:t>
            </w:r>
            <w:r w:rsidR="00DD3760">
              <w:rPr>
                <w:noProof/>
                <w:webHidden/>
              </w:rPr>
              <w:fldChar w:fldCharType="end"/>
            </w:r>
          </w:hyperlink>
        </w:p>
        <w:p w14:paraId="774F0F7D" w14:textId="22A5BF64" w:rsidR="00DD3760" w:rsidRDefault="00E646FC">
          <w:pPr>
            <w:pStyle w:val="TOC3"/>
            <w:tabs>
              <w:tab w:val="left" w:pos="880"/>
              <w:tab w:val="right" w:pos="9016"/>
            </w:tabs>
            <w:rPr>
              <w:rFonts w:eastAsiaTheme="minorEastAsia" w:cstheme="minorBidi"/>
              <w:noProof/>
              <w:sz w:val="22"/>
              <w:szCs w:val="22"/>
            </w:rPr>
          </w:pPr>
          <w:hyperlink w:anchor="_Toc23778768" w:history="1">
            <w:r w:rsidR="00DD3760" w:rsidRPr="00D07892">
              <w:rPr>
                <w:rStyle w:val="Hyperlink"/>
                <w:noProof/>
              </w:rPr>
              <w:t>4.</w:t>
            </w:r>
            <w:r w:rsidR="00DD3760">
              <w:rPr>
                <w:rFonts w:eastAsiaTheme="minorEastAsia" w:cstheme="minorBidi"/>
                <w:noProof/>
                <w:sz w:val="22"/>
                <w:szCs w:val="22"/>
              </w:rPr>
              <w:tab/>
            </w:r>
            <w:r w:rsidR="00DD3760" w:rsidRPr="00D07892">
              <w:rPr>
                <w:rStyle w:val="Hyperlink"/>
                <w:noProof/>
              </w:rPr>
              <w:t>Actioning the outcomes of a Capability Assessment</w:t>
            </w:r>
            <w:r w:rsidR="00DD3760">
              <w:rPr>
                <w:noProof/>
                <w:webHidden/>
              </w:rPr>
              <w:tab/>
            </w:r>
            <w:r w:rsidR="00DD3760">
              <w:rPr>
                <w:noProof/>
                <w:webHidden/>
              </w:rPr>
              <w:fldChar w:fldCharType="begin"/>
            </w:r>
            <w:r w:rsidR="00DD3760">
              <w:rPr>
                <w:noProof/>
                <w:webHidden/>
              </w:rPr>
              <w:instrText xml:space="preserve"> PAGEREF _Toc23778768 \h </w:instrText>
            </w:r>
            <w:r w:rsidR="00DD3760">
              <w:rPr>
                <w:noProof/>
                <w:webHidden/>
              </w:rPr>
            </w:r>
            <w:r w:rsidR="00DD3760">
              <w:rPr>
                <w:noProof/>
                <w:webHidden/>
              </w:rPr>
              <w:fldChar w:fldCharType="separate"/>
            </w:r>
            <w:r w:rsidR="006C3F96">
              <w:rPr>
                <w:noProof/>
                <w:webHidden/>
              </w:rPr>
              <w:t>6</w:t>
            </w:r>
            <w:r w:rsidR="00DD3760">
              <w:rPr>
                <w:noProof/>
                <w:webHidden/>
              </w:rPr>
              <w:fldChar w:fldCharType="end"/>
            </w:r>
          </w:hyperlink>
        </w:p>
        <w:p w14:paraId="2F1230C9" w14:textId="2348FB49" w:rsidR="00DD3760" w:rsidRDefault="00E646FC">
          <w:pPr>
            <w:pStyle w:val="TOC3"/>
            <w:tabs>
              <w:tab w:val="left" w:pos="880"/>
              <w:tab w:val="right" w:pos="9016"/>
            </w:tabs>
            <w:rPr>
              <w:rFonts w:eastAsiaTheme="minorEastAsia" w:cstheme="minorBidi"/>
              <w:noProof/>
              <w:sz w:val="22"/>
              <w:szCs w:val="22"/>
            </w:rPr>
          </w:pPr>
          <w:hyperlink w:anchor="_Toc23778769" w:history="1">
            <w:r w:rsidR="00DD3760" w:rsidRPr="00D07892">
              <w:rPr>
                <w:rStyle w:val="Hyperlink"/>
                <w:noProof/>
              </w:rPr>
              <w:t>5.</w:t>
            </w:r>
            <w:r w:rsidR="00DD3760">
              <w:rPr>
                <w:rFonts w:eastAsiaTheme="minorEastAsia" w:cstheme="minorBidi"/>
                <w:noProof/>
                <w:sz w:val="22"/>
                <w:szCs w:val="22"/>
              </w:rPr>
              <w:tab/>
            </w:r>
            <w:r w:rsidR="00DD3760" w:rsidRPr="00D07892">
              <w:rPr>
                <w:rStyle w:val="Hyperlink"/>
                <w:noProof/>
              </w:rPr>
              <w:t>Summary of Required Documentary Evidence</w:t>
            </w:r>
            <w:r w:rsidR="00DD3760">
              <w:rPr>
                <w:noProof/>
                <w:webHidden/>
              </w:rPr>
              <w:tab/>
            </w:r>
            <w:r w:rsidR="00DD3760">
              <w:rPr>
                <w:noProof/>
                <w:webHidden/>
              </w:rPr>
              <w:fldChar w:fldCharType="begin"/>
            </w:r>
            <w:r w:rsidR="00DD3760">
              <w:rPr>
                <w:noProof/>
                <w:webHidden/>
              </w:rPr>
              <w:instrText xml:space="preserve"> PAGEREF _Toc23778769 \h </w:instrText>
            </w:r>
            <w:r w:rsidR="00DD3760">
              <w:rPr>
                <w:noProof/>
                <w:webHidden/>
              </w:rPr>
            </w:r>
            <w:r w:rsidR="00DD3760">
              <w:rPr>
                <w:noProof/>
                <w:webHidden/>
              </w:rPr>
              <w:fldChar w:fldCharType="separate"/>
            </w:r>
            <w:r w:rsidR="006C3F96">
              <w:rPr>
                <w:noProof/>
                <w:webHidden/>
              </w:rPr>
              <w:t>9</w:t>
            </w:r>
            <w:r w:rsidR="00DD3760">
              <w:rPr>
                <w:noProof/>
                <w:webHidden/>
              </w:rPr>
              <w:fldChar w:fldCharType="end"/>
            </w:r>
          </w:hyperlink>
        </w:p>
        <w:p w14:paraId="6E3DA6DD" w14:textId="401BD0E6" w:rsidR="00E341A6" w:rsidRDefault="009B4050">
          <w:r>
            <w:rPr>
              <w:rFonts w:asciiTheme="minorHAnsi" w:hAnsiTheme="minorHAnsi" w:cstheme="minorHAnsi"/>
              <w:sz w:val="20"/>
              <w:szCs w:val="20"/>
            </w:rPr>
            <w:fldChar w:fldCharType="end"/>
          </w:r>
        </w:p>
      </w:sdtContent>
    </w:sdt>
    <w:p w14:paraId="4E376DC3" w14:textId="77777777" w:rsidR="00CD68CC" w:rsidRPr="00F5063C" w:rsidRDefault="00BF74E0" w:rsidP="00F5063C">
      <w:pPr>
        <w:spacing w:before="0" w:after="0"/>
        <w:ind w:left="3240"/>
        <w:rPr>
          <w:rFonts w:eastAsiaTheme="minorEastAsia"/>
          <w:noProof/>
          <w:sz w:val="24"/>
        </w:rPr>
      </w:pPr>
      <w:r w:rsidRPr="00196C20">
        <w:rPr>
          <w:sz w:val="20"/>
          <w:szCs w:val="20"/>
        </w:rPr>
        <w:fldChar w:fldCharType="begin"/>
      </w:r>
      <w:r w:rsidRPr="00F5063C">
        <w:rPr>
          <w:sz w:val="24"/>
        </w:rPr>
        <w:instrText xml:space="preserve"> TOC \o "1-2" \h \z \u </w:instrText>
      </w:r>
      <w:r w:rsidRPr="00196C20">
        <w:rPr>
          <w:sz w:val="20"/>
          <w:szCs w:val="20"/>
        </w:rPr>
        <w:fldChar w:fldCharType="separate"/>
      </w:r>
      <w:r w:rsidR="00CD68CC" w:rsidRPr="00F5063C">
        <w:rPr>
          <w:rFonts w:eastAsiaTheme="minorEastAsia"/>
          <w:noProof/>
          <w:sz w:val="24"/>
        </w:rPr>
        <w:br w:type="page"/>
      </w:r>
    </w:p>
    <w:p w14:paraId="3F7AA6E2" w14:textId="797BED4A" w:rsidR="00CD68CC" w:rsidRPr="001C16EE" w:rsidRDefault="009825F4" w:rsidP="00F5063C">
      <w:pPr>
        <w:rPr>
          <w:rFonts w:eastAsiaTheme="minorEastAsia"/>
          <w:b/>
          <w:noProof/>
          <w:sz w:val="20"/>
          <w:szCs w:val="20"/>
        </w:rPr>
      </w:pPr>
      <w:r w:rsidRPr="001C16EE">
        <w:rPr>
          <w:rFonts w:eastAsiaTheme="minorEastAsia"/>
          <w:b/>
          <w:noProof/>
          <w:sz w:val="20"/>
          <w:szCs w:val="20"/>
        </w:rPr>
        <w:lastRenderedPageBreak/>
        <w:t xml:space="preserve">Capability </w:t>
      </w:r>
      <w:r w:rsidR="00D10DF4" w:rsidRPr="001C16EE">
        <w:rPr>
          <w:rFonts w:eastAsiaTheme="minorEastAsia"/>
          <w:b/>
          <w:noProof/>
          <w:sz w:val="20"/>
          <w:szCs w:val="20"/>
        </w:rPr>
        <w:t>Assessment</w:t>
      </w:r>
      <w:r w:rsidR="005B30B5" w:rsidRPr="001C16EE">
        <w:rPr>
          <w:rFonts w:eastAsiaTheme="minorEastAsia"/>
          <w:b/>
          <w:noProof/>
          <w:sz w:val="20"/>
          <w:szCs w:val="20"/>
        </w:rPr>
        <w:t xml:space="preserve"> Guidelines</w:t>
      </w:r>
    </w:p>
    <w:p w14:paraId="5F610C28" w14:textId="77777777" w:rsidR="007073F5" w:rsidRPr="00D701EF" w:rsidRDefault="00BF74E0" w:rsidP="00427E22">
      <w:pPr>
        <w:pStyle w:val="Heading3"/>
        <w:spacing w:before="0"/>
      </w:pPr>
      <w:r w:rsidRPr="00196C20">
        <w:rPr>
          <w:rFonts w:asciiTheme="minorHAnsi" w:hAnsiTheme="minorHAnsi" w:cstheme="minorHAnsi"/>
        </w:rPr>
        <w:fldChar w:fldCharType="end"/>
      </w:r>
      <w:bookmarkStart w:id="13" w:name="_Toc227571645"/>
      <w:bookmarkStart w:id="14" w:name="_Toc495402560"/>
      <w:bookmarkStart w:id="15" w:name="_Toc23778760"/>
      <w:r w:rsidR="007073F5" w:rsidRPr="00D701EF">
        <w:t>Document Change History</w:t>
      </w:r>
      <w:bookmarkEnd w:id="13"/>
      <w:bookmarkEnd w:id="14"/>
      <w:bookmarkEnd w:id="15"/>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5"/>
        <w:gridCol w:w="1517"/>
        <w:gridCol w:w="1417"/>
        <w:gridCol w:w="5103"/>
      </w:tblGrid>
      <w:tr w:rsidR="003F4C74" w:rsidRPr="003F4C74" w14:paraId="1E81225B" w14:textId="77777777" w:rsidTr="00F9340F">
        <w:trPr>
          <w:cantSplit/>
          <w:tblHeader/>
        </w:trPr>
        <w:tc>
          <w:tcPr>
            <w:tcW w:w="1035" w:type="dxa"/>
            <w:shd w:val="clear" w:color="auto" w:fill="auto"/>
          </w:tcPr>
          <w:p w14:paraId="291C557E" w14:textId="77777777" w:rsidR="003F4C74" w:rsidRPr="00D43353" w:rsidRDefault="003F4C74" w:rsidP="00A4647B">
            <w:pPr>
              <w:pStyle w:val="TableHeading"/>
              <w:rPr>
                <w:color w:val="auto"/>
                <w:szCs w:val="22"/>
              </w:rPr>
            </w:pPr>
            <w:r w:rsidRPr="00D43353">
              <w:rPr>
                <w:color w:val="auto"/>
                <w:szCs w:val="22"/>
              </w:rPr>
              <w:t>Version</w:t>
            </w:r>
          </w:p>
        </w:tc>
        <w:tc>
          <w:tcPr>
            <w:tcW w:w="1517" w:type="dxa"/>
            <w:shd w:val="clear" w:color="auto" w:fill="auto"/>
          </w:tcPr>
          <w:p w14:paraId="3F087906" w14:textId="77777777" w:rsidR="003F4C74" w:rsidRPr="00D43353" w:rsidRDefault="003F4C74" w:rsidP="00A4647B">
            <w:pPr>
              <w:pStyle w:val="TableHeading"/>
              <w:rPr>
                <w:color w:val="auto"/>
                <w:szCs w:val="22"/>
              </w:rPr>
            </w:pPr>
            <w:r w:rsidRPr="00D43353">
              <w:rPr>
                <w:color w:val="auto"/>
                <w:szCs w:val="22"/>
              </w:rPr>
              <w:t>Effective Date</w:t>
            </w:r>
          </w:p>
        </w:tc>
        <w:tc>
          <w:tcPr>
            <w:tcW w:w="1417" w:type="dxa"/>
            <w:shd w:val="clear" w:color="auto" w:fill="auto"/>
          </w:tcPr>
          <w:p w14:paraId="4317A223" w14:textId="77777777" w:rsidR="003F4C74" w:rsidRPr="00D43353" w:rsidRDefault="003F4C74" w:rsidP="00A4647B">
            <w:pPr>
              <w:pStyle w:val="TableHeading"/>
              <w:rPr>
                <w:color w:val="auto"/>
                <w:szCs w:val="22"/>
              </w:rPr>
            </w:pPr>
            <w:r w:rsidRPr="00D43353">
              <w:rPr>
                <w:color w:val="auto"/>
                <w:szCs w:val="22"/>
              </w:rPr>
              <w:t>End Date</w:t>
            </w:r>
          </w:p>
        </w:tc>
        <w:tc>
          <w:tcPr>
            <w:tcW w:w="5103" w:type="dxa"/>
            <w:shd w:val="clear" w:color="auto" w:fill="auto"/>
          </w:tcPr>
          <w:p w14:paraId="7CB3F313" w14:textId="77777777" w:rsidR="003F4C74" w:rsidRPr="00D43353" w:rsidRDefault="003F4C74" w:rsidP="00A4647B">
            <w:pPr>
              <w:pStyle w:val="TableHeading"/>
              <w:rPr>
                <w:color w:val="auto"/>
                <w:szCs w:val="22"/>
              </w:rPr>
            </w:pPr>
            <w:r w:rsidRPr="00D43353">
              <w:rPr>
                <w:color w:val="auto"/>
                <w:szCs w:val="22"/>
              </w:rPr>
              <w:t>Change &amp; Location</w:t>
            </w:r>
          </w:p>
        </w:tc>
      </w:tr>
      <w:tr w:rsidR="0044550E" w:rsidRPr="00CB793D" w14:paraId="35388B8F" w14:textId="77777777" w:rsidTr="00D34CA8">
        <w:trPr>
          <w:cantSplit/>
        </w:trPr>
        <w:tc>
          <w:tcPr>
            <w:tcW w:w="1035" w:type="dxa"/>
          </w:tcPr>
          <w:p w14:paraId="6293942B" w14:textId="7F982FA0" w:rsidR="0044550E" w:rsidRPr="009F1C00" w:rsidRDefault="0044550E" w:rsidP="0044550E">
            <w:pPr>
              <w:jc w:val="center"/>
              <w:rPr>
                <w:szCs w:val="22"/>
              </w:rPr>
            </w:pPr>
            <w:r>
              <w:rPr>
                <w:szCs w:val="22"/>
              </w:rPr>
              <w:t>1.3</w:t>
            </w:r>
          </w:p>
        </w:tc>
        <w:tc>
          <w:tcPr>
            <w:tcW w:w="1517" w:type="dxa"/>
          </w:tcPr>
          <w:p w14:paraId="52A8165A" w14:textId="2C6B5767" w:rsidR="0044550E" w:rsidRPr="009F1C00" w:rsidRDefault="00030311" w:rsidP="00D34CA8">
            <w:pPr>
              <w:jc w:val="center"/>
              <w:rPr>
                <w:szCs w:val="22"/>
              </w:rPr>
            </w:pPr>
            <w:r>
              <w:rPr>
                <w:sz w:val="20"/>
                <w:szCs w:val="20"/>
              </w:rPr>
              <w:t>9 Mar 2020</w:t>
            </w:r>
          </w:p>
        </w:tc>
        <w:tc>
          <w:tcPr>
            <w:tcW w:w="1417" w:type="dxa"/>
          </w:tcPr>
          <w:p w14:paraId="156E67A5" w14:textId="0B5D7023" w:rsidR="0044550E" w:rsidRPr="009F1C00" w:rsidRDefault="0044550E" w:rsidP="00D34CA8">
            <w:pPr>
              <w:jc w:val="center"/>
              <w:rPr>
                <w:rFonts w:cs="Arial"/>
                <w:szCs w:val="22"/>
              </w:rPr>
            </w:pPr>
          </w:p>
        </w:tc>
        <w:tc>
          <w:tcPr>
            <w:tcW w:w="5103" w:type="dxa"/>
          </w:tcPr>
          <w:p w14:paraId="0FECA5AD" w14:textId="5194BE59" w:rsidR="0044550E" w:rsidRPr="0044550E" w:rsidRDefault="0044550E" w:rsidP="0044550E">
            <w:pPr>
              <w:rPr>
                <w:rStyle w:val="Strong"/>
                <w:b w:val="0"/>
                <w:szCs w:val="22"/>
              </w:rPr>
            </w:pPr>
            <w:r w:rsidRPr="0044550E">
              <w:rPr>
                <w:rStyle w:val="Strong"/>
                <w:b w:val="0"/>
                <w:szCs w:val="22"/>
              </w:rPr>
              <w:t xml:space="preserve">This guideline has been restructured and rewritten for clarity, accuracy, consistency with the </w:t>
            </w:r>
            <w:r>
              <w:rPr>
                <w:rStyle w:val="Strong"/>
                <w:b w:val="0"/>
                <w:szCs w:val="22"/>
              </w:rPr>
              <w:t>DES Grant Agreement and</w:t>
            </w:r>
            <w:r w:rsidRPr="0044550E">
              <w:rPr>
                <w:rStyle w:val="Strong"/>
                <w:b w:val="0"/>
                <w:szCs w:val="22"/>
              </w:rPr>
              <w:t xml:space="preserve"> Social Security Law, and comprehensiveness.</w:t>
            </w:r>
          </w:p>
          <w:p w14:paraId="478ADC77" w14:textId="049C98BF" w:rsidR="0044550E" w:rsidRPr="009F1C00" w:rsidRDefault="0044550E" w:rsidP="0044550E">
            <w:pPr>
              <w:rPr>
                <w:rStyle w:val="Strong"/>
                <w:b w:val="0"/>
                <w:szCs w:val="22"/>
              </w:rPr>
            </w:pPr>
            <w:r w:rsidRPr="0044550E">
              <w:rPr>
                <w:rStyle w:val="Strong"/>
                <w:b w:val="0"/>
                <w:szCs w:val="22"/>
              </w:rPr>
              <w:t>References to the ‘Department of Human Services (DHS)’ have been updated to ‘Services Australia’</w:t>
            </w:r>
          </w:p>
        </w:tc>
      </w:tr>
      <w:tr w:rsidR="004B00C7" w:rsidRPr="003F4C74" w14:paraId="6AC9C22A" w14:textId="77777777" w:rsidTr="00F9340F">
        <w:trPr>
          <w:cantSplit/>
          <w:tblHeader/>
        </w:trPr>
        <w:tc>
          <w:tcPr>
            <w:tcW w:w="1035" w:type="dxa"/>
            <w:shd w:val="clear" w:color="auto" w:fill="auto"/>
          </w:tcPr>
          <w:p w14:paraId="1C4BA7D2" w14:textId="7770B667" w:rsidR="004B00C7" w:rsidRPr="00D43353" w:rsidRDefault="004B00C7" w:rsidP="009A5611">
            <w:pPr>
              <w:jc w:val="center"/>
              <w:rPr>
                <w:szCs w:val="22"/>
              </w:rPr>
            </w:pPr>
            <w:r>
              <w:rPr>
                <w:szCs w:val="22"/>
              </w:rPr>
              <w:t>1.2</w:t>
            </w:r>
          </w:p>
        </w:tc>
        <w:tc>
          <w:tcPr>
            <w:tcW w:w="1517" w:type="dxa"/>
            <w:shd w:val="clear" w:color="auto" w:fill="auto"/>
          </w:tcPr>
          <w:p w14:paraId="1D71F02B" w14:textId="4A3B6979" w:rsidR="004B00C7" w:rsidRPr="00D43353" w:rsidRDefault="00CF33EE" w:rsidP="009A5611">
            <w:pPr>
              <w:jc w:val="center"/>
              <w:rPr>
                <w:szCs w:val="22"/>
              </w:rPr>
            </w:pPr>
            <w:r>
              <w:rPr>
                <w:szCs w:val="22"/>
              </w:rPr>
              <w:t>1 Jul</w:t>
            </w:r>
            <w:r w:rsidR="00C31650">
              <w:rPr>
                <w:szCs w:val="22"/>
              </w:rPr>
              <w:t xml:space="preserve"> 2019</w:t>
            </w:r>
          </w:p>
        </w:tc>
        <w:tc>
          <w:tcPr>
            <w:tcW w:w="1417" w:type="dxa"/>
            <w:shd w:val="clear" w:color="auto" w:fill="auto"/>
          </w:tcPr>
          <w:p w14:paraId="37176309" w14:textId="569DEBFD" w:rsidR="004B00C7" w:rsidRPr="00D43353" w:rsidRDefault="00030311" w:rsidP="009A5611">
            <w:pPr>
              <w:jc w:val="center"/>
              <w:rPr>
                <w:szCs w:val="22"/>
              </w:rPr>
            </w:pPr>
            <w:r>
              <w:rPr>
                <w:szCs w:val="22"/>
              </w:rPr>
              <w:t>8 Mar 2020</w:t>
            </w:r>
          </w:p>
        </w:tc>
        <w:tc>
          <w:tcPr>
            <w:tcW w:w="5103" w:type="dxa"/>
            <w:shd w:val="clear" w:color="auto" w:fill="auto"/>
          </w:tcPr>
          <w:p w14:paraId="173F19B4" w14:textId="790DBF51" w:rsidR="004B00C7" w:rsidRPr="00D43353" w:rsidRDefault="00CF33EE" w:rsidP="009A5611">
            <w:pPr>
              <w:rPr>
                <w:szCs w:val="22"/>
              </w:rPr>
            </w:pPr>
            <w:r>
              <w:rPr>
                <w:szCs w:val="22"/>
              </w:rPr>
              <w:t xml:space="preserve">Minor wording </w:t>
            </w:r>
            <w:r w:rsidRPr="009A5611">
              <w:rPr>
                <w:rFonts w:asciiTheme="minorHAnsi" w:hAnsiTheme="minorHAnsi" w:cstheme="minorHAnsi"/>
                <w:szCs w:val="22"/>
              </w:rPr>
              <w:t>changes</w:t>
            </w:r>
            <w:r>
              <w:rPr>
                <w:szCs w:val="22"/>
              </w:rPr>
              <w:t>. Addition of Documentary Evidence summary section.</w:t>
            </w:r>
          </w:p>
        </w:tc>
      </w:tr>
      <w:tr w:rsidR="00A33192" w:rsidRPr="00CB793D" w14:paraId="75829027" w14:textId="77777777" w:rsidTr="00597381">
        <w:trPr>
          <w:cantSplit/>
        </w:trPr>
        <w:tc>
          <w:tcPr>
            <w:tcW w:w="1035" w:type="dxa"/>
          </w:tcPr>
          <w:p w14:paraId="613243B4" w14:textId="77777777" w:rsidR="00A33192" w:rsidRPr="009F1C00" w:rsidRDefault="00A33192" w:rsidP="00597381">
            <w:pPr>
              <w:jc w:val="center"/>
              <w:rPr>
                <w:szCs w:val="22"/>
              </w:rPr>
            </w:pPr>
            <w:r>
              <w:rPr>
                <w:szCs w:val="22"/>
              </w:rPr>
              <w:t>1.1</w:t>
            </w:r>
          </w:p>
        </w:tc>
        <w:tc>
          <w:tcPr>
            <w:tcW w:w="1517" w:type="dxa"/>
          </w:tcPr>
          <w:p w14:paraId="605C455A" w14:textId="49219D17" w:rsidR="00A33192" w:rsidRPr="009F1C00" w:rsidRDefault="00A33192" w:rsidP="00597381">
            <w:pPr>
              <w:jc w:val="center"/>
              <w:rPr>
                <w:szCs w:val="22"/>
              </w:rPr>
            </w:pPr>
            <w:r w:rsidRPr="000F3B0C">
              <w:rPr>
                <w:sz w:val="20"/>
                <w:szCs w:val="20"/>
              </w:rPr>
              <w:t>3 Dec</w:t>
            </w:r>
            <w:r>
              <w:rPr>
                <w:sz w:val="20"/>
                <w:szCs w:val="20"/>
              </w:rPr>
              <w:t xml:space="preserve"> 2018</w:t>
            </w:r>
          </w:p>
        </w:tc>
        <w:tc>
          <w:tcPr>
            <w:tcW w:w="1417" w:type="dxa"/>
          </w:tcPr>
          <w:p w14:paraId="4EDD7C4A" w14:textId="644A20CB" w:rsidR="00A33192" w:rsidRPr="009F1C00" w:rsidRDefault="00C31650" w:rsidP="00CF33EE">
            <w:pPr>
              <w:jc w:val="center"/>
              <w:rPr>
                <w:rFonts w:cs="Arial"/>
                <w:szCs w:val="22"/>
              </w:rPr>
            </w:pPr>
            <w:r>
              <w:rPr>
                <w:rFonts w:cs="Arial"/>
                <w:szCs w:val="22"/>
              </w:rPr>
              <w:t>3</w:t>
            </w:r>
            <w:r w:rsidR="00CF33EE">
              <w:rPr>
                <w:rFonts w:cs="Arial"/>
                <w:szCs w:val="22"/>
              </w:rPr>
              <w:t>0 Jun</w:t>
            </w:r>
            <w:r>
              <w:rPr>
                <w:rFonts w:cs="Arial"/>
                <w:szCs w:val="22"/>
              </w:rPr>
              <w:t xml:space="preserve"> 2019</w:t>
            </w:r>
          </w:p>
        </w:tc>
        <w:tc>
          <w:tcPr>
            <w:tcW w:w="5103" w:type="dxa"/>
          </w:tcPr>
          <w:p w14:paraId="21F6009F" w14:textId="05758394" w:rsidR="00A33192" w:rsidRPr="009F1C00" w:rsidRDefault="00A33192" w:rsidP="00597381">
            <w:pPr>
              <w:rPr>
                <w:rStyle w:val="Strong"/>
                <w:b w:val="0"/>
                <w:szCs w:val="22"/>
              </w:rPr>
            </w:pPr>
            <w:r>
              <w:rPr>
                <w:rStyle w:val="Strong"/>
                <w:b w:val="0"/>
                <w:szCs w:val="22"/>
              </w:rPr>
              <w:t xml:space="preserve">Updated references to Targeted Compliance Framework Guidelines to new title of </w:t>
            </w:r>
            <w:r>
              <w:rPr>
                <w:rFonts w:asciiTheme="minorHAnsi" w:hAnsiTheme="minorHAnsi" w:cstheme="minorHAnsi"/>
                <w:szCs w:val="22"/>
              </w:rPr>
              <w:t xml:space="preserve">Targeted Compliance Framework: Mutual Obligation Failures </w:t>
            </w:r>
            <w:r w:rsidRPr="009825F4">
              <w:rPr>
                <w:rFonts w:asciiTheme="minorHAnsi" w:hAnsiTheme="minorHAnsi" w:cstheme="minorHAnsi"/>
                <w:szCs w:val="22"/>
              </w:rPr>
              <w:t>Guideline</w:t>
            </w:r>
            <w:r>
              <w:rPr>
                <w:rFonts w:asciiTheme="minorHAnsi" w:hAnsiTheme="minorHAnsi" w:cstheme="minorHAnsi"/>
                <w:szCs w:val="22"/>
              </w:rPr>
              <w:t>s.</w:t>
            </w:r>
          </w:p>
        </w:tc>
      </w:tr>
      <w:tr w:rsidR="00A33192" w:rsidRPr="00CB793D" w14:paraId="1E713091" w14:textId="77777777" w:rsidTr="00F9340F">
        <w:trPr>
          <w:cantSplit/>
        </w:trPr>
        <w:tc>
          <w:tcPr>
            <w:tcW w:w="1035" w:type="dxa"/>
          </w:tcPr>
          <w:p w14:paraId="5B0FB9AD" w14:textId="77777777" w:rsidR="00A33192" w:rsidRPr="009F1C00" w:rsidRDefault="00A33192" w:rsidP="00A33192">
            <w:pPr>
              <w:jc w:val="center"/>
              <w:rPr>
                <w:szCs w:val="22"/>
              </w:rPr>
            </w:pPr>
            <w:r w:rsidRPr="009F1C00">
              <w:rPr>
                <w:szCs w:val="22"/>
              </w:rPr>
              <w:t>1.0</w:t>
            </w:r>
          </w:p>
        </w:tc>
        <w:tc>
          <w:tcPr>
            <w:tcW w:w="1517" w:type="dxa"/>
          </w:tcPr>
          <w:p w14:paraId="0552F9AB" w14:textId="7C374AAC" w:rsidR="00A33192" w:rsidRPr="009F1C00" w:rsidRDefault="00A33192" w:rsidP="00A33192">
            <w:pPr>
              <w:jc w:val="center"/>
              <w:rPr>
                <w:szCs w:val="22"/>
              </w:rPr>
            </w:pPr>
            <w:r w:rsidRPr="009F1C00">
              <w:rPr>
                <w:szCs w:val="22"/>
              </w:rPr>
              <w:t>01 Jul 2018</w:t>
            </w:r>
          </w:p>
        </w:tc>
        <w:tc>
          <w:tcPr>
            <w:tcW w:w="1417" w:type="dxa"/>
          </w:tcPr>
          <w:p w14:paraId="5B40C41A" w14:textId="3FDA69D2" w:rsidR="00A33192" w:rsidRPr="009F1C00" w:rsidRDefault="00A33192" w:rsidP="00A33192">
            <w:pPr>
              <w:jc w:val="center"/>
              <w:rPr>
                <w:rFonts w:cs="Arial"/>
                <w:szCs w:val="22"/>
              </w:rPr>
            </w:pPr>
            <w:r w:rsidRPr="000F3B0C">
              <w:rPr>
                <w:sz w:val="20"/>
                <w:szCs w:val="20"/>
              </w:rPr>
              <w:t>2 Dec 2018</w:t>
            </w:r>
          </w:p>
        </w:tc>
        <w:tc>
          <w:tcPr>
            <w:tcW w:w="5103" w:type="dxa"/>
          </w:tcPr>
          <w:p w14:paraId="5EAFEF03" w14:textId="77777777" w:rsidR="00A33192" w:rsidRPr="009F1C00" w:rsidRDefault="00A33192" w:rsidP="00A33192">
            <w:pPr>
              <w:rPr>
                <w:rStyle w:val="Strong"/>
                <w:szCs w:val="22"/>
              </w:rPr>
            </w:pPr>
            <w:r w:rsidRPr="009F1C00">
              <w:rPr>
                <w:rStyle w:val="Strong"/>
                <w:b w:val="0"/>
                <w:szCs w:val="22"/>
              </w:rPr>
              <w:t>Original version of document</w:t>
            </w:r>
          </w:p>
        </w:tc>
      </w:tr>
    </w:tbl>
    <w:p w14:paraId="7760E26B" w14:textId="77777777" w:rsidR="00427E22" w:rsidRDefault="00427E22" w:rsidP="0047387D">
      <w:pPr>
        <w:spacing w:before="0" w:after="240"/>
      </w:pPr>
      <w:bookmarkStart w:id="16" w:name="_Toc495402564"/>
    </w:p>
    <w:p w14:paraId="5ADB2878" w14:textId="185DE1EC" w:rsidR="007073F5" w:rsidRPr="00FF5852" w:rsidRDefault="00B540DD" w:rsidP="00427E22">
      <w:pPr>
        <w:pStyle w:val="Heading3"/>
        <w:spacing w:before="0"/>
      </w:pPr>
      <w:bookmarkStart w:id="17" w:name="_Toc23778761"/>
      <w:bookmarkEnd w:id="16"/>
      <w:r>
        <w:t>Background</w:t>
      </w:r>
      <w:bookmarkEnd w:id="17"/>
    </w:p>
    <w:p w14:paraId="2EA5DF9B" w14:textId="4D71CC26" w:rsidR="00D10DF4" w:rsidRDefault="0044550E" w:rsidP="00D10DF4">
      <w:pPr>
        <w:spacing w:before="0" w:after="0"/>
        <w:rPr>
          <w:rFonts w:asciiTheme="minorHAnsi" w:hAnsiTheme="minorHAnsi" w:cstheme="minorHAnsi"/>
          <w:szCs w:val="22"/>
        </w:rPr>
      </w:pPr>
      <w:r>
        <w:rPr>
          <w:rFonts w:asciiTheme="minorHAnsi" w:hAnsiTheme="minorHAnsi" w:cstheme="minorHAnsi"/>
          <w:szCs w:val="22"/>
        </w:rPr>
        <w:t xml:space="preserve">A </w:t>
      </w:r>
      <w:r w:rsidR="00D10DF4" w:rsidRPr="00D10DF4">
        <w:rPr>
          <w:rFonts w:asciiTheme="minorHAnsi" w:hAnsiTheme="minorHAnsi" w:cstheme="minorHAnsi"/>
          <w:szCs w:val="22"/>
        </w:rPr>
        <w:t>Capability Assessment</w:t>
      </w:r>
      <w:r>
        <w:rPr>
          <w:rFonts w:asciiTheme="minorHAnsi" w:hAnsiTheme="minorHAnsi" w:cstheme="minorHAnsi"/>
          <w:szCs w:val="22"/>
        </w:rPr>
        <w:t xml:space="preserve"> is</w:t>
      </w:r>
      <w:r w:rsidR="00D10DF4" w:rsidRPr="00D10DF4">
        <w:rPr>
          <w:rFonts w:asciiTheme="minorHAnsi" w:hAnsiTheme="minorHAnsi" w:cstheme="minorHAnsi"/>
          <w:szCs w:val="22"/>
        </w:rPr>
        <w:t xml:space="preserve"> a key component of the Targeted Compliance Framework</w:t>
      </w:r>
      <w:r w:rsidR="003D7802">
        <w:rPr>
          <w:rFonts w:asciiTheme="minorHAnsi" w:hAnsiTheme="minorHAnsi" w:cstheme="minorHAnsi"/>
          <w:szCs w:val="22"/>
        </w:rPr>
        <w:t xml:space="preserve">. </w:t>
      </w:r>
      <w:r w:rsidR="00D10DF4" w:rsidRPr="00D10DF4">
        <w:rPr>
          <w:rFonts w:asciiTheme="minorHAnsi" w:hAnsiTheme="minorHAnsi" w:cstheme="minorHAnsi"/>
          <w:szCs w:val="22"/>
        </w:rPr>
        <w:t xml:space="preserve"> </w:t>
      </w:r>
      <w:r>
        <w:rPr>
          <w:rFonts w:asciiTheme="minorHAnsi" w:hAnsiTheme="minorHAnsi" w:cstheme="minorHAnsi"/>
          <w:szCs w:val="22"/>
        </w:rPr>
        <w:t>It is further</w:t>
      </w:r>
      <w:r w:rsidR="00D10DF4" w:rsidRPr="00D10DF4">
        <w:rPr>
          <w:rFonts w:asciiTheme="minorHAnsi" w:hAnsiTheme="minorHAnsi" w:cstheme="minorHAnsi"/>
          <w:szCs w:val="22"/>
        </w:rPr>
        <w:t xml:space="preserve"> protection for the most vulnerable </w:t>
      </w:r>
      <w:r>
        <w:rPr>
          <w:rFonts w:asciiTheme="minorHAnsi" w:hAnsiTheme="minorHAnsi" w:cstheme="minorHAnsi"/>
          <w:szCs w:val="22"/>
        </w:rPr>
        <w:t>Participants</w:t>
      </w:r>
      <w:r w:rsidR="003D7802">
        <w:rPr>
          <w:rFonts w:asciiTheme="minorHAnsi" w:hAnsiTheme="minorHAnsi" w:cstheme="minorHAnsi"/>
          <w:szCs w:val="22"/>
        </w:rPr>
        <w:t xml:space="preserve"> and</w:t>
      </w:r>
      <w:r w:rsidR="00D10DF4" w:rsidRPr="00D10DF4">
        <w:rPr>
          <w:rFonts w:asciiTheme="minorHAnsi" w:hAnsiTheme="minorHAnsi" w:cstheme="minorHAnsi"/>
          <w:szCs w:val="22"/>
        </w:rPr>
        <w:t xml:space="preserve"> provide</w:t>
      </w:r>
      <w:r>
        <w:rPr>
          <w:rFonts w:asciiTheme="minorHAnsi" w:hAnsiTheme="minorHAnsi" w:cstheme="minorHAnsi"/>
          <w:szCs w:val="22"/>
        </w:rPr>
        <w:t>s</w:t>
      </w:r>
      <w:r w:rsidR="00D10DF4" w:rsidRPr="00D10DF4">
        <w:rPr>
          <w:rFonts w:asciiTheme="minorHAnsi" w:hAnsiTheme="minorHAnsi" w:cstheme="minorHAnsi"/>
          <w:szCs w:val="22"/>
        </w:rPr>
        <w:t xml:space="preserve"> another opportunity for </w:t>
      </w:r>
      <w:r>
        <w:rPr>
          <w:rFonts w:asciiTheme="minorHAnsi" w:hAnsiTheme="minorHAnsi" w:cstheme="minorHAnsi"/>
          <w:szCs w:val="22"/>
        </w:rPr>
        <w:t>Participants</w:t>
      </w:r>
      <w:r w:rsidR="00D10DF4" w:rsidRPr="00D10DF4">
        <w:rPr>
          <w:rFonts w:asciiTheme="minorHAnsi" w:hAnsiTheme="minorHAnsi" w:cstheme="minorHAnsi"/>
          <w:szCs w:val="22"/>
        </w:rPr>
        <w:t xml:space="preserve"> to disclose </w:t>
      </w:r>
      <w:r>
        <w:rPr>
          <w:rFonts w:asciiTheme="minorHAnsi" w:hAnsiTheme="minorHAnsi" w:cstheme="minorHAnsi"/>
          <w:szCs w:val="22"/>
        </w:rPr>
        <w:t>issues</w:t>
      </w:r>
      <w:r w:rsidRPr="00D10DF4">
        <w:rPr>
          <w:rFonts w:asciiTheme="minorHAnsi" w:hAnsiTheme="minorHAnsi" w:cstheme="minorHAnsi"/>
          <w:szCs w:val="22"/>
        </w:rPr>
        <w:t xml:space="preserve"> </w:t>
      </w:r>
      <w:r w:rsidR="00D10DF4" w:rsidRPr="00D10DF4">
        <w:rPr>
          <w:rFonts w:asciiTheme="minorHAnsi" w:hAnsiTheme="minorHAnsi" w:cstheme="minorHAnsi"/>
          <w:szCs w:val="22"/>
        </w:rPr>
        <w:t xml:space="preserve">that may be </w:t>
      </w:r>
      <w:r>
        <w:rPr>
          <w:rFonts w:asciiTheme="minorHAnsi" w:hAnsiTheme="minorHAnsi" w:cstheme="minorHAnsi"/>
          <w:szCs w:val="22"/>
        </w:rPr>
        <w:t>affecting</w:t>
      </w:r>
      <w:r w:rsidR="00D10DF4" w:rsidRPr="00D10DF4">
        <w:rPr>
          <w:rFonts w:asciiTheme="minorHAnsi" w:hAnsiTheme="minorHAnsi" w:cstheme="minorHAnsi"/>
          <w:szCs w:val="22"/>
        </w:rPr>
        <w:t xml:space="preserve"> their ability to meet their Mutual Obligation Requirements as set out in their Job Plan. </w:t>
      </w:r>
    </w:p>
    <w:p w14:paraId="3DF3136E" w14:textId="77777777" w:rsidR="00D10DF4" w:rsidRPr="00D10DF4" w:rsidRDefault="00D10DF4" w:rsidP="00D10DF4">
      <w:pPr>
        <w:spacing w:before="0" w:after="0"/>
        <w:rPr>
          <w:rFonts w:asciiTheme="minorHAnsi" w:hAnsiTheme="minorHAnsi" w:cstheme="minorHAnsi"/>
          <w:szCs w:val="22"/>
        </w:rPr>
      </w:pPr>
    </w:p>
    <w:p w14:paraId="3741166A" w14:textId="3850CCEA" w:rsidR="00D9721F" w:rsidRDefault="00D10DF4" w:rsidP="00D10DF4">
      <w:pPr>
        <w:spacing w:before="0" w:after="0"/>
        <w:rPr>
          <w:rFonts w:asciiTheme="minorHAnsi" w:hAnsiTheme="minorHAnsi" w:cstheme="minorHAnsi"/>
          <w:szCs w:val="22"/>
        </w:rPr>
      </w:pPr>
      <w:r w:rsidRPr="00D10DF4">
        <w:rPr>
          <w:rFonts w:asciiTheme="minorHAnsi" w:hAnsiTheme="minorHAnsi" w:cstheme="minorHAnsi"/>
          <w:szCs w:val="22"/>
        </w:rPr>
        <w:t>The Capability Assessment is conducted by Services</w:t>
      </w:r>
      <w:r w:rsidR="0044550E">
        <w:rPr>
          <w:rFonts w:asciiTheme="minorHAnsi" w:hAnsiTheme="minorHAnsi" w:cstheme="minorHAnsi"/>
          <w:szCs w:val="22"/>
        </w:rPr>
        <w:t xml:space="preserve"> Australia</w:t>
      </w:r>
      <w:r w:rsidRPr="00D10DF4">
        <w:rPr>
          <w:rFonts w:asciiTheme="minorHAnsi" w:hAnsiTheme="minorHAnsi" w:cstheme="minorHAnsi"/>
          <w:szCs w:val="22"/>
        </w:rPr>
        <w:t xml:space="preserve">. It ensures that only those </w:t>
      </w:r>
      <w:r w:rsidR="0044550E">
        <w:rPr>
          <w:rFonts w:asciiTheme="minorHAnsi" w:hAnsiTheme="minorHAnsi" w:cstheme="minorHAnsi"/>
          <w:szCs w:val="22"/>
        </w:rPr>
        <w:t>Participants</w:t>
      </w:r>
      <w:r w:rsidRPr="00D10DF4">
        <w:rPr>
          <w:rFonts w:asciiTheme="minorHAnsi" w:hAnsiTheme="minorHAnsi" w:cstheme="minorHAnsi"/>
          <w:szCs w:val="22"/>
        </w:rPr>
        <w:t xml:space="preserve"> who deliberately fail to meet their participation requirements face potential financial penalties</w:t>
      </w:r>
      <w:r w:rsidR="00934547" w:rsidRPr="00934547">
        <w:rPr>
          <w:rFonts w:asciiTheme="minorHAnsi" w:hAnsiTheme="minorHAnsi" w:cstheme="minorHAnsi"/>
          <w:szCs w:val="22"/>
        </w:rPr>
        <w:t>.</w:t>
      </w:r>
      <w:r w:rsidR="0044550E">
        <w:rPr>
          <w:rFonts w:asciiTheme="minorHAnsi" w:hAnsiTheme="minorHAnsi" w:cstheme="minorHAnsi"/>
          <w:szCs w:val="22"/>
        </w:rPr>
        <w:t xml:space="preserve"> </w:t>
      </w:r>
      <w:r w:rsidR="0044550E" w:rsidRPr="0044550E">
        <w:rPr>
          <w:rFonts w:asciiTheme="minorHAnsi" w:hAnsiTheme="minorHAnsi" w:cstheme="minorHAnsi"/>
          <w:szCs w:val="22"/>
        </w:rPr>
        <w:t>The purpose of the Capability Assessment is to determine whether a Participant’s Job Plan is suitable for the Participant. A Job Plan will be suitable for a Participant if the Mutual Obligation Requirements specified in their Job Plan are appropriate to the Participant’s circumstances and the Participant is capable of meeting them.</w:t>
      </w:r>
    </w:p>
    <w:p w14:paraId="5705AB23" w14:textId="77777777" w:rsidR="00D9721F" w:rsidRDefault="00D9721F" w:rsidP="00427E22">
      <w:pPr>
        <w:spacing w:before="0" w:after="0"/>
        <w:rPr>
          <w:rFonts w:asciiTheme="minorHAnsi" w:hAnsiTheme="minorHAnsi" w:cstheme="minorHAnsi"/>
          <w:szCs w:val="22"/>
        </w:rPr>
      </w:pPr>
    </w:p>
    <w:p w14:paraId="0F833443" w14:textId="77777777" w:rsidR="00AC50E9" w:rsidRDefault="00AC50E9" w:rsidP="00427E22">
      <w:pPr>
        <w:spacing w:before="0" w:after="0"/>
        <w:rPr>
          <w:rFonts w:asciiTheme="minorHAnsi" w:hAnsiTheme="minorHAnsi" w:cstheme="minorHAnsi"/>
          <w:szCs w:val="22"/>
        </w:rPr>
      </w:pPr>
    </w:p>
    <w:p w14:paraId="377899F3" w14:textId="77777777" w:rsidR="00794BC0" w:rsidRPr="00D43353" w:rsidRDefault="00794BC0" w:rsidP="00427E22">
      <w:pPr>
        <w:pStyle w:val="Heading3"/>
        <w:spacing w:before="0"/>
      </w:pPr>
      <w:bookmarkStart w:id="18" w:name="_Toc495402561"/>
      <w:bookmarkStart w:id="19" w:name="_Toc23778762"/>
      <w:r w:rsidRPr="00D43353">
        <w:t>Disability Employment Services Grant Agreement Clauses:</w:t>
      </w:r>
      <w:bookmarkEnd w:id="18"/>
      <w:bookmarkEnd w:id="19"/>
    </w:p>
    <w:p w14:paraId="3C2C9541" w14:textId="514C46AB" w:rsidR="00794BC0" w:rsidRDefault="00794BC0" w:rsidP="009F1C00">
      <w:pPr>
        <w:pStyle w:val="ListBullet"/>
        <w:numPr>
          <w:ilvl w:val="0"/>
          <w:numId w:val="0"/>
        </w:numPr>
        <w:spacing w:before="0" w:after="0"/>
        <w:rPr>
          <w:rFonts w:asciiTheme="minorHAnsi" w:hAnsiTheme="minorHAnsi" w:cstheme="minorHAnsi"/>
          <w:szCs w:val="22"/>
        </w:rPr>
      </w:pPr>
      <w:r w:rsidRPr="00C866E7">
        <w:rPr>
          <w:rFonts w:asciiTheme="minorHAnsi" w:hAnsiTheme="minorHAnsi" w:cstheme="minorHAnsi"/>
          <w:szCs w:val="22"/>
        </w:rPr>
        <w:t>A</w:t>
      </w:r>
      <w:r w:rsidR="001F40EE" w:rsidRPr="00C866E7">
        <w:rPr>
          <w:rFonts w:asciiTheme="minorHAnsi" w:hAnsiTheme="minorHAnsi" w:cstheme="minorHAnsi"/>
          <w:szCs w:val="22"/>
        </w:rPr>
        <w:t>nnexure</w:t>
      </w:r>
      <w:r w:rsidR="00C866E7">
        <w:rPr>
          <w:rFonts w:asciiTheme="minorHAnsi" w:hAnsiTheme="minorHAnsi" w:cstheme="minorHAnsi"/>
          <w:szCs w:val="22"/>
        </w:rPr>
        <w:t xml:space="preserve"> A -</w:t>
      </w:r>
      <w:r w:rsidRPr="00C866E7">
        <w:rPr>
          <w:rFonts w:asciiTheme="minorHAnsi" w:hAnsiTheme="minorHAnsi" w:cstheme="minorHAnsi"/>
          <w:szCs w:val="22"/>
        </w:rPr>
        <w:t xml:space="preserve"> Definition</w:t>
      </w:r>
      <w:r w:rsidR="001F40EE" w:rsidRPr="00C866E7">
        <w:rPr>
          <w:rFonts w:asciiTheme="minorHAnsi" w:hAnsiTheme="minorHAnsi" w:cstheme="minorHAnsi"/>
          <w:szCs w:val="22"/>
        </w:rPr>
        <w:t>s</w:t>
      </w:r>
    </w:p>
    <w:p w14:paraId="7CC0DD43" w14:textId="0D963094" w:rsidR="00C866E7" w:rsidRDefault="00C866E7" w:rsidP="009F1C00">
      <w:pPr>
        <w:pStyle w:val="ListBullet"/>
        <w:numPr>
          <w:ilvl w:val="0"/>
          <w:numId w:val="0"/>
        </w:numPr>
        <w:spacing w:before="0" w:after="0"/>
        <w:rPr>
          <w:rFonts w:asciiTheme="minorHAnsi" w:hAnsiTheme="minorHAnsi" w:cstheme="minorHAnsi"/>
          <w:szCs w:val="22"/>
        </w:rPr>
      </w:pPr>
      <w:r>
        <w:rPr>
          <w:rFonts w:asciiTheme="minorHAnsi" w:hAnsiTheme="minorHAnsi" w:cstheme="minorHAnsi"/>
          <w:szCs w:val="22"/>
        </w:rPr>
        <w:t xml:space="preserve">Section </w:t>
      </w:r>
      <w:r w:rsidR="00420867">
        <w:rPr>
          <w:rFonts w:asciiTheme="minorHAnsi" w:hAnsiTheme="minorHAnsi" w:cstheme="minorHAnsi"/>
          <w:szCs w:val="22"/>
        </w:rPr>
        <w:t>5</w:t>
      </w:r>
      <w:r>
        <w:rPr>
          <w:rFonts w:asciiTheme="minorHAnsi" w:hAnsiTheme="minorHAnsi" w:cstheme="minorHAnsi"/>
          <w:szCs w:val="22"/>
        </w:rPr>
        <w:t xml:space="preserve">H </w:t>
      </w:r>
      <w:r w:rsidR="005860EA">
        <w:rPr>
          <w:rFonts w:asciiTheme="minorHAnsi" w:hAnsiTheme="minorHAnsi" w:cstheme="minorHAnsi"/>
          <w:szCs w:val="22"/>
        </w:rPr>
        <w:t>–</w:t>
      </w:r>
      <w:r w:rsidR="006312B6">
        <w:rPr>
          <w:rFonts w:asciiTheme="minorHAnsi" w:hAnsiTheme="minorHAnsi" w:cstheme="minorHAnsi"/>
          <w:szCs w:val="22"/>
        </w:rPr>
        <w:t xml:space="preserve"> </w:t>
      </w:r>
      <w:r w:rsidR="005860EA">
        <w:rPr>
          <w:rFonts w:asciiTheme="minorHAnsi" w:hAnsiTheme="minorHAnsi" w:cstheme="minorHAnsi"/>
          <w:szCs w:val="22"/>
        </w:rPr>
        <w:t>Targeted Compliance Framework and activities</w:t>
      </w:r>
    </w:p>
    <w:p w14:paraId="1566B948" w14:textId="77777777" w:rsidR="00427E22" w:rsidRPr="008D19BF" w:rsidRDefault="00427E22" w:rsidP="00427E22">
      <w:pPr>
        <w:pStyle w:val="ListBullet"/>
        <w:numPr>
          <w:ilvl w:val="0"/>
          <w:numId w:val="0"/>
        </w:numPr>
        <w:spacing w:before="0" w:after="0"/>
        <w:ind w:left="714"/>
        <w:rPr>
          <w:rFonts w:asciiTheme="minorHAnsi" w:hAnsiTheme="minorHAnsi" w:cstheme="minorHAnsi"/>
          <w:szCs w:val="22"/>
        </w:rPr>
      </w:pPr>
    </w:p>
    <w:p w14:paraId="20DEAA64" w14:textId="657688A9" w:rsidR="00794BC0" w:rsidRPr="002F3336" w:rsidRDefault="00794BC0" w:rsidP="00427E22">
      <w:pPr>
        <w:pStyle w:val="Heading3"/>
        <w:spacing w:before="0"/>
      </w:pPr>
      <w:bookmarkStart w:id="20" w:name="_Toc495402562"/>
      <w:bookmarkStart w:id="21" w:name="_Toc23778763"/>
      <w:r w:rsidRPr="002F3336">
        <w:t>Reference documents relevant to th</w:t>
      </w:r>
      <w:r w:rsidR="00D92051">
        <w:t>ese</w:t>
      </w:r>
      <w:r w:rsidRPr="002F3336">
        <w:t xml:space="preserve"> Guideline</w:t>
      </w:r>
      <w:r w:rsidR="00D92051">
        <w:t>s</w:t>
      </w:r>
      <w:r w:rsidRPr="002F3336">
        <w:t>:</w:t>
      </w:r>
      <w:bookmarkEnd w:id="20"/>
      <w:bookmarkEnd w:id="21"/>
    </w:p>
    <w:p w14:paraId="649A5D6E" w14:textId="77777777" w:rsidR="006312B6" w:rsidRPr="009825F4" w:rsidRDefault="006312B6" w:rsidP="006312B6">
      <w:pPr>
        <w:pStyle w:val="ListBullet"/>
        <w:numPr>
          <w:ilvl w:val="0"/>
          <w:numId w:val="0"/>
        </w:numPr>
        <w:spacing w:before="0" w:after="0"/>
        <w:rPr>
          <w:rFonts w:asciiTheme="minorHAnsi" w:hAnsiTheme="minorHAnsi" w:cstheme="minorHAnsi"/>
          <w:szCs w:val="22"/>
        </w:rPr>
      </w:pPr>
      <w:r>
        <w:rPr>
          <w:rFonts w:asciiTheme="minorHAnsi" w:hAnsiTheme="minorHAnsi" w:cstheme="minorHAnsi"/>
          <w:szCs w:val="22"/>
        </w:rPr>
        <w:t>Referral for an Employment Services Assessment Guidelines</w:t>
      </w:r>
    </w:p>
    <w:p w14:paraId="01D7FC28" w14:textId="0DE23AF4" w:rsidR="009825F4" w:rsidRPr="009825F4" w:rsidRDefault="009825F4" w:rsidP="009825F4">
      <w:pPr>
        <w:pStyle w:val="ListBullet"/>
        <w:numPr>
          <w:ilvl w:val="0"/>
          <w:numId w:val="0"/>
        </w:numPr>
        <w:spacing w:before="0" w:after="0"/>
        <w:rPr>
          <w:rFonts w:asciiTheme="minorHAnsi" w:hAnsiTheme="minorHAnsi" w:cstheme="minorHAnsi"/>
          <w:szCs w:val="22"/>
        </w:rPr>
      </w:pPr>
      <w:r w:rsidRPr="009825F4">
        <w:rPr>
          <w:rFonts w:asciiTheme="minorHAnsi" w:hAnsiTheme="minorHAnsi" w:cstheme="minorHAnsi"/>
          <w:szCs w:val="22"/>
        </w:rPr>
        <w:t xml:space="preserve">Capability </w:t>
      </w:r>
      <w:r w:rsidR="00D10DF4">
        <w:rPr>
          <w:rFonts w:asciiTheme="minorHAnsi" w:hAnsiTheme="minorHAnsi" w:cstheme="minorHAnsi"/>
          <w:szCs w:val="22"/>
        </w:rPr>
        <w:t>Interview</w:t>
      </w:r>
      <w:r w:rsidRPr="009825F4">
        <w:rPr>
          <w:rFonts w:asciiTheme="minorHAnsi" w:hAnsiTheme="minorHAnsi" w:cstheme="minorHAnsi"/>
          <w:szCs w:val="22"/>
        </w:rPr>
        <w:t xml:space="preserve"> Guideline</w:t>
      </w:r>
      <w:r w:rsidR="00B540DD">
        <w:rPr>
          <w:rFonts w:asciiTheme="minorHAnsi" w:hAnsiTheme="minorHAnsi" w:cstheme="minorHAnsi"/>
          <w:szCs w:val="22"/>
        </w:rPr>
        <w:t>s</w:t>
      </w:r>
    </w:p>
    <w:p w14:paraId="55F14127" w14:textId="5B95DE8C" w:rsidR="009825F4" w:rsidRPr="009825F4" w:rsidRDefault="005E7994" w:rsidP="009825F4">
      <w:pPr>
        <w:pStyle w:val="ListBullet"/>
        <w:numPr>
          <w:ilvl w:val="0"/>
          <w:numId w:val="0"/>
        </w:numPr>
        <w:spacing w:before="0" w:after="0"/>
        <w:rPr>
          <w:rFonts w:asciiTheme="minorHAnsi" w:hAnsiTheme="minorHAnsi" w:cstheme="minorHAnsi"/>
          <w:szCs w:val="22"/>
        </w:rPr>
      </w:pPr>
      <w:r>
        <w:rPr>
          <w:rFonts w:asciiTheme="minorHAnsi" w:hAnsiTheme="minorHAnsi" w:cstheme="minorHAnsi"/>
          <w:szCs w:val="22"/>
        </w:rPr>
        <w:t>Targeted Compliance Framework</w:t>
      </w:r>
      <w:r w:rsidR="003D7802">
        <w:rPr>
          <w:rFonts w:asciiTheme="minorHAnsi" w:hAnsiTheme="minorHAnsi" w:cstheme="minorHAnsi"/>
          <w:szCs w:val="22"/>
        </w:rPr>
        <w:t>: Mutual Obligation Failures</w:t>
      </w:r>
      <w:r>
        <w:rPr>
          <w:rFonts w:asciiTheme="minorHAnsi" w:hAnsiTheme="minorHAnsi" w:cstheme="minorHAnsi"/>
          <w:szCs w:val="22"/>
        </w:rPr>
        <w:t xml:space="preserve"> </w:t>
      </w:r>
      <w:r w:rsidR="009825F4" w:rsidRPr="009825F4">
        <w:rPr>
          <w:rFonts w:asciiTheme="minorHAnsi" w:hAnsiTheme="minorHAnsi" w:cstheme="minorHAnsi"/>
          <w:szCs w:val="22"/>
        </w:rPr>
        <w:t>Guideline</w:t>
      </w:r>
      <w:r w:rsidR="00B540DD">
        <w:rPr>
          <w:rFonts w:asciiTheme="minorHAnsi" w:hAnsiTheme="minorHAnsi" w:cstheme="minorHAnsi"/>
          <w:szCs w:val="22"/>
        </w:rPr>
        <w:t>s</w:t>
      </w:r>
      <w:r w:rsidR="009825F4" w:rsidRPr="009825F4">
        <w:rPr>
          <w:rFonts w:asciiTheme="minorHAnsi" w:hAnsiTheme="minorHAnsi" w:cstheme="minorHAnsi"/>
          <w:szCs w:val="22"/>
        </w:rPr>
        <w:t xml:space="preserve"> </w:t>
      </w:r>
    </w:p>
    <w:p w14:paraId="55F58913" w14:textId="5C1E5C6F" w:rsidR="00427E22" w:rsidRDefault="009825F4" w:rsidP="009825F4">
      <w:pPr>
        <w:pStyle w:val="ListBullet"/>
        <w:numPr>
          <w:ilvl w:val="0"/>
          <w:numId w:val="0"/>
        </w:numPr>
        <w:spacing w:before="0" w:after="0"/>
        <w:rPr>
          <w:rFonts w:asciiTheme="minorHAnsi" w:hAnsiTheme="minorHAnsi" w:cstheme="minorHAnsi"/>
          <w:szCs w:val="22"/>
        </w:rPr>
      </w:pPr>
      <w:r w:rsidRPr="009825F4">
        <w:rPr>
          <w:rFonts w:asciiTheme="minorHAnsi" w:hAnsiTheme="minorHAnsi" w:cstheme="minorHAnsi"/>
          <w:szCs w:val="22"/>
        </w:rPr>
        <w:t>Work Refusal and Unemployment Failures Guideline</w:t>
      </w:r>
      <w:r w:rsidR="00B540DD">
        <w:rPr>
          <w:rFonts w:asciiTheme="minorHAnsi" w:hAnsiTheme="minorHAnsi" w:cstheme="minorHAnsi"/>
          <w:szCs w:val="22"/>
        </w:rPr>
        <w:t>s</w:t>
      </w:r>
    </w:p>
    <w:p w14:paraId="13CD00A1" w14:textId="157E8516" w:rsidR="00395525" w:rsidRDefault="00395525" w:rsidP="009825F4">
      <w:pPr>
        <w:pStyle w:val="ListBullet"/>
        <w:numPr>
          <w:ilvl w:val="0"/>
          <w:numId w:val="0"/>
        </w:numPr>
        <w:spacing w:before="0" w:after="0"/>
        <w:rPr>
          <w:rFonts w:asciiTheme="minorHAnsi" w:hAnsiTheme="minorHAnsi" w:cstheme="minorHAnsi"/>
          <w:szCs w:val="22"/>
        </w:rPr>
      </w:pPr>
      <w:r>
        <w:rPr>
          <w:rFonts w:asciiTheme="minorHAnsi" w:hAnsiTheme="minorHAnsi" w:cstheme="minorHAnsi"/>
          <w:szCs w:val="22"/>
        </w:rPr>
        <w:t>Job Plan and Setting Mutual Obligation Requirements Guidelines</w:t>
      </w:r>
    </w:p>
    <w:p w14:paraId="13E2FD2E" w14:textId="77777777" w:rsidR="009825F4" w:rsidRPr="008D19BF" w:rsidRDefault="009825F4" w:rsidP="009825F4">
      <w:pPr>
        <w:pStyle w:val="ListBullet"/>
        <w:numPr>
          <w:ilvl w:val="0"/>
          <w:numId w:val="0"/>
        </w:numPr>
        <w:spacing w:before="0" w:after="0"/>
        <w:rPr>
          <w:rFonts w:asciiTheme="minorHAnsi" w:hAnsiTheme="minorHAnsi" w:cstheme="minorHAnsi"/>
          <w:szCs w:val="22"/>
        </w:rPr>
      </w:pPr>
    </w:p>
    <w:p w14:paraId="47988527" w14:textId="77777777" w:rsidR="00794BC0" w:rsidRPr="00427E22" w:rsidRDefault="00794BC0" w:rsidP="00427E22">
      <w:pPr>
        <w:pStyle w:val="Heading3"/>
        <w:spacing w:before="0"/>
      </w:pPr>
      <w:bookmarkStart w:id="22" w:name="_Toc23778764"/>
      <w:r w:rsidRPr="00427E22">
        <w:t>Explanatory Note:</w:t>
      </w:r>
      <w:bookmarkEnd w:id="22"/>
    </w:p>
    <w:p w14:paraId="41390E8C" w14:textId="77777777" w:rsidR="00794BC0" w:rsidRPr="008D19BF" w:rsidRDefault="00794BC0" w:rsidP="00427E22">
      <w:pPr>
        <w:spacing w:before="0" w:after="0"/>
        <w:rPr>
          <w:rFonts w:asciiTheme="minorHAnsi" w:hAnsiTheme="minorHAnsi" w:cstheme="minorHAnsi"/>
          <w:szCs w:val="22"/>
        </w:rPr>
      </w:pPr>
      <w:r w:rsidRPr="008D19BF">
        <w:rPr>
          <w:rFonts w:asciiTheme="minorHAnsi" w:hAnsiTheme="minorHAnsi" w:cstheme="minorHAnsi"/>
          <w:szCs w:val="22"/>
        </w:rPr>
        <w:t>All capitalised terms have the same meaning as in Disability Employment Services Grant Agreement.</w:t>
      </w:r>
    </w:p>
    <w:p w14:paraId="44EFE17B" w14:textId="77777777" w:rsidR="00794BC0" w:rsidRPr="008D19BF" w:rsidRDefault="00794BC0" w:rsidP="00427E22">
      <w:pPr>
        <w:spacing w:before="0" w:after="0"/>
        <w:rPr>
          <w:rFonts w:asciiTheme="minorHAnsi" w:hAnsiTheme="minorHAnsi" w:cstheme="minorHAnsi"/>
          <w:szCs w:val="22"/>
        </w:rPr>
      </w:pPr>
      <w:r w:rsidRPr="008D19BF">
        <w:rPr>
          <w:rFonts w:asciiTheme="minorHAnsi" w:hAnsiTheme="minorHAnsi" w:cstheme="minorHAnsi"/>
          <w:szCs w:val="22"/>
        </w:rPr>
        <w:t>In this document, “must” means that compliance is mandatory and “should” means that compliance represents best practice.</w:t>
      </w:r>
    </w:p>
    <w:p w14:paraId="41AA169B" w14:textId="77777777" w:rsidR="007F595F" w:rsidRDefault="00EE4D85" w:rsidP="00427E22">
      <w:pPr>
        <w:pStyle w:val="Heading3"/>
        <w:spacing w:before="0"/>
        <w:rPr>
          <w:rFonts w:asciiTheme="minorHAnsi" w:hAnsiTheme="minorHAnsi" w:cstheme="minorHAnsi"/>
        </w:rPr>
      </w:pPr>
      <w:r w:rsidRPr="002F3336">
        <w:rPr>
          <w:rFonts w:asciiTheme="minorHAnsi" w:hAnsiTheme="minorHAnsi" w:cstheme="minorHAnsi"/>
        </w:rPr>
        <w:br w:type="page"/>
      </w:r>
      <w:bookmarkStart w:id="23" w:name="_Toc495402565"/>
    </w:p>
    <w:p w14:paraId="353219DE" w14:textId="596880CA" w:rsidR="008D6B0D" w:rsidRPr="00D43353" w:rsidRDefault="009825F4" w:rsidP="008D6B0D">
      <w:pPr>
        <w:rPr>
          <w:rFonts w:eastAsiaTheme="minorEastAsia"/>
          <w:b/>
          <w:noProof/>
          <w:szCs w:val="22"/>
        </w:rPr>
      </w:pPr>
      <w:r>
        <w:rPr>
          <w:rFonts w:eastAsiaTheme="minorEastAsia"/>
          <w:b/>
          <w:noProof/>
          <w:szCs w:val="22"/>
        </w:rPr>
        <w:lastRenderedPageBreak/>
        <w:t>Capability Interviews</w:t>
      </w:r>
      <w:r w:rsidR="00934547" w:rsidRPr="00934547">
        <w:rPr>
          <w:rFonts w:eastAsiaTheme="minorEastAsia"/>
          <w:b/>
          <w:noProof/>
          <w:szCs w:val="22"/>
        </w:rPr>
        <w:t xml:space="preserve"> </w:t>
      </w:r>
      <w:r w:rsidR="008D6B0D" w:rsidRPr="00427E22">
        <w:rPr>
          <w:rFonts w:eastAsiaTheme="minorEastAsia"/>
          <w:b/>
          <w:noProof/>
          <w:szCs w:val="22"/>
        </w:rPr>
        <w:t>Guidelines</w:t>
      </w:r>
    </w:p>
    <w:p w14:paraId="5E172028" w14:textId="77777777" w:rsidR="00B661F0" w:rsidRDefault="00B661F0" w:rsidP="00B661F0">
      <w:pPr>
        <w:pStyle w:val="guidelinetext"/>
        <w:pBdr>
          <w:top w:val="single" w:sz="4" w:space="1" w:color="auto"/>
        </w:pBdr>
        <w:spacing w:line="240" w:lineRule="auto"/>
        <w:ind w:left="0"/>
      </w:pPr>
    </w:p>
    <w:p w14:paraId="38397573" w14:textId="2A83DB26" w:rsidR="00B661F0" w:rsidRDefault="00D10DF4" w:rsidP="00030311">
      <w:pPr>
        <w:pStyle w:val="Heading3"/>
        <w:numPr>
          <w:ilvl w:val="0"/>
          <w:numId w:val="10"/>
        </w:numPr>
        <w:spacing w:before="0"/>
        <w:ind w:left="426" w:hanging="426"/>
      </w:pPr>
      <w:bookmarkStart w:id="24" w:name="_Toc23778765"/>
      <w:r>
        <w:t>The</w:t>
      </w:r>
      <w:r w:rsidR="009825F4">
        <w:t xml:space="preserve"> </w:t>
      </w:r>
      <w:r w:rsidR="0044550E" w:rsidRPr="0044550E">
        <w:t xml:space="preserve">purpose of a </w:t>
      </w:r>
      <w:r w:rsidR="009825F4">
        <w:t xml:space="preserve">Capability </w:t>
      </w:r>
      <w:r>
        <w:t>Assessment</w:t>
      </w:r>
      <w:bookmarkEnd w:id="24"/>
      <w:r w:rsidR="00B661F0">
        <w:t xml:space="preserve"> </w:t>
      </w:r>
    </w:p>
    <w:p w14:paraId="585F1C80" w14:textId="77777777" w:rsidR="0044550E" w:rsidRDefault="0044550E" w:rsidP="00030311">
      <w:pPr>
        <w:pStyle w:val="guidelinetext"/>
        <w:spacing w:line="240" w:lineRule="auto"/>
        <w:ind w:left="0"/>
      </w:pPr>
      <w:r>
        <w:t>The purpose of the Capability Assessment is to</w:t>
      </w:r>
      <w:r w:rsidRPr="004C45D6">
        <w:t xml:space="preserve"> </w:t>
      </w:r>
      <w:r>
        <w:t xml:space="preserve">determine whether a Participant’s Job Plan is suitable for the Participant. A Job Plan will be suitable for a Participant if the Mutual Obligation Requirements specified in their Job Plan are appropriate to the Participant’s circumstances and the Participant is capable of meeting them. </w:t>
      </w:r>
    </w:p>
    <w:p w14:paraId="53D52F2B" w14:textId="40CC44C0" w:rsidR="0044550E" w:rsidRDefault="0044550E" w:rsidP="00030311">
      <w:pPr>
        <w:pStyle w:val="guidelinetext"/>
        <w:spacing w:line="240" w:lineRule="auto"/>
        <w:ind w:left="0"/>
      </w:pPr>
      <w:r>
        <w:t>Even though Providers do not conduct Capability Assessments (they are conducted by Services Australia), Providers still have obligations under the DES Grant Agreement in relation to Capability Assessments</w:t>
      </w:r>
      <w:r w:rsidRPr="00B12EC8">
        <w:t>.</w:t>
      </w:r>
      <w:r>
        <w:t xml:space="preserve"> See clause 111.10 of the DES Grant Agreement.</w:t>
      </w:r>
    </w:p>
    <w:p w14:paraId="347F6834" w14:textId="77777777" w:rsidR="0044550E" w:rsidRDefault="0044550E" w:rsidP="00030311">
      <w:pPr>
        <w:pStyle w:val="guidelinetext"/>
        <w:spacing w:line="240" w:lineRule="auto"/>
        <w:ind w:left="0"/>
      </w:pPr>
      <w:r>
        <w:t>The Capability Assessment will determine the Participant’s place in the compliance framework. The Participant will:</w:t>
      </w:r>
    </w:p>
    <w:p w14:paraId="16CD55BB" w14:textId="77777777" w:rsidR="0044550E" w:rsidRDefault="0044550E" w:rsidP="00030311">
      <w:pPr>
        <w:pStyle w:val="guidelinetext"/>
        <w:numPr>
          <w:ilvl w:val="0"/>
          <w:numId w:val="9"/>
        </w:numPr>
        <w:spacing w:line="240" w:lineRule="auto"/>
      </w:pPr>
      <w:r>
        <w:t>return to the Green Zone with their Demerits reset to zero if the result of the Capability Assessment is that the Participant’s Job Plan is not suitable for the Participant; or</w:t>
      </w:r>
    </w:p>
    <w:p w14:paraId="5E5E9B4F" w14:textId="77777777" w:rsidR="0044550E" w:rsidRDefault="0044550E" w:rsidP="00030311">
      <w:pPr>
        <w:pStyle w:val="guidelinetext"/>
        <w:numPr>
          <w:ilvl w:val="0"/>
          <w:numId w:val="9"/>
        </w:numPr>
        <w:spacing w:line="240" w:lineRule="auto"/>
      </w:pPr>
      <w:r>
        <w:t>enter the Penalty Zone and incur financial penalties for future non-compliance if the result of the Capability Assessment is that the Participant’s Job Plan is suitable for the Participant.</w:t>
      </w:r>
      <w:r w:rsidRPr="00E41C7A">
        <w:t xml:space="preserve"> </w:t>
      </w:r>
    </w:p>
    <w:p w14:paraId="5348C1E1" w14:textId="77777777" w:rsidR="007651FC" w:rsidRDefault="007651FC" w:rsidP="007651FC">
      <w:pPr>
        <w:pStyle w:val="Heading3"/>
        <w:pBdr>
          <w:bottom w:val="single" w:sz="4" w:space="1" w:color="auto"/>
        </w:pBdr>
        <w:spacing w:before="0"/>
      </w:pPr>
    </w:p>
    <w:p w14:paraId="2942C61B" w14:textId="451F12A0" w:rsidR="007651FC" w:rsidRDefault="007651FC" w:rsidP="007651FC">
      <w:pPr>
        <w:pStyle w:val="Heading3"/>
        <w:numPr>
          <w:ilvl w:val="0"/>
          <w:numId w:val="10"/>
        </w:numPr>
        <w:spacing w:before="0"/>
        <w:ind w:left="426" w:hanging="426"/>
      </w:pPr>
      <w:bookmarkStart w:id="25" w:name="_Toc23778766"/>
      <w:r>
        <w:t xml:space="preserve">When a </w:t>
      </w:r>
      <w:r w:rsidRPr="009825F4">
        <w:t xml:space="preserve">Capability </w:t>
      </w:r>
      <w:r>
        <w:t>Assessment is triggered</w:t>
      </w:r>
      <w:bookmarkEnd w:id="25"/>
      <w:r>
        <w:t xml:space="preserve"> </w:t>
      </w:r>
    </w:p>
    <w:p w14:paraId="43052841" w14:textId="77777777" w:rsidR="007651FC" w:rsidRDefault="007651FC" w:rsidP="00030311">
      <w:pPr>
        <w:pStyle w:val="guidelinetext"/>
        <w:spacing w:line="240" w:lineRule="auto"/>
        <w:ind w:left="0"/>
      </w:pPr>
      <w:r>
        <w:t xml:space="preserve">Participants will only participate in a Capability Assessment once they have already attended a Capability Interview and the outcome of the Capability Interview is that the Participant’s Job Plan is suitable for the Participant. See the </w:t>
      </w:r>
      <w:hyperlink r:id="rId9" w:history="1">
        <w:r w:rsidRPr="00030311">
          <w:t>Capability Interview Guideline</w:t>
        </w:r>
      </w:hyperlink>
      <w:r>
        <w:t xml:space="preserve"> for more information on Capability Interviews.</w:t>
      </w:r>
    </w:p>
    <w:p w14:paraId="37E6138A" w14:textId="77777777" w:rsidR="007651FC" w:rsidRPr="009C3872" w:rsidRDefault="007651FC" w:rsidP="00030311">
      <w:pPr>
        <w:pStyle w:val="guidelinetext"/>
        <w:spacing w:line="240" w:lineRule="auto"/>
        <w:ind w:left="0"/>
      </w:pPr>
      <w:r w:rsidRPr="009C3872">
        <w:t xml:space="preserve">Broadly speaking, </w:t>
      </w:r>
      <w:r>
        <w:t>Services Australia</w:t>
      </w:r>
      <w:r w:rsidRPr="009C3872">
        <w:t xml:space="preserve"> will conduct a Capability Assessment when the </w:t>
      </w:r>
      <w:r>
        <w:t>Participant</w:t>
      </w:r>
      <w:r w:rsidRPr="009C3872">
        <w:t xml:space="preserve"> has, in 6 active months (discussed below), incurred five Demerits or a Demerit for a ‘fast-track’ Mutual Obligation Failure when they already have three Demerits. A fast-track Mutual Obligation Failure is one of the following:</w:t>
      </w:r>
    </w:p>
    <w:p w14:paraId="10886B61" w14:textId="77777777" w:rsidR="007651FC" w:rsidRPr="007651FC" w:rsidRDefault="007651FC" w:rsidP="00030311">
      <w:pPr>
        <w:numPr>
          <w:ilvl w:val="0"/>
          <w:numId w:val="9"/>
        </w:numPr>
      </w:pPr>
      <w:r w:rsidRPr="007651FC">
        <w:rPr>
          <w:rFonts w:asciiTheme="minorHAnsi" w:eastAsiaTheme="minorHAnsi" w:hAnsiTheme="minorHAnsi" w:cstheme="minorBidi"/>
          <w:szCs w:val="22"/>
          <w:lang w:eastAsia="en-US"/>
        </w:rPr>
        <w:t>acting in a manner that could result in an offer of employment not being made to the Participant;</w:t>
      </w:r>
    </w:p>
    <w:p w14:paraId="5C8C1E56" w14:textId="77777777" w:rsidR="007651FC" w:rsidRPr="007651FC" w:rsidRDefault="007651FC" w:rsidP="00030311">
      <w:pPr>
        <w:numPr>
          <w:ilvl w:val="0"/>
          <w:numId w:val="9"/>
        </w:numPr>
      </w:pPr>
      <w:r w:rsidRPr="007651FC">
        <w:rPr>
          <w:rFonts w:asciiTheme="minorHAnsi" w:eastAsiaTheme="minorHAnsi" w:hAnsiTheme="minorHAnsi" w:cstheme="minorBidi"/>
          <w:szCs w:val="22"/>
          <w:lang w:eastAsia="en-US"/>
        </w:rPr>
        <w:t>failing to attend a Job Interview; or</w:t>
      </w:r>
    </w:p>
    <w:p w14:paraId="0674A8A1" w14:textId="77777777" w:rsidR="007651FC" w:rsidRPr="007651FC" w:rsidRDefault="007651FC" w:rsidP="00030311">
      <w:pPr>
        <w:numPr>
          <w:ilvl w:val="0"/>
          <w:numId w:val="9"/>
        </w:numPr>
      </w:pPr>
      <w:r w:rsidRPr="007651FC">
        <w:rPr>
          <w:rFonts w:asciiTheme="minorHAnsi" w:eastAsiaTheme="minorHAnsi" w:hAnsiTheme="minorHAnsi" w:cstheme="minorBidi"/>
          <w:szCs w:val="22"/>
          <w:lang w:eastAsia="en-US"/>
        </w:rPr>
        <w:t>failing to act on a Job Referral.</w:t>
      </w:r>
    </w:p>
    <w:p w14:paraId="4475E4BB" w14:textId="77777777" w:rsidR="007651FC" w:rsidRDefault="007651FC" w:rsidP="00030311">
      <w:pPr>
        <w:pStyle w:val="guidelinetext"/>
        <w:spacing w:line="240" w:lineRule="auto"/>
        <w:ind w:left="0"/>
      </w:pPr>
      <w:r>
        <w:t xml:space="preserve">The term </w:t>
      </w:r>
      <w:r w:rsidRPr="00576A67">
        <w:t>‘</w:t>
      </w:r>
      <w:r>
        <w:t xml:space="preserve">6 </w:t>
      </w:r>
      <w:r w:rsidRPr="00576A67">
        <w:t>active month</w:t>
      </w:r>
      <w:r>
        <w:t xml:space="preserve">s’ generally means </w:t>
      </w:r>
      <w:r w:rsidRPr="00576A67">
        <w:t xml:space="preserve">182 days, but prolonged for the time the </w:t>
      </w:r>
      <w:r>
        <w:t>Participant</w:t>
      </w:r>
      <w:r w:rsidRPr="00576A67">
        <w:t xml:space="preserve"> is in a penalty period or has an Exemption (up to a maximum of </w:t>
      </w:r>
      <w:r>
        <w:t xml:space="preserve">12 </w:t>
      </w:r>
      <w:r w:rsidRPr="00576A67">
        <w:t>months)</w:t>
      </w:r>
      <w:r>
        <w:t>.</w:t>
      </w:r>
    </w:p>
    <w:p w14:paraId="79D4B545" w14:textId="77777777" w:rsidR="007651FC" w:rsidRDefault="007651FC" w:rsidP="00030311">
      <w:pPr>
        <w:pStyle w:val="guidelinetext"/>
        <w:spacing w:line="240" w:lineRule="auto"/>
        <w:ind w:left="0"/>
      </w:pPr>
      <w:r>
        <w:t xml:space="preserve">Note </w:t>
      </w:r>
      <w:r w:rsidRPr="009C3872">
        <w:t>that</w:t>
      </w:r>
      <w:r>
        <w:t>, if a Participant has three or four Demerits when they incur a Demerit for a fast-track Mutual Obligation Failure, the Department’s IT Systems will automatically increase the number of Demerits to five.</w:t>
      </w:r>
      <w:r w:rsidRPr="008A7BCA">
        <w:t xml:space="preserve"> </w:t>
      </w:r>
      <w:r>
        <w:t xml:space="preserve">For more information on when a Participant incurs a Demerit, see the </w:t>
      </w:r>
      <w:hyperlink r:id="rId10" w:history="1">
        <w:r w:rsidRPr="00030311">
          <w:t>Targeted Compliance Framework: Mutual Obligation Failures Guideline</w:t>
        </w:r>
      </w:hyperlink>
      <w:r>
        <w:t>.</w:t>
      </w:r>
    </w:p>
    <w:p w14:paraId="22C9274D" w14:textId="77777777" w:rsidR="007651FC" w:rsidRDefault="007651FC" w:rsidP="00030311">
      <w:pPr>
        <w:pStyle w:val="guidelinetext"/>
        <w:spacing w:line="240" w:lineRule="auto"/>
        <w:ind w:left="0"/>
      </w:pPr>
      <w:r>
        <w:t>When the circumstances described above occur:</w:t>
      </w:r>
    </w:p>
    <w:p w14:paraId="19F57257" w14:textId="77777777" w:rsidR="007651FC" w:rsidRPr="007651FC" w:rsidRDefault="007651FC" w:rsidP="00030311">
      <w:pPr>
        <w:numPr>
          <w:ilvl w:val="0"/>
          <w:numId w:val="9"/>
        </w:numPr>
      </w:pPr>
      <w:r>
        <w:t>a</w:t>
      </w:r>
      <w:r w:rsidRPr="007651FC">
        <w:rPr>
          <w:rFonts w:asciiTheme="minorHAnsi" w:eastAsiaTheme="minorHAnsi" w:hAnsiTheme="minorHAnsi" w:cstheme="minorBidi"/>
          <w:szCs w:val="22"/>
          <w:lang w:eastAsia="en-US"/>
        </w:rPr>
        <w:t xml:space="preserve"> Capability Assessment is said to be ‘triggered’; and</w:t>
      </w:r>
    </w:p>
    <w:p w14:paraId="78304460" w14:textId="77777777" w:rsidR="007651FC" w:rsidRPr="007651FC" w:rsidRDefault="007651FC" w:rsidP="00030311">
      <w:pPr>
        <w:numPr>
          <w:ilvl w:val="0"/>
          <w:numId w:val="9"/>
        </w:numPr>
      </w:pPr>
      <w:r w:rsidRPr="007651FC">
        <w:rPr>
          <w:rFonts w:asciiTheme="minorHAnsi" w:eastAsiaTheme="minorHAnsi" w:hAnsiTheme="minorHAnsi" w:cstheme="minorBidi"/>
          <w:szCs w:val="22"/>
          <w:lang w:eastAsia="en-US"/>
        </w:rPr>
        <w:t>the Department’s IT Systems will identify that the Participant’s Reconnection Requirement for their most recent Mutual Obligation Failure is a Capability Assessment. Note the Department’s IT Systems refer to Reconnection Requirements as ‘re-engagement requirements’.</w:t>
      </w:r>
    </w:p>
    <w:p w14:paraId="6EBC0FBB" w14:textId="77777777" w:rsidR="007651FC" w:rsidRDefault="007651FC" w:rsidP="00030311">
      <w:pPr>
        <w:pStyle w:val="guidelinetext"/>
        <w:spacing w:line="240" w:lineRule="auto"/>
        <w:ind w:left="0"/>
      </w:pPr>
      <w:r>
        <w:lastRenderedPageBreak/>
        <w:t>When a Capability Assessment is triggered as described above, the Department’s IT System will display the formal notification script that the Provider must then read to the Participant. This notification informs the Participant that:</w:t>
      </w:r>
    </w:p>
    <w:p w14:paraId="3FB478B0" w14:textId="77777777" w:rsidR="007651FC" w:rsidRPr="007651FC" w:rsidRDefault="007651FC" w:rsidP="00030311">
      <w:pPr>
        <w:numPr>
          <w:ilvl w:val="0"/>
          <w:numId w:val="9"/>
        </w:numPr>
      </w:pPr>
      <w:r w:rsidRPr="007651FC">
        <w:rPr>
          <w:rFonts w:asciiTheme="minorHAnsi" w:eastAsiaTheme="minorHAnsi" w:hAnsiTheme="minorHAnsi" w:cstheme="minorBidi"/>
          <w:szCs w:val="22"/>
          <w:lang w:eastAsia="en-US"/>
        </w:rPr>
        <w:t>they must contact Services Australia as soon as possible to participate in a Capability Assessment; and</w:t>
      </w:r>
    </w:p>
    <w:p w14:paraId="0986C63E" w14:textId="77777777" w:rsidR="007651FC" w:rsidRPr="007651FC" w:rsidRDefault="007651FC" w:rsidP="00030311">
      <w:pPr>
        <w:numPr>
          <w:ilvl w:val="0"/>
          <w:numId w:val="9"/>
        </w:numPr>
      </w:pPr>
      <w:r w:rsidRPr="007651FC">
        <w:rPr>
          <w:rFonts w:asciiTheme="minorHAnsi" w:eastAsiaTheme="minorHAnsi" w:hAnsiTheme="minorHAnsi" w:cstheme="minorBidi"/>
          <w:szCs w:val="22"/>
          <w:lang w:eastAsia="en-US"/>
        </w:rPr>
        <w:t>their Income Support Payment will remain suspended until they do so.</w:t>
      </w:r>
    </w:p>
    <w:p w14:paraId="4E2C4927" w14:textId="77777777" w:rsidR="007651FC" w:rsidRDefault="007651FC" w:rsidP="007651FC">
      <w:pPr>
        <w:pStyle w:val="guidelinetext"/>
        <w:spacing w:line="240" w:lineRule="auto"/>
        <w:ind w:left="0"/>
      </w:pPr>
      <w:r>
        <w:t>Participants will be unable to report to Services Australia for their next fortnightly Income Support Payment until they contact Services Australia to undertake the Capability Assessment.</w:t>
      </w:r>
    </w:p>
    <w:p w14:paraId="7D8952FF" w14:textId="470F670F" w:rsidR="00D10DF4" w:rsidRDefault="00D10DF4" w:rsidP="00D10DF4">
      <w:pPr>
        <w:pStyle w:val="guidelinetext"/>
        <w:spacing w:line="240" w:lineRule="auto"/>
        <w:ind w:left="0"/>
      </w:pPr>
    </w:p>
    <w:p w14:paraId="3F48A71F" w14:textId="721F4FFA" w:rsidR="00D10DF4" w:rsidRPr="00081DA5" w:rsidRDefault="00D10DF4" w:rsidP="00081DA5">
      <w:pPr>
        <w:pStyle w:val="guidelinechanges"/>
        <w:keepNext/>
        <w:keepLines/>
        <w:spacing w:before="0" w:after="120"/>
        <w:rPr>
          <w:rFonts w:ascii="Calibri" w:eastAsia="Times New Roman" w:hAnsi="Calibri" w:cs="Times New Roman"/>
          <w:b/>
          <w:sz w:val="24"/>
          <w:szCs w:val="24"/>
          <w:lang w:eastAsia="en-AU"/>
        </w:rPr>
      </w:pPr>
      <w:bookmarkStart w:id="26" w:name="_Toc511115355"/>
      <w:r w:rsidRPr="00081DA5">
        <w:rPr>
          <w:rFonts w:ascii="Calibri" w:eastAsia="Times New Roman" w:hAnsi="Calibri" w:cs="Times New Roman"/>
          <w:b/>
          <w:sz w:val="24"/>
          <w:szCs w:val="24"/>
          <w:lang w:eastAsia="en-AU"/>
        </w:rPr>
        <w:t xml:space="preserve">No further Demerits until </w:t>
      </w:r>
      <w:r w:rsidR="007651FC">
        <w:rPr>
          <w:rFonts w:ascii="Calibri" w:eastAsia="Times New Roman" w:hAnsi="Calibri" w:cs="Times New Roman"/>
          <w:b/>
          <w:sz w:val="24"/>
          <w:szCs w:val="24"/>
          <w:lang w:eastAsia="en-AU"/>
        </w:rPr>
        <w:t xml:space="preserve">the </w:t>
      </w:r>
      <w:r w:rsidRPr="00081DA5">
        <w:rPr>
          <w:rFonts w:ascii="Calibri" w:eastAsia="Times New Roman" w:hAnsi="Calibri" w:cs="Times New Roman"/>
          <w:b/>
          <w:sz w:val="24"/>
          <w:szCs w:val="24"/>
          <w:lang w:eastAsia="en-AU"/>
        </w:rPr>
        <w:t xml:space="preserve">Capability Assessment is </w:t>
      </w:r>
      <w:bookmarkEnd w:id="26"/>
      <w:r w:rsidRPr="00081DA5">
        <w:rPr>
          <w:rFonts w:ascii="Calibri" w:eastAsia="Times New Roman" w:hAnsi="Calibri" w:cs="Times New Roman"/>
          <w:b/>
          <w:sz w:val="24"/>
          <w:szCs w:val="24"/>
          <w:lang w:eastAsia="en-AU"/>
        </w:rPr>
        <w:t xml:space="preserve">finalised </w:t>
      </w:r>
    </w:p>
    <w:p w14:paraId="64C4D410" w14:textId="7DE903B5" w:rsidR="007651FC" w:rsidRDefault="001B735C" w:rsidP="00D10DF4">
      <w:pPr>
        <w:pStyle w:val="guidelinetext"/>
        <w:spacing w:line="240" w:lineRule="auto"/>
        <w:ind w:left="0"/>
      </w:pPr>
      <w:r>
        <w:t>Participant</w:t>
      </w:r>
      <w:r w:rsidR="007651FC">
        <w:t>s</w:t>
      </w:r>
      <w:r w:rsidRPr="00D80560">
        <w:t xml:space="preserve"> </w:t>
      </w:r>
      <w:r w:rsidR="00D10DF4">
        <w:t>will not</w:t>
      </w:r>
      <w:r w:rsidR="007651FC">
        <w:t xml:space="preserve"> be able to</w:t>
      </w:r>
      <w:r w:rsidR="00D10DF4">
        <w:t xml:space="preserve"> accrue any further Demerits until </w:t>
      </w:r>
      <w:r w:rsidR="007651FC">
        <w:t xml:space="preserve">they participate in a Capability Assessment and that Capability Assessment is finalised </w:t>
      </w:r>
      <w:r w:rsidR="00D10DF4">
        <w:t xml:space="preserve">in the Department’s IT </w:t>
      </w:r>
      <w:r w:rsidR="00B92471">
        <w:t>Systems</w:t>
      </w:r>
      <w:r w:rsidR="00D10DF4" w:rsidRPr="00D80560">
        <w:t>.</w:t>
      </w:r>
    </w:p>
    <w:p w14:paraId="25752A0A" w14:textId="77777777" w:rsidR="007651FC" w:rsidRDefault="007651FC" w:rsidP="00030311">
      <w:pPr>
        <w:pStyle w:val="guidelinetext"/>
        <w:spacing w:line="240" w:lineRule="auto"/>
        <w:ind w:left="0"/>
      </w:pPr>
      <w:r>
        <w:t>After triggering the Capability Assessment, Participants might commit further Mutual Obligation Failures after attending a Capability Assessment but before the Capability Assessment has been finalised in the Department’s IT System.</w:t>
      </w:r>
    </w:p>
    <w:p w14:paraId="6D9894A8" w14:textId="77777777" w:rsidR="007651FC" w:rsidRDefault="007651FC" w:rsidP="00D10DF4">
      <w:pPr>
        <w:pStyle w:val="guidelinechanges"/>
        <w:rPr>
          <w:sz w:val="22"/>
        </w:rPr>
      </w:pPr>
      <w:r w:rsidRPr="00030311">
        <w:rPr>
          <w:sz w:val="22"/>
        </w:rPr>
        <w:t>In these cases, the Participant will not receive Demerits, but their Income Support Payment will still be suspended to encourage the Participant to reconnect with their Provider.</w:t>
      </w:r>
    </w:p>
    <w:p w14:paraId="3DDA7C6B" w14:textId="77777777" w:rsidR="00D10DF4" w:rsidRPr="00A8714B" w:rsidRDefault="00D10DF4" w:rsidP="00D10DF4">
      <w:pPr>
        <w:pStyle w:val="guidelinechanges"/>
        <w:rPr>
          <w:sz w:val="22"/>
        </w:rPr>
      </w:pPr>
    </w:p>
    <w:p w14:paraId="76B88C50" w14:textId="39DB71A6" w:rsidR="00D10DF4" w:rsidRPr="00081DA5" w:rsidRDefault="00D10DF4" w:rsidP="00081DA5">
      <w:pPr>
        <w:pStyle w:val="guidelinechanges"/>
        <w:keepNext/>
        <w:keepLines/>
        <w:spacing w:before="0" w:after="120"/>
        <w:rPr>
          <w:rFonts w:ascii="Calibri" w:eastAsia="Times New Roman" w:hAnsi="Calibri" w:cs="Times New Roman"/>
          <w:b/>
          <w:sz w:val="24"/>
          <w:szCs w:val="24"/>
          <w:lang w:eastAsia="en-AU"/>
        </w:rPr>
      </w:pPr>
      <w:bookmarkStart w:id="27" w:name="_Toc511043572"/>
      <w:r w:rsidRPr="00081DA5">
        <w:rPr>
          <w:rFonts w:ascii="Calibri" w:eastAsia="Times New Roman" w:hAnsi="Calibri" w:cs="Times New Roman"/>
          <w:b/>
          <w:sz w:val="24"/>
          <w:szCs w:val="24"/>
          <w:lang w:eastAsia="en-AU"/>
        </w:rPr>
        <w:t xml:space="preserve">Work Refusal Failure or Unemployment Failure </w:t>
      </w:r>
      <w:r w:rsidR="007651FC">
        <w:rPr>
          <w:rFonts w:ascii="Calibri" w:eastAsia="Times New Roman" w:hAnsi="Calibri" w:cs="Times New Roman"/>
          <w:b/>
          <w:sz w:val="24"/>
          <w:szCs w:val="24"/>
          <w:lang w:eastAsia="en-AU"/>
        </w:rPr>
        <w:t>before the</w:t>
      </w:r>
      <w:r w:rsidR="007651FC" w:rsidRPr="00081DA5">
        <w:rPr>
          <w:rFonts w:ascii="Calibri" w:eastAsia="Times New Roman" w:hAnsi="Calibri" w:cs="Times New Roman"/>
          <w:b/>
          <w:sz w:val="24"/>
          <w:szCs w:val="24"/>
          <w:lang w:eastAsia="en-AU"/>
        </w:rPr>
        <w:t xml:space="preserve"> </w:t>
      </w:r>
      <w:r w:rsidRPr="00081DA5">
        <w:rPr>
          <w:rFonts w:ascii="Calibri" w:eastAsia="Times New Roman" w:hAnsi="Calibri" w:cs="Times New Roman"/>
          <w:b/>
          <w:sz w:val="24"/>
          <w:szCs w:val="24"/>
          <w:lang w:eastAsia="en-AU"/>
        </w:rPr>
        <w:t xml:space="preserve">Capability Assessment </w:t>
      </w:r>
      <w:bookmarkEnd w:id="27"/>
      <w:r w:rsidR="007651FC">
        <w:rPr>
          <w:rFonts w:ascii="Calibri" w:eastAsia="Times New Roman" w:hAnsi="Calibri" w:cs="Times New Roman"/>
          <w:b/>
          <w:sz w:val="24"/>
          <w:szCs w:val="24"/>
          <w:lang w:eastAsia="en-AU"/>
        </w:rPr>
        <w:t>is</w:t>
      </w:r>
      <w:r w:rsidR="007651FC" w:rsidRPr="00081DA5">
        <w:rPr>
          <w:rFonts w:ascii="Calibri" w:eastAsia="Times New Roman" w:hAnsi="Calibri" w:cs="Times New Roman"/>
          <w:b/>
          <w:sz w:val="24"/>
          <w:szCs w:val="24"/>
          <w:lang w:eastAsia="en-AU"/>
        </w:rPr>
        <w:t xml:space="preserve"> </w:t>
      </w:r>
      <w:r w:rsidRPr="00081DA5">
        <w:rPr>
          <w:rFonts w:ascii="Calibri" w:eastAsia="Times New Roman" w:hAnsi="Calibri" w:cs="Times New Roman"/>
          <w:b/>
          <w:sz w:val="24"/>
          <w:szCs w:val="24"/>
          <w:lang w:eastAsia="en-AU"/>
        </w:rPr>
        <w:t>finalised</w:t>
      </w:r>
    </w:p>
    <w:p w14:paraId="20EBC077" w14:textId="7A1964BB" w:rsidR="00D10DF4" w:rsidRPr="00A8714B" w:rsidRDefault="00D10DF4" w:rsidP="00D10DF4">
      <w:pPr>
        <w:pStyle w:val="guidelinetext"/>
        <w:spacing w:line="240" w:lineRule="auto"/>
        <w:ind w:left="0"/>
      </w:pPr>
      <w:r w:rsidRPr="00A8714B">
        <w:t xml:space="preserve">Providers must still </w:t>
      </w:r>
      <w:r w:rsidR="007651FC">
        <w:t xml:space="preserve">comply with their obligations under the DES Grant Agreement relating to </w:t>
      </w:r>
      <w:r w:rsidRPr="00A8714B">
        <w:t xml:space="preserve">Work Refusal </w:t>
      </w:r>
      <w:r w:rsidR="007651FC">
        <w:t>Failures and</w:t>
      </w:r>
      <w:r w:rsidRPr="00A8714B">
        <w:t xml:space="preserve"> Unemployment Failures</w:t>
      </w:r>
      <w:r w:rsidR="007651FC">
        <w:t>, regardless of whether the Capability Assessment is finalised in the Department’s IT System. The main obligations are set out in clauses 112 and 112A of the DES Grant Agreement</w:t>
      </w:r>
      <w:r w:rsidRPr="00A8714B">
        <w:t>.</w:t>
      </w:r>
    </w:p>
    <w:p w14:paraId="5BF147A6" w14:textId="7B38CFB6" w:rsidR="009825F4" w:rsidRPr="004401B2" w:rsidRDefault="007651FC" w:rsidP="00D10DF4">
      <w:pPr>
        <w:pStyle w:val="guidelinetext"/>
        <w:spacing w:line="240" w:lineRule="auto"/>
        <w:ind w:left="0"/>
      </w:pPr>
      <w:r>
        <w:t xml:space="preserve">For more information, see </w:t>
      </w:r>
      <w:r w:rsidRPr="00B532FC">
        <w:t>the</w:t>
      </w:r>
      <w:r w:rsidR="00D10DF4" w:rsidRPr="00B532FC">
        <w:t xml:space="preserve"> Work Refusal and Unemployment Failures Guideline</w:t>
      </w:r>
      <w:r w:rsidR="001B735C" w:rsidRPr="00B532FC">
        <w:t>s</w:t>
      </w:r>
      <w:r w:rsidR="009825F4" w:rsidRPr="004401B2">
        <w:t xml:space="preserve">. </w:t>
      </w:r>
    </w:p>
    <w:p w14:paraId="7358C84F" w14:textId="77777777" w:rsidR="007F595F" w:rsidRDefault="007F595F" w:rsidP="00B661F0">
      <w:pPr>
        <w:pStyle w:val="Heading3"/>
        <w:pBdr>
          <w:bottom w:val="single" w:sz="4" w:space="1" w:color="auto"/>
        </w:pBdr>
        <w:spacing w:before="0"/>
      </w:pPr>
      <w:bookmarkStart w:id="28" w:name="_Toc511137917"/>
    </w:p>
    <w:p w14:paraId="30096CC5" w14:textId="13C5B98A" w:rsidR="007F595F" w:rsidRDefault="00121F37" w:rsidP="009825F4">
      <w:pPr>
        <w:pStyle w:val="Heading3"/>
        <w:numPr>
          <w:ilvl w:val="0"/>
          <w:numId w:val="10"/>
        </w:numPr>
        <w:spacing w:before="0"/>
        <w:ind w:left="426" w:hanging="426"/>
      </w:pPr>
      <w:bookmarkStart w:id="29" w:name="_Toc23778767"/>
      <w:r>
        <w:t xml:space="preserve">Delivery of </w:t>
      </w:r>
      <w:r w:rsidR="00D10DF4">
        <w:t xml:space="preserve">the </w:t>
      </w:r>
      <w:r w:rsidR="009825F4" w:rsidRPr="009825F4">
        <w:t xml:space="preserve">Capability </w:t>
      </w:r>
      <w:r w:rsidR="00D10DF4">
        <w:t>Assessment and recording outcomes</w:t>
      </w:r>
      <w:bookmarkEnd w:id="28"/>
      <w:bookmarkEnd w:id="29"/>
      <w:r w:rsidR="007F595F">
        <w:t xml:space="preserve"> </w:t>
      </w:r>
    </w:p>
    <w:p w14:paraId="3109FE1A" w14:textId="2DE1D281" w:rsidR="00121F37" w:rsidRDefault="00121F37" w:rsidP="00030311">
      <w:pPr>
        <w:pStyle w:val="guidelinetext"/>
        <w:spacing w:line="240" w:lineRule="auto"/>
        <w:ind w:left="0"/>
      </w:pPr>
      <w:r>
        <w:t xml:space="preserve">As noted above, Providers’ main obligations under the DES Grant Agreement regarding Capability Assessments are set out in clause 111.10 of the DES Grant Agreement. </w:t>
      </w:r>
    </w:p>
    <w:p w14:paraId="1625D25F" w14:textId="63F26871" w:rsidR="007F595F" w:rsidRDefault="00121F37" w:rsidP="00D53292">
      <w:pPr>
        <w:pStyle w:val="guidelinetext"/>
        <w:spacing w:after="240" w:line="240" w:lineRule="auto"/>
        <w:ind w:left="0"/>
      </w:pPr>
      <w:r>
        <w:t>Services Australia</w:t>
      </w:r>
      <w:r w:rsidR="00D10DF4" w:rsidRPr="00D80560">
        <w:t xml:space="preserve"> will notify </w:t>
      </w:r>
      <w:r w:rsidR="001B735C">
        <w:t xml:space="preserve">DES </w:t>
      </w:r>
      <w:r w:rsidR="00D10DF4" w:rsidRPr="00D80560">
        <w:t xml:space="preserve">Providers of Capability Assessment outcomes via a </w:t>
      </w:r>
      <w:r>
        <w:t>n</w:t>
      </w:r>
      <w:r w:rsidRPr="00D80560">
        <w:t xml:space="preserve">oticeboard </w:t>
      </w:r>
      <w:r w:rsidR="00D10DF4" w:rsidRPr="00D80560">
        <w:t>message on the Department’s IT System</w:t>
      </w:r>
      <w:r w:rsidR="00790E21">
        <w:t>s</w:t>
      </w:r>
      <w:r w:rsidR="00D10DF4" w:rsidRPr="00D80560">
        <w:t xml:space="preserve">. </w:t>
      </w:r>
      <w:r>
        <w:t>Services Australia</w:t>
      </w:r>
      <w:r w:rsidRPr="00D80560">
        <w:t xml:space="preserve"> </w:t>
      </w:r>
      <w:r w:rsidR="00D10DF4" w:rsidRPr="00D80560">
        <w:t xml:space="preserve">will record the outcome of the Capability Assessment and </w:t>
      </w:r>
      <w:r w:rsidR="00D10DF4">
        <w:t xml:space="preserve">will </w:t>
      </w:r>
      <w:r w:rsidR="00D10DF4" w:rsidRPr="00D80560">
        <w:t xml:space="preserve">provide information </w:t>
      </w:r>
      <w:r>
        <w:t xml:space="preserve">in the Participant’s record on what Mutual Obligation Requirements </w:t>
      </w:r>
      <w:r w:rsidR="00D10DF4" w:rsidRPr="00D80560">
        <w:t>in the</w:t>
      </w:r>
      <w:r>
        <w:t xml:space="preserve">ir </w:t>
      </w:r>
      <w:r w:rsidR="00D10DF4" w:rsidRPr="00D80560">
        <w:t xml:space="preserve">Job Plan </w:t>
      </w:r>
      <w:r w:rsidRPr="00AE482C">
        <w:t xml:space="preserve">are inappropriate and/or the parts of the Job Plan the Provider must renegotiate with the </w:t>
      </w:r>
      <w:r>
        <w:t>Participant</w:t>
      </w:r>
      <w:r w:rsidR="00D10DF4" w:rsidRPr="00D80560">
        <w:t>.</w:t>
      </w:r>
    </w:p>
    <w:p w14:paraId="44043D96" w14:textId="77777777" w:rsidR="00B661F0" w:rsidRDefault="00B661F0" w:rsidP="00B661F0">
      <w:pPr>
        <w:pStyle w:val="guidelinechanges"/>
        <w:pBdr>
          <w:top w:val="single" w:sz="4" w:space="1" w:color="auto"/>
        </w:pBdr>
        <w:spacing w:before="0"/>
        <w:rPr>
          <w:sz w:val="22"/>
        </w:rPr>
      </w:pPr>
    </w:p>
    <w:p w14:paraId="71BB6A5F" w14:textId="738FC47B" w:rsidR="007F595F" w:rsidRDefault="00473E6E" w:rsidP="00934547">
      <w:pPr>
        <w:pStyle w:val="Heading3"/>
        <w:numPr>
          <w:ilvl w:val="0"/>
          <w:numId w:val="10"/>
        </w:numPr>
        <w:spacing w:before="0"/>
        <w:ind w:left="426" w:hanging="426"/>
      </w:pPr>
      <w:bookmarkStart w:id="30" w:name="_Toc23778768"/>
      <w:r>
        <w:t xml:space="preserve">Actioning </w:t>
      </w:r>
      <w:r w:rsidR="00121F37">
        <w:t xml:space="preserve">the </w:t>
      </w:r>
      <w:r>
        <w:t>outcomes of a</w:t>
      </w:r>
      <w:r w:rsidR="009825F4">
        <w:t xml:space="preserve"> Capability </w:t>
      </w:r>
      <w:r>
        <w:t>Assessment</w:t>
      </w:r>
      <w:bookmarkEnd w:id="30"/>
      <w:r w:rsidR="007F595F">
        <w:t xml:space="preserve"> </w:t>
      </w:r>
    </w:p>
    <w:p w14:paraId="28DD5AEC" w14:textId="77777777" w:rsidR="00121F37" w:rsidRDefault="00121F37" w:rsidP="00030311">
      <w:pPr>
        <w:pStyle w:val="guidelinetext"/>
        <w:spacing w:line="240" w:lineRule="auto"/>
        <w:ind w:left="0"/>
      </w:pPr>
      <w:bookmarkStart w:id="31" w:name="_GoBack"/>
      <w:bookmarkEnd w:id="31"/>
      <w:r>
        <w:t xml:space="preserve">Once Services Australia has finalised the Capability Assessment in the Department’s IT System, </w:t>
      </w:r>
      <w:r w:rsidRPr="00E548AA">
        <w:t xml:space="preserve">the Provider must review the outcome and any servicing recommendations </w:t>
      </w:r>
      <w:r>
        <w:t>Services Australia</w:t>
      </w:r>
      <w:r w:rsidRPr="00E548AA">
        <w:t xml:space="preserve"> has recorded in the Capability Management Tool (CMT).</w:t>
      </w:r>
    </w:p>
    <w:p w14:paraId="4EF5EAC6" w14:textId="77777777" w:rsidR="00121F37" w:rsidRDefault="00121F37" w:rsidP="00030311">
      <w:pPr>
        <w:pStyle w:val="guidelinetext"/>
        <w:spacing w:line="240" w:lineRule="auto"/>
        <w:ind w:left="0"/>
      </w:pPr>
      <w:r>
        <w:t>The possible outcomes are as follows:</w:t>
      </w:r>
    </w:p>
    <w:p w14:paraId="4B3C7C01" w14:textId="77777777" w:rsidR="00121F37" w:rsidRPr="00121F37" w:rsidRDefault="00121F37" w:rsidP="00030311">
      <w:pPr>
        <w:numPr>
          <w:ilvl w:val="0"/>
          <w:numId w:val="9"/>
        </w:numPr>
      </w:pPr>
      <w:r w:rsidRPr="00121F37">
        <w:rPr>
          <w:rFonts w:asciiTheme="minorHAnsi" w:eastAsiaTheme="minorHAnsi" w:hAnsiTheme="minorHAnsi" w:cstheme="minorBidi"/>
          <w:szCs w:val="22"/>
          <w:lang w:eastAsia="en-US"/>
        </w:rPr>
        <w:t xml:space="preserve">the Participant’s Job Plan is suitable for the Participant, which is referred to in the Department’s IT Systems as ‘Deemed capable of meeting their Job Plan requirements’; or </w:t>
      </w:r>
    </w:p>
    <w:p w14:paraId="6A6E168A" w14:textId="77777777" w:rsidR="00121F37" w:rsidRPr="00121F37" w:rsidRDefault="00121F37" w:rsidP="00030311">
      <w:pPr>
        <w:numPr>
          <w:ilvl w:val="0"/>
          <w:numId w:val="9"/>
        </w:numPr>
      </w:pPr>
      <w:r w:rsidRPr="00121F37">
        <w:rPr>
          <w:rFonts w:asciiTheme="minorHAnsi" w:eastAsiaTheme="minorHAnsi" w:hAnsiTheme="minorHAnsi" w:cstheme="minorBidi"/>
          <w:szCs w:val="22"/>
          <w:lang w:eastAsia="en-US"/>
        </w:rPr>
        <w:lastRenderedPageBreak/>
        <w:t>the Participant’s Job Plan is not suitable for the Participant, which is referred to in the Department’s IT Systems as one of the following, depending on the reason that the Job Plan is not suitable:</w:t>
      </w:r>
    </w:p>
    <w:p w14:paraId="1C63A6B8" w14:textId="77777777" w:rsidR="00121F37" w:rsidRDefault="00121F37" w:rsidP="00030311">
      <w:pPr>
        <w:pStyle w:val="guidelinetext"/>
        <w:numPr>
          <w:ilvl w:val="1"/>
          <w:numId w:val="30"/>
        </w:numPr>
        <w:spacing w:line="240" w:lineRule="auto"/>
        <w:ind w:left="1440"/>
      </w:pPr>
      <w:r>
        <w:t>‘Errors in the Job Plan–Requires Update’;</w:t>
      </w:r>
    </w:p>
    <w:p w14:paraId="35FF9A9D" w14:textId="77777777" w:rsidR="00121F37" w:rsidRDefault="00121F37" w:rsidP="00030311">
      <w:pPr>
        <w:pStyle w:val="guidelinetext"/>
        <w:numPr>
          <w:ilvl w:val="1"/>
          <w:numId w:val="30"/>
        </w:numPr>
        <w:spacing w:line="240" w:lineRule="auto"/>
        <w:ind w:left="1440"/>
      </w:pPr>
      <w:r>
        <w:t>‘Not capable of meeting their Job Plan requirements due to their circumstances/capacity’; or</w:t>
      </w:r>
    </w:p>
    <w:p w14:paraId="29DB5499" w14:textId="77777777" w:rsidR="00121F37" w:rsidRDefault="00121F37" w:rsidP="00030311">
      <w:pPr>
        <w:pStyle w:val="guidelinetext"/>
        <w:numPr>
          <w:ilvl w:val="1"/>
          <w:numId w:val="30"/>
        </w:numPr>
        <w:spacing w:line="240" w:lineRule="auto"/>
        <w:ind w:left="1440"/>
      </w:pPr>
      <w:r>
        <w:t>‘Newly disclosed information’.</w:t>
      </w:r>
    </w:p>
    <w:p w14:paraId="5E494A12" w14:textId="77777777" w:rsidR="00121F37" w:rsidRDefault="00121F37" w:rsidP="00030311">
      <w:pPr>
        <w:pStyle w:val="guidelinetext"/>
        <w:spacing w:line="240" w:lineRule="auto"/>
        <w:ind w:left="0"/>
      </w:pPr>
      <w:r>
        <w:t>Each of these outcomes is discussed in further detail below.</w:t>
      </w:r>
    </w:p>
    <w:p w14:paraId="7D969541" w14:textId="77777777" w:rsidR="00473E6E" w:rsidRPr="00D80560" w:rsidRDefault="00473E6E" w:rsidP="00473E6E">
      <w:pPr>
        <w:pStyle w:val="guidelinetext"/>
        <w:spacing w:line="240" w:lineRule="auto"/>
        <w:ind w:left="0"/>
      </w:pPr>
    </w:p>
    <w:p w14:paraId="7E09BC65" w14:textId="2D4EFB66" w:rsidR="00473E6E" w:rsidRPr="00081DA5" w:rsidRDefault="00411E98" w:rsidP="00081DA5">
      <w:pPr>
        <w:pStyle w:val="guidelinechanges"/>
        <w:keepNext/>
        <w:keepLines/>
        <w:spacing w:before="0" w:after="120"/>
        <w:rPr>
          <w:rFonts w:ascii="Calibri" w:eastAsia="Times New Roman" w:hAnsi="Calibri" w:cs="Times New Roman"/>
          <w:b/>
          <w:sz w:val="24"/>
          <w:szCs w:val="24"/>
          <w:lang w:eastAsia="en-AU"/>
        </w:rPr>
      </w:pPr>
      <w:bookmarkStart w:id="32" w:name="_Toc511115358"/>
      <w:r>
        <w:rPr>
          <w:rFonts w:ascii="Calibri" w:eastAsia="Times New Roman" w:hAnsi="Calibri" w:cs="Times New Roman"/>
          <w:b/>
          <w:sz w:val="24"/>
          <w:szCs w:val="24"/>
          <w:lang w:eastAsia="en-AU"/>
        </w:rPr>
        <w:t xml:space="preserve">The </w:t>
      </w:r>
      <w:r w:rsidR="001B735C" w:rsidRPr="001B735C">
        <w:rPr>
          <w:rFonts w:ascii="Calibri" w:eastAsia="Times New Roman" w:hAnsi="Calibri" w:cs="Times New Roman"/>
          <w:b/>
          <w:sz w:val="24"/>
          <w:szCs w:val="24"/>
          <w:lang w:eastAsia="en-AU"/>
        </w:rPr>
        <w:t>Participant</w:t>
      </w:r>
      <w:r>
        <w:rPr>
          <w:rFonts w:ascii="Calibri" w:eastAsia="Times New Roman" w:hAnsi="Calibri" w:cs="Times New Roman"/>
          <w:b/>
          <w:sz w:val="24"/>
          <w:szCs w:val="24"/>
          <w:lang w:eastAsia="en-AU"/>
        </w:rPr>
        <w:t xml:space="preserve">’s </w:t>
      </w:r>
      <w:r w:rsidR="00473E6E" w:rsidRPr="00081DA5">
        <w:rPr>
          <w:rFonts w:ascii="Calibri" w:eastAsia="Times New Roman" w:hAnsi="Calibri" w:cs="Times New Roman"/>
          <w:b/>
          <w:sz w:val="24"/>
          <w:szCs w:val="24"/>
          <w:lang w:eastAsia="en-AU"/>
        </w:rPr>
        <w:t>Job Plan</w:t>
      </w:r>
      <w:bookmarkEnd w:id="32"/>
      <w:r>
        <w:rPr>
          <w:rFonts w:ascii="Calibri" w:eastAsia="Times New Roman" w:hAnsi="Calibri" w:cs="Times New Roman"/>
          <w:b/>
          <w:sz w:val="24"/>
          <w:szCs w:val="24"/>
          <w:lang w:eastAsia="en-AU"/>
        </w:rPr>
        <w:t xml:space="preserve"> is not suitable</w:t>
      </w:r>
    </w:p>
    <w:p w14:paraId="4B0A303C" w14:textId="77777777" w:rsidR="00411E98" w:rsidRPr="00030311" w:rsidRDefault="00411E98" w:rsidP="00030311">
      <w:pPr>
        <w:spacing w:before="0"/>
        <w:rPr>
          <w:u w:val="single"/>
        </w:rPr>
      </w:pPr>
      <w:bookmarkStart w:id="33" w:name="_Toc20838632"/>
      <w:bookmarkStart w:id="34" w:name="_Toc21420170"/>
      <w:r w:rsidRPr="00030311">
        <w:rPr>
          <w:sz w:val="24"/>
          <w:u w:val="single"/>
        </w:rPr>
        <w:t>Outcome: ‘Errors in the Job Plan–Requires Update’</w:t>
      </w:r>
      <w:bookmarkEnd w:id="33"/>
      <w:bookmarkEnd w:id="34"/>
    </w:p>
    <w:p w14:paraId="60E94742" w14:textId="77777777" w:rsidR="00411E98" w:rsidRDefault="00411E98" w:rsidP="00030311">
      <w:pPr>
        <w:pStyle w:val="guidelinetext"/>
        <w:spacing w:line="240" w:lineRule="auto"/>
        <w:ind w:left="0"/>
      </w:pPr>
      <w:r>
        <w:t xml:space="preserve">When the outcome of the Capability Assessment is ‘Errors in the Job Plan–Requires Update’, the Provider must, </w:t>
      </w:r>
      <w:r w:rsidRPr="008D5211">
        <w:t>within the 10 </w:t>
      </w:r>
      <w:r>
        <w:t>B</w:t>
      </w:r>
      <w:r w:rsidRPr="008D5211">
        <w:t xml:space="preserve">usiness </w:t>
      </w:r>
      <w:r>
        <w:t>D</w:t>
      </w:r>
      <w:r w:rsidRPr="008D5211">
        <w:t xml:space="preserve">ays </w:t>
      </w:r>
      <w:r>
        <w:t>after</w:t>
      </w:r>
      <w:r w:rsidRPr="008D5211">
        <w:t xml:space="preserve"> the Capability Assessment</w:t>
      </w:r>
      <w:r>
        <w:t xml:space="preserve"> is finalised:</w:t>
      </w:r>
    </w:p>
    <w:p w14:paraId="705FAA88" w14:textId="77777777" w:rsidR="00411E98" w:rsidRPr="00411E98" w:rsidRDefault="00411E98" w:rsidP="00030311">
      <w:pPr>
        <w:numPr>
          <w:ilvl w:val="0"/>
          <w:numId w:val="9"/>
        </w:numPr>
      </w:pPr>
      <w:r w:rsidRPr="00411E98">
        <w:rPr>
          <w:rFonts w:asciiTheme="minorHAnsi" w:eastAsiaTheme="minorHAnsi" w:hAnsiTheme="minorHAnsi" w:cstheme="minorBidi"/>
          <w:szCs w:val="22"/>
          <w:lang w:eastAsia="en-US"/>
        </w:rPr>
        <w:t xml:space="preserve">advise the Participant that there are errors in their Job Plan, which means that the Job Plan is not suitable for the Participant; </w:t>
      </w:r>
    </w:p>
    <w:p w14:paraId="211E1167" w14:textId="77777777" w:rsidR="00411E98" w:rsidRPr="00411E98" w:rsidRDefault="00411E98" w:rsidP="00030311">
      <w:pPr>
        <w:numPr>
          <w:ilvl w:val="0"/>
          <w:numId w:val="9"/>
        </w:numPr>
      </w:pPr>
      <w:r w:rsidRPr="00411E98">
        <w:rPr>
          <w:rFonts w:asciiTheme="minorHAnsi" w:eastAsiaTheme="minorHAnsi" w:hAnsiTheme="minorHAnsi" w:cstheme="minorBidi"/>
          <w:szCs w:val="22"/>
          <w:lang w:eastAsia="en-US"/>
        </w:rPr>
        <w:t>advise the Participant that their Demerits will be reset to zero and they will return to the Green Zone; and</w:t>
      </w:r>
    </w:p>
    <w:p w14:paraId="198E68C6" w14:textId="77777777" w:rsidR="00411E98" w:rsidRPr="00411E98" w:rsidRDefault="00411E98" w:rsidP="00030311">
      <w:pPr>
        <w:numPr>
          <w:ilvl w:val="0"/>
          <w:numId w:val="9"/>
        </w:numPr>
      </w:pPr>
      <w:r w:rsidRPr="00411E98">
        <w:rPr>
          <w:rFonts w:asciiTheme="minorHAnsi" w:eastAsiaTheme="minorHAnsi" w:hAnsiTheme="minorHAnsi" w:cstheme="minorBidi"/>
          <w:szCs w:val="22"/>
          <w:lang w:eastAsia="en-US"/>
        </w:rPr>
        <w:t>in consultation with the Participant, update the Job Plan to address the identified errors in accordance with:</w:t>
      </w:r>
    </w:p>
    <w:p w14:paraId="07562AEE" w14:textId="77777777" w:rsidR="00411E98" w:rsidRDefault="00411E98" w:rsidP="00030311">
      <w:pPr>
        <w:pStyle w:val="guidelinetext"/>
        <w:numPr>
          <w:ilvl w:val="1"/>
          <w:numId w:val="30"/>
        </w:numPr>
        <w:spacing w:line="240" w:lineRule="auto"/>
        <w:ind w:left="1440"/>
      </w:pPr>
      <w:r>
        <w:t>any recommendations from Services Australia shown in the Department’s IT Systems; and</w:t>
      </w:r>
    </w:p>
    <w:p w14:paraId="0FB9AC61" w14:textId="75F93395" w:rsidR="00411E98" w:rsidRDefault="00411E98" w:rsidP="00030311">
      <w:pPr>
        <w:pStyle w:val="guidelinetext"/>
        <w:numPr>
          <w:ilvl w:val="1"/>
          <w:numId w:val="30"/>
        </w:numPr>
        <w:spacing w:line="240" w:lineRule="auto"/>
        <w:ind w:left="1440"/>
      </w:pPr>
      <w:r w:rsidRPr="00BF270F">
        <w:t xml:space="preserve">the </w:t>
      </w:r>
      <w:r>
        <w:t xml:space="preserve">DES </w:t>
      </w:r>
      <w:hyperlink r:id="rId11" w:history="1">
        <w:r w:rsidRPr="00030311">
          <w:t>Job Plan and Scheduling Mutual Obligation Requirements Guideline</w:t>
        </w:r>
      </w:hyperlink>
      <w:r>
        <w:t>s.</w:t>
      </w:r>
    </w:p>
    <w:p w14:paraId="6116B664" w14:textId="69ABEA55" w:rsidR="00411E98" w:rsidRDefault="00411E98" w:rsidP="00030311">
      <w:pPr>
        <w:pStyle w:val="guidelinetext"/>
        <w:spacing w:line="240" w:lineRule="auto"/>
        <w:ind w:left="0"/>
      </w:pPr>
      <w:r>
        <w:t>Providers should also be aware that the Participant will not accrue any further demerits until the Participant’s Job Plan has been appropriately updated.</w:t>
      </w:r>
    </w:p>
    <w:p w14:paraId="0349AF93" w14:textId="77777777" w:rsidR="00411E98" w:rsidRDefault="00411E98" w:rsidP="00030311">
      <w:pPr>
        <w:pStyle w:val="guidelinetext"/>
        <w:spacing w:line="240" w:lineRule="auto"/>
        <w:ind w:left="0"/>
      </w:pPr>
    </w:p>
    <w:p w14:paraId="66B142C8" w14:textId="77777777" w:rsidR="00411E98" w:rsidRPr="00030311" w:rsidRDefault="00411E98" w:rsidP="00030311">
      <w:pPr>
        <w:spacing w:before="0"/>
        <w:rPr>
          <w:u w:val="single"/>
        </w:rPr>
      </w:pPr>
      <w:bookmarkStart w:id="35" w:name="_Toc20838633"/>
      <w:bookmarkStart w:id="36" w:name="_Toc21420171"/>
      <w:r w:rsidRPr="00030311">
        <w:rPr>
          <w:sz w:val="24"/>
          <w:u w:val="single"/>
        </w:rPr>
        <w:t>Outcome: ‘Not capable of meeting their Job Plan requirements due to their circumstances/capacity’</w:t>
      </w:r>
      <w:bookmarkEnd w:id="35"/>
      <w:bookmarkEnd w:id="36"/>
    </w:p>
    <w:p w14:paraId="395BD410" w14:textId="77777777" w:rsidR="00411E98" w:rsidRDefault="00411E98" w:rsidP="00030311">
      <w:pPr>
        <w:pStyle w:val="guidelinetext"/>
        <w:spacing w:line="240" w:lineRule="auto"/>
        <w:ind w:left="0"/>
      </w:pPr>
      <w:r>
        <w:t xml:space="preserve">When the outcome of the Capability Assessment is ‘Not capable of meeting their Job Plan requirements due to their circumstances/capacity’, the Provider must, </w:t>
      </w:r>
      <w:r w:rsidRPr="008D5211">
        <w:t>within the 10 </w:t>
      </w:r>
      <w:r>
        <w:t>B</w:t>
      </w:r>
      <w:r w:rsidRPr="008D5211">
        <w:t xml:space="preserve">usiness </w:t>
      </w:r>
      <w:r>
        <w:t>D</w:t>
      </w:r>
      <w:r w:rsidRPr="008D5211">
        <w:t xml:space="preserve">ays </w:t>
      </w:r>
      <w:r>
        <w:t>after</w:t>
      </w:r>
      <w:r w:rsidRPr="008D5211">
        <w:t xml:space="preserve"> the Capability Assessment</w:t>
      </w:r>
      <w:r>
        <w:t xml:space="preserve"> is finalised:</w:t>
      </w:r>
    </w:p>
    <w:p w14:paraId="12E348C0" w14:textId="77777777" w:rsidR="00411E98" w:rsidRPr="00411E98" w:rsidRDefault="00411E98" w:rsidP="00030311">
      <w:pPr>
        <w:numPr>
          <w:ilvl w:val="0"/>
          <w:numId w:val="9"/>
        </w:numPr>
      </w:pPr>
      <w:r w:rsidRPr="00411E98">
        <w:rPr>
          <w:rFonts w:asciiTheme="minorHAnsi" w:eastAsiaTheme="minorHAnsi" w:hAnsiTheme="minorHAnsi" w:cstheme="minorBidi"/>
          <w:szCs w:val="22"/>
          <w:lang w:eastAsia="en-US"/>
        </w:rPr>
        <w:t xml:space="preserve">advise the Participant that their personal circumstances have made their current Job Plan not suitable for them; </w:t>
      </w:r>
    </w:p>
    <w:p w14:paraId="346AA68C" w14:textId="77777777" w:rsidR="00411E98" w:rsidRPr="00411E98" w:rsidRDefault="00411E98" w:rsidP="00030311">
      <w:pPr>
        <w:numPr>
          <w:ilvl w:val="0"/>
          <w:numId w:val="9"/>
        </w:numPr>
      </w:pPr>
      <w:r w:rsidRPr="00411E98">
        <w:rPr>
          <w:rFonts w:asciiTheme="minorHAnsi" w:eastAsiaTheme="minorHAnsi" w:hAnsiTheme="minorHAnsi" w:cstheme="minorBidi"/>
          <w:szCs w:val="22"/>
          <w:lang w:eastAsia="en-US"/>
        </w:rPr>
        <w:t>advise the Participant that their Demerits will be reset to zero and they will return to the Green Zone; and</w:t>
      </w:r>
    </w:p>
    <w:p w14:paraId="7A84168F" w14:textId="77777777" w:rsidR="00411E98" w:rsidRPr="00411E98" w:rsidRDefault="00411E98" w:rsidP="00030311">
      <w:pPr>
        <w:numPr>
          <w:ilvl w:val="0"/>
          <w:numId w:val="9"/>
        </w:numPr>
      </w:pPr>
      <w:r w:rsidRPr="00411E98">
        <w:rPr>
          <w:rFonts w:asciiTheme="minorHAnsi" w:eastAsiaTheme="minorHAnsi" w:hAnsiTheme="minorHAnsi" w:cstheme="minorBidi"/>
          <w:szCs w:val="22"/>
          <w:lang w:eastAsia="en-US"/>
        </w:rPr>
        <w:t>in consultation with the Participant, update the Job Plan so that it is suitable for the Participant in accordance with:</w:t>
      </w:r>
    </w:p>
    <w:p w14:paraId="386253A7" w14:textId="77777777" w:rsidR="00411E98" w:rsidRDefault="00411E98" w:rsidP="00030311">
      <w:pPr>
        <w:pStyle w:val="guidelinetext"/>
        <w:numPr>
          <w:ilvl w:val="1"/>
          <w:numId w:val="30"/>
        </w:numPr>
        <w:spacing w:line="240" w:lineRule="auto"/>
        <w:ind w:left="1440"/>
      </w:pPr>
      <w:r>
        <w:t>any recommendations from Services Australia shown in the Department’s IT Systems and taking into account any reasons Services Australia assessed particular Mutual Obligation Requirements as being inappropriate for the Participant; and</w:t>
      </w:r>
    </w:p>
    <w:p w14:paraId="2F2FF021" w14:textId="455F6EB8" w:rsidR="00411E98" w:rsidRPr="006B486C" w:rsidRDefault="00411E98" w:rsidP="00030311">
      <w:pPr>
        <w:pStyle w:val="guidelinetext"/>
        <w:numPr>
          <w:ilvl w:val="1"/>
          <w:numId w:val="30"/>
        </w:numPr>
        <w:spacing w:line="240" w:lineRule="auto"/>
        <w:ind w:left="1440"/>
      </w:pPr>
      <w:r w:rsidRPr="006B486C">
        <w:t xml:space="preserve">the </w:t>
      </w:r>
      <w:r>
        <w:t xml:space="preserve">DES </w:t>
      </w:r>
      <w:hyperlink r:id="rId12" w:history="1">
        <w:r w:rsidRPr="00030311">
          <w:t>Job Plan and Scheduling Mutual Obligation Requirements Guideline</w:t>
        </w:r>
      </w:hyperlink>
      <w:r>
        <w:t>s</w:t>
      </w:r>
      <w:r w:rsidRPr="006B486C">
        <w:t>.</w:t>
      </w:r>
    </w:p>
    <w:p w14:paraId="5D1C003F" w14:textId="7144C6CC" w:rsidR="00411E98" w:rsidRDefault="00411E98" w:rsidP="00030311">
      <w:pPr>
        <w:pStyle w:val="guidelinetext"/>
        <w:spacing w:line="240" w:lineRule="auto"/>
        <w:ind w:left="0"/>
      </w:pPr>
      <w:r>
        <w:lastRenderedPageBreak/>
        <w:t>Providers should also be aware that the Participant will not accrue any further demerits until the Participant’s Job Plan has been appropriately updated.</w:t>
      </w:r>
    </w:p>
    <w:p w14:paraId="768B6B2E" w14:textId="77777777" w:rsidR="00411E98" w:rsidRDefault="00411E98" w:rsidP="00030311">
      <w:pPr>
        <w:pStyle w:val="guidelinetext"/>
        <w:spacing w:line="240" w:lineRule="auto"/>
        <w:ind w:left="0"/>
      </w:pPr>
    </w:p>
    <w:p w14:paraId="16425E0F" w14:textId="77777777" w:rsidR="00411E98" w:rsidRPr="00030311" w:rsidRDefault="00411E98" w:rsidP="00030311">
      <w:pPr>
        <w:spacing w:before="0"/>
        <w:rPr>
          <w:u w:val="single"/>
        </w:rPr>
      </w:pPr>
      <w:bookmarkStart w:id="37" w:name="_Toc9239161"/>
      <w:bookmarkStart w:id="38" w:name="_Toc20838634"/>
      <w:bookmarkStart w:id="39" w:name="_Toc21420172"/>
      <w:r w:rsidRPr="00030311">
        <w:rPr>
          <w:sz w:val="24"/>
          <w:u w:val="single"/>
        </w:rPr>
        <w:t>Outcome: ‘Newly disclosed information–newly disclosed personal circumstances</w:t>
      </w:r>
      <w:bookmarkEnd w:id="37"/>
      <w:r w:rsidRPr="00030311">
        <w:rPr>
          <w:sz w:val="24"/>
          <w:u w:val="single"/>
        </w:rPr>
        <w:t>’</w:t>
      </w:r>
      <w:bookmarkEnd w:id="38"/>
      <w:bookmarkEnd w:id="39"/>
    </w:p>
    <w:p w14:paraId="0B1F31E1" w14:textId="77777777" w:rsidR="00411E98" w:rsidRDefault="00411E98" w:rsidP="00030311">
      <w:pPr>
        <w:pStyle w:val="guidelinetext"/>
        <w:spacing w:line="240" w:lineRule="auto"/>
        <w:ind w:left="0"/>
      </w:pPr>
      <w:r>
        <w:t xml:space="preserve">Services Australia may assess that the Participant would normally be capable of meeting their requirements. However, the Participant has disclosed new information about their personal circumstances that was previously unknown, and these circumstances, </w:t>
      </w:r>
      <w:r w:rsidRPr="006232E6">
        <w:t>had they been known to the Provider at the time of Demerit accrual, may have constituted an Acceptable or Valid Reason</w:t>
      </w:r>
      <w:r>
        <w:t>. In this case, Services Australia will record the outcome of the Capability Assessment as ‘Newly disclosed information–newly disclosed personal circumstances’.</w:t>
      </w:r>
    </w:p>
    <w:p w14:paraId="46C942B4" w14:textId="77777777" w:rsidR="00411E98" w:rsidRDefault="00411E98" w:rsidP="00030311">
      <w:pPr>
        <w:pStyle w:val="guidelinetext"/>
        <w:spacing w:line="240" w:lineRule="auto"/>
        <w:ind w:left="0"/>
      </w:pPr>
      <w:r>
        <w:t xml:space="preserve">Because the Participant is normally capable of meeting their Mutual Obligation Requirements, their Job Plan does not necessarily require updating. The Provider must, </w:t>
      </w:r>
      <w:r w:rsidRPr="008D5211">
        <w:t>within the 10 </w:t>
      </w:r>
      <w:r>
        <w:t>B</w:t>
      </w:r>
      <w:r w:rsidRPr="008D5211">
        <w:t xml:space="preserve">usiness </w:t>
      </w:r>
      <w:r>
        <w:t>D</w:t>
      </w:r>
      <w:r w:rsidRPr="008D5211">
        <w:t xml:space="preserve">ays </w:t>
      </w:r>
      <w:r>
        <w:t>after</w:t>
      </w:r>
      <w:r w:rsidRPr="008D5211">
        <w:t xml:space="preserve"> the Capability Assessment</w:t>
      </w:r>
      <w:r>
        <w:t xml:space="preserve"> is finalised:</w:t>
      </w:r>
    </w:p>
    <w:p w14:paraId="3210D58C" w14:textId="77777777" w:rsidR="00411E98" w:rsidRPr="00411E98" w:rsidRDefault="00411E98" w:rsidP="00030311">
      <w:pPr>
        <w:numPr>
          <w:ilvl w:val="0"/>
          <w:numId w:val="9"/>
        </w:numPr>
      </w:pPr>
      <w:r w:rsidRPr="00411E98">
        <w:rPr>
          <w:rFonts w:asciiTheme="minorHAnsi" w:eastAsiaTheme="minorHAnsi" w:hAnsiTheme="minorHAnsi" w:cstheme="minorBidi"/>
          <w:szCs w:val="22"/>
          <w:lang w:eastAsia="en-US"/>
        </w:rPr>
        <w:t xml:space="preserve">advise the Participant that newly disclosed information would have affected their ability to meet Mutual Obligation Requirements at the time of Demerit accrual; </w:t>
      </w:r>
    </w:p>
    <w:p w14:paraId="4ADD33C0" w14:textId="77777777" w:rsidR="00411E98" w:rsidRPr="00411E98" w:rsidRDefault="00411E98" w:rsidP="00030311">
      <w:pPr>
        <w:numPr>
          <w:ilvl w:val="0"/>
          <w:numId w:val="9"/>
        </w:numPr>
      </w:pPr>
      <w:r w:rsidRPr="00411E98">
        <w:rPr>
          <w:rFonts w:asciiTheme="minorHAnsi" w:eastAsiaTheme="minorHAnsi" w:hAnsiTheme="minorHAnsi" w:cstheme="minorBidi"/>
          <w:szCs w:val="22"/>
          <w:lang w:eastAsia="en-US"/>
        </w:rPr>
        <w:t>advise the Participant that their Demerits will be reset to zero and they will return to the Green Zone; and</w:t>
      </w:r>
    </w:p>
    <w:p w14:paraId="23172910" w14:textId="77777777" w:rsidR="00411E98" w:rsidRPr="00411E98" w:rsidRDefault="00411E98" w:rsidP="00030311">
      <w:pPr>
        <w:numPr>
          <w:ilvl w:val="0"/>
          <w:numId w:val="9"/>
        </w:numPr>
      </w:pPr>
      <w:r w:rsidRPr="00411E98">
        <w:rPr>
          <w:rFonts w:asciiTheme="minorHAnsi" w:eastAsiaTheme="minorHAnsi" w:hAnsiTheme="minorHAnsi" w:cstheme="minorBidi"/>
          <w:szCs w:val="22"/>
          <w:lang w:eastAsia="en-US"/>
        </w:rPr>
        <w:t>consider whether the Job Plan requires updating, and, if so, in consultation with the Participant, update the Job Plan so that it is suitable for the Participant in accordance with:</w:t>
      </w:r>
    </w:p>
    <w:p w14:paraId="4A8F1C42" w14:textId="77777777" w:rsidR="00411E98" w:rsidRDefault="00411E98" w:rsidP="00030311">
      <w:pPr>
        <w:pStyle w:val="guidelinetext"/>
        <w:numPr>
          <w:ilvl w:val="1"/>
          <w:numId w:val="30"/>
        </w:numPr>
        <w:spacing w:line="240" w:lineRule="auto"/>
        <w:ind w:left="1440"/>
      </w:pPr>
      <w:r>
        <w:t>any recommendations from Services Australia shown in the Department’s IT Systems; and</w:t>
      </w:r>
    </w:p>
    <w:p w14:paraId="6F3BFAD2" w14:textId="01ADF1C8" w:rsidR="00411E98" w:rsidRDefault="00411E98" w:rsidP="00030311">
      <w:pPr>
        <w:pStyle w:val="guidelinetext"/>
        <w:numPr>
          <w:ilvl w:val="1"/>
          <w:numId w:val="30"/>
        </w:numPr>
        <w:spacing w:line="240" w:lineRule="auto"/>
        <w:ind w:left="1440"/>
      </w:pPr>
      <w:r w:rsidRPr="00BF270F">
        <w:t xml:space="preserve">the </w:t>
      </w:r>
      <w:r>
        <w:t xml:space="preserve">DES </w:t>
      </w:r>
      <w:hyperlink r:id="rId13" w:history="1">
        <w:r w:rsidRPr="00030311">
          <w:t>Job Plan and Scheduling Mutual Obligation Requirements Guideline</w:t>
        </w:r>
      </w:hyperlink>
      <w:r>
        <w:t>s.</w:t>
      </w:r>
    </w:p>
    <w:p w14:paraId="09213CEB" w14:textId="77777777" w:rsidR="00411E98" w:rsidRDefault="00411E98" w:rsidP="00030311">
      <w:pPr>
        <w:pStyle w:val="guidelinetext"/>
        <w:spacing w:line="240" w:lineRule="auto"/>
      </w:pPr>
    </w:p>
    <w:p w14:paraId="6B124B3D" w14:textId="77777777" w:rsidR="00411E98" w:rsidRPr="00030311" w:rsidRDefault="00411E98" w:rsidP="00030311">
      <w:pPr>
        <w:spacing w:before="0"/>
        <w:rPr>
          <w:u w:val="single"/>
        </w:rPr>
      </w:pPr>
      <w:bookmarkStart w:id="40" w:name="_Toc9239162"/>
      <w:bookmarkStart w:id="41" w:name="_Toc20838635"/>
      <w:bookmarkStart w:id="42" w:name="_Toc21420173"/>
      <w:r w:rsidRPr="00030311">
        <w:rPr>
          <w:sz w:val="24"/>
          <w:u w:val="single"/>
        </w:rPr>
        <w:t>Outcome: ‘Newly disclosed information’–The Participant’s stream or program eligibility has changed</w:t>
      </w:r>
      <w:bookmarkEnd w:id="40"/>
      <w:bookmarkEnd w:id="41"/>
      <w:bookmarkEnd w:id="42"/>
    </w:p>
    <w:p w14:paraId="37DD543A" w14:textId="73589F54" w:rsidR="00411E98" w:rsidRDefault="00411E98" w:rsidP="00030311">
      <w:pPr>
        <w:pStyle w:val="guidelinetext"/>
        <w:spacing w:line="240" w:lineRule="auto"/>
        <w:ind w:left="0"/>
      </w:pPr>
      <w:r>
        <w:t xml:space="preserve">If an update to the Participant’s Job Seeker Classification Instrument (JSCI) or their finalised Employment Services Assessment (ESAt) moves them to a different employment service, Services Australia will record the outcome of the Capability Assessment as ‘Newly disclosed information’. In these circumstances, the Provider must, </w:t>
      </w:r>
      <w:r w:rsidRPr="008D5211">
        <w:t>within the 10 </w:t>
      </w:r>
      <w:r>
        <w:t>B</w:t>
      </w:r>
      <w:r w:rsidRPr="008D5211">
        <w:t xml:space="preserve">usiness </w:t>
      </w:r>
      <w:r>
        <w:t>D</w:t>
      </w:r>
      <w:r w:rsidRPr="008D5211">
        <w:t xml:space="preserve">ays </w:t>
      </w:r>
      <w:r>
        <w:t>after</w:t>
      </w:r>
      <w:r w:rsidRPr="008D5211">
        <w:t xml:space="preserve"> the Capability Assessment</w:t>
      </w:r>
      <w:r>
        <w:t xml:space="preserve"> is finalised:</w:t>
      </w:r>
    </w:p>
    <w:p w14:paraId="40F512A8" w14:textId="77777777" w:rsidR="00411E98" w:rsidRPr="00411E98" w:rsidRDefault="00411E98" w:rsidP="00030311">
      <w:pPr>
        <w:numPr>
          <w:ilvl w:val="0"/>
          <w:numId w:val="9"/>
        </w:numPr>
      </w:pPr>
      <w:r w:rsidRPr="00411E98">
        <w:rPr>
          <w:rFonts w:asciiTheme="minorHAnsi" w:eastAsiaTheme="minorHAnsi" w:hAnsiTheme="minorHAnsi" w:cstheme="minorBidi"/>
          <w:szCs w:val="22"/>
          <w:lang w:eastAsia="en-US"/>
        </w:rPr>
        <w:t xml:space="preserve">advise the Participant that that their stream or program eligibility has changed as a result of running the JSCI or as a result of the finalisation of an ESAt; </w:t>
      </w:r>
    </w:p>
    <w:p w14:paraId="14D98BDA" w14:textId="77777777" w:rsidR="00411E98" w:rsidRPr="00411E98" w:rsidRDefault="00411E98" w:rsidP="00030311">
      <w:pPr>
        <w:numPr>
          <w:ilvl w:val="0"/>
          <w:numId w:val="9"/>
        </w:numPr>
      </w:pPr>
      <w:r w:rsidRPr="00411E98">
        <w:rPr>
          <w:rFonts w:asciiTheme="minorHAnsi" w:eastAsiaTheme="minorHAnsi" w:hAnsiTheme="minorHAnsi" w:cstheme="minorBidi"/>
          <w:szCs w:val="22"/>
          <w:lang w:eastAsia="en-US"/>
        </w:rPr>
        <w:t>advise the Participant that their Demerits will be reset to zero and they will return to the Green Zone; and</w:t>
      </w:r>
    </w:p>
    <w:p w14:paraId="78D6F558" w14:textId="77777777" w:rsidR="00411E98" w:rsidRPr="00411E98" w:rsidRDefault="00411E98" w:rsidP="00030311">
      <w:pPr>
        <w:numPr>
          <w:ilvl w:val="0"/>
          <w:numId w:val="9"/>
        </w:numPr>
      </w:pPr>
      <w:r w:rsidRPr="00411E98">
        <w:rPr>
          <w:rFonts w:asciiTheme="minorHAnsi" w:eastAsiaTheme="minorHAnsi" w:hAnsiTheme="minorHAnsi" w:cstheme="minorBidi"/>
          <w:szCs w:val="22"/>
          <w:lang w:eastAsia="en-US"/>
        </w:rPr>
        <w:t>in consultation with the Participant, update the Job Plan to address the identified errors in accordance with:</w:t>
      </w:r>
    </w:p>
    <w:p w14:paraId="698F3849" w14:textId="77777777" w:rsidR="00411E98" w:rsidRDefault="00411E98" w:rsidP="00030311">
      <w:pPr>
        <w:pStyle w:val="guidelinetext"/>
        <w:numPr>
          <w:ilvl w:val="1"/>
          <w:numId w:val="30"/>
        </w:numPr>
        <w:spacing w:line="240" w:lineRule="auto"/>
        <w:ind w:left="1440"/>
      </w:pPr>
      <w:r>
        <w:t>any recommendations from Services Australia shown in the Department’s IT Systems; and</w:t>
      </w:r>
    </w:p>
    <w:p w14:paraId="366F4A85" w14:textId="77777777" w:rsidR="00411E98" w:rsidRPr="003126FE" w:rsidRDefault="00411E98" w:rsidP="00030311">
      <w:pPr>
        <w:pStyle w:val="guidelinetext"/>
        <w:numPr>
          <w:ilvl w:val="1"/>
          <w:numId w:val="30"/>
        </w:numPr>
        <w:spacing w:line="240" w:lineRule="auto"/>
        <w:ind w:left="1440"/>
      </w:pPr>
      <w:r w:rsidRPr="00BF270F">
        <w:t xml:space="preserve">the </w:t>
      </w:r>
      <w:hyperlink r:id="rId14" w:history="1">
        <w:r w:rsidRPr="00030311">
          <w:t>Job Plan and Scheduling Mutual Obligation Requirements Guideline</w:t>
        </w:r>
      </w:hyperlink>
      <w:r w:rsidRPr="003126FE">
        <w:t>.</w:t>
      </w:r>
    </w:p>
    <w:p w14:paraId="668AAFC6" w14:textId="77777777" w:rsidR="00411E98" w:rsidRDefault="00411E98" w:rsidP="00030311">
      <w:pPr>
        <w:pStyle w:val="guidelinetext"/>
        <w:spacing w:line="240" w:lineRule="auto"/>
        <w:ind w:left="0"/>
      </w:pPr>
      <w:r>
        <w:t>Providers should also be aware that the Participant will not accrue further demerits until the Participant’s Job Plan has been appropriately updated.</w:t>
      </w:r>
    </w:p>
    <w:p w14:paraId="4C9E8219" w14:textId="77777777" w:rsidR="00473E6E" w:rsidRPr="006536F6" w:rsidRDefault="00473E6E" w:rsidP="00473E6E">
      <w:pPr>
        <w:pStyle w:val="guidelinetext"/>
        <w:spacing w:line="240" w:lineRule="auto"/>
        <w:ind w:left="0"/>
      </w:pPr>
    </w:p>
    <w:p w14:paraId="19DC1361" w14:textId="77777777" w:rsidR="00411E98" w:rsidRPr="00030311" w:rsidRDefault="00411E98" w:rsidP="00030311">
      <w:pPr>
        <w:pStyle w:val="guidelinechanges"/>
        <w:keepNext/>
        <w:keepLines/>
        <w:spacing w:before="0" w:after="120"/>
        <w:rPr>
          <w:sz w:val="24"/>
          <w:szCs w:val="24"/>
        </w:rPr>
      </w:pPr>
      <w:bookmarkStart w:id="43" w:name="_Toc20838636"/>
      <w:bookmarkStart w:id="44" w:name="_Toc21420174"/>
      <w:r w:rsidRPr="00030311">
        <w:rPr>
          <w:rFonts w:ascii="Calibri" w:eastAsia="Times New Roman" w:hAnsi="Calibri" w:cs="Times New Roman"/>
          <w:b/>
          <w:sz w:val="24"/>
          <w:szCs w:val="24"/>
          <w:lang w:eastAsia="en-AU"/>
        </w:rPr>
        <w:lastRenderedPageBreak/>
        <w:t xml:space="preserve">The outcome of the Capability Assessment is that the Participant’s Job Plan is suitable for the </w:t>
      </w:r>
      <w:bookmarkEnd w:id="43"/>
      <w:r w:rsidRPr="00030311">
        <w:rPr>
          <w:rFonts w:ascii="Calibri" w:eastAsia="Times New Roman" w:hAnsi="Calibri" w:cs="Times New Roman"/>
          <w:b/>
          <w:sz w:val="24"/>
          <w:szCs w:val="24"/>
          <w:lang w:eastAsia="en-AU"/>
        </w:rPr>
        <w:t>Participant</w:t>
      </w:r>
      <w:bookmarkEnd w:id="44"/>
    </w:p>
    <w:p w14:paraId="2AE0248A" w14:textId="77777777" w:rsidR="00411E98" w:rsidRPr="001A4745" w:rsidRDefault="00411E98" w:rsidP="00030311">
      <w:pPr>
        <w:pStyle w:val="guidelinetext"/>
        <w:spacing w:line="240" w:lineRule="auto"/>
        <w:ind w:left="0"/>
      </w:pPr>
      <w:r w:rsidRPr="001A4745">
        <w:t xml:space="preserve">If </w:t>
      </w:r>
      <w:r>
        <w:t>Services Australia</w:t>
      </w:r>
      <w:r w:rsidRPr="001A4745">
        <w:t xml:space="preserve"> assesses that the </w:t>
      </w:r>
      <w:r>
        <w:t>Participant</w:t>
      </w:r>
      <w:r w:rsidRPr="001A4745">
        <w:t xml:space="preserve">’s Job Plan is appropriate for the </w:t>
      </w:r>
      <w:r>
        <w:t>Participant</w:t>
      </w:r>
      <w:r w:rsidRPr="001A4745">
        <w:t xml:space="preserve">’s individual capacity and personal circumstances, the </w:t>
      </w:r>
      <w:r>
        <w:t>Participant</w:t>
      </w:r>
      <w:r w:rsidRPr="001A4745">
        <w:t xml:space="preserve"> can be reasonably expected to be capable of meeting their requirements. In this case, </w:t>
      </w:r>
      <w:r>
        <w:t>Services Australia</w:t>
      </w:r>
      <w:r w:rsidRPr="001A4745">
        <w:t xml:space="preserve"> will record the outcome </w:t>
      </w:r>
      <w:r>
        <w:t xml:space="preserve">of the Capability Assessment as </w:t>
      </w:r>
      <w:r w:rsidRPr="001A4745">
        <w:t>‘</w:t>
      </w:r>
      <w:r>
        <w:t>Deemed capable of meeting their Job Plan requirements</w:t>
      </w:r>
      <w:r w:rsidRPr="001A4745">
        <w:t>’.</w:t>
      </w:r>
    </w:p>
    <w:p w14:paraId="73E693BA" w14:textId="77777777" w:rsidR="00411E98" w:rsidRDefault="00411E98" w:rsidP="00030311">
      <w:pPr>
        <w:pStyle w:val="guidelinetext"/>
        <w:spacing w:line="240" w:lineRule="auto"/>
        <w:ind w:left="0"/>
      </w:pPr>
      <w:r w:rsidRPr="001A4745">
        <w:t xml:space="preserve">This outcome will be recorded when the Capability Assessment has not found any new and/or ongoing personal circumstances that impact the </w:t>
      </w:r>
      <w:r>
        <w:t>Participant</w:t>
      </w:r>
      <w:r w:rsidRPr="001A4745">
        <w:t xml:space="preserve">’s capacity to comply with their requirements aside from those already recorded in the CMT. The </w:t>
      </w:r>
      <w:r>
        <w:t>Participant</w:t>
      </w:r>
      <w:r w:rsidRPr="001A4745">
        <w:t xml:space="preserve"> will be confirmed as being in the appropriate servicing stream according to their capability, and the requirements included in their Job Plan are both lawful and appropriate. Therefore, the Job Plan does not require updating. The Provider must ensure the </w:t>
      </w:r>
      <w:r>
        <w:t>Participant</w:t>
      </w:r>
      <w:r w:rsidRPr="001A4745">
        <w:t xml:space="preserve"> understands that, based on existing evidence, they have been found capable of meeting their Mutual Obligation Requirements and their requirements have been assessed as appropriate.</w:t>
      </w:r>
    </w:p>
    <w:p w14:paraId="6FBE3F5A" w14:textId="77777777" w:rsidR="00411E98" w:rsidRDefault="00411E98" w:rsidP="00030311">
      <w:pPr>
        <w:pStyle w:val="guidelinetext"/>
        <w:spacing w:line="240" w:lineRule="auto"/>
        <w:ind w:left="0"/>
      </w:pPr>
      <w:r>
        <w:t xml:space="preserve">When the outcome of the Capability Assessment is </w:t>
      </w:r>
      <w:r w:rsidRPr="001A4745">
        <w:t>‘</w:t>
      </w:r>
      <w:r>
        <w:t>Deemed capable of meeting their Job Plan requirements</w:t>
      </w:r>
      <w:r w:rsidRPr="001A4745">
        <w:t>’</w:t>
      </w:r>
      <w:r>
        <w:t xml:space="preserve">, the Provider must </w:t>
      </w:r>
      <w:r w:rsidRPr="00316063">
        <w:t xml:space="preserve">review the CMT for the </w:t>
      </w:r>
      <w:r>
        <w:t>Participant</w:t>
      </w:r>
      <w:r w:rsidRPr="00316063">
        <w:t xml:space="preserve">. </w:t>
      </w:r>
      <w:r>
        <w:t>Services Australia</w:t>
      </w:r>
      <w:r w:rsidRPr="00316063">
        <w:t xml:space="preserve"> may have identified issues that the Provider will need to consider when renegotiating the </w:t>
      </w:r>
      <w:r>
        <w:t>Participant</w:t>
      </w:r>
      <w:r w:rsidRPr="00316063">
        <w:t>’s Job Plan in the future.</w:t>
      </w:r>
    </w:p>
    <w:p w14:paraId="70915867" w14:textId="77777777" w:rsidR="00411E98" w:rsidRDefault="00411E98" w:rsidP="00030311">
      <w:pPr>
        <w:pStyle w:val="guidelinetext"/>
        <w:spacing w:line="240" w:lineRule="auto"/>
        <w:ind w:left="0"/>
      </w:pPr>
      <w:r>
        <w:t>The Provider should, at the next contact with the Participant:</w:t>
      </w:r>
    </w:p>
    <w:p w14:paraId="12F9593D" w14:textId="77777777" w:rsidR="00411E98" w:rsidRPr="00411E98" w:rsidRDefault="00411E98" w:rsidP="00030311">
      <w:pPr>
        <w:numPr>
          <w:ilvl w:val="0"/>
          <w:numId w:val="9"/>
        </w:numPr>
      </w:pPr>
      <w:r w:rsidRPr="00411E98">
        <w:rPr>
          <w:rFonts w:asciiTheme="minorHAnsi" w:eastAsiaTheme="minorHAnsi" w:hAnsiTheme="minorHAnsi" w:cstheme="minorBidi"/>
          <w:szCs w:val="22"/>
          <w:lang w:eastAsia="en-US"/>
        </w:rPr>
        <w:t>ensure the Participant understands that they are now in the Penalty Zone, and that the next time they commit a Mutual Obligation Failure, this may result in loss of part or all of their Income Support Payment; and</w:t>
      </w:r>
    </w:p>
    <w:p w14:paraId="02E12958" w14:textId="77777777" w:rsidR="00411E98" w:rsidRPr="00411E98" w:rsidRDefault="00411E98" w:rsidP="00030311">
      <w:pPr>
        <w:numPr>
          <w:ilvl w:val="0"/>
          <w:numId w:val="9"/>
        </w:numPr>
      </w:pPr>
      <w:r w:rsidRPr="00411E98">
        <w:rPr>
          <w:rFonts w:asciiTheme="minorHAnsi" w:eastAsiaTheme="minorHAnsi" w:hAnsiTheme="minorHAnsi" w:cstheme="minorBidi"/>
          <w:szCs w:val="22"/>
          <w:lang w:eastAsia="en-US"/>
        </w:rPr>
        <w:t>ensure the Participant understands the Mutual Obligation Requirements in their Job Plan and the consequences of non-compliance.</w:t>
      </w:r>
    </w:p>
    <w:p w14:paraId="063CC16C" w14:textId="77777777" w:rsidR="000C3CC9" w:rsidRDefault="000C3CC9" w:rsidP="009A5611">
      <w:pPr>
        <w:pStyle w:val="guidelinetext"/>
        <w:pBdr>
          <w:bottom w:val="single" w:sz="6" w:space="1" w:color="auto"/>
        </w:pBdr>
        <w:spacing w:line="240" w:lineRule="auto"/>
        <w:ind w:left="0"/>
      </w:pPr>
    </w:p>
    <w:p w14:paraId="6690E24E" w14:textId="77777777" w:rsidR="000C3CC9" w:rsidRDefault="000C3CC9">
      <w:pPr>
        <w:pStyle w:val="guidelinetext"/>
        <w:spacing w:line="240" w:lineRule="auto"/>
        <w:ind w:left="0"/>
      </w:pPr>
    </w:p>
    <w:p w14:paraId="559FEB0D" w14:textId="2213080A" w:rsidR="000C3CC9" w:rsidRPr="009A5611" w:rsidRDefault="000C3CC9" w:rsidP="009A5611">
      <w:pPr>
        <w:pStyle w:val="Heading3"/>
        <w:numPr>
          <w:ilvl w:val="0"/>
          <w:numId w:val="10"/>
        </w:numPr>
        <w:spacing w:before="0"/>
        <w:ind w:left="426" w:hanging="426"/>
        <w:rPr>
          <w:b w:val="0"/>
        </w:rPr>
      </w:pPr>
      <w:bookmarkStart w:id="45" w:name="_Toc23778769"/>
      <w:r w:rsidRPr="004B00C7">
        <w:t>Summary of Required Document</w:t>
      </w:r>
      <w:r w:rsidR="00E07635">
        <w:t>a</w:t>
      </w:r>
      <w:r w:rsidRPr="004B00C7">
        <w:t>ry Evidence</w:t>
      </w:r>
      <w:bookmarkEnd w:id="45"/>
    </w:p>
    <w:p w14:paraId="583FFE40" w14:textId="77777777" w:rsidR="000C3CC9" w:rsidRPr="009A5611" w:rsidRDefault="000C3CC9" w:rsidP="009A5611">
      <w:pPr>
        <w:pStyle w:val="guidelinetext"/>
        <w:spacing w:line="240" w:lineRule="auto"/>
        <w:ind w:left="0"/>
      </w:pPr>
      <w:r w:rsidRPr="009A5611">
        <w:t>In addition to the evidence recorded in the Department’s IT system, evidence could include:</w:t>
      </w:r>
    </w:p>
    <w:p w14:paraId="2A09C746" w14:textId="6DF3A77A" w:rsidR="000C3CC9" w:rsidRPr="009A5611" w:rsidRDefault="000C3CC9" w:rsidP="009A5611">
      <w:pPr>
        <w:pStyle w:val="guidelinetext"/>
        <w:numPr>
          <w:ilvl w:val="0"/>
          <w:numId w:val="9"/>
        </w:numPr>
        <w:spacing w:line="240" w:lineRule="auto"/>
      </w:pPr>
      <w:r w:rsidRPr="009A5611">
        <w:t xml:space="preserve">prior notification of the requirement to attend, Job Referral, referral to a Job Interview or notification of an Employment Offer; </w:t>
      </w:r>
    </w:p>
    <w:p w14:paraId="542EA318" w14:textId="43CD2B3D" w:rsidR="000C3CC9" w:rsidRPr="009A5611" w:rsidRDefault="000C3CC9" w:rsidP="009A5611">
      <w:pPr>
        <w:pStyle w:val="guidelinetext"/>
        <w:numPr>
          <w:ilvl w:val="0"/>
          <w:numId w:val="9"/>
        </w:numPr>
        <w:spacing w:line="240" w:lineRule="auto"/>
      </w:pPr>
      <w:r w:rsidRPr="009A5611">
        <w:t xml:space="preserve">prior notification of details provided to a </w:t>
      </w:r>
      <w:r w:rsidR="004B00C7">
        <w:t>Participant</w:t>
      </w:r>
      <w:r w:rsidRPr="009A5611">
        <w:t xml:space="preserve"> in relation to attending an Activity or Appointment with a Provider or third party; </w:t>
      </w:r>
    </w:p>
    <w:p w14:paraId="1C33A151" w14:textId="33BDA153" w:rsidR="000C3CC9" w:rsidRPr="009A5611" w:rsidRDefault="000C3CC9" w:rsidP="009A5611">
      <w:pPr>
        <w:pStyle w:val="guidelinetext"/>
        <w:numPr>
          <w:ilvl w:val="0"/>
          <w:numId w:val="9"/>
        </w:numPr>
        <w:spacing w:line="240" w:lineRule="auto"/>
      </w:pPr>
      <w:r w:rsidRPr="009A5611">
        <w:t xml:space="preserve">the format of the Notification (i.e. SMS, email or letter); </w:t>
      </w:r>
    </w:p>
    <w:p w14:paraId="03C072DA" w14:textId="0BA14DFF" w:rsidR="000C3CC9" w:rsidRPr="009A5611" w:rsidRDefault="000C3CC9" w:rsidP="009A5611">
      <w:pPr>
        <w:pStyle w:val="guidelinetext"/>
        <w:numPr>
          <w:ilvl w:val="0"/>
          <w:numId w:val="9"/>
        </w:numPr>
        <w:spacing w:line="240" w:lineRule="auto"/>
      </w:pPr>
      <w:r w:rsidRPr="009A5611">
        <w:t>fully or partially completed Job Searches provided in hard copy form;</w:t>
      </w:r>
    </w:p>
    <w:p w14:paraId="0912CBBC" w14:textId="340F885A" w:rsidR="000C3CC9" w:rsidRPr="000C3CC9" w:rsidRDefault="000C3CC9" w:rsidP="009A5611">
      <w:pPr>
        <w:pStyle w:val="guidelinetext"/>
        <w:numPr>
          <w:ilvl w:val="0"/>
          <w:numId w:val="9"/>
        </w:numPr>
        <w:spacing w:line="240" w:lineRule="auto"/>
      </w:pPr>
      <w:r w:rsidRPr="009A5611">
        <w:t>details of the job/</w:t>
      </w:r>
      <w:r w:rsidR="00411E98">
        <w:t>E</w:t>
      </w:r>
      <w:r w:rsidRPr="009A5611">
        <w:t>mployer and/or details of the incident, including dates, the parties involved and what occurred.</w:t>
      </w:r>
    </w:p>
    <w:p w14:paraId="1F9E031C" w14:textId="0BE9FCA7" w:rsidR="00271F52" w:rsidRDefault="00271F52" w:rsidP="00271F52">
      <w:pPr>
        <w:pStyle w:val="guidelinetext"/>
        <w:spacing w:line="240" w:lineRule="auto"/>
        <w:ind w:left="0"/>
      </w:pPr>
    </w:p>
    <w:bookmarkEnd w:id="23"/>
    <w:p w14:paraId="0BCD5948" w14:textId="73D7D72B" w:rsidR="007F595F" w:rsidRPr="008E1054" w:rsidRDefault="007F595F" w:rsidP="00271F52">
      <w:pPr>
        <w:pStyle w:val="guidelinetext"/>
        <w:ind w:left="0"/>
      </w:pPr>
    </w:p>
    <w:sectPr w:rsidR="007F595F" w:rsidRPr="008E1054" w:rsidSect="00030311">
      <w:headerReference w:type="even" r:id="rId15"/>
      <w:headerReference w:type="default" r:id="rId16"/>
      <w:footerReference w:type="even" r:id="rId17"/>
      <w:footerReference w:type="default" r:id="rId18"/>
      <w:headerReference w:type="first" r:id="rId19"/>
      <w:footerReference w:type="first" r:id="rId20"/>
      <w:pgSz w:w="11906" w:h="16838" w:code="9"/>
      <w:pgMar w:top="1440" w:right="1440" w:bottom="1440" w:left="1440" w:header="708"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77E0C5" w14:textId="77777777" w:rsidR="00E646FC" w:rsidRDefault="00E646FC">
      <w:r>
        <w:separator/>
      </w:r>
    </w:p>
    <w:p w14:paraId="57F6D6A2" w14:textId="77777777" w:rsidR="00E646FC" w:rsidRDefault="00E646FC"/>
  </w:endnote>
  <w:endnote w:type="continuationSeparator" w:id="0">
    <w:p w14:paraId="71BFB781" w14:textId="77777777" w:rsidR="00E646FC" w:rsidRDefault="00E646FC">
      <w:r>
        <w:continuationSeparator/>
      </w:r>
    </w:p>
    <w:p w14:paraId="62EFC161" w14:textId="77777777" w:rsidR="00E646FC" w:rsidRDefault="00E646FC"/>
  </w:endnote>
  <w:endnote w:type="continuationNotice" w:id="1">
    <w:p w14:paraId="34844486" w14:textId="77777777" w:rsidR="00E646FC" w:rsidRDefault="00E646FC">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E93150" w14:textId="77777777" w:rsidR="00D53292" w:rsidRDefault="00D532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89139B" w14:textId="77777777" w:rsidR="009A5611" w:rsidRPr="009A5611" w:rsidRDefault="009A5611" w:rsidP="009A5611">
    <w:pPr>
      <w:tabs>
        <w:tab w:val="right" w:pos="8306"/>
      </w:tabs>
      <w:spacing w:before="0" w:after="0"/>
      <w:rPr>
        <w:color w:val="808080" w:themeColor="background1" w:themeShade="80"/>
        <w:sz w:val="16"/>
        <w:szCs w:val="16"/>
      </w:rPr>
    </w:pPr>
    <w:r w:rsidRPr="009A5611">
      <w:rPr>
        <w:color w:val="808080" w:themeColor="background1" w:themeShade="80"/>
        <w:sz w:val="16"/>
        <w:szCs w:val="16"/>
      </w:rPr>
      <w:t>Capability Assessments Guidelines</w:t>
    </w:r>
  </w:p>
  <w:p w14:paraId="79C21286" w14:textId="23095903" w:rsidR="009A5611" w:rsidRPr="009A5611" w:rsidRDefault="009A5611" w:rsidP="009A5611">
    <w:pPr>
      <w:tabs>
        <w:tab w:val="left" w:pos="5387"/>
        <w:tab w:val="right" w:pos="8306"/>
      </w:tabs>
      <w:spacing w:before="0" w:after="0"/>
      <w:rPr>
        <w:color w:val="808080" w:themeColor="background1" w:themeShade="80"/>
        <w:sz w:val="16"/>
        <w:szCs w:val="16"/>
      </w:rPr>
    </w:pPr>
    <w:r w:rsidRPr="009A5611">
      <w:rPr>
        <w:color w:val="808080" w:themeColor="background1" w:themeShade="80"/>
        <w:sz w:val="16"/>
        <w:szCs w:val="16"/>
      </w:rPr>
      <w:t xml:space="preserve">TRIM ID: </w:t>
    </w:r>
    <w:r w:rsidR="00030311" w:rsidRPr="00030311">
      <w:rPr>
        <w:color w:val="808080" w:themeColor="background1" w:themeShade="80"/>
        <w:sz w:val="16"/>
        <w:szCs w:val="16"/>
      </w:rPr>
      <w:t>D20/46249</w:t>
    </w:r>
    <w:r w:rsidRPr="009A5611">
      <w:rPr>
        <w:color w:val="808080" w:themeColor="background1" w:themeShade="80"/>
        <w:sz w:val="16"/>
        <w:szCs w:val="16"/>
      </w:rPr>
      <w:tab/>
    </w:r>
    <w:r w:rsidRPr="009A5611">
      <w:rPr>
        <w:color w:val="808080" w:themeColor="background1" w:themeShade="80"/>
        <w:sz w:val="16"/>
        <w:szCs w:val="16"/>
      </w:rPr>
      <w:tab/>
    </w:r>
  </w:p>
  <w:p w14:paraId="254D8A21" w14:textId="77777777" w:rsidR="009A5611" w:rsidRPr="009A5611" w:rsidRDefault="009A5611" w:rsidP="009A5611">
    <w:pPr>
      <w:tabs>
        <w:tab w:val="left" w:pos="5387"/>
        <w:tab w:val="right" w:pos="8306"/>
      </w:tabs>
      <w:spacing w:before="0" w:after="0"/>
      <w:rPr>
        <w:color w:val="808080" w:themeColor="background1" w:themeShade="80"/>
        <w:sz w:val="16"/>
        <w:szCs w:val="16"/>
      </w:rPr>
    </w:pPr>
    <w:r w:rsidRPr="009A5611">
      <w:rPr>
        <w:color w:val="808080" w:themeColor="background1" w:themeShade="80"/>
        <w:sz w:val="16"/>
        <w:szCs w:val="16"/>
      </w:rPr>
      <w:t>Arc Record Number: D19/401806</w:t>
    </w:r>
    <w:r w:rsidRPr="009A5611">
      <w:rPr>
        <w:color w:val="808080" w:themeColor="background1" w:themeShade="80"/>
        <w:sz w:val="16"/>
        <w:szCs w:val="16"/>
      </w:rPr>
      <w:tab/>
    </w:r>
  </w:p>
  <w:p w14:paraId="2AB8D9C0" w14:textId="209B6D45" w:rsidR="009A5611" w:rsidRPr="009A5611" w:rsidRDefault="00030311" w:rsidP="009A5611">
    <w:pPr>
      <w:tabs>
        <w:tab w:val="left" w:pos="5387"/>
        <w:tab w:val="right" w:pos="8306"/>
      </w:tabs>
      <w:spacing w:before="0" w:after="0"/>
      <w:jc w:val="right"/>
      <w:rPr>
        <w:color w:val="808080" w:themeColor="background1" w:themeShade="80"/>
        <w:sz w:val="16"/>
        <w:szCs w:val="16"/>
      </w:rPr>
    </w:pPr>
    <w:r>
      <w:rPr>
        <w:color w:val="808080" w:themeColor="background1" w:themeShade="80"/>
        <w:sz w:val="16"/>
        <w:szCs w:val="16"/>
      </w:rPr>
      <w:t>Effective Date: 9 March 2020</w:t>
    </w:r>
  </w:p>
  <w:p w14:paraId="0FDF9359" w14:textId="0AEF1EC4" w:rsidR="001C16EE" w:rsidRPr="001C16EE" w:rsidRDefault="001C16EE" w:rsidP="001C16EE">
    <w:pPr>
      <w:pStyle w:val="Footer"/>
      <w:jc w:val="center"/>
      <w:rPr>
        <w:sz w:val="16"/>
        <w:szCs w:val="16"/>
      </w:rPr>
    </w:pPr>
    <w:r>
      <w:rPr>
        <w:sz w:val="16"/>
        <w:szCs w:val="16"/>
      </w:rPr>
      <w:fldChar w:fldCharType="begin"/>
    </w:r>
    <w:r>
      <w:rPr>
        <w:sz w:val="16"/>
        <w:szCs w:val="16"/>
      </w:rPr>
      <w:instrText xml:space="preserve"> PAGE   \* MERGEFORMAT </w:instrText>
    </w:r>
    <w:r>
      <w:rPr>
        <w:sz w:val="16"/>
        <w:szCs w:val="16"/>
      </w:rPr>
      <w:fldChar w:fldCharType="separate"/>
    </w:r>
    <w:r w:rsidR="00D53292">
      <w:rPr>
        <w:noProof/>
        <w:sz w:val="16"/>
        <w:szCs w:val="16"/>
      </w:rPr>
      <w:t>6</w:t>
    </w:r>
    <w:r>
      <w:rPr>
        <w:sz w:val="16"/>
        <w:szCs w:val="16"/>
      </w:rPr>
      <w:fldChar w:fldCharType="end"/>
    </w:r>
  </w:p>
  <w:p w14:paraId="77D252D3" w14:textId="77777777" w:rsidR="001C16EE" w:rsidRDefault="001C16E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C78CAC" w14:textId="4BEE8836" w:rsidR="00953CDC" w:rsidRPr="0015247F" w:rsidRDefault="004A4615" w:rsidP="00953CDC">
    <w:pPr>
      <w:pStyle w:val="Footer"/>
      <w:rPr>
        <w:sz w:val="16"/>
        <w:szCs w:val="16"/>
      </w:rPr>
    </w:pPr>
    <w:r>
      <w:rPr>
        <w:sz w:val="16"/>
        <w:szCs w:val="16"/>
      </w:rPr>
      <w:t xml:space="preserve">Capability Assessments </w:t>
    </w:r>
    <w:r w:rsidR="00953CDC" w:rsidRPr="0015247F">
      <w:rPr>
        <w:sz w:val="16"/>
        <w:szCs w:val="16"/>
      </w:rPr>
      <w:t>Guidelines</w:t>
    </w:r>
  </w:p>
  <w:p w14:paraId="2B6C738F" w14:textId="0E4B554A" w:rsidR="00953CDC" w:rsidRPr="0015247F" w:rsidRDefault="00030311" w:rsidP="00953CDC">
    <w:pPr>
      <w:pStyle w:val="Footer"/>
      <w:tabs>
        <w:tab w:val="left" w:pos="5387"/>
      </w:tabs>
      <w:rPr>
        <w:sz w:val="16"/>
        <w:szCs w:val="16"/>
      </w:rPr>
    </w:pPr>
    <w:r>
      <w:rPr>
        <w:sz w:val="16"/>
        <w:szCs w:val="16"/>
      </w:rPr>
      <w:t>TRIM ID: D20/46249</w:t>
    </w:r>
    <w:r w:rsidR="00953CDC" w:rsidRPr="0015247F">
      <w:rPr>
        <w:sz w:val="16"/>
        <w:szCs w:val="16"/>
      </w:rPr>
      <w:tab/>
    </w:r>
    <w:r w:rsidR="00953CDC" w:rsidRPr="0015247F">
      <w:rPr>
        <w:sz w:val="16"/>
        <w:szCs w:val="16"/>
      </w:rPr>
      <w:tab/>
    </w:r>
  </w:p>
  <w:p w14:paraId="7A99FCF4" w14:textId="16254793" w:rsidR="00953CDC" w:rsidRPr="0015247F" w:rsidRDefault="00AD5A87" w:rsidP="00953CDC">
    <w:pPr>
      <w:pStyle w:val="Footer"/>
      <w:tabs>
        <w:tab w:val="left" w:pos="5387"/>
      </w:tabs>
      <w:rPr>
        <w:sz w:val="16"/>
        <w:szCs w:val="16"/>
      </w:rPr>
    </w:pPr>
    <w:r>
      <w:rPr>
        <w:sz w:val="16"/>
        <w:szCs w:val="16"/>
      </w:rPr>
      <w:t xml:space="preserve">Arc Record Number: </w:t>
    </w:r>
    <w:r w:rsidR="009A5611" w:rsidRPr="009A5611">
      <w:rPr>
        <w:sz w:val="16"/>
        <w:szCs w:val="16"/>
      </w:rPr>
      <w:t>D19/401806</w:t>
    </w:r>
    <w:r w:rsidR="00953CDC" w:rsidRPr="0015247F">
      <w:rPr>
        <w:sz w:val="16"/>
        <w:szCs w:val="16"/>
      </w:rPr>
      <w:tab/>
    </w:r>
  </w:p>
  <w:p w14:paraId="008A0BD7" w14:textId="5759600C" w:rsidR="00953CDC" w:rsidRPr="0015247F" w:rsidRDefault="00953CDC" w:rsidP="00953CDC">
    <w:pPr>
      <w:pStyle w:val="Footer"/>
      <w:tabs>
        <w:tab w:val="left" w:pos="5387"/>
      </w:tabs>
      <w:jc w:val="right"/>
      <w:rPr>
        <w:sz w:val="16"/>
        <w:szCs w:val="16"/>
      </w:rPr>
    </w:pPr>
    <w:r w:rsidRPr="0015247F">
      <w:rPr>
        <w:sz w:val="16"/>
        <w:szCs w:val="16"/>
      </w:rPr>
      <w:t xml:space="preserve">Effective Date: </w:t>
    </w:r>
    <w:r w:rsidR="00030311">
      <w:rPr>
        <w:sz w:val="16"/>
        <w:szCs w:val="16"/>
      </w:rPr>
      <w:t>9 March 2020</w:t>
    </w:r>
    <w:r w:rsidRPr="0015247F">
      <w:rPr>
        <w:sz w:val="16"/>
        <w:szCs w:val="16"/>
      </w:rPr>
      <w:t xml:space="preserve"> </w:t>
    </w:r>
  </w:p>
  <w:p w14:paraId="1741D235" w14:textId="3349597A" w:rsidR="00953CDC" w:rsidRPr="001C16EE" w:rsidRDefault="001C16EE" w:rsidP="001C16EE">
    <w:pPr>
      <w:pStyle w:val="Footer"/>
      <w:jc w:val="center"/>
      <w:rPr>
        <w:sz w:val="16"/>
        <w:szCs w:val="16"/>
      </w:rPr>
    </w:pPr>
    <w:r>
      <w:rPr>
        <w:sz w:val="16"/>
        <w:szCs w:val="16"/>
      </w:rPr>
      <w:fldChar w:fldCharType="begin"/>
    </w:r>
    <w:r>
      <w:rPr>
        <w:sz w:val="16"/>
        <w:szCs w:val="16"/>
      </w:rPr>
      <w:instrText xml:space="preserve"> PAGE   \* MERGEFORMAT </w:instrText>
    </w:r>
    <w:r>
      <w:rPr>
        <w:sz w:val="16"/>
        <w:szCs w:val="16"/>
      </w:rPr>
      <w:fldChar w:fldCharType="separate"/>
    </w:r>
    <w:r w:rsidR="00D53292">
      <w:rPr>
        <w:noProof/>
        <w:sz w:val="16"/>
        <w:szCs w:val="16"/>
      </w:rPr>
      <w:t>1</w:t>
    </w:r>
    <w:r>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8EC5F3" w14:textId="77777777" w:rsidR="00E646FC" w:rsidRDefault="00E646FC">
      <w:r>
        <w:separator/>
      </w:r>
    </w:p>
    <w:p w14:paraId="5D4CB5B8" w14:textId="77777777" w:rsidR="00E646FC" w:rsidRDefault="00E646FC"/>
  </w:footnote>
  <w:footnote w:type="continuationSeparator" w:id="0">
    <w:p w14:paraId="6AA1C2B4" w14:textId="77777777" w:rsidR="00E646FC" w:rsidRDefault="00E646FC">
      <w:r>
        <w:continuationSeparator/>
      </w:r>
    </w:p>
    <w:p w14:paraId="5AB75C70" w14:textId="77777777" w:rsidR="00E646FC" w:rsidRDefault="00E646FC"/>
  </w:footnote>
  <w:footnote w:type="continuationNotice" w:id="1">
    <w:p w14:paraId="1B9FB701" w14:textId="77777777" w:rsidR="00E646FC" w:rsidRDefault="00E646FC">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8E9BFA" w14:textId="77777777" w:rsidR="00D53292" w:rsidRDefault="00D532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8E5E3E" w14:textId="77777777" w:rsidR="00D53292" w:rsidRDefault="00D5329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B635CC" w14:textId="77777777" w:rsidR="00D53292" w:rsidRDefault="00D532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B31CE6EE"/>
    <w:lvl w:ilvl="0">
      <w:start w:val="1"/>
      <w:numFmt w:val="bullet"/>
      <w:pStyle w:val="ListBullet2"/>
      <w:lvlText w:val=""/>
      <w:lvlJc w:val="left"/>
      <w:pPr>
        <w:ind w:left="643" w:hanging="360"/>
      </w:pPr>
      <w:rPr>
        <w:rFonts w:ascii="Wingdings" w:hAnsi="Wingdings" w:hint="default"/>
      </w:rPr>
    </w:lvl>
  </w:abstractNum>
  <w:abstractNum w:abstractNumId="1" w15:restartNumberingAfterBreak="0">
    <w:nsid w:val="FFFFFF88"/>
    <w:multiLevelType w:val="singleLevel"/>
    <w:tmpl w:val="4BAA2DE2"/>
    <w:lvl w:ilvl="0">
      <w:start w:val="1"/>
      <w:numFmt w:val="decimal"/>
      <w:pStyle w:val="ListNumber"/>
      <w:lvlText w:val="%1."/>
      <w:lvlJc w:val="left"/>
      <w:pPr>
        <w:tabs>
          <w:tab w:val="num" w:pos="360"/>
        </w:tabs>
        <w:ind w:left="360" w:hanging="360"/>
      </w:pPr>
    </w:lvl>
  </w:abstractNum>
  <w:abstractNum w:abstractNumId="2" w15:restartNumberingAfterBreak="0">
    <w:nsid w:val="052C0973"/>
    <w:multiLevelType w:val="multilevel"/>
    <w:tmpl w:val="6374D42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08E60F29"/>
    <w:multiLevelType w:val="hybridMultilevel"/>
    <w:tmpl w:val="9A10EDF0"/>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4" w15:restartNumberingAfterBreak="0">
    <w:nsid w:val="097508CF"/>
    <w:multiLevelType w:val="hybridMultilevel"/>
    <w:tmpl w:val="565A10E0"/>
    <w:lvl w:ilvl="0" w:tplc="0C090001">
      <w:start w:val="1"/>
      <w:numFmt w:val="bullet"/>
      <w:lvlText w:val=""/>
      <w:lvlJc w:val="left"/>
      <w:pPr>
        <w:ind w:left="1800" w:hanging="360"/>
      </w:pPr>
      <w:rPr>
        <w:rFonts w:ascii="Symbol" w:hAnsi="Symbol" w:hint="default"/>
      </w:rPr>
    </w:lvl>
    <w:lvl w:ilvl="1" w:tplc="0C090003">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5" w15:restartNumberingAfterBreak="0">
    <w:nsid w:val="09761F15"/>
    <w:multiLevelType w:val="multilevel"/>
    <w:tmpl w:val="0EF2A3AE"/>
    <w:styleLink w:val="List1a1b1c"/>
    <w:lvl w:ilvl="0">
      <w:start w:val="1"/>
      <w:numFmt w:val="lowerLetter"/>
      <w:lvlText w:val="1%1."/>
      <w:lvlJc w:val="left"/>
      <w:pPr>
        <w:ind w:left="357" w:hanging="357"/>
      </w:pPr>
      <w:rPr>
        <w:rFonts w:hint="default"/>
      </w:rPr>
    </w:lvl>
    <w:lvl w:ilvl="1">
      <w:start w:val="1"/>
      <w:numFmt w:val="lowerLetter"/>
      <w:lvlText w:val="2%2."/>
      <w:lvlJc w:val="left"/>
      <w:pPr>
        <w:ind w:left="714" w:hanging="357"/>
      </w:pPr>
      <w:rPr>
        <w:rFonts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6" w15:restartNumberingAfterBreak="0">
    <w:nsid w:val="10C04BA6"/>
    <w:multiLevelType w:val="multilevel"/>
    <w:tmpl w:val="0EF2A3AE"/>
    <w:lvl w:ilvl="0">
      <w:start w:val="1"/>
      <w:numFmt w:val="lowerLetter"/>
      <w:pStyle w:val="List2"/>
      <w:lvlText w:val="1%1."/>
      <w:lvlJc w:val="left"/>
      <w:pPr>
        <w:ind w:left="357" w:hanging="357"/>
      </w:pPr>
      <w:rPr>
        <w:rFonts w:hint="default"/>
      </w:rPr>
    </w:lvl>
    <w:lvl w:ilvl="1">
      <w:start w:val="1"/>
      <w:numFmt w:val="lowerLetter"/>
      <w:lvlText w:val="2%2."/>
      <w:lvlJc w:val="left"/>
      <w:pPr>
        <w:ind w:left="714" w:hanging="357"/>
      </w:pPr>
      <w:rPr>
        <w:rFonts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7" w15:restartNumberingAfterBreak="0">
    <w:nsid w:val="21CE1A7D"/>
    <w:multiLevelType w:val="hybridMultilevel"/>
    <w:tmpl w:val="2DE6255C"/>
    <w:lvl w:ilvl="0" w:tplc="5ED2029C">
      <w:start w:val="1"/>
      <w:numFmt w:val="bullet"/>
      <w:pStyle w:val="ListBullet"/>
      <w:lvlText w:val=""/>
      <w:lvlJc w:val="left"/>
      <w:pPr>
        <w:tabs>
          <w:tab w:val="num" w:pos="357"/>
        </w:tabs>
        <w:ind w:left="714" w:hanging="357"/>
      </w:pPr>
      <w:rPr>
        <w:rFonts w:ascii="Symbol" w:hAnsi="Symbol" w:hint="default"/>
      </w:rPr>
    </w:lvl>
    <w:lvl w:ilvl="1" w:tplc="8DBC11DA">
      <w:start w:val="1"/>
      <w:numFmt w:val="lowerLetter"/>
      <w:pStyle w:val="Listabc"/>
      <w:lvlText w:val="%2)"/>
      <w:lvlJc w:val="left"/>
      <w:pPr>
        <w:tabs>
          <w:tab w:val="num" w:pos="1362"/>
        </w:tabs>
        <w:ind w:left="1362" w:hanging="360"/>
      </w:pPr>
      <w:rPr>
        <w:rFonts w:hint="default"/>
      </w:rPr>
    </w:lvl>
    <w:lvl w:ilvl="2" w:tplc="0C090005" w:tentative="1">
      <w:start w:val="1"/>
      <w:numFmt w:val="bullet"/>
      <w:lvlText w:val=""/>
      <w:lvlJc w:val="left"/>
      <w:pPr>
        <w:tabs>
          <w:tab w:val="num" w:pos="2082"/>
        </w:tabs>
        <w:ind w:left="2082" w:hanging="360"/>
      </w:pPr>
      <w:rPr>
        <w:rFonts w:ascii="Wingdings" w:hAnsi="Wingdings" w:hint="default"/>
      </w:rPr>
    </w:lvl>
    <w:lvl w:ilvl="3" w:tplc="0C090001" w:tentative="1">
      <w:start w:val="1"/>
      <w:numFmt w:val="bullet"/>
      <w:lvlText w:val=""/>
      <w:lvlJc w:val="left"/>
      <w:pPr>
        <w:tabs>
          <w:tab w:val="num" w:pos="2802"/>
        </w:tabs>
        <w:ind w:left="2802" w:hanging="360"/>
      </w:pPr>
      <w:rPr>
        <w:rFonts w:ascii="Symbol" w:hAnsi="Symbol" w:hint="default"/>
      </w:rPr>
    </w:lvl>
    <w:lvl w:ilvl="4" w:tplc="0C090003" w:tentative="1">
      <w:start w:val="1"/>
      <w:numFmt w:val="bullet"/>
      <w:lvlText w:val="o"/>
      <w:lvlJc w:val="left"/>
      <w:pPr>
        <w:tabs>
          <w:tab w:val="num" w:pos="3522"/>
        </w:tabs>
        <w:ind w:left="3522" w:hanging="360"/>
      </w:pPr>
      <w:rPr>
        <w:rFonts w:ascii="Courier New" w:hAnsi="Courier New" w:cs="Courier New" w:hint="default"/>
      </w:rPr>
    </w:lvl>
    <w:lvl w:ilvl="5" w:tplc="0C090005" w:tentative="1">
      <w:start w:val="1"/>
      <w:numFmt w:val="bullet"/>
      <w:lvlText w:val=""/>
      <w:lvlJc w:val="left"/>
      <w:pPr>
        <w:tabs>
          <w:tab w:val="num" w:pos="4242"/>
        </w:tabs>
        <w:ind w:left="4242" w:hanging="360"/>
      </w:pPr>
      <w:rPr>
        <w:rFonts w:ascii="Wingdings" w:hAnsi="Wingdings" w:hint="default"/>
      </w:rPr>
    </w:lvl>
    <w:lvl w:ilvl="6" w:tplc="0C090001" w:tentative="1">
      <w:start w:val="1"/>
      <w:numFmt w:val="bullet"/>
      <w:lvlText w:val=""/>
      <w:lvlJc w:val="left"/>
      <w:pPr>
        <w:tabs>
          <w:tab w:val="num" w:pos="4962"/>
        </w:tabs>
        <w:ind w:left="4962" w:hanging="360"/>
      </w:pPr>
      <w:rPr>
        <w:rFonts w:ascii="Symbol" w:hAnsi="Symbol" w:hint="default"/>
      </w:rPr>
    </w:lvl>
    <w:lvl w:ilvl="7" w:tplc="0C090003" w:tentative="1">
      <w:start w:val="1"/>
      <w:numFmt w:val="bullet"/>
      <w:lvlText w:val="o"/>
      <w:lvlJc w:val="left"/>
      <w:pPr>
        <w:tabs>
          <w:tab w:val="num" w:pos="5682"/>
        </w:tabs>
        <w:ind w:left="5682" w:hanging="360"/>
      </w:pPr>
      <w:rPr>
        <w:rFonts w:ascii="Courier New" w:hAnsi="Courier New" w:cs="Courier New" w:hint="default"/>
      </w:rPr>
    </w:lvl>
    <w:lvl w:ilvl="8" w:tplc="0C090005" w:tentative="1">
      <w:start w:val="1"/>
      <w:numFmt w:val="bullet"/>
      <w:lvlText w:val=""/>
      <w:lvlJc w:val="left"/>
      <w:pPr>
        <w:tabs>
          <w:tab w:val="num" w:pos="6402"/>
        </w:tabs>
        <w:ind w:left="6402" w:hanging="360"/>
      </w:pPr>
      <w:rPr>
        <w:rFonts w:ascii="Wingdings" w:hAnsi="Wingdings" w:hint="default"/>
      </w:rPr>
    </w:lvl>
  </w:abstractNum>
  <w:abstractNum w:abstractNumId="8" w15:restartNumberingAfterBreak="0">
    <w:nsid w:val="27384CB6"/>
    <w:multiLevelType w:val="hybridMultilevel"/>
    <w:tmpl w:val="FAE82B40"/>
    <w:lvl w:ilvl="0" w:tplc="B44E83C8">
      <w:numFmt w:val="bullet"/>
      <w:lvlText w:val=""/>
      <w:lvlJc w:val="left"/>
      <w:pPr>
        <w:ind w:left="720" w:hanging="360"/>
      </w:pPr>
      <w:rPr>
        <w:rFonts w:ascii="Symbol" w:eastAsiaTheme="minorHAnsi" w:hAnsi="Symbol"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90F717D"/>
    <w:multiLevelType w:val="hybridMultilevel"/>
    <w:tmpl w:val="530691D8"/>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1704A0E"/>
    <w:multiLevelType w:val="hybridMultilevel"/>
    <w:tmpl w:val="F22C3D9A"/>
    <w:lvl w:ilvl="0" w:tplc="CBC023C8">
      <w:start w:val="1"/>
      <w:numFmt w:val="bullet"/>
      <w:pStyle w:val="docev"/>
      <w:lvlText w:val=""/>
      <w:lvlJc w:val="left"/>
      <w:pPr>
        <w:ind w:left="720" w:hanging="360"/>
      </w:pPr>
      <w:rPr>
        <w:rFonts w:ascii="Wingdings" w:hAnsi="Wingdings" w:hint="default"/>
        <w:b w:val="0"/>
        <w:i w:val="0"/>
        <w:sz w:val="2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1B111CA"/>
    <w:multiLevelType w:val="hybridMultilevel"/>
    <w:tmpl w:val="2EE8C472"/>
    <w:lvl w:ilvl="0" w:tplc="E9AE60E4">
      <w:start w:val="1"/>
      <w:numFmt w:val="bullet"/>
      <w:pStyle w:val="WHS"/>
      <w:lvlText w:val=""/>
      <w:lvlJc w:val="left"/>
      <w:pPr>
        <w:ind w:left="360" w:hanging="360"/>
      </w:pPr>
      <w:rPr>
        <w:rFonts w:ascii="Webdings" w:hAnsi="Webdings" w:hint="default"/>
        <w:b/>
        <w:i w:val="0"/>
        <w:color w:val="FF0000"/>
        <w:sz w:val="2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DD011FE"/>
    <w:multiLevelType w:val="hybridMultilevel"/>
    <w:tmpl w:val="C56AEF7C"/>
    <w:lvl w:ilvl="0" w:tplc="EBB8AED6">
      <w:numFmt w:val="bullet"/>
      <w:lvlText w:val="-"/>
      <w:lvlJc w:val="left"/>
      <w:pPr>
        <w:ind w:left="2520" w:hanging="360"/>
      </w:pPr>
      <w:rPr>
        <w:rFonts w:ascii="Garamond" w:eastAsiaTheme="minorHAnsi" w:hAnsi="Garamond" w:cs="Garamond" w:hint="default"/>
      </w:rPr>
    </w:lvl>
    <w:lvl w:ilvl="1" w:tplc="EBB8AED6">
      <w:numFmt w:val="bullet"/>
      <w:lvlText w:val="-"/>
      <w:lvlJc w:val="left"/>
      <w:pPr>
        <w:ind w:left="3240" w:hanging="360"/>
      </w:pPr>
      <w:rPr>
        <w:rFonts w:ascii="Garamond" w:eastAsiaTheme="minorHAnsi" w:hAnsi="Garamond" w:cs="Garamond" w:hint="default"/>
      </w:rPr>
    </w:lvl>
    <w:lvl w:ilvl="2" w:tplc="0C090005" w:tentative="1">
      <w:start w:val="1"/>
      <w:numFmt w:val="bullet"/>
      <w:lvlText w:val=""/>
      <w:lvlJc w:val="left"/>
      <w:pPr>
        <w:ind w:left="3960" w:hanging="360"/>
      </w:pPr>
      <w:rPr>
        <w:rFonts w:ascii="Wingdings" w:hAnsi="Wingdings" w:hint="default"/>
      </w:rPr>
    </w:lvl>
    <w:lvl w:ilvl="3" w:tplc="0C090001" w:tentative="1">
      <w:start w:val="1"/>
      <w:numFmt w:val="bullet"/>
      <w:lvlText w:val=""/>
      <w:lvlJc w:val="left"/>
      <w:pPr>
        <w:ind w:left="4680" w:hanging="360"/>
      </w:pPr>
      <w:rPr>
        <w:rFonts w:ascii="Symbol" w:hAnsi="Symbol" w:hint="default"/>
      </w:rPr>
    </w:lvl>
    <w:lvl w:ilvl="4" w:tplc="0C090003" w:tentative="1">
      <w:start w:val="1"/>
      <w:numFmt w:val="bullet"/>
      <w:lvlText w:val="o"/>
      <w:lvlJc w:val="left"/>
      <w:pPr>
        <w:ind w:left="5400" w:hanging="360"/>
      </w:pPr>
      <w:rPr>
        <w:rFonts w:ascii="Courier New" w:hAnsi="Courier New" w:cs="Courier New" w:hint="default"/>
      </w:rPr>
    </w:lvl>
    <w:lvl w:ilvl="5" w:tplc="0C090005" w:tentative="1">
      <w:start w:val="1"/>
      <w:numFmt w:val="bullet"/>
      <w:lvlText w:val=""/>
      <w:lvlJc w:val="left"/>
      <w:pPr>
        <w:ind w:left="6120" w:hanging="360"/>
      </w:pPr>
      <w:rPr>
        <w:rFonts w:ascii="Wingdings" w:hAnsi="Wingdings" w:hint="default"/>
      </w:rPr>
    </w:lvl>
    <w:lvl w:ilvl="6" w:tplc="0C090001" w:tentative="1">
      <w:start w:val="1"/>
      <w:numFmt w:val="bullet"/>
      <w:lvlText w:val=""/>
      <w:lvlJc w:val="left"/>
      <w:pPr>
        <w:ind w:left="6840" w:hanging="360"/>
      </w:pPr>
      <w:rPr>
        <w:rFonts w:ascii="Symbol" w:hAnsi="Symbol" w:hint="default"/>
      </w:rPr>
    </w:lvl>
    <w:lvl w:ilvl="7" w:tplc="0C090003" w:tentative="1">
      <w:start w:val="1"/>
      <w:numFmt w:val="bullet"/>
      <w:lvlText w:val="o"/>
      <w:lvlJc w:val="left"/>
      <w:pPr>
        <w:ind w:left="7560" w:hanging="360"/>
      </w:pPr>
      <w:rPr>
        <w:rFonts w:ascii="Courier New" w:hAnsi="Courier New" w:cs="Courier New" w:hint="default"/>
      </w:rPr>
    </w:lvl>
    <w:lvl w:ilvl="8" w:tplc="0C090005" w:tentative="1">
      <w:start w:val="1"/>
      <w:numFmt w:val="bullet"/>
      <w:lvlText w:val=""/>
      <w:lvlJc w:val="left"/>
      <w:pPr>
        <w:ind w:left="8280" w:hanging="360"/>
      </w:pPr>
      <w:rPr>
        <w:rFonts w:ascii="Wingdings" w:hAnsi="Wingdings" w:hint="default"/>
      </w:rPr>
    </w:lvl>
  </w:abstractNum>
  <w:abstractNum w:abstractNumId="13" w15:restartNumberingAfterBreak="0">
    <w:nsid w:val="445F465D"/>
    <w:multiLevelType w:val="hybridMultilevel"/>
    <w:tmpl w:val="4F9ED71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E376089"/>
    <w:multiLevelType w:val="hybridMultilevel"/>
    <w:tmpl w:val="844822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8B967A7"/>
    <w:multiLevelType w:val="hybridMultilevel"/>
    <w:tmpl w:val="FBAED1F4"/>
    <w:lvl w:ilvl="0" w:tplc="15DCF940">
      <w:start w:val="1"/>
      <w:numFmt w:val="bullet"/>
      <w:pStyle w:val="Dotpoint"/>
      <w:lvlText w:val=""/>
      <w:lvlJc w:val="left"/>
      <w:pPr>
        <w:ind w:left="360" w:hanging="360"/>
      </w:pPr>
      <w:rPr>
        <w:rFonts w:ascii="Symbol" w:hAnsi="Symbol" w:hint="default"/>
        <w:b/>
        <w:i w:val="0"/>
        <w:color w:val="48B860"/>
        <w:sz w:val="18"/>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727E2F17"/>
    <w:multiLevelType w:val="hybridMultilevel"/>
    <w:tmpl w:val="665096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5C8451D"/>
    <w:multiLevelType w:val="hybridMultilevel"/>
    <w:tmpl w:val="70B8B276"/>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8" w15:restartNumberingAfterBreak="0">
    <w:nsid w:val="7C727836"/>
    <w:multiLevelType w:val="hybridMultilevel"/>
    <w:tmpl w:val="8A1A70F8"/>
    <w:lvl w:ilvl="0" w:tplc="29EEE73C">
      <w:start w:val="1"/>
      <w:numFmt w:val="bullet"/>
      <w:pStyle w:val="guidelinebullet"/>
      <w:lvlText w:val=""/>
      <w:lvlJc w:val="left"/>
      <w:pPr>
        <w:ind w:left="1800" w:hanging="360"/>
      </w:pPr>
      <w:rPr>
        <w:rFonts w:ascii="Symbol" w:hAnsi="Symbol" w:hint="default"/>
      </w:rPr>
    </w:lvl>
    <w:lvl w:ilvl="1" w:tplc="EBB8AED6">
      <w:numFmt w:val="bullet"/>
      <w:lvlText w:val="-"/>
      <w:lvlJc w:val="left"/>
      <w:pPr>
        <w:ind w:left="2520" w:hanging="360"/>
      </w:pPr>
      <w:rPr>
        <w:rFonts w:ascii="Garamond" w:eastAsiaTheme="minorHAnsi" w:hAnsi="Garamond" w:cs="Garamond"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9" w15:restartNumberingAfterBreak="0">
    <w:nsid w:val="7F984AFD"/>
    <w:multiLevelType w:val="hybridMultilevel"/>
    <w:tmpl w:val="A476B01A"/>
    <w:lvl w:ilvl="0" w:tplc="4FCCA8FE">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1"/>
  </w:num>
  <w:num w:numId="4">
    <w:abstractNumId w:val="6"/>
  </w:num>
  <w:num w:numId="5">
    <w:abstractNumId w:val="5"/>
  </w:num>
  <w:num w:numId="6">
    <w:abstractNumId w:val="18"/>
  </w:num>
  <w:num w:numId="7">
    <w:abstractNumId w:val="10"/>
  </w:num>
  <w:num w:numId="8">
    <w:abstractNumId w:val="15"/>
  </w:num>
  <w:num w:numId="9">
    <w:abstractNumId w:val="8"/>
  </w:num>
  <w:num w:numId="10">
    <w:abstractNumId w:val="13"/>
  </w:num>
  <w:num w:numId="11">
    <w:abstractNumId w:val="2"/>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10"/>
  </w:num>
  <w:num w:numId="16">
    <w:abstractNumId w:val="10"/>
  </w:num>
  <w:num w:numId="17">
    <w:abstractNumId w:val="10"/>
  </w:num>
  <w:num w:numId="18">
    <w:abstractNumId w:val="10"/>
  </w:num>
  <w:num w:numId="19">
    <w:abstractNumId w:val="10"/>
  </w:num>
  <w:num w:numId="20">
    <w:abstractNumId w:val="14"/>
  </w:num>
  <w:num w:numId="21">
    <w:abstractNumId w:val="19"/>
  </w:num>
  <w:num w:numId="22">
    <w:abstractNumId w:val="9"/>
  </w:num>
  <w:num w:numId="23">
    <w:abstractNumId w:val="7"/>
  </w:num>
  <w:num w:numId="24">
    <w:abstractNumId w:val="7"/>
  </w:num>
  <w:num w:numId="25">
    <w:abstractNumId w:val="12"/>
  </w:num>
  <w:num w:numId="26">
    <w:abstractNumId w:val="16"/>
  </w:num>
  <w:num w:numId="27">
    <w:abstractNumId w:val="11"/>
  </w:num>
  <w:num w:numId="28">
    <w:abstractNumId w:val="17"/>
  </w:num>
  <w:num w:numId="29">
    <w:abstractNumId w:val="3"/>
  </w:num>
  <w:num w:numId="30">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hideGrammaticalErrors/>
  <w:activeWritingStyle w:appName="MSWord" w:lang="en-AU" w:vendorID="64" w:dllVersion="131078" w:nlCheck="1" w:checkStyle="0"/>
  <w:activeWritingStyle w:appName="MSWord" w:lang="en-U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characterSpacingControl w:val="doNotCompress"/>
  <w:hdrShapeDefaults>
    <o:shapedefaults v:ext="edit" spidmax="2049">
      <o:colormru v:ext="edit" colors="#39b54a,#1869b2"/>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73F5"/>
    <w:rsid w:val="000019DF"/>
    <w:rsid w:val="00002A2C"/>
    <w:rsid w:val="00004285"/>
    <w:rsid w:val="0000545D"/>
    <w:rsid w:val="000148A4"/>
    <w:rsid w:val="00014ECD"/>
    <w:rsid w:val="00016CD9"/>
    <w:rsid w:val="000206BB"/>
    <w:rsid w:val="00022D4A"/>
    <w:rsid w:val="00024E82"/>
    <w:rsid w:val="00030311"/>
    <w:rsid w:val="00030930"/>
    <w:rsid w:val="000312AA"/>
    <w:rsid w:val="0003447E"/>
    <w:rsid w:val="000421D4"/>
    <w:rsid w:val="0004391C"/>
    <w:rsid w:val="00043F7B"/>
    <w:rsid w:val="000462E1"/>
    <w:rsid w:val="00051119"/>
    <w:rsid w:val="00051284"/>
    <w:rsid w:val="00051900"/>
    <w:rsid w:val="000524E5"/>
    <w:rsid w:val="00052E5A"/>
    <w:rsid w:val="000530DC"/>
    <w:rsid w:val="00053875"/>
    <w:rsid w:val="00053A9F"/>
    <w:rsid w:val="000555B3"/>
    <w:rsid w:val="00061FDD"/>
    <w:rsid w:val="0006416C"/>
    <w:rsid w:val="0006449D"/>
    <w:rsid w:val="000656CE"/>
    <w:rsid w:val="00065DED"/>
    <w:rsid w:val="000665E5"/>
    <w:rsid w:val="00066743"/>
    <w:rsid w:val="00070003"/>
    <w:rsid w:val="00075159"/>
    <w:rsid w:val="00081DA5"/>
    <w:rsid w:val="000868F1"/>
    <w:rsid w:val="00087EE0"/>
    <w:rsid w:val="00091029"/>
    <w:rsid w:val="000921E0"/>
    <w:rsid w:val="00093054"/>
    <w:rsid w:val="00093BC7"/>
    <w:rsid w:val="000961EA"/>
    <w:rsid w:val="000962E9"/>
    <w:rsid w:val="00097A3A"/>
    <w:rsid w:val="000A0F5A"/>
    <w:rsid w:val="000A0F60"/>
    <w:rsid w:val="000A2106"/>
    <w:rsid w:val="000A579D"/>
    <w:rsid w:val="000A5B16"/>
    <w:rsid w:val="000B0252"/>
    <w:rsid w:val="000B0DAD"/>
    <w:rsid w:val="000B1D00"/>
    <w:rsid w:val="000B3E4E"/>
    <w:rsid w:val="000B4BFE"/>
    <w:rsid w:val="000B5F3B"/>
    <w:rsid w:val="000B6522"/>
    <w:rsid w:val="000B7029"/>
    <w:rsid w:val="000B70AE"/>
    <w:rsid w:val="000C021B"/>
    <w:rsid w:val="000C1DB2"/>
    <w:rsid w:val="000C252B"/>
    <w:rsid w:val="000C3CC9"/>
    <w:rsid w:val="000C5DBA"/>
    <w:rsid w:val="000C5F80"/>
    <w:rsid w:val="000D35F4"/>
    <w:rsid w:val="000D5683"/>
    <w:rsid w:val="000D56F1"/>
    <w:rsid w:val="000D6C9A"/>
    <w:rsid w:val="000D6F5B"/>
    <w:rsid w:val="000D7C6F"/>
    <w:rsid w:val="000E0418"/>
    <w:rsid w:val="000E0F58"/>
    <w:rsid w:val="000E24FD"/>
    <w:rsid w:val="000E3AA9"/>
    <w:rsid w:val="000E42B0"/>
    <w:rsid w:val="000E57DB"/>
    <w:rsid w:val="000E6690"/>
    <w:rsid w:val="000F3964"/>
    <w:rsid w:val="000F41B1"/>
    <w:rsid w:val="000F5B10"/>
    <w:rsid w:val="00103948"/>
    <w:rsid w:val="00106686"/>
    <w:rsid w:val="00106EB4"/>
    <w:rsid w:val="001101E3"/>
    <w:rsid w:val="00110C28"/>
    <w:rsid w:val="00113449"/>
    <w:rsid w:val="00113E6B"/>
    <w:rsid w:val="00116A31"/>
    <w:rsid w:val="00121F37"/>
    <w:rsid w:val="00126062"/>
    <w:rsid w:val="001266F1"/>
    <w:rsid w:val="00127383"/>
    <w:rsid w:val="001300E2"/>
    <w:rsid w:val="00132EED"/>
    <w:rsid w:val="00137233"/>
    <w:rsid w:val="001409AC"/>
    <w:rsid w:val="00144A9D"/>
    <w:rsid w:val="00145B1F"/>
    <w:rsid w:val="00146AF9"/>
    <w:rsid w:val="00147B8E"/>
    <w:rsid w:val="001500AA"/>
    <w:rsid w:val="00151F1F"/>
    <w:rsid w:val="001552FB"/>
    <w:rsid w:val="00155F62"/>
    <w:rsid w:val="00156E05"/>
    <w:rsid w:val="00156E5C"/>
    <w:rsid w:val="00160B11"/>
    <w:rsid w:val="001633B6"/>
    <w:rsid w:val="00170678"/>
    <w:rsid w:val="00174E70"/>
    <w:rsid w:val="001776B7"/>
    <w:rsid w:val="00180122"/>
    <w:rsid w:val="00190391"/>
    <w:rsid w:val="001906DA"/>
    <w:rsid w:val="001918CE"/>
    <w:rsid w:val="00191CC9"/>
    <w:rsid w:val="00193D9F"/>
    <w:rsid w:val="00194131"/>
    <w:rsid w:val="0019503D"/>
    <w:rsid w:val="00195785"/>
    <w:rsid w:val="00196C20"/>
    <w:rsid w:val="00197FAB"/>
    <w:rsid w:val="001A0B0D"/>
    <w:rsid w:val="001A295E"/>
    <w:rsid w:val="001A3FAA"/>
    <w:rsid w:val="001A4FF9"/>
    <w:rsid w:val="001A549D"/>
    <w:rsid w:val="001A5541"/>
    <w:rsid w:val="001A5B64"/>
    <w:rsid w:val="001A689D"/>
    <w:rsid w:val="001A6F2D"/>
    <w:rsid w:val="001B14FB"/>
    <w:rsid w:val="001B22E1"/>
    <w:rsid w:val="001B2358"/>
    <w:rsid w:val="001B38A9"/>
    <w:rsid w:val="001B39F8"/>
    <w:rsid w:val="001B3DAD"/>
    <w:rsid w:val="001B735C"/>
    <w:rsid w:val="001C16EE"/>
    <w:rsid w:val="001C24C1"/>
    <w:rsid w:val="001C2A5E"/>
    <w:rsid w:val="001C4B61"/>
    <w:rsid w:val="001C70B6"/>
    <w:rsid w:val="001D12D5"/>
    <w:rsid w:val="001D6C78"/>
    <w:rsid w:val="001E01CF"/>
    <w:rsid w:val="001E0CD9"/>
    <w:rsid w:val="001E4B27"/>
    <w:rsid w:val="001E7ADA"/>
    <w:rsid w:val="001F000D"/>
    <w:rsid w:val="001F179D"/>
    <w:rsid w:val="001F40EE"/>
    <w:rsid w:val="001F5500"/>
    <w:rsid w:val="001F5A01"/>
    <w:rsid w:val="001F62FC"/>
    <w:rsid w:val="00200FCC"/>
    <w:rsid w:val="00202944"/>
    <w:rsid w:val="00202A8C"/>
    <w:rsid w:val="00212809"/>
    <w:rsid w:val="00212989"/>
    <w:rsid w:val="0021332D"/>
    <w:rsid w:val="0021363E"/>
    <w:rsid w:val="002145C8"/>
    <w:rsid w:val="00215E9F"/>
    <w:rsid w:val="002219D2"/>
    <w:rsid w:val="00222E6D"/>
    <w:rsid w:val="002232FD"/>
    <w:rsid w:val="0022586D"/>
    <w:rsid w:val="002262AE"/>
    <w:rsid w:val="00227CFE"/>
    <w:rsid w:val="00231486"/>
    <w:rsid w:val="00233239"/>
    <w:rsid w:val="002348BF"/>
    <w:rsid w:val="00237E1D"/>
    <w:rsid w:val="00243B02"/>
    <w:rsid w:val="002458C7"/>
    <w:rsid w:val="00246655"/>
    <w:rsid w:val="00255A77"/>
    <w:rsid w:val="00255A9A"/>
    <w:rsid w:val="00256FE5"/>
    <w:rsid w:val="00257EDE"/>
    <w:rsid w:val="002613F7"/>
    <w:rsid w:val="00262A40"/>
    <w:rsid w:val="0026346D"/>
    <w:rsid w:val="00271F52"/>
    <w:rsid w:val="002749A7"/>
    <w:rsid w:val="00276143"/>
    <w:rsid w:val="00276A50"/>
    <w:rsid w:val="00276FA0"/>
    <w:rsid w:val="002773A2"/>
    <w:rsid w:val="0028103E"/>
    <w:rsid w:val="00283858"/>
    <w:rsid w:val="0028487B"/>
    <w:rsid w:val="00290BEA"/>
    <w:rsid w:val="00290FF9"/>
    <w:rsid w:val="00293C28"/>
    <w:rsid w:val="00293C83"/>
    <w:rsid w:val="002943D5"/>
    <w:rsid w:val="00297252"/>
    <w:rsid w:val="002A05A4"/>
    <w:rsid w:val="002A2E5C"/>
    <w:rsid w:val="002A5C80"/>
    <w:rsid w:val="002A7845"/>
    <w:rsid w:val="002B0EB8"/>
    <w:rsid w:val="002B1A70"/>
    <w:rsid w:val="002B2D51"/>
    <w:rsid w:val="002B4ACD"/>
    <w:rsid w:val="002B6E69"/>
    <w:rsid w:val="002B7276"/>
    <w:rsid w:val="002C369D"/>
    <w:rsid w:val="002C6FB5"/>
    <w:rsid w:val="002C7C32"/>
    <w:rsid w:val="002D2DD1"/>
    <w:rsid w:val="002D612A"/>
    <w:rsid w:val="002E1381"/>
    <w:rsid w:val="002E2993"/>
    <w:rsid w:val="002E3382"/>
    <w:rsid w:val="002E3A6E"/>
    <w:rsid w:val="002E5190"/>
    <w:rsid w:val="002F1741"/>
    <w:rsid w:val="002F20BB"/>
    <w:rsid w:val="002F2594"/>
    <w:rsid w:val="002F2C82"/>
    <w:rsid w:val="002F3336"/>
    <w:rsid w:val="002F4F3B"/>
    <w:rsid w:val="002F522B"/>
    <w:rsid w:val="00301EBC"/>
    <w:rsid w:val="00302565"/>
    <w:rsid w:val="003028A3"/>
    <w:rsid w:val="00302B34"/>
    <w:rsid w:val="00303A0E"/>
    <w:rsid w:val="00303BA2"/>
    <w:rsid w:val="00304997"/>
    <w:rsid w:val="00304CD7"/>
    <w:rsid w:val="00304DE5"/>
    <w:rsid w:val="00305BA4"/>
    <w:rsid w:val="00305C85"/>
    <w:rsid w:val="0030646E"/>
    <w:rsid w:val="00311514"/>
    <w:rsid w:val="00312B04"/>
    <w:rsid w:val="00312C10"/>
    <w:rsid w:val="00315C5F"/>
    <w:rsid w:val="00322E01"/>
    <w:rsid w:val="00323D95"/>
    <w:rsid w:val="00327574"/>
    <w:rsid w:val="0033140F"/>
    <w:rsid w:val="00332540"/>
    <w:rsid w:val="0033479E"/>
    <w:rsid w:val="00334C85"/>
    <w:rsid w:val="00340E4C"/>
    <w:rsid w:val="00341648"/>
    <w:rsid w:val="00341B8F"/>
    <w:rsid w:val="0034605D"/>
    <w:rsid w:val="0034683D"/>
    <w:rsid w:val="00347DC3"/>
    <w:rsid w:val="00350A8B"/>
    <w:rsid w:val="00350FC8"/>
    <w:rsid w:val="0035201C"/>
    <w:rsid w:val="00360829"/>
    <w:rsid w:val="00361CF9"/>
    <w:rsid w:val="00365EBF"/>
    <w:rsid w:val="00371690"/>
    <w:rsid w:val="003718F0"/>
    <w:rsid w:val="00373407"/>
    <w:rsid w:val="003748F8"/>
    <w:rsid w:val="00375373"/>
    <w:rsid w:val="003757B3"/>
    <w:rsid w:val="0037709C"/>
    <w:rsid w:val="00380C00"/>
    <w:rsid w:val="00380C16"/>
    <w:rsid w:val="003853CA"/>
    <w:rsid w:val="00391E64"/>
    <w:rsid w:val="00394050"/>
    <w:rsid w:val="00394EA8"/>
    <w:rsid w:val="00395525"/>
    <w:rsid w:val="00396663"/>
    <w:rsid w:val="00396CD3"/>
    <w:rsid w:val="003A1B98"/>
    <w:rsid w:val="003A7219"/>
    <w:rsid w:val="003B0754"/>
    <w:rsid w:val="003B09D9"/>
    <w:rsid w:val="003B7850"/>
    <w:rsid w:val="003B7A07"/>
    <w:rsid w:val="003C0BF9"/>
    <w:rsid w:val="003C1C94"/>
    <w:rsid w:val="003C3946"/>
    <w:rsid w:val="003C4577"/>
    <w:rsid w:val="003C6597"/>
    <w:rsid w:val="003D2BCA"/>
    <w:rsid w:val="003D5AF4"/>
    <w:rsid w:val="003D73AC"/>
    <w:rsid w:val="003D7802"/>
    <w:rsid w:val="003D7C2F"/>
    <w:rsid w:val="003E0D6A"/>
    <w:rsid w:val="003E2ADF"/>
    <w:rsid w:val="003E3DEC"/>
    <w:rsid w:val="003E4997"/>
    <w:rsid w:val="003E75D1"/>
    <w:rsid w:val="003F0851"/>
    <w:rsid w:val="003F3EAD"/>
    <w:rsid w:val="003F4C74"/>
    <w:rsid w:val="003F5316"/>
    <w:rsid w:val="003F5456"/>
    <w:rsid w:val="004017E3"/>
    <w:rsid w:val="00401AB7"/>
    <w:rsid w:val="0040221F"/>
    <w:rsid w:val="004045C4"/>
    <w:rsid w:val="00406F36"/>
    <w:rsid w:val="004100C8"/>
    <w:rsid w:val="004109E4"/>
    <w:rsid w:val="00410A60"/>
    <w:rsid w:val="00410D90"/>
    <w:rsid w:val="00411E98"/>
    <w:rsid w:val="0041223B"/>
    <w:rsid w:val="00416835"/>
    <w:rsid w:val="00416DE6"/>
    <w:rsid w:val="00420867"/>
    <w:rsid w:val="0042100D"/>
    <w:rsid w:val="00422F8F"/>
    <w:rsid w:val="0042605A"/>
    <w:rsid w:val="00427E22"/>
    <w:rsid w:val="00430498"/>
    <w:rsid w:val="004315E4"/>
    <w:rsid w:val="00432E08"/>
    <w:rsid w:val="00433FDE"/>
    <w:rsid w:val="00434776"/>
    <w:rsid w:val="00434E37"/>
    <w:rsid w:val="0043748C"/>
    <w:rsid w:val="004376FC"/>
    <w:rsid w:val="00437EC7"/>
    <w:rsid w:val="00440890"/>
    <w:rsid w:val="00442740"/>
    <w:rsid w:val="00443CA4"/>
    <w:rsid w:val="00444947"/>
    <w:rsid w:val="00445026"/>
    <w:rsid w:val="0044550E"/>
    <w:rsid w:val="004467EF"/>
    <w:rsid w:val="004501B6"/>
    <w:rsid w:val="00450476"/>
    <w:rsid w:val="00451B1E"/>
    <w:rsid w:val="00453740"/>
    <w:rsid w:val="0045397A"/>
    <w:rsid w:val="00455896"/>
    <w:rsid w:val="004562D2"/>
    <w:rsid w:val="00456CB1"/>
    <w:rsid w:val="004604C9"/>
    <w:rsid w:val="00462205"/>
    <w:rsid w:val="004659FB"/>
    <w:rsid w:val="00470766"/>
    <w:rsid w:val="0047387D"/>
    <w:rsid w:val="00473BBD"/>
    <w:rsid w:val="00473E6E"/>
    <w:rsid w:val="004757B7"/>
    <w:rsid w:val="00482D68"/>
    <w:rsid w:val="00483988"/>
    <w:rsid w:val="004869C8"/>
    <w:rsid w:val="00486C63"/>
    <w:rsid w:val="00487FF9"/>
    <w:rsid w:val="00490A06"/>
    <w:rsid w:val="0049166A"/>
    <w:rsid w:val="0049352E"/>
    <w:rsid w:val="004935D8"/>
    <w:rsid w:val="00494459"/>
    <w:rsid w:val="0049573F"/>
    <w:rsid w:val="004A3003"/>
    <w:rsid w:val="004A42B9"/>
    <w:rsid w:val="004A4615"/>
    <w:rsid w:val="004A5792"/>
    <w:rsid w:val="004B00C7"/>
    <w:rsid w:val="004B2B2C"/>
    <w:rsid w:val="004B33F7"/>
    <w:rsid w:val="004B4DD8"/>
    <w:rsid w:val="004B631B"/>
    <w:rsid w:val="004B6957"/>
    <w:rsid w:val="004B7356"/>
    <w:rsid w:val="004B7718"/>
    <w:rsid w:val="004B7D11"/>
    <w:rsid w:val="004C01A3"/>
    <w:rsid w:val="004C20DC"/>
    <w:rsid w:val="004C22A1"/>
    <w:rsid w:val="004C258E"/>
    <w:rsid w:val="004C385D"/>
    <w:rsid w:val="004C4103"/>
    <w:rsid w:val="004C6671"/>
    <w:rsid w:val="004C7B7A"/>
    <w:rsid w:val="004D30E9"/>
    <w:rsid w:val="004D3DE6"/>
    <w:rsid w:val="004D656B"/>
    <w:rsid w:val="004D6B20"/>
    <w:rsid w:val="004D7F9B"/>
    <w:rsid w:val="004E0715"/>
    <w:rsid w:val="004E1EE2"/>
    <w:rsid w:val="004E2788"/>
    <w:rsid w:val="004E3240"/>
    <w:rsid w:val="004E405C"/>
    <w:rsid w:val="004E43E3"/>
    <w:rsid w:val="004E484D"/>
    <w:rsid w:val="004E5F5D"/>
    <w:rsid w:val="004E7BBE"/>
    <w:rsid w:val="004F4308"/>
    <w:rsid w:val="004F43CF"/>
    <w:rsid w:val="004F447B"/>
    <w:rsid w:val="004F4C66"/>
    <w:rsid w:val="004F5BC2"/>
    <w:rsid w:val="004F6ECE"/>
    <w:rsid w:val="00500099"/>
    <w:rsid w:val="005003D2"/>
    <w:rsid w:val="005014B7"/>
    <w:rsid w:val="00503EB1"/>
    <w:rsid w:val="0050433B"/>
    <w:rsid w:val="005049BF"/>
    <w:rsid w:val="00505D70"/>
    <w:rsid w:val="00511BEB"/>
    <w:rsid w:val="00513376"/>
    <w:rsid w:val="0051368A"/>
    <w:rsid w:val="00513851"/>
    <w:rsid w:val="00515FF7"/>
    <w:rsid w:val="00516841"/>
    <w:rsid w:val="00516E5B"/>
    <w:rsid w:val="005202A3"/>
    <w:rsid w:val="00521784"/>
    <w:rsid w:val="00522D44"/>
    <w:rsid w:val="0052339B"/>
    <w:rsid w:val="00523689"/>
    <w:rsid w:val="005237CB"/>
    <w:rsid w:val="00523F89"/>
    <w:rsid w:val="00523FCC"/>
    <w:rsid w:val="00526942"/>
    <w:rsid w:val="005269CA"/>
    <w:rsid w:val="00527406"/>
    <w:rsid w:val="00530D52"/>
    <w:rsid w:val="00532299"/>
    <w:rsid w:val="00534300"/>
    <w:rsid w:val="0053557E"/>
    <w:rsid w:val="00536836"/>
    <w:rsid w:val="00536AB9"/>
    <w:rsid w:val="005372F1"/>
    <w:rsid w:val="00541E77"/>
    <w:rsid w:val="00544E95"/>
    <w:rsid w:val="00546501"/>
    <w:rsid w:val="00546BCA"/>
    <w:rsid w:val="005479AA"/>
    <w:rsid w:val="00547CC8"/>
    <w:rsid w:val="00551049"/>
    <w:rsid w:val="005523BE"/>
    <w:rsid w:val="00552EA6"/>
    <w:rsid w:val="0056048B"/>
    <w:rsid w:val="00562E70"/>
    <w:rsid w:val="00564F3B"/>
    <w:rsid w:val="005658D3"/>
    <w:rsid w:val="00566DC1"/>
    <w:rsid w:val="00570C56"/>
    <w:rsid w:val="00570CB4"/>
    <w:rsid w:val="00572AE4"/>
    <w:rsid w:val="00572AE5"/>
    <w:rsid w:val="005746D2"/>
    <w:rsid w:val="00574E08"/>
    <w:rsid w:val="00574EAD"/>
    <w:rsid w:val="00580CB3"/>
    <w:rsid w:val="00582C49"/>
    <w:rsid w:val="00582D01"/>
    <w:rsid w:val="00584084"/>
    <w:rsid w:val="00585236"/>
    <w:rsid w:val="00585DDB"/>
    <w:rsid w:val="005860EA"/>
    <w:rsid w:val="0058679B"/>
    <w:rsid w:val="005925CD"/>
    <w:rsid w:val="005A466D"/>
    <w:rsid w:val="005A5914"/>
    <w:rsid w:val="005A5AED"/>
    <w:rsid w:val="005A67CB"/>
    <w:rsid w:val="005A79AE"/>
    <w:rsid w:val="005B14AE"/>
    <w:rsid w:val="005B30B5"/>
    <w:rsid w:val="005B41A7"/>
    <w:rsid w:val="005B51B6"/>
    <w:rsid w:val="005C25E0"/>
    <w:rsid w:val="005D04F3"/>
    <w:rsid w:val="005D0A01"/>
    <w:rsid w:val="005D0EF5"/>
    <w:rsid w:val="005D2019"/>
    <w:rsid w:val="005D7AC1"/>
    <w:rsid w:val="005E0980"/>
    <w:rsid w:val="005E5FAC"/>
    <w:rsid w:val="005E6D87"/>
    <w:rsid w:val="005E7874"/>
    <w:rsid w:val="005E7994"/>
    <w:rsid w:val="005F00D9"/>
    <w:rsid w:val="005F1FB9"/>
    <w:rsid w:val="005F2FEB"/>
    <w:rsid w:val="005F3186"/>
    <w:rsid w:val="005F34F3"/>
    <w:rsid w:val="005F4A58"/>
    <w:rsid w:val="005F606E"/>
    <w:rsid w:val="006012D2"/>
    <w:rsid w:val="00601AC4"/>
    <w:rsid w:val="00602124"/>
    <w:rsid w:val="00602423"/>
    <w:rsid w:val="0060681B"/>
    <w:rsid w:val="006106F9"/>
    <w:rsid w:val="00610C48"/>
    <w:rsid w:val="00615C1E"/>
    <w:rsid w:val="006171C4"/>
    <w:rsid w:val="00620F92"/>
    <w:rsid w:val="006224C6"/>
    <w:rsid w:val="00623924"/>
    <w:rsid w:val="006249CF"/>
    <w:rsid w:val="0062585B"/>
    <w:rsid w:val="00626566"/>
    <w:rsid w:val="00626D57"/>
    <w:rsid w:val="006312B6"/>
    <w:rsid w:val="00634774"/>
    <w:rsid w:val="00642304"/>
    <w:rsid w:val="00642582"/>
    <w:rsid w:val="00643DF8"/>
    <w:rsid w:val="006447F9"/>
    <w:rsid w:val="00646C0F"/>
    <w:rsid w:val="00650540"/>
    <w:rsid w:val="0065358C"/>
    <w:rsid w:val="0065556A"/>
    <w:rsid w:val="0065728C"/>
    <w:rsid w:val="0065732A"/>
    <w:rsid w:val="006601EF"/>
    <w:rsid w:val="0066561F"/>
    <w:rsid w:val="006712D7"/>
    <w:rsid w:val="006724BF"/>
    <w:rsid w:val="00672927"/>
    <w:rsid w:val="00672A48"/>
    <w:rsid w:val="00674FBC"/>
    <w:rsid w:val="00676041"/>
    <w:rsid w:val="00684EAD"/>
    <w:rsid w:val="00685C46"/>
    <w:rsid w:val="00691B40"/>
    <w:rsid w:val="00692B34"/>
    <w:rsid w:val="00693626"/>
    <w:rsid w:val="006966CC"/>
    <w:rsid w:val="006A76C3"/>
    <w:rsid w:val="006B168E"/>
    <w:rsid w:val="006B6B9B"/>
    <w:rsid w:val="006B6CE6"/>
    <w:rsid w:val="006B7F21"/>
    <w:rsid w:val="006C0880"/>
    <w:rsid w:val="006C1B3D"/>
    <w:rsid w:val="006C2E62"/>
    <w:rsid w:val="006C353D"/>
    <w:rsid w:val="006C3F96"/>
    <w:rsid w:val="006C4D3F"/>
    <w:rsid w:val="006D0A68"/>
    <w:rsid w:val="006D160C"/>
    <w:rsid w:val="006D364A"/>
    <w:rsid w:val="006D3BD8"/>
    <w:rsid w:val="006D4521"/>
    <w:rsid w:val="006D4952"/>
    <w:rsid w:val="006D4EBB"/>
    <w:rsid w:val="006D566F"/>
    <w:rsid w:val="006D795A"/>
    <w:rsid w:val="006D7BC6"/>
    <w:rsid w:val="006E036F"/>
    <w:rsid w:val="006E07EB"/>
    <w:rsid w:val="006E1067"/>
    <w:rsid w:val="006E212B"/>
    <w:rsid w:val="006E2B49"/>
    <w:rsid w:val="006E3D7F"/>
    <w:rsid w:val="006E4B6B"/>
    <w:rsid w:val="006E586D"/>
    <w:rsid w:val="006E6F99"/>
    <w:rsid w:val="006E77A9"/>
    <w:rsid w:val="006F00BD"/>
    <w:rsid w:val="006F11CD"/>
    <w:rsid w:val="00701CFA"/>
    <w:rsid w:val="00703115"/>
    <w:rsid w:val="0070312A"/>
    <w:rsid w:val="00704CE7"/>
    <w:rsid w:val="00705318"/>
    <w:rsid w:val="00705DDA"/>
    <w:rsid w:val="007073F5"/>
    <w:rsid w:val="007108A2"/>
    <w:rsid w:val="007119B7"/>
    <w:rsid w:val="00712A13"/>
    <w:rsid w:val="00713767"/>
    <w:rsid w:val="00717DFE"/>
    <w:rsid w:val="007201EF"/>
    <w:rsid w:val="007203BA"/>
    <w:rsid w:val="0072250C"/>
    <w:rsid w:val="00725BA6"/>
    <w:rsid w:val="00727275"/>
    <w:rsid w:val="007303F1"/>
    <w:rsid w:val="00730E7F"/>
    <w:rsid w:val="007331F0"/>
    <w:rsid w:val="007342E8"/>
    <w:rsid w:val="0073442A"/>
    <w:rsid w:val="007353E6"/>
    <w:rsid w:val="00735C67"/>
    <w:rsid w:val="007372B4"/>
    <w:rsid w:val="00740454"/>
    <w:rsid w:val="007407C9"/>
    <w:rsid w:val="00742213"/>
    <w:rsid w:val="00743799"/>
    <w:rsid w:val="00746C1C"/>
    <w:rsid w:val="007562E0"/>
    <w:rsid w:val="0075694C"/>
    <w:rsid w:val="00756DC4"/>
    <w:rsid w:val="007600AB"/>
    <w:rsid w:val="007618BB"/>
    <w:rsid w:val="007618DB"/>
    <w:rsid w:val="007634FA"/>
    <w:rsid w:val="00763C05"/>
    <w:rsid w:val="007640C1"/>
    <w:rsid w:val="007651FC"/>
    <w:rsid w:val="0076609A"/>
    <w:rsid w:val="00767989"/>
    <w:rsid w:val="00777219"/>
    <w:rsid w:val="007779B8"/>
    <w:rsid w:val="0078027A"/>
    <w:rsid w:val="00780E30"/>
    <w:rsid w:val="00783554"/>
    <w:rsid w:val="00785F05"/>
    <w:rsid w:val="00787233"/>
    <w:rsid w:val="007908AF"/>
    <w:rsid w:val="00790E21"/>
    <w:rsid w:val="00790E68"/>
    <w:rsid w:val="00791D2D"/>
    <w:rsid w:val="00792024"/>
    <w:rsid w:val="00794BC0"/>
    <w:rsid w:val="00794DE1"/>
    <w:rsid w:val="007955AF"/>
    <w:rsid w:val="0079605E"/>
    <w:rsid w:val="00797982"/>
    <w:rsid w:val="00797FD9"/>
    <w:rsid w:val="007A0293"/>
    <w:rsid w:val="007A164D"/>
    <w:rsid w:val="007A218D"/>
    <w:rsid w:val="007A337E"/>
    <w:rsid w:val="007A5C32"/>
    <w:rsid w:val="007B1EC9"/>
    <w:rsid w:val="007B216E"/>
    <w:rsid w:val="007B630A"/>
    <w:rsid w:val="007B63A6"/>
    <w:rsid w:val="007B653C"/>
    <w:rsid w:val="007B6A59"/>
    <w:rsid w:val="007C1A39"/>
    <w:rsid w:val="007C26E0"/>
    <w:rsid w:val="007C28F5"/>
    <w:rsid w:val="007C2D7E"/>
    <w:rsid w:val="007C3212"/>
    <w:rsid w:val="007C4C5D"/>
    <w:rsid w:val="007C5B14"/>
    <w:rsid w:val="007C5BB9"/>
    <w:rsid w:val="007D1DFF"/>
    <w:rsid w:val="007D49B0"/>
    <w:rsid w:val="007D5227"/>
    <w:rsid w:val="007E15BF"/>
    <w:rsid w:val="007E1915"/>
    <w:rsid w:val="007E3BBE"/>
    <w:rsid w:val="007E5393"/>
    <w:rsid w:val="007E5B52"/>
    <w:rsid w:val="007F05A8"/>
    <w:rsid w:val="007F0DEF"/>
    <w:rsid w:val="007F1D17"/>
    <w:rsid w:val="007F3135"/>
    <w:rsid w:val="007F3155"/>
    <w:rsid w:val="007F3527"/>
    <w:rsid w:val="007F3C07"/>
    <w:rsid w:val="007F4069"/>
    <w:rsid w:val="007F595F"/>
    <w:rsid w:val="007F7190"/>
    <w:rsid w:val="00806107"/>
    <w:rsid w:val="008138FD"/>
    <w:rsid w:val="00821645"/>
    <w:rsid w:val="00821CC0"/>
    <w:rsid w:val="00822BC0"/>
    <w:rsid w:val="00823C1B"/>
    <w:rsid w:val="00825165"/>
    <w:rsid w:val="008276C9"/>
    <w:rsid w:val="00827BFB"/>
    <w:rsid w:val="008309F1"/>
    <w:rsid w:val="00830B7F"/>
    <w:rsid w:val="00832320"/>
    <w:rsid w:val="00833D89"/>
    <w:rsid w:val="00836DA5"/>
    <w:rsid w:val="008379AE"/>
    <w:rsid w:val="00840FCD"/>
    <w:rsid w:val="008410B5"/>
    <w:rsid w:val="0084603F"/>
    <w:rsid w:val="00850A05"/>
    <w:rsid w:val="008535BE"/>
    <w:rsid w:val="008554F4"/>
    <w:rsid w:val="0085636D"/>
    <w:rsid w:val="00856506"/>
    <w:rsid w:val="00857EC1"/>
    <w:rsid w:val="0086021E"/>
    <w:rsid w:val="00862347"/>
    <w:rsid w:val="008631A7"/>
    <w:rsid w:val="00864121"/>
    <w:rsid w:val="00864222"/>
    <w:rsid w:val="00866008"/>
    <w:rsid w:val="00867009"/>
    <w:rsid w:val="008711AD"/>
    <w:rsid w:val="0087271F"/>
    <w:rsid w:val="00874CFA"/>
    <w:rsid w:val="00875BAF"/>
    <w:rsid w:val="008771BE"/>
    <w:rsid w:val="008826EB"/>
    <w:rsid w:val="00884146"/>
    <w:rsid w:val="00890053"/>
    <w:rsid w:val="008925E4"/>
    <w:rsid w:val="008A0499"/>
    <w:rsid w:val="008A1826"/>
    <w:rsid w:val="008A3D63"/>
    <w:rsid w:val="008A4F21"/>
    <w:rsid w:val="008B0F17"/>
    <w:rsid w:val="008B2356"/>
    <w:rsid w:val="008B595B"/>
    <w:rsid w:val="008B5CBE"/>
    <w:rsid w:val="008B60DC"/>
    <w:rsid w:val="008B764D"/>
    <w:rsid w:val="008B7CA2"/>
    <w:rsid w:val="008B7E1E"/>
    <w:rsid w:val="008C265D"/>
    <w:rsid w:val="008C2C10"/>
    <w:rsid w:val="008C3E4A"/>
    <w:rsid w:val="008C4205"/>
    <w:rsid w:val="008C5299"/>
    <w:rsid w:val="008D19BF"/>
    <w:rsid w:val="008D26AB"/>
    <w:rsid w:val="008D5CD9"/>
    <w:rsid w:val="008D67C7"/>
    <w:rsid w:val="008D68BC"/>
    <w:rsid w:val="008D6B0D"/>
    <w:rsid w:val="008D6E69"/>
    <w:rsid w:val="008E21E8"/>
    <w:rsid w:val="008E2254"/>
    <w:rsid w:val="008E22DA"/>
    <w:rsid w:val="008E30D2"/>
    <w:rsid w:val="008E3B35"/>
    <w:rsid w:val="008E5349"/>
    <w:rsid w:val="008E5CA1"/>
    <w:rsid w:val="008E5FCD"/>
    <w:rsid w:val="008E772F"/>
    <w:rsid w:val="008F30AF"/>
    <w:rsid w:val="008F47AA"/>
    <w:rsid w:val="008F6108"/>
    <w:rsid w:val="008F685A"/>
    <w:rsid w:val="008F77E0"/>
    <w:rsid w:val="0090089A"/>
    <w:rsid w:val="00902051"/>
    <w:rsid w:val="0090360C"/>
    <w:rsid w:val="00907EFD"/>
    <w:rsid w:val="00907F57"/>
    <w:rsid w:val="0091149A"/>
    <w:rsid w:val="00912BE3"/>
    <w:rsid w:val="0091336C"/>
    <w:rsid w:val="00914B1E"/>
    <w:rsid w:val="00917DC0"/>
    <w:rsid w:val="0092122C"/>
    <w:rsid w:val="00922145"/>
    <w:rsid w:val="00922194"/>
    <w:rsid w:val="00922783"/>
    <w:rsid w:val="00924E9A"/>
    <w:rsid w:val="009250A8"/>
    <w:rsid w:val="00930665"/>
    <w:rsid w:val="00930E4F"/>
    <w:rsid w:val="00932E41"/>
    <w:rsid w:val="00934547"/>
    <w:rsid w:val="0093595C"/>
    <w:rsid w:val="00936894"/>
    <w:rsid w:val="009402E3"/>
    <w:rsid w:val="00940305"/>
    <w:rsid w:val="009438FC"/>
    <w:rsid w:val="00945F4C"/>
    <w:rsid w:val="00947ADD"/>
    <w:rsid w:val="00951498"/>
    <w:rsid w:val="00953CDC"/>
    <w:rsid w:val="00955672"/>
    <w:rsid w:val="009575F0"/>
    <w:rsid w:val="009602A5"/>
    <w:rsid w:val="00960C90"/>
    <w:rsid w:val="00965DD9"/>
    <w:rsid w:val="009664FC"/>
    <w:rsid w:val="009668FD"/>
    <w:rsid w:val="00967311"/>
    <w:rsid w:val="00967E82"/>
    <w:rsid w:val="00973B21"/>
    <w:rsid w:val="00974352"/>
    <w:rsid w:val="00975BD6"/>
    <w:rsid w:val="009769F5"/>
    <w:rsid w:val="00976DB2"/>
    <w:rsid w:val="00977445"/>
    <w:rsid w:val="00980EE9"/>
    <w:rsid w:val="009825F4"/>
    <w:rsid w:val="00984B5B"/>
    <w:rsid w:val="00985297"/>
    <w:rsid w:val="00987291"/>
    <w:rsid w:val="00991B63"/>
    <w:rsid w:val="0099483B"/>
    <w:rsid w:val="00995708"/>
    <w:rsid w:val="009957AE"/>
    <w:rsid w:val="00997983"/>
    <w:rsid w:val="009A0D01"/>
    <w:rsid w:val="009A178A"/>
    <w:rsid w:val="009A3CB2"/>
    <w:rsid w:val="009A5611"/>
    <w:rsid w:val="009A5BBB"/>
    <w:rsid w:val="009A63F4"/>
    <w:rsid w:val="009B0F53"/>
    <w:rsid w:val="009B25D5"/>
    <w:rsid w:val="009B2C0F"/>
    <w:rsid w:val="009B4050"/>
    <w:rsid w:val="009B58C2"/>
    <w:rsid w:val="009C1FEF"/>
    <w:rsid w:val="009C3E28"/>
    <w:rsid w:val="009C4291"/>
    <w:rsid w:val="009C4485"/>
    <w:rsid w:val="009C577B"/>
    <w:rsid w:val="009C6E96"/>
    <w:rsid w:val="009D0360"/>
    <w:rsid w:val="009D2283"/>
    <w:rsid w:val="009D3477"/>
    <w:rsid w:val="009D3E84"/>
    <w:rsid w:val="009E091E"/>
    <w:rsid w:val="009E3908"/>
    <w:rsid w:val="009E3E11"/>
    <w:rsid w:val="009E4B99"/>
    <w:rsid w:val="009E50BD"/>
    <w:rsid w:val="009E580D"/>
    <w:rsid w:val="009F0061"/>
    <w:rsid w:val="009F0314"/>
    <w:rsid w:val="009F0F85"/>
    <w:rsid w:val="009F1C00"/>
    <w:rsid w:val="009F24DE"/>
    <w:rsid w:val="009F61BA"/>
    <w:rsid w:val="00A0077E"/>
    <w:rsid w:val="00A04B67"/>
    <w:rsid w:val="00A05966"/>
    <w:rsid w:val="00A119A3"/>
    <w:rsid w:val="00A128F8"/>
    <w:rsid w:val="00A12C2E"/>
    <w:rsid w:val="00A13A22"/>
    <w:rsid w:val="00A141DE"/>
    <w:rsid w:val="00A20273"/>
    <w:rsid w:val="00A204D0"/>
    <w:rsid w:val="00A20E85"/>
    <w:rsid w:val="00A220F8"/>
    <w:rsid w:val="00A222E6"/>
    <w:rsid w:val="00A25537"/>
    <w:rsid w:val="00A260AB"/>
    <w:rsid w:val="00A278CF"/>
    <w:rsid w:val="00A33192"/>
    <w:rsid w:val="00A34747"/>
    <w:rsid w:val="00A354F1"/>
    <w:rsid w:val="00A3755E"/>
    <w:rsid w:val="00A37CA6"/>
    <w:rsid w:val="00A43C5C"/>
    <w:rsid w:val="00A4408D"/>
    <w:rsid w:val="00A458F6"/>
    <w:rsid w:val="00A4647B"/>
    <w:rsid w:val="00A507AE"/>
    <w:rsid w:val="00A50935"/>
    <w:rsid w:val="00A55AC3"/>
    <w:rsid w:val="00A55F29"/>
    <w:rsid w:val="00A57E78"/>
    <w:rsid w:val="00A60148"/>
    <w:rsid w:val="00A6179E"/>
    <w:rsid w:val="00A61E46"/>
    <w:rsid w:val="00A61EA7"/>
    <w:rsid w:val="00A61F77"/>
    <w:rsid w:val="00A62BF7"/>
    <w:rsid w:val="00A65769"/>
    <w:rsid w:val="00A65FE5"/>
    <w:rsid w:val="00A66113"/>
    <w:rsid w:val="00A67F96"/>
    <w:rsid w:val="00A7154F"/>
    <w:rsid w:val="00A72A03"/>
    <w:rsid w:val="00A73082"/>
    <w:rsid w:val="00A732AF"/>
    <w:rsid w:val="00A759FF"/>
    <w:rsid w:val="00A82424"/>
    <w:rsid w:val="00A868DC"/>
    <w:rsid w:val="00A91523"/>
    <w:rsid w:val="00A97784"/>
    <w:rsid w:val="00AA1C54"/>
    <w:rsid w:val="00AA27BC"/>
    <w:rsid w:val="00AA2AED"/>
    <w:rsid w:val="00AA567D"/>
    <w:rsid w:val="00AB035D"/>
    <w:rsid w:val="00AB39AA"/>
    <w:rsid w:val="00AB3D89"/>
    <w:rsid w:val="00AB3F47"/>
    <w:rsid w:val="00AB45A0"/>
    <w:rsid w:val="00AB70DA"/>
    <w:rsid w:val="00AC0D3B"/>
    <w:rsid w:val="00AC2A40"/>
    <w:rsid w:val="00AC2CFE"/>
    <w:rsid w:val="00AC35BB"/>
    <w:rsid w:val="00AC373D"/>
    <w:rsid w:val="00AC3F41"/>
    <w:rsid w:val="00AC4925"/>
    <w:rsid w:val="00AC50E9"/>
    <w:rsid w:val="00AC7124"/>
    <w:rsid w:val="00AD0561"/>
    <w:rsid w:val="00AD2C5D"/>
    <w:rsid w:val="00AD5920"/>
    <w:rsid w:val="00AD5A87"/>
    <w:rsid w:val="00AD651D"/>
    <w:rsid w:val="00AE1177"/>
    <w:rsid w:val="00AE1D79"/>
    <w:rsid w:val="00AE22C7"/>
    <w:rsid w:val="00AF0366"/>
    <w:rsid w:val="00AF350A"/>
    <w:rsid w:val="00B00BE4"/>
    <w:rsid w:val="00B03730"/>
    <w:rsid w:val="00B03CCB"/>
    <w:rsid w:val="00B0749F"/>
    <w:rsid w:val="00B07607"/>
    <w:rsid w:val="00B10332"/>
    <w:rsid w:val="00B13E99"/>
    <w:rsid w:val="00B14651"/>
    <w:rsid w:val="00B1782E"/>
    <w:rsid w:val="00B22B2F"/>
    <w:rsid w:val="00B26335"/>
    <w:rsid w:val="00B26DCE"/>
    <w:rsid w:val="00B27BE9"/>
    <w:rsid w:val="00B30F14"/>
    <w:rsid w:val="00B31C3D"/>
    <w:rsid w:val="00B322A6"/>
    <w:rsid w:val="00B349FD"/>
    <w:rsid w:val="00B416BE"/>
    <w:rsid w:val="00B416E1"/>
    <w:rsid w:val="00B41A36"/>
    <w:rsid w:val="00B4261E"/>
    <w:rsid w:val="00B443A6"/>
    <w:rsid w:val="00B47556"/>
    <w:rsid w:val="00B503F0"/>
    <w:rsid w:val="00B508AA"/>
    <w:rsid w:val="00B532FC"/>
    <w:rsid w:val="00B53D58"/>
    <w:rsid w:val="00B540DD"/>
    <w:rsid w:val="00B54BFB"/>
    <w:rsid w:val="00B56FC3"/>
    <w:rsid w:val="00B57409"/>
    <w:rsid w:val="00B60D57"/>
    <w:rsid w:val="00B65A86"/>
    <w:rsid w:val="00B661F0"/>
    <w:rsid w:val="00B668B6"/>
    <w:rsid w:val="00B66934"/>
    <w:rsid w:val="00B71B72"/>
    <w:rsid w:val="00B73A4B"/>
    <w:rsid w:val="00B75933"/>
    <w:rsid w:val="00B76CFE"/>
    <w:rsid w:val="00B832D2"/>
    <w:rsid w:val="00B84760"/>
    <w:rsid w:val="00B867C6"/>
    <w:rsid w:val="00B86CDF"/>
    <w:rsid w:val="00B8738F"/>
    <w:rsid w:val="00B87558"/>
    <w:rsid w:val="00B87FB6"/>
    <w:rsid w:val="00B90D07"/>
    <w:rsid w:val="00B92471"/>
    <w:rsid w:val="00B967AD"/>
    <w:rsid w:val="00B969F9"/>
    <w:rsid w:val="00B97007"/>
    <w:rsid w:val="00B979F4"/>
    <w:rsid w:val="00B97DB8"/>
    <w:rsid w:val="00BA12D6"/>
    <w:rsid w:val="00BA3A0A"/>
    <w:rsid w:val="00BA3F10"/>
    <w:rsid w:val="00BA5A99"/>
    <w:rsid w:val="00BA5F87"/>
    <w:rsid w:val="00BA6F6C"/>
    <w:rsid w:val="00BA796A"/>
    <w:rsid w:val="00BB0A46"/>
    <w:rsid w:val="00BB2D61"/>
    <w:rsid w:val="00BB5D9F"/>
    <w:rsid w:val="00BB7751"/>
    <w:rsid w:val="00BC0C6F"/>
    <w:rsid w:val="00BC454D"/>
    <w:rsid w:val="00BD1A2E"/>
    <w:rsid w:val="00BD7421"/>
    <w:rsid w:val="00BE1600"/>
    <w:rsid w:val="00BE1F3C"/>
    <w:rsid w:val="00BF5425"/>
    <w:rsid w:val="00BF6444"/>
    <w:rsid w:val="00BF67FB"/>
    <w:rsid w:val="00BF6802"/>
    <w:rsid w:val="00BF7339"/>
    <w:rsid w:val="00BF74E0"/>
    <w:rsid w:val="00C00314"/>
    <w:rsid w:val="00C018EC"/>
    <w:rsid w:val="00C02388"/>
    <w:rsid w:val="00C03FFF"/>
    <w:rsid w:val="00C052C5"/>
    <w:rsid w:val="00C05710"/>
    <w:rsid w:val="00C07F22"/>
    <w:rsid w:val="00C10A1F"/>
    <w:rsid w:val="00C11B2D"/>
    <w:rsid w:val="00C13088"/>
    <w:rsid w:val="00C1358C"/>
    <w:rsid w:val="00C14C8D"/>
    <w:rsid w:val="00C22C29"/>
    <w:rsid w:val="00C256C7"/>
    <w:rsid w:val="00C26774"/>
    <w:rsid w:val="00C275CF"/>
    <w:rsid w:val="00C27DCB"/>
    <w:rsid w:val="00C31650"/>
    <w:rsid w:val="00C31880"/>
    <w:rsid w:val="00C31F01"/>
    <w:rsid w:val="00C32148"/>
    <w:rsid w:val="00C34313"/>
    <w:rsid w:val="00C34FE5"/>
    <w:rsid w:val="00C3669A"/>
    <w:rsid w:val="00C43CB9"/>
    <w:rsid w:val="00C44ABD"/>
    <w:rsid w:val="00C45603"/>
    <w:rsid w:val="00C457AB"/>
    <w:rsid w:val="00C45E0F"/>
    <w:rsid w:val="00C46768"/>
    <w:rsid w:val="00C53C3F"/>
    <w:rsid w:val="00C5648E"/>
    <w:rsid w:val="00C57C3A"/>
    <w:rsid w:val="00C62C0D"/>
    <w:rsid w:val="00C643D7"/>
    <w:rsid w:val="00C65E28"/>
    <w:rsid w:val="00C663CA"/>
    <w:rsid w:val="00C671E0"/>
    <w:rsid w:val="00C7182D"/>
    <w:rsid w:val="00C72376"/>
    <w:rsid w:val="00C731A1"/>
    <w:rsid w:val="00C732EE"/>
    <w:rsid w:val="00C745FF"/>
    <w:rsid w:val="00C77CCF"/>
    <w:rsid w:val="00C80433"/>
    <w:rsid w:val="00C810E0"/>
    <w:rsid w:val="00C811A4"/>
    <w:rsid w:val="00C8224E"/>
    <w:rsid w:val="00C82774"/>
    <w:rsid w:val="00C84D65"/>
    <w:rsid w:val="00C866E7"/>
    <w:rsid w:val="00C86A6E"/>
    <w:rsid w:val="00C86BDC"/>
    <w:rsid w:val="00C8750D"/>
    <w:rsid w:val="00C87856"/>
    <w:rsid w:val="00C927F3"/>
    <w:rsid w:val="00C943BB"/>
    <w:rsid w:val="00C94842"/>
    <w:rsid w:val="00C94C74"/>
    <w:rsid w:val="00C963DB"/>
    <w:rsid w:val="00C973E5"/>
    <w:rsid w:val="00C9779A"/>
    <w:rsid w:val="00C97C91"/>
    <w:rsid w:val="00CA00F9"/>
    <w:rsid w:val="00CA3772"/>
    <w:rsid w:val="00CA50BF"/>
    <w:rsid w:val="00CA5FF7"/>
    <w:rsid w:val="00CB0640"/>
    <w:rsid w:val="00CB665D"/>
    <w:rsid w:val="00CB793D"/>
    <w:rsid w:val="00CC1787"/>
    <w:rsid w:val="00CC58EC"/>
    <w:rsid w:val="00CC5DE2"/>
    <w:rsid w:val="00CC799F"/>
    <w:rsid w:val="00CC7AF8"/>
    <w:rsid w:val="00CC7B14"/>
    <w:rsid w:val="00CC7F37"/>
    <w:rsid w:val="00CD01A7"/>
    <w:rsid w:val="00CD02F6"/>
    <w:rsid w:val="00CD2C95"/>
    <w:rsid w:val="00CD4722"/>
    <w:rsid w:val="00CD4ED1"/>
    <w:rsid w:val="00CD5458"/>
    <w:rsid w:val="00CD68CC"/>
    <w:rsid w:val="00CE07F5"/>
    <w:rsid w:val="00CE73DD"/>
    <w:rsid w:val="00CF2067"/>
    <w:rsid w:val="00CF2F85"/>
    <w:rsid w:val="00CF33EE"/>
    <w:rsid w:val="00CF425E"/>
    <w:rsid w:val="00CF644B"/>
    <w:rsid w:val="00CF7EF1"/>
    <w:rsid w:val="00D002EE"/>
    <w:rsid w:val="00D00C43"/>
    <w:rsid w:val="00D015F4"/>
    <w:rsid w:val="00D01F53"/>
    <w:rsid w:val="00D02706"/>
    <w:rsid w:val="00D04C95"/>
    <w:rsid w:val="00D063AE"/>
    <w:rsid w:val="00D077EB"/>
    <w:rsid w:val="00D10609"/>
    <w:rsid w:val="00D10A50"/>
    <w:rsid w:val="00D10DF4"/>
    <w:rsid w:val="00D138C8"/>
    <w:rsid w:val="00D143EC"/>
    <w:rsid w:val="00D200B8"/>
    <w:rsid w:val="00D21C69"/>
    <w:rsid w:val="00D24146"/>
    <w:rsid w:val="00D24BFD"/>
    <w:rsid w:val="00D26F66"/>
    <w:rsid w:val="00D30086"/>
    <w:rsid w:val="00D324C8"/>
    <w:rsid w:val="00D36681"/>
    <w:rsid w:val="00D41681"/>
    <w:rsid w:val="00D426D5"/>
    <w:rsid w:val="00D43353"/>
    <w:rsid w:val="00D4545E"/>
    <w:rsid w:val="00D46290"/>
    <w:rsid w:val="00D4647B"/>
    <w:rsid w:val="00D465DB"/>
    <w:rsid w:val="00D467FC"/>
    <w:rsid w:val="00D503A0"/>
    <w:rsid w:val="00D5058D"/>
    <w:rsid w:val="00D50709"/>
    <w:rsid w:val="00D50FEF"/>
    <w:rsid w:val="00D51B82"/>
    <w:rsid w:val="00D52383"/>
    <w:rsid w:val="00D53292"/>
    <w:rsid w:val="00D53AD0"/>
    <w:rsid w:val="00D5557A"/>
    <w:rsid w:val="00D605BC"/>
    <w:rsid w:val="00D60BE7"/>
    <w:rsid w:val="00D61174"/>
    <w:rsid w:val="00D628CE"/>
    <w:rsid w:val="00D66B4C"/>
    <w:rsid w:val="00D701EF"/>
    <w:rsid w:val="00D737AC"/>
    <w:rsid w:val="00D74D89"/>
    <w:rsid w:val="00D7714C"/>
    <w:rsid w:val="00D8515B"/>
    <w:rsid w:val="00D85763"/>
    <w:rsid w:val="00D85C16"/>
    <w:rsid w:val="00D86F84"/>
    <w:rsid w:val="00D9010E"/>
    <w:rsid w:val="00D9081E"/>
    <w:rsid w:val="00D90F85"/>
    <w:rsid w:val="00D91F2E"/>
    <w:rsid w:val="00D92051"/>
    <w:rsid w:val="00D92A8D"/>
    <w:rsid w:val="00D93187"/>
    <w:rsid w:val="00D9721F"/>
    <w:rsid w:val="00DA0E7A"/>
    <w:rsid w:val="00DA201C"/>
    <w:rsid w:val="00DA2B0F"/>
    <w:rsid w:val="00DA2ECC"/>
    <w:rsid w:val="00DB2957"/>
    <w:rsid w:val="00DB302E"/>
    <w:rsid w:val="00DB4CA4"/>
    <w:rsid w:val="00DB598B"/>
    <w:rsid w:val="00DB6873"/>
    <w:rsid w:val="00DC135A"/>
    <w:rsid w:val="00DC338C"/>
    <w:rsid w:val="00DC3D7E"/>
    <w:rsid w:val="00DC4103"/>
    <w:rsid w:val="00DC6F20"/>
    <w:rsid w:val="00DD05AE"/>
    <w:rsid w:val="00DD0A47"/>
    <w:rsid w:val="00DD297E"/>
    <w:rsid w:val="00DD3760"/>
    <w:rsid w:val="00DD49D9"/>
    <w:rsid w:val="00DD4D1C"/>
    <w:rsid w:val="00DD7693"/>
    <w:rsid w:val="00DE3213"/>
    <w:rsid w:val="00DE47AF"/>
    <w:rsid w:val="00DF01AE"/>
    <w:rsid w:val="00DF04B4"/>
    <w:rsid w:val="00DF0B3C"/>
    <w:rsid w:val="00DF2C78"/>
    <w:rsid w:val="00DF5B5F"/>
    <w:rsid w:val="00DF63AB"/>
    <w:rsid w:val="00E038B1"/>
    <w:rsid w:val="00E03E42"/>
    <w:rsid w:val="00E07635"/>
    <w:rsid w:val="00E136AF"/>
    <w:rsid w:val="00E14A5B"/>
    <w:rsid w:val="00E20B4C"/>
    <w:rsid w:val="00E31144"/>
    <w:rsid w:val="00E31E58"/>
    <w:rsid w:val="00E33EE2"/>
    <w:rsid w:val="00E341A6"/>
    <w:rsid w:val="00E34DB3"/>
    <w:rsid w:val="00E36246"/>
    <w:rsid w:val="00E3679A"/>
    <w:rsid w:val="00E407E3"/>
    <w:rsid w:val="00E447B4"/>
    <w:rsid w:val="00E44C74"/>
    <w:rsid w:val="00E45712"/>
    <w:rsid w:val="00E458FE"/>
    <w:rsid w:val="00E46022"/>
    <w:rsid w:val="00E47986"/>
    <w:rsid w:val="00E573F7"/>
    <w:rsid w:val="00E57467"/>
    <w:rsid w:val="00E61F97"/>
    <w:rsid w:val="00E63851"/>
    <w:rsid w:val="00E646FC"/>
    <w:rsid w:val="00E658BC"/>
    <w:rsid w:val="00E6740B"/>
    <w:rsid w:val="00E67ABB"/>
    <w:rsid w:val="00E70B7A"/>
    <w:rsid w:val="00E71658"/>
    <w:rsid w:val="00E73E1F"/>
    <w:rsid w:val="00E75A66"/>
    <w:rsid w:val="00E76B37"/>
    <w:rsid w:val="00E76D2D"/>
    <w:rsid w:val="00E7727F"/>
    <w:rsid w:val="00E80643"/>
    <w:rsid w:val="00E8322F"/>
    <w:rsid w:val="00E84B9D"/>
    <w:rsid w:val="00E87054"/>
    <w:rsid w:val="00E90DE7"/>
    <w:rsid w:val="00E90F54"/>
    <w:rsid w:val="00E957E6"/>
    <w:rsid w:val="00EA0357"/>
    <w:rsid w:val="00EA28AF"/>
    <w:rsid w:val="00EA2C97"/>
    <w:rsid w:val="00EA5D6D"/>
    <w:rsid w:val="00EA60F6"/>
    <w:rsid w:val="00EA6298"/>
    <w:rsid w:val="00EA6669"/>
    <w:rsid w:val="00EB0D85"/>
    <w:rsid w:val="00EB1547"/>
    <w:rsid w:val="00EB172A"/>
    <w:rsid w:val="00EB2104"/>
    <w:rsid w:val="00EB492B"/>
    <w:rsid w:val="00EB50D1"/>
    <w:rsid w:val="00EB6D3C"/>
    <w:rsid w:val="00EB72F9"/>
    <w:rsid w:val="00EC0599"/>
    <w:rsid w:val="00EC077F"/>
    <w:rsid w:val="00EC0793"/>
    <w:rsid w:val="00EC256C"/>
    <w:rsid w:val="00EC31C0"/>
    <w:rsid w:val="00EC51E1"/>
    <w:rsid w:val="00EC5403"/>
    <w:rsid w:val="00EC56FB"/>
    <w:rsid w:val="00EC657F"/>
    <w:rsid w:val="00EC7FAA"/>
    <w:rsid w:val="00ED2680"/>
    <w:rsid w:val="00ED307C"/>
    <w:rsid w:val="00ED3C17"/>
    <w:rsid w:val="00ED451D"/>
    <w:rsid w:val="00ED4A0A"/>
    <w:rsid w:val="00ED4D51"/>
    <w:rsid w:val="00ED55DC"/>
    <w:rsid w:val="00ED799F"/>
    <w:rsid w:val="00ED7B71"/>
    <w:rsid w:val="00ED7C1C"/>
    <w:rsid w:val="00EE04A4"/>
    <w:rsid w:val="00EE4D85"/>
    <w:rsid w:val="00EE5519"/>
    <w:rsid w:val="00EF0BD6"/>
    <w:rsid w:val="00EF0FFF"/>
    <w:rsid w:val="00EF106E"/>
    <w:rsid w:val="00EF1635"/>
    <w:rsid w:val="00EF5EF0"/>
    <w:rsid w:val="00EF7CAC"/>
    <w:rsid w:val="00F008D4"/>
    <w:rsid w:val="00F00C3A"/>
    <w:rsid w:val="00F021A9"/>
    <w:rsid w:val="00F027C8"/>
    <w:rsid w:val="00F04BAF"/>
    <w:rsid w:val="00F076AE"/>
    <w:rsid w:val="00F10D88"/>
    <w:rsid w:val="00F11A77"/>
    <w:rsid w:val="00F1277F"/>
    <w:rsid w:val="00F12D38"/>
    <w:rsid w:val="00F21DA3"/>
    <w:rsid w:val="00F2529F"/>
    <w:rsid w:val="00F3043D"/>
    <w:rsid w:val="00F3103A"/>
    <w:rsid w:val="00F3282B"/>
    <w:rsid w:val="00F371D8"/>
    <w:rsid w:val="00F41991"/>
    <w:rsid w:val="00F41FA7"/>
    <w:rsid w:val="00F4227C"/>
    <w:rsid w:val="00F44242"/>
    <w:rsid w:val="00F44612"/>
    <w:rsid w:val="00F5063C"/>
    <w:rsid w:val="00F50B72"/>
    <w:rsid w:val="00F53A17"/>
    <w:rsid w:val="00F53CB9"/>
    <w:rsid w:val="00F56B98"/>
    <w:rsid w:val="00F6016F"/>
    <w:rsid w:val="00F605C6"/>
    <w:rsid w:val="00F614CF"/>
    <w:rsid w:val="00F62AC0"/>
    <w:rsid w:val="00F63037"/>
    <w:rsid w:val="00F636AE"/>
    <w:rsid w:val="00F64031"/>
    <w:rsid w:val="00F64427"/>
    <w:rsid w:val="00F677C3"/>
    <w:rsid w:val="00F704DE"/>
    <w:rsid w:val="00F71E7C"/>
    <w:rsid w:val="00F76CEC"/>
    <w:rsid w:val="00F776C7"/>
    <w:rsid w:val="00F80529"/>
    <w:rsid w:val="00F8262B"/>
    <w:rsid w:val="00F857DD"/>
    <w:rsid w:val="00F85AEB"/>
    <w:rsid w:val="00F85DB5"/>
    <w:rsid w:val="00F90787"/>
    <w:rsid w:val="00F913AB"/>
    <w:rsid w:val="00F9340F"/>
    <w:rsid w:val="00F94F16"/>
    <w:rsid w:val="00F96035"/>
    <w:rsid w:val="00FA0CF4"/>
    <w:rsid w:val="00FA30EA"/>
    <w:rsid w:val="00FA3498"/>
    <w:rsid w:val="00FA53FD"/>
    <w:rsid w:val="00FA5BBE"/>
    <w:rsid w:val="00FA6190"/>
    <w:rsid w:val="00FA6893"/>
    <w:rsid w:val="00FA6A45"/>
    <w:rsid w:val="00FA6E34"/>
    <w:rsid w:val="00FA70EF"/>
    <w:rsid w:val="00FB180F"/>
    <w:rsid w:val="00FB5C59"/>
    <w:rsid w:val="00FC00DB"/>
    <w:rsid w:val="00FC74E8"/>
    <w:rsid w:val="00FD07E5"/>
    <w:rsid w:val="00FD283E"/>
    <w:rsid w:val="00FD7C1B"/>
    <w:rsid w:val="00FE003D"/>
    <w:rsid w:val="00FE359B"/>
    <w:rsid w:val="00FE5252"/>
    <w:rsid w:val="00FF02C4"/>
    <w:rsid w:val="00FF0BC1"/>
    <w:rsid w:val="00FF24F0"/>
    <w:rsid w:val="00FF2F09"/>
    <w:rsid w:val="00FF37BA"/>
    <w:rsid w:val="00FF5793"/>
    <w:rsid w:val="00FF58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39b54a,#1869b2"/>
    </o:shapedefaults>
    <o:shapelayout v:ext="edit">
      <o:idmap v:ext="edit" data="1"/>
    </o:shapelayout>
  </w:shapeDefaults>
  <w:decimalSymbol w:val="."/>
  <w:listSeparator w:val=","/>
  <w14:docId w14:val="6B7EB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5611"/>
    <w:pPr>
      <w:spacing w:before="120" w:after="120"/>
    </w:pPr>
    <w:rPr>
      <w:rFonts w:ascii="Calibri" w:hAnsi="Calibri"/>
      <w:sz w:val="22"/>
      <w:szCs w:val="24"/>
    </w:rPr>
  </w:style>
  <w:style w:type="paragraph" w:styleId="Heading1">
    <w:name w:val="heading 1"/>
    <w:basedOn w:val="Normal"/>
    <w:next w:val="Normal"/>
    <w:uiPriority w:val="9"/>
    <w:qFormat/>
    <w:rsid w:val="007908AF"/>
    <w:pPr>
      <w:jc w:val="center"/>
      <w:outlineLvl w:val="0"/>
    </w:pPr>
    <w:rPr>
      <w:b/>
      <w:sz w:val="52"/>
      <w:szCs w:val="36"/>
    </w:rPr>
  </w:style>
  <w:style w:type="paragraph" w:styleId="Heading2">
    <w:name w:val="heading 2"/>
    <w:basedOn w:val="Normal"/>
    <w:next w:val="Normal"/>
    <w:link w:val="Heading2Char"/>
    <w:qFormat/>
    <w:rsid w:val="00D10A50"/>
    <w:pPr>
      <w:spacing w:before="240" w:after="240"/>
      <w:outlineLvl w:val="1"/>
    </w:pPr>
    <w:rPr>
      <w:b/>
      <w:sz w:val="36"/>
      <w:szCs w:val="36"/>
    </w:rPr>
  </w:style>
  <w:style w:type="paragraph" w:styleId="Heading3">
    <w:name w:val="heading 3"/>
    <w:basedOn w:val="Normal"/>
    <w:next w:val="Normal"/>
    <w:link w:val="Heading3Char"/>
    <w:unhideWhenUsed/>
    <w:qFormat/>
    <w:rsid w:val="00EE4D85"/>
    <w:pPr>
      <w:keepNext/>
      <w:keepLines/>
      <w:spacing w:before="240" w:after="240"/>
      <w:outlineLvl w:val="2"/>
    </w:pPr>
    <w:rPr>
      <w:rFonts w:eastAsiaTheme="majorEastAsia" w:cstheme="majorBidi"/>
      <w:b/>
      <w:bCs/>
      <w:sz w:val="24"/>
    </w:rPr>
  </w:style>
  <w:style w:type="paragraph" w:styleId="Heading4">
    <w:name w:val="heading 4"/>
    <w:basedOn w:val="Normal"/>
    <w:next w:val="Normal"/>
    <w:link w:val="Heading4Char"/>
    <w:semiHidden/>
    <w:unhideWhenUsed/>
    <w:qFormat/>
    <w:rsid w:val="001A6F2D"/>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073F5"/>
    <w:pPr>
      <w:tabs>
        <w:tab w:val="center" w:pos="4153"/>
        <w:tab w:val="right" w:pos="8306"/>
      </w:tabs>
    </w:pPr>
  </w:style>
  <w:style w:type="paragraph" w:styleId="Footer">
    <w:name w:val="footer"/>
    <w:basedOn w:val="Normal"/>
    <w:link w:val="FooterChar"/>
    <w:uiPriority w:val="99"/>
    <w:rsid w:val="004100C8"/>
    <w:pPr>
      <w:tabs>
        <w:tab w:val="right" w:pos="8306"/>
      </w:tabs>
      <w:spacing w:before="0" w:after="0"/>
    </w:pPr>
    <w:rPr>
      <w:color w:val="808080" w:themeColor="background1" w:themeShade="80"/>
    </w:rPr>
  </w:style>
  <w:style w:type="table" w:styleId="TableGrid">
    <w:name w:val="Table Grid"/>
    <w:basedOn w:val="TableNormal"/>
    <w:uiPriority w:val="39"/>
    <w:rsid w:val="007073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7073F5"/>
    <w:rPr>
      <w:color w:val="0000FF"/>
      <w:u w:val="single"/>
    </w:rPr>
  </w:style>
  <w:style w:type="numbering" w:customStyle="1" w:styleId="List1a1b1c">
    <w:name w:val="List 1a 1b 1c"/>
    <w:basedOn w:val="NoList"/>
    <w:uiPriority w:val="99"/>
    <w:rsid w:val="00D46290"/>
    <w:pPr>
      <w:numPr>
        <w:numId w:val="5"/>
      </w:numPr>
    </w:pPr>
  </w:style>
  <w:style w:type="character" w:customStyle="1" w:styleId="Heading2Char">
    <w:name w:val="Heading 2 Char"/>
    <w:basedOn w:val="DefaultParagraphFont"/>
    <w:link w:val="Heading2"/>
    <w:rsid w:val="00D10A50"/>
    <w:rPr>
      <w:rFonts w:ascii="Calibri" w:hAnsi="Calibri"/>
      <w:b/>
      <w:sz w:val="36"/>
      <w:szCs w:val="36"/>
    </w:rPr>
  </w:style>
  <w:style w:type="paragraph" w:styleId="TOC2">
    <w:name w:val="toc 2"/>
    <w:basedOn w:val="Normal"/>
    <w:next w:val="Normal"/>
    <w:autoRedefine/>
    <w:uiPriority w:val="39"/>
    <w:rsid w:val="00D701EF"/>
    <w:pPr>
      <w:spacing w:after="0"/>
      <w:ind w:left="220"/>
    </w:pPr>
    <w:rPr>
      <w:rFonts w:asciiTheme="minorHAnsi" w:hAnsiTheme="minorHAnsi" w:cstheme="minorHAnsi"/>
      <w:i/>
      <w:iCs/>
      <w:sz w:val="20"/>
      <w:szCs w:val="20"/>
    </w:rPr>
  </w:style>
  <w:style w:type="character" w:styleId="PageNumber">
    <w:name w:val="page number"/>
    <w:basedOn w:val="DefaultParagraphFont"/>
    <w:rsid w:val="007073F5"/>
  </w:style>
  <w:style w:type="paragraph" w:styleId="BalloonText">
    <w:name w:val="Balloon Text"/>
    <w:basedOn w:val="Normal"/>
    <w:semiHidden/>
    <w:rsid w:val="007073F5"/>
    <w:rPr>
      <w:rFonts w:ascii="Tahoma" w:hAnsi="Tahoma" w:cs="Tahoma"/>
      <w:sz w:val="16"/>
      <w:szCs w:val="16"/>
    </w:rPr>
  </w:style>
  <w:style w:type="character" w:styleId="CommentReference">
    <w:name w:val="annotation reference"/>
    <w:basedOn w:val="DefaultParagraphFont"/>
    <w:uiPriority w:val="99"/>
    <w:rsid w:val="005E5FAC"/>
    <w:rPr>
      <w:sz w:val="16"/>
      <w:szCs w:val="16"/>
    </w:rPr>
  </w:style>
  <w:style w:type="paragraph" w:styleId="CommentText">
    <w:name w:val="annotation text"/>
    <w:basedOn w:val="Normal"/>
    <w:link w:val="CommentTextChar"/>
    <w:uiPriority w:val="99"/>
    <w:rsid w:val="005E5FAC"/>
    <w:rPr>
      <w:sz w:val="20"/>
      <w:szCs w:val="20"/>
    </w:rPr>
  </w:style>
  <w:style w:type="paragraph" w:styleId="CommentSubject">
    <w:name w:val="annotation subject"/>
    <w:basedOn w:val="CommentText"/>
    <w:next w:val="CommentText"/>
    <w:semiHidden/>
    <w:rsid w:val="005E5FAC"/>
    <w:rPr>
      <w:b/>
      <w:bCs/>
    </w:rPr>
  </w:style>
  <w:style w:type="paragraph" w:styleId="TOC1">
    <w:name w:val="toc 1"/>
    <w:basedOn w:val="Normal"/>
    <w:next w:val="Normal"/>
    <w:autoRedefine/>
    <w:uiPriority w:val="39"/>
    <w:qFormat/>
    <w:rsid w:val="00196C20"/>
    <w:pPr>
      <w:spacing w:before="240"/>
    </w:pPr>
    <w:rPr>
      <w:rFonts w:asciiTheme="minorHAnsi" w:hAnsiTheme="minorHAnsi" w:cstheme="minorHAnsi"/>
      <w:b/>
      <w:bCs/>
      <w:sz w:val="20"/>
      <w:szCs w:val="20"/>
    </w:rPr>
  </w:style>
  <w:style w:type="paragraph" w:styleId="Title">
    <w:name w:val="Title"/>
    <w:basedOn w:val="Normal"/>
    <w:next w:val="Normal"/>
    <w:link w:val="TitleChar"/>
    <w:qFormat/>
    <w:rsid w:val="00685C46"/>
    <w:pPr>
      <w:spacing w:before="960"/>
      <w:jc w:val="center"/>
    </w:pPr>
    <w:rPr>
      <w:b/>
      <w:sz w:val="52"/>
      <w:szCs w:val="52"/>
    </w:rPr>
  </w:style>
  <w:style w:type="character" w:customStyle="1" w:styleId="TitleChar">
    <w:name w:val="Title Char"/>
    <w:basedOn w:val="DefaultParagraphFont"/>
    <w:link w:val="Title"/>
    <w:rsid w:val="00685C46"/>
    <w:rPr>
      <w:rFonts w:ascii="Calibri" w:hAnsi="Calibri"/>
      <w:b/>
      <w:sz w:val="52"/>
      <w:szCs w:val="52"/>
    </w:rPr>
  </w:style>
  <w:style w:type="paragraph" w:styleId="Subtitle">
    <w:name w:val="Subtitle"/>
    <w:basedOn w:val="Normal"/>
    <w:next w:val="Normal"/>
    <w:link w:val="SubtitleChar"/>
    <w:qFormat/>
    <w:rsid w:val="004E3240"/>
    <w:pPr>
      <w:spacing w:after="4200"/>
      <w:jc w:val="center"/>
    </w:pPr>
    <w:rPr>
      <w:b/>
      <w:color w:val="1869B2"/>
      <w:sz w:val="32"/>
      <w:szCs w:val="32"/>
    </w:rPr>
  </w:style>
  <w:style w:type="character" w:customStyle="1" w:styleId="SubtitleChar">
    <w:name w:val="Subtitle Char"/>
    <w:basedOn w:val="DefaultParagraphFont"/>
    <w:link w:val="Subtitle"/>
    <w:rsid w:val="004E3240"/>
    <w:rPr>
      <w:rFonts w:ascii="Calibri" w:hAnsi="Calibri"/>
      <w:b/>
      <w:color w:val="1869B2"/>
      <w:sz w:val="32"/>
      <w:szCs w:val="32"/>
    </w:rPr>
  </w:style>
  <w:style w:type="character" w:styleId="Strong">
    <w:name w:val="Strong"/>
    <w:basedOn w:val="DefaultParagraphFont"/>
    <w:qFormat/>
    <w:rsid w:val="00A4647B"/>
    <w:rPr>
      <w:b/>
      <w:bCs/>
    </w:rPr>
  </w:style>
  <w:style w:type="paragraph" w:customStyle="1" w:styleId="Disclaimer">
    <w:name w:val="Disclaimer"/>
    <w:basedOn w:val="Normal"/>
    <w:next w:val="Normal"/>
    <w:link w:val="DisclaimerChar"/>
    <w:rsid w:val="00A4647B"/>
    <w:pPr>
      <w:pBdr>
        <w:top w:val="single" w:sz="4" w:space="1" w:color="auto"/>
        <w:left w:val="single" w:sz="4" w:space="4" w:color="auto"/>
        <w:bottom w:val="single" w:sz="4" w:space="1" w:color="auto"/>
        <w:right w:val="single" w:sz="4" w:space="4" w:color="auto"/>
      </w:pBdr>
    </w:pPr>
    <w:rPr>
      <w:szCs w:val="20"/>
    </w:rPr>
  </w:style>
  <w:style w:type="paragraph" w:customStyle="1" w:styleId="TableHeading">
    <w:name w:val="Table Heading"/>
    <w:basedOn w:val="Normal"/>
    <w:next w:val="Normal"/>
    <w:qFormat/>
    <w:rsid w:val="00A4647B"/>
    <w:pPr>
      <w:jc w:val="center"/>
    </w:pPr>
    <w:rPr>
      <w:rFonts w:cs="Arial"/>
      <w:b/>
      <w:color w:val="FFFFFF"/>
    </w:rPr>
  </w:style>
  <w:style w:type="paragraph" w:styleId="ListBullet">
    <w:name w:val="List Bullet"/>
    <w:basedOn w:val="List"/>
    <w:rsid w:val="00DD49D9"/>
    <w:pPr>
      <w:numPr>
        <w:numId w:val="1"/>
      </w:numPr>
      <w:contextualSpacing w:val="0"/>
    </w:pPr>
  </w:style>
  <w:style w:type="paragraph" w:customStyle="1" w:styleId="Indented">
    <w:name w:val="Indented"/>
    <w:basedOn w:val="Normal"/>
    <w:qFormat/>
    <w:rsid w:val="000E6690"/>
    <w:pPr>
      <w:spacing w:before="0" w:after="0"/>
      <w:ind w:left="720"/>
    </w:pPr>
  </w:style>
  <w:style w:type="paragraph" w:styleId="List">
    <w:name w:val="List"/>
    <w:basedOn w:val="Normal"/>
    <w:rsid w:val="00A4647B"/>
    <w:pPr>
      <w:ind w:left="283" w:hanging="283"/>
      <w:contextualSpacing/>
    </w:pPr>
  </w:style>
  <w:style w:type="character" w:styleId="Emphasis">
    <w:name w:val="Emphasis"/>
    <w:basedOn w:val="DefaultParagraphFont"/>
    <w:qFormat/>
    <w:rsid w:val="000E6690"/>
    <w:rPr>
      <w:i/>
      <w:iCs/>
    </w:rPr>
  </w:style>
  <w:style w:type="paragraph" w:customStyle="1" w:styleId="Listabc">
    <w:name w:val="List abc"/>
    <w:basedOn w:val="ListNumber"/>
    <w:qFormat/>
    <w:rsid w:val="00DD49D9"/>
    <w:pPr>
      <w:numPr>
        <w:ilvl w:val="1"/>
        <w:numId w:val="1"/>
      </w:numPr>
      <w:ind w:left="1361" w:hanging="357"/>
      <w:contextualSpacing w:val="0"/>
    </w:pPr>
    <w:rPr>
      <w:i/>
    </w:rPr>
  </w:style>
  <w:style w:type="paragraph" w:styleId="List2">
    <w:name w:val="List 2"/>
    <w:basedOn w:val="List"/>
    <w:rsid w:val="00521784"/>
    <w:pPr>
      <w:numPr>
        <w:numId w:val="4"/>
      </w:numPr>
    </w:pPr>
  </w:style>
  <w:style w:type="paragraph" w:styleId="ListNumber">
    <w:name w:val="List Number"/>
    <w:basedOn w:val="Normal"/>
    <w:rsid w:val="00F8262B"/>
    <w:pPr>
      <w:numPr>
        <w:numId w:val="3"/>
      </w:numPr>
      <w:ind w:left="714" w:hanging="357"/>
      <w:contextualSpacing/>
    </w:pPr>
  </w:style>
  <w:style w:type="paragraph" w:styleId="ListBullet2">
    <w:name w:val="List Bullet 2"/>
    <w:basedOn w:val="List"/>
    <w:rsid w:val="00F3282B"/>
    <w:pPr>
      <w:numPr>
        <w:numId w:val="2"/>
      </w:numPr>
    </w:pPr>
  </w:style>
  <w:style w:type="paragraph" w:styleId="ListParagraph">
    <w:name w:val="List Paragraph"/>
    <w:aliases w:val="Recommendation,Bullet Point,List Paragraph1,List Paragraph11,L,Bullet points,Content descriptions,Body Bullets 1,Bullet point,Main,CV text,F5 List Paragraph,Dot pt,List Paragraph111,Medium Grid 1 - Accent 21,Numbered Paragraph,Table text"/>
    <w:basedOn w:val="Normal"/>
    <w:link w:val="ListParagraphChar"/>
    <w:uiPriority w:val="34"/>
    <w:qFormat/>
    <w:rsid w:val="00FF24F0"/>
    <w:pPr>
      <w:ind w:left="720"/>
      <w:contextualSpacing/>
    </w:pPr>
  </w:style>
  <w:style w:type="character" w:styleId="BookTitle">
    <w:name w:val="Book Title"/>
    <w:uiPriority w:val="33"/>
    <w:qFormat/>
    <w:rsid w:val="00997983"/>
    <w:rPr>
      <w:i/>
      <w:iCs/>
      <w:smallCaps/>
      <w:spacing w:val="5"/>
    </w:rPr>
  </w:style>
  <w:style w:type="paragraph" w:styleId="TOC3">
    <w:name w:val="toc 3"/>
    <w:basedOn w:val="Normal"/>
    <w:next w:val="Normal"/>
    <w:autoRedefine/>
    <w:uiPriority w:val="39"/>
    <w:rsid w:val="00BF74E0"/>
    <w:pPr>
      <w:spacing w:before="0" w:after="0"/>
      <w:ind w:left="440"/>
    </w:pPr>
    <w:rPr>
      <w:rFonts w:asciiTheme="minorHAnsi" w:hAnsiTheme="minorHAnsi" w:cstheme="minorHAnsi"/>
      <w:sz w:val="20"/>
      <w:szCs w:val="20"/>
    </w:rPr>
  </w:style>
  <w:style w:type="paragraph" w:styleId="TOC4">
    <w:name w:val="toc 4"/>
    <w:basedOn w:val="Normal"/>
    <w:next w:val="Normal"/>
    <w:autoRedefine/>
    <w:rsid w:val="00BF74E0"/>
    <w:pPr>
      <w:spacing w:before="0" w:after="0"/>
      <w:ind w:left="660"/>
    </w:pPr>
    <w:rPr>
      <w:rFonts w:asciiTheme="minorHAnsi" w:hAnsiTheme="minorHAnsi" w:cstheme="minorHAnsi"/>
      <w:sz w:val="20"/>
      <w:szCs w:val="20"/>
    </w:rPr>
  </w:style>
  <w:style w:type="paragraph" w:styleId="TOC5">
    <w:name w:val="toc 5"/>
    <w:basedOn w:val="Normal"/>
    <w:next w:val="Normal"/>
    <w:autoRedefine/>
    <w:rsid w:val="00BF74E0"/>
    <w:pPr>
      <w:spacing w:before="0" w:after="0"/>
      <w:ind w:left="880"/>
    </w:pPr>
    <w:rPr>
      <w:rFonts w:asciiTheme="minorHAnsi" w:hAnsiTheme="minorHAnsi" w:cstheme="minorHAnsi"/>
      <w:sz w:val="20"/>
      <w:szCs w:val="20"/>
    </w:rPr>
  </w:style>
  <w:style w:type="paragraph" w:styleId="TOC6">
    <w:name w:val="toc 6"/>
    <w:basedOn w:val="Normal"/>
    <w:next w:val="Normal"/>
    <w:autoRedefine/>
    <w:rsid w:val="00BF74E0"/>
    <w:pPr>
      <w:spacing w:before="0" w:after="0"/>
      <w:ind w:left="1100"/>
    </w:pPr>
    <w:rPr>
      <w:rFonts w:asciiTheme="minorHAnsi" w:hAnsiTheme="minorHAnsi" w:cstheme="minorHAnsi"/>
      <w:sz w:val="20"/>
      <w:szCs w:val="20"/>
    </w:rPr>
  </w:style>
  <w:style w:type="paragraph" w:styleId="TOC7">
    <w:name w:val="toc 7"/>
    <w:basedOn w:val="Normal"/>
    <w:next w:val="Normal"/>
    <w:autoRedefine/>
    <w:rsid w:val="00BF74E0"/>
    <w:pPr>
      <w:spacing w:before="0" w:after="0"/>
      <w:ind w:left="1320"/>
    </w:pPr>
    <w:rPr>
      <w:rFonts w:asciiTheme="minorHAnsi" w:hAnsiTheme="minorHAnsi" w:cstheme="minorHAnsi"/>
      <w:sz w:val="20"/>
      <w:szCs w:val="20"/>
    </w:rPr>
  </w:style>
  <w:style w:type="paragraph" w:styleId="TOC8">
    <w:name w:val="toc 8"/>
    <w:basedOn w:val="Normal"/>
    <w:next w:val="Normal"/>
    <w:autoRedefine/>
    <w:rsid w:val="00BF74E0"/>
    <w:pPr>
      <w:spacing w:before="0" w:after="0"/>
      <w:ind w:left="1540"/>
    </w:pPr>
    <w:rPr>
      <w:rFonts w:asciiTheme="minorHAnsi" w:hAnsiTheme="minorHAnsi" w:cstheme="minorHAnsi"/>
      <w:sz w:val="20"/>
      <w:szCs w:val="20"/>
    </w:rPr>
  </w:style>
  <w:style w:type="paragraph" w:styleId="TOC9">
    <w:name w:val="toc 9"/>
    <w:basedOn w:val="Normal"/>
    <w:next w:val="Normal"/>
    <w:autoRedefine/>
    <w:rsid w:val="00BF74E0"/>
    <w:pPr>
      <w:spacing w:before="0" w:after="0"/>
      <w:ind w:left="1760"/>
    </w:pPr>
    <w:rPr>
      <w:rFonts w:asciiTheme="minorHAnsi" w:hAnsiTheme="minorHAnsi" w:cstheme="minorHAnsi"/>
      <w:sz w:val="20"/>
      <w:szCs w:val="20"/>
    </w:rPr>
  </w:style>
  <w:style w:type="paragraph" w:customStyle="1" w:styleId="Default">
    <w:name w:val="Default"/>
    <w:rsid w:val="00C8224E"/>
    <w:pPr>
      <w:autoSpaceDE w:val="0"/>
      <w:autoSpaceDN w:val="0"/>
      <w:adjustRightInd w:val="0"/>
    </w:pPr>
    <w:rPr>
      <w:rFonts w:ascii="Calibri" w:hAnsi="Calibri" w:cs="Calibri"/>
      <w:color w:val="000000"/>
      <w:sz w:val="24"/>
      <w:szCs w:val="24"/>
    </w:rPr>
  </w:style>
  <w:style w:type="character" w:customStyle="1" w:styleId="ListParagraphChar">
    <w:name w:val="List Paragraph Char"/>
    <w:aliases w:val="Recommendation Char,Bullet Point Char,List Paragraph1 Char,List Paragraph11 Char,L Char,Bullet points Char,Content descriptions Char,Body Bullets 1 Char,Bullet point Char,Main Char,CV text Char,F5 List Paragraph Char,Dot pt Char"/>
    <w:basedOn w:val="DefaultParagraphFont"/>
    <w:link w:val="ListParagraph"/>
    <w:uiPriority w:val="34"/>
    <w:locked/>
    <w:rsid w:val="00F3043D"/>
    <w:rPr>
      <w:rFonts w:ascii="Calibri" w:hAnsi="Calibri"/>
      <w:sz w:val="22"/>
      <w:szCs w:val="24"/>
    </w:rPr>
  </w:style>
  <w:style w:type="character" w:customStyle="1" w:styleId="GDV2">
    <w:name w:val="GDV 2"/>
    <w:basedOn w:val="DefaultParagraphFont"/>
    <w:uiPriority w:val="1"/>
    <w:qFormat/>
    <w:rsid w:val="00F3043D"/>
    <w:rPr>
      <w:rFonts w:ascii="Calibri" w:hAnsi="Calibri" w:cs="Calibri"/>
      <w:color w:val="7030A0"/>
      <w:sz w:val="22"/>
      <w:szCs w:val="22"/>
    </w:rPr>
  </w:style>
  <w:style w:type="character" w:customStyle="1" w:styleId="Heading3Char">
    <w:name w:val="Heading 3 Char"/>
    <w:basedOn w:val="DefaultParagraphFont"/>
    <w:link w:val="Heading3"/>
    <w:uiPriority w:val="9"/>
    <w:rsid w:val="00EE4D85"/>
    <w:rPr>
      <w:rFonts w:ascii="Calibri" w:eastAsiaTheme="majorEastAsia" w:hAnsi="Calibri" w:cstheme="majorBidi"/>
      <w:b/>
      <w:bCs/>
      <w:sz w:val="24"/>
      <w:szCs w:val="24"/>
    </w:rPr>
  </w:style>
  <w:style w:type="paragraph" w:styleId="Revision">
    <w:name w:val="Revision"/>
    <w:hidden/>
    <w:uiPriority w:val="99"/>
    <w:semiHidden/>
    <w:rsid w:val="0014274E"/>
    <w:rPr>
      <w:rFonts w:ascii="Calibri" w:hAnsi="Calibri"/>
      <w:sz w:val="22"/>
      <w:szCs w:val="24"/>
    </w:rPr>
  </w:style>
  <w:style w:type="paragraph" w:styleId="TOCHeading">
    <w:name w:val="TOC Heading"/>
    <w:basedOn w:val="Heading1"/>
    <w:next w:val="Normal"/>
    <w:uiPriority w:val="39"/>
    <w:unhideWhenUsed/>
    <w:qFormat/>
    <w:rsid w:val="003757B3"/>
    <w:pPr>
      <w:keepNext/>
      <w:keepLines/>
      <w:spacing w:before="240" w:after="0" w:line="259" w:lineRule="auto"/>
      <w:jc w:val="left"/>
      <w:outlineLvl w:val="9"/>
    </w:pPr>
    <w:rPr>
      <w:rFonts w:asciiTheme="majorHAnsi" w:eastAsiaTheme="majorEastAsia" w:hAnsiTheme="majorHAnsi" w:cstheme="majorBidi"/>
      <w:b w:val="0"/>
      <w:color w:val="365F91" w:themeColor="accent1" w:themeShade="BF"/>
      <w:sz w:val="32"/>
      <w:szCs w:val="32"/>
      <w:lang w:val="en-US" w:eastAsia="en-US"/>
    </w:rPr>
  </w:style>
  <w:style w:type="character" w:customStyle="1" w:styleId="DisclaimerChar">
    <w:name w:val="Disclaimer Char"/>
    <w:basedOn w:val="DefaultParagraphFont"/>
    <w:link w:val="Disclaimer"/>
    <w:rsid w:val="00427E22"/>
    <w:rPr>
      <w:rFonts w:ascii="Calibri" w:hAnsi="Calibri"/>
      <w:sz w:val="22"/>
    </w:rPr>
  </w:style>
  <w:style w:type="paragraph" w:customStyle="1" w:styleId="guidelinetext">
    <w:name w:val="guideline text"/>
    <w:basedOn w:val="Normal"/>
    <w:link w:val="guidelinetextChar"/>
    <w:qFormat/>
    <w:rsid w:val="007F595F"/>
    <w:pPr>
      <w:spacing w:after="0" w:line="264" w:lineRule="auto"/>
      <w:ind w:left="1440"/>
    </w:pPr>
    <w:rPr>
      <w:rFonts w:asciiTheme="minorHAnsi" w:eastAsiaTheme="minorHAnsi" w:hAnsiTheme="minorHAnsi" w:cstheme="minorBidi"/>
      <w:szCs w:val="22"/>
      <w:lang w:eastAsia="en-US"/>
    </w:rPr>
  </w:style>
  <w:style w:type="paragraph" w:customStyle="1" w:styleId="guidelinebullet">
    <w:name w:val="guideline bullet"/>
    <w:basedOn w:val="ListParagraph"/>
    <w:link w:val="guidelinebulletChar"/>
    <w:qFormat/>
    <w:rsid w:val="007F595F"/>
    <w:pPr>
      <w:numPr>
        <w:numId w:val="6"/>
      </w:numPr>
      <w:spacing w:before="60" w:after="0"/>
      <w:contextualSpacing w:val="0"/>
    </w:pPr>
    <w:rPr>
      <w:rFonts w:asciiTheme="minorHAnsi" w:eastAsiaTheme="minorHAnsi" w:hAnsiTheme="minorHAnsi" w:cstheme="minorBidi"/>
      <w:szCs w:val="22"/>
      <w:lang w:eastAsia="en-US"/>
    </w:rPr>
  </w:style>
  <w:style w:type="character" w:customStyle="1" w:styleId="guidelinetextChar">
    <w:name w:val="guideline text Char"/>
    <w:basedOn w:val="DefaultParagraphFont"/>
    <w:link w:val="guidelinetext"/>
    <w:rsid w:val="007F595F"/>
    <w:rPr>
      <w:rFonts w:asciiTheme="minorHAnsi" w:eastAsiaTheme="minorHAnsi" w:hAnsiTheme="minorHAnsi" w:cstheme="minorBidi"/>
      <w:sz w:val="22"/>
      <w:szCs w:val="22"/>
      <w:lang w:eastAsia="en-US"/>
    </w:rPr>
  </w:style>
  <w:style w:type="character" w:customStyle="1" w:styleId="guidelinebulletChar">
    <w:name w:val="guideline bullet Char"/>
    <w:basedOn w:val="ListParagraphChar"/>
    <w:link w:val="guidelinebullet"/>
    <w:rsid w:val="007F595F"/>
    <w:rPr>
      <w:rFonts w:asciiTheme="minorHAnsi" w:eastAsiaTheme="minorHAnsi" w:hAnsiTheme="minorHAnsi" w:cstheme="minorBidi"/>
      <w:sz w:val="22"/>
      <w:szCs w:val="22"/>
      <w:lang w:eastAsia="en-US"/>
    </w:rPr>
  </w:style>
  <w:style w:type="paragraph" w:customStyle="1" w:styleId="guidelinechanges">
    <w:name w:val="guideline changes"/>
    <w:basedOn w:val="Normal"/>
    <w:link w:val="guidelinechangesChar"/>
    <w:qFormat/>
    <w:rsid w:val="007F595F"/>
    <w:pPr>
      <w:spacing w:before="60" w:after="0"/>
    </w:pPr>
    <w:rPr>
      <w:rFonts w:asciiTheme="minorHAnsi" w:eastAsiaTheme="minorHAnsi" w:hAnsiTheme="minorHAnsi" w:cstheme="minorBidi"/>
      <w:sz w:val="20"/>
      <w:szCs w:val="22"/>
      <w:lang w:eastAsia="en-US"/>
    </w:rPr>
  </w:style>
  <w:style w:type="character" w:customStyle="1" w:styleId="guidelinechangesChar">
    <w:name w:val="guideline changes Char"/>
    <w:basedOn w:val="DefaultParagraphFont"/>
    <w:link w:val="guidelinechanges"/>
    <w:rsid w:val="007F595F"/>
    <w:rPr>
      <w:rFonts w:asciiTheme="minorHAnsi" w:eastAsiaTheme="minorHAnsi" w:hAnsiTheme="minorHAnsi" w:cstheme="minorBidi"/>
      <w:szCs w:val="22"/>
      <w:lang w:eastAsia="en-US"/>
    </w:rPr>
  </w:style>
  <w:style w:type="paragraph" w:customStyle="1" w:styleId="docev">
    <w:name w:val="doc ev"/>
    <w:basedOn w:val="guidelinetext"/>
    <w:link w:val="docevChar"/>
    <w:qFormat/>
    <w:rsid w:val="007F595F"/>
    <w:pPr>
      <w:numPr>
        <w:numId w:val="7"/>
      </w:numPr>
    </w:pPr>
  </w:style>
  <w:style w:type="character" w:customStyle="1" w:styleId="docevChar">
    <w:name w:val="doc ev Char"/>
    <w:basedOn w:val="DefaultParagraphFont"/>
    <w:link w:val="docev"/>
    <w:rsid w:val="007F595F"/>
    <w:rPr>
      <w:rFonts w:asciiTheme="minorHAnsi" w:eastAsiaTheme="minorHAnsi" w:hAnsiTheme="minorHAnsi" w:cstheme="minorBidi"/>
      <w:sz w:val="22"/>
      <w:szCs w:val="22"/>
      <w:lang w:eastAsia="en-US"/>
    </w:rPr>
  </w:style>
  <w:style w:type="paragraph" w:customStyle="1" w:styleId="Dotpoint">
    <w:name w:val="Dot point"/>
    <w:basedOn w:val="ListParagraph"/>
    <w:link w:val="DotpointChar"/>
    <w:qFormat/>
    <w:rsid w:val="007F595F"/>
    <w:pPr>
      <w:numPr>
        <w:numId w:val="8"/>
      </w:numPr>
      <w:spacing w:before="0" w:line="264" w:lineRule="auto"/>
      <w:contextualSpacing w:val="0"/>
      <w:jc w:val="both"/>
    </w:pPr>
    <w:rPr>
      <w:rFonts w:eastAsiaTheme="minorEastAsia" w:cstheme="minorHAnsi"/>
      <w:color w:val="111111"/>
      <w:szCs w:val="22"/>
      <w:lang w:eastAsia="en-US"/>
    </w:rPr>
  </w:style>
  <w:style w:type="character" w:customStyle="1" w:styleId="DotpointChar">
    <w:name w:val="Dot point Char"/>
    <w:basedOn w:val="DefaultParagraphFont"/>
    <w:link w:val="Dotpoint"/>
    <w:rsid w:val="007F595F"/>
    <w:rPr>
      <w:rFonts w:ascii="Calibri" w:eastAsiaTheme="minorEastAsia" w:hAnsi="Calibri" w:cstheme="minorHAnsi"/>
      <w:color w:val="111111"/>
      <w:sz w:val="22"/>
      <w:szCs w:val="22"/>
      <w:lang w:eastAsia="en-US"/>
    </w:rPr>
  </w:style>
  <w:style w:type="character" w:customStyle="1" w:styleId="Heading4Char">
    <w:name w:val="Heading 4 Char"/>
    <w:basedOn w:val="DefaultParagraphFont"/>
    <w:link w:val="Heading4"/>
    <w:semiHidden/>
    <w:rsid w:val="001A6F2D"/>
    <w:rPr>
      <w:rFonts w:asciiTheme="majorHAnsi" w:eastAsiaTheme="majorEastAsia" w:hAnsiTheme="majorHAnsi" w:cstheme="majorBidi"/>
      <w:i/>
      <w:iCs/>
      <w:color w:val="365F91" w:themeColor="accent1" w:themeShade="BF"/>
      <w:sz w:val="22"/>
      <w:szCs w:val="24"/>
    </w:rPr>
  </w:style>
  <w:style w:type="paragraph" w:customStyle="1" w:styleId="guidelinedeedref">
    <w:name w:val="guideline deed ref"/>
    <w:basedOn w:val="Normal"/>
    <w:link w:val="guidelinedeedrefChar"/>
    <w:qFormat/>
    <w:rsid w:val="001A6F2D"/>
    <w:pPr>
      <w:spacing w:after="0"/>
      <w:ind w:left="1440"/>
    </w:pPr>
    <w:rPr>
      <w:rFonts w:ascii="Garamond" w:eastAsiaTheme="minorHAnsi" w:hAnsi="Garamond" w:cstheme="minorBidi"/>
      <w:sz w:val="20"/>
      <w:szCs w:val="22"/>
      <w:lang w:eastAsia="en-US"/>
    </w:rPr>
  </w:style>
  <w:style w:type="character" w:customStyle="1" w:styleId="guidelinedeedrefChar">
    <w:name w:val="guideline deed ref Char"/>
    <w:basedOn w:val="DefaultParagraphFont"/>
    <w:link w:val="guidelinedeedref"/>
    <w:rsid w:val="001A6F2D"/>
    <w:rPr>
      <w:rFonts w:ascii="Garamond" w:eastAsiaTheme="minorHAnsi" w:hAnsi="Garamond" w:cstheme="minorBidi"/>
      <w:szCs w:val="22"/>
      <w:lang w:eastAsia="en-US"/>
    </w:rPr>
  </w:style>
  <w:style w:type="paragraph" w:customStyle="1" w:styleId="2a1Amanual">
    <w:name w:val="2a. 1A manual"/>
    <w:basedOn w:val="Normal"/>
    <w:link w:val="2a1AmanualChar"/>
    <w:rsid w:val="001A6F2D"/>
    <w:pPr>
      <w:keepNext/>
      <w:keepLines/>
      <w:suppressAutoHyphens/>
      <w:spacing w:before="240" w:line="264" w:lineRule="auto"/>
      <w:ind w:left="737" w:hanging="737"/>
      <w:outlineLvl w:val="0"/>
    </w:pPr>
    <w:rPr>
      <w:b/>
      <w:szCs w:val="20"/>
    </w:rPr>
  </w:style>
  <w:style w:type="character" w:customStyle="1" w:styleId="2a1AmanualChar">
    <w:name w:val="2a. 1A manual Char"/>
    <w:basedOn w:val="DefaultParagraphFont"/>
    <w:link w:val="2a1Amanual"/>
    <w:rsid w:val="001A6F2D"/>
    <w:rPr>
      <w:rFonts w:ascii="Calibri" w:hAnsi="Calibri"/>
      <w:b/>
      <w:sz w:val="22"/>
    </w:rPr>
  </w:style>
  <w:style w:type="character" w:customStyle="1" w:styleId="CommentTextChar">
    <w:name w:val="Comment Text Char"/>
    <w:basedOn w:val="DefaultParagraphFont"/>
    <w:link w:val="CommentText"/>
    <w:uiPriority w:val="99"/>
    <w:rsid w:val="00237E1D"/>
    <w:rPr>
      <w:rFonts w:ascii="Calibri" w:hAnsi="Calibri"/>
    </w:rPr>
  </w:style>
  <w:style w:type="table" w:customStyle="1" w:styleId="GridTable2-Accent11">
    <w:name w:val="Grid Table 2 - Accent 11"/>
    <w:basedOn w:val="TableNormal"/>
    <w:uiPriority w:val="47"/>
    <w:rsid w:val="00DA2ECC"/>
    <w:pPr>
      <w:spacing w:before="120"/>
    </w:pPr>
    <w:rPr>
      <w:rFonts w:asciiTheme="minorHAnsi" w:eastAsiaTheme="minorHAnsi" w:hAnsiTheme="minorHAnsi" w:cstheme="minorBidi"/>
      <w:sz w:val="22"/>
      <w:szCs w:val="22"/>
      <w:lang w:eastAsia="en-US"/>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FollowedHyperlink">
    <w:name w:val="FollowedHyperlink"/>
    <w:basedOn w:val="DefaultParagraphFont"/>
    <w:semiHidden/>
    <w:unhideWhenUsed/>
    <w:rsid w:val="00C810E0"/>
    <w:rPr>
      <w:color w:val="800080" w:themeColor="followedHyperlink"/>
      <w:u w:val="single"/>
    </w:rPr>
  </w:style>
  <w:style w:type="paragraph" w:customStyle="1" w:styleId="WHS">
    <w:name w:val="WHS"/>
    <w:basedOn w:val="guidelinetext"/>
    <w:link w:val="WHSChar"/>
    <w:qFormat/>
    <w:rsid w:val="00D10DF4"/>
    <w:pPr>
      <w:numPr>
        <w:numId w:val="27"/>
      </w:numPr>
      <w:ind w:left="1418" w:hanging="1418"/>
    </w:pPr>
  </w:style>
  <w:style w:type="character" w:customStyle="1" w:styleId="WHSChar">
    <w:name w:val="WHS Char"/>
    <w:basedOn w:val="DefaultParagraphFont"/>
    <w:link w:val="WHS"/>
    <w:rsid w:val="00D10DF4"/>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953CDC"/>
    <w:rPr>
      <w:rFonts w:ascii="Calibri" w:hAnsi="Calibri"/>
      <w:color w:val="808080" w:themeColor="background1" w:themeShade="80"/>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ecsnaccess.gov.au/sites/SecureSitePortal/jobactive/Guidelines/ParticipationandComplianceFramework/Pages/default.aspx"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ecsnaccess.gov.au/sites/SecureSitePortal/jobactive/Guidelines/ParticipationandComplianceFramework/Pages/default.aspx"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csnaccess.gov.au/sites/SecureSitePortal/jobactive/Guidelines/ParticipationandComplianceFramework/Pages/default.aspx"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ecsnaccess.gov.au/sites/SecureSitePortal/jobactive/Guidelines/ParticipationandComplianceFramework/Pages/default.aspx"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ecsnaccess.gov.au/sites/SecureSitePortal/jobactive/Guidelines/ParticipationandComplianceFramework/Pages/default.aspx" TargetMode="External"/><Relationship Id="rId14" Type="http://schemas.openxmlformats.org/officeDocument/2006/relationships/hyperlink" Target="https://ecsnaccess.gov.au/sites/SecureSitePortal/jobactive/Guidelines/ParticipationandComplianceFramework/Pages/default.aspx"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1D920F-A0B1-4168-8FDE-A2DD343645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2494</Words>
  <Characters>14304</Characters>
  <Application>Microsoft Office Word</Application>
  <DocSecurity>0</DocSecurity>
  <Lines>288</Lines>
  <Paragraphs>141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16702</CharactersWithSpaces>
  <SharedDoc>false</SharedDoc>
  <HLinks>
    <vt:vector size="66" baseType="variant">
      <vt:variant>
        <vt:i4>7209065</vt:i4>
      </vt:variant>
      <vt:variant>
        <vt:i4>51</vt:i4>
      </vt:variant>
      <vt:variant>
        <vt:i4>0</vt:i4>
      </vt:variant>
      <vt:variant>
        <vt:i4>5</vt:i4>
      </vt:variant>
      <vt:variant>
        <vt:lpwstr>https://ecsn.gov.au/sites/SecureSitePortal/Documents/Current/Disability Employment Services Deed 2010 - 2012 Programs A and B.htm</vt:lpwstr>
      </vt:variant>
      <vt:variant>
        <vt:lpwstr>AnnexA</vt:lpwstr>
      </vt:variant>
      <vt:variant>
        <vt:i4>3473455</vt:i4>
      </vt:variant>
      <vt:variant>
        <vt:i4>48</vt:i4>
      </vt:variant>
      <vt:variant>
        <vt:i4>0</vt:i4>
      </vt:variant>
      <vt:variant>
        <vt:i4>5</vt:i4>
      </vt:variant>
      <vt:variant>
        <vt:lpwstr>https://ecsn.gov.au/sites/SecureSitePortal/Documents/Current/Disability Employment Services Deed 2010 - 2012 Programs A and B.htm</vt:lpwstr>
      </vt:variant>
      <vt:variant>
        <vt:lpwstr>118</vt:lpwstr>
      </vt:variant>
      <vt:variant>
        <vt:i4>3473455</vt:i4>
      </vt:variant>
      <vt:variant>
        <vt:i4>45</vt:i4>
      </vt:variant>
      <vt:variant>
        <vt:i4>0</vt:i4>
      </vt:variant>
      <vt:variant>
        <vt:i4>5</vt:i4>
      </vt:variant>
      <vt:variant>
        <vt:lpwstr>https://ecsn.gov.au/sites/SecureSitePortal/Documents/Current/Disability Employment Services Deed 2010 - 2012 Programs A and B.htm</vt:lpwstr>
      </vt:variant>
      <vt:variant>
        <vt:lpwstr>117</vt:lpwstr>
      </vt:variant>
      <vt:variant>
        <vt:i4>3473455</vt:i4>
      </vt:variant>
      <vt:variant>
        <vt:i4>42</vt:i4>
      </vt:variant>
      <vt:variant>
        <vt:i4>0</vt:i4>
      </vt:variant>
      <vt:variant>
        <vt:i4>5</vt:i4>
      </vt:variant>
      <vt:variant>
        <vt:lpwstr>https://ecsn.gov.au/sites/SecureSitePortal/Documents/Current/Disability Employment Services Deed 2010 - 2012 Programs A and B.htm</vt:lpwstr>
      </vt:variant>
      <vt:variant>
        <vt:lpwstr>116</vt:lpwstr>
      </vt:variant>
      <vt:variant>
        <vt:i4>3473455</vt:i4>
      </vt:variant>
      <vt:variant>
        <vt:i4>39</vt:i4>
      </vt:variant>
      <vt:variant>
        <vt:i4>0</vt:i4>
      </vt:variant>
      <vt:variant>
        <vt:i4>5</vt:i4>
      </vt:variant>
      <vt:variant>
        <vt:lpwstr>https://ecsn.gov.au/sites/SecureSitePortal/Documents/Current/Disability Employment Services Deed 2010 - 2012 Programs A and B.htm</vt:lpwstr>
      </vt:variant>
      <vt:variant>
        <vt:lpwstr>115</vt:lpwstr>
      </vt:variant>
      <vt:variant>
        <vt:i4>3473455</vt:i4>
      </vt:variant>
      <vt:variant>
        <vt:i4>36</vt:i4>
      </vt:variant>
      <vt:variant>
        <vt:i4>0</vt:i4>
      </vt:variant>
      <vt:variant>
        <vt:i4>5</vt:i4>
      </vt:variant>
      <vt:variant>
        <vt:lpwstr>https://ecsn.gov.au/sites/SecureSitePortal/Documents/Current/Disability Employment Services Deed 2010 - 2012 Programs A and B.htm</vt:lpwstr>
      </vt:variant>
      <vt:variant>
        <vt:lpwstr>114</vt:lpwstr>
      </vt:variant>
      <vt:variant>
        <vt:i4>1638450</vt:i4>
      </vt:variant>
      <vt:variant>
        <vt:i4>29</vt:i4>
      </vt:variant>
      <vt:variant>
        <vt:i4>0</vt:i4>
      </vt:variant>
      <vt:variant>
        <vt:i4>5</vt:i4>
      </vt:variant>
      <vt:variant>
        <vt:lpwstr/>
      </vt:variant>
      <vt:variant>
        <vt:lpwstr>_Toc250708041</vt:lpwstr>
      </vt:variant>
      <vt:variant>
        <vt:i4>1638450</vt:i4>
      </vt:variant>
      <vt:variant>
        <vt:i4>23</vt:i4>
      </vt:variant>
      <vt:variant>
        <vt:i4>0</vt:i4>
      </vt:variant>
      <vt:variant>
        <vt:i4>5</vt:i4>
      </vt:variant>
      <vt:variant>
        <vt:lpwstr/>
      </vt:variant>
      <vt:variant>
        <vt:lpwstr>_Toc250708040</vt:lpwstr>
      </vt:variant>
      <vt:variant>
        <vt:i4>1966130</vt:i4>
      </vt:variant>
      <vt:variant>
        <vt:i4>17</vt:i4>
      </vt:variant>
      <vt:variant>
        <vt:i4>0</vt:i4>
      </vt:variant>
      <vt:variant>
        <vt:i4>5</vt:i4>
      </vt:variant>
      <vt:variant>
        <vt:lpwstr/>
      </vt:variant>
      <vt:variant>
        <vt:lpwstr>_Toc250708039</vt:lpwstr>
      </vt:variant>
      <vt:variant>
        <vt:i4>1966130</vt:i4>
      </vt:variant>
      <vt:variant>
        <vt:i4>11</vt:i4>
      </vt:variant>
      <vt:variant>
        <vt:i4>0</vt:i4>
      </vt:variant>
      <vt:variant>
        <vt:i4>5</vt:i4>
      </vt:variant>
      <vt:variant>
        <vt:lpwstr/>
      </vt:variant>
      <vt:variant>
        <vt:lpwstr>_Toc250708038</vt:lpwstr>
      </vt:variant>
      <vt:variant>
        <vt:i4>1966130</vt:i4>
      </vt:variant>
      <vt:variant>
        <vt:i4>5</vt:i4>
      </vt:variant>
      <vt:variant>
        <vt:i4>0</vt:i4>
      </vt:variant>
      <vt:variant>
        <vt:i4>5</vt:i4>
      </vt:variant>
      <vt:variant>
        <vt:lpwstr/>
      </vt:variant>
      <vt:variant>
        <vt:lpwstr>_Toc250708036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
  <cp:revision>1</cp:revision>
  <dcterms:created xsi:type="dcterms:W3CDTF">2021-09-27T04:11:00Z</dcterms:created>
  <dcterms:modified xsi:type="dcterms:W3CDTF">2021-09-27T04:14:00Z</dcterms:modified>
  <cp:category/>
</cp:coreProperties>
</file>