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07E04EB3" w:rsidR="00AD2938" w:rsidRPr="00980D79" w:rsidRDefault="00D433E6" w:rsidP="00901C4A">
      <w:pPr>
        <w:pStyle w:val="CoverOutcomeHeadline"/>
        <w:spacing w:after="120"/>
      </w:pPr>
      <w:r>
        <w:t xml:space="preserve">Cultural </w:t>
      </w:r>
      <w:r w:rsidR="00E30A88" w:rsidRPr="00E30A88">
        <w:t>Safety and Responsiveness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670D292">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214519" w:rsidRDefault="00162C29" w:rsidP="00E159BE">
            <w:pPr>
              <w:pStyle w:val="NormalWhite"/>
              <w:spacing w:before="120"/>
              <w:rPr>
                <w:color w:val="auto"/>
              </w:rPr>
            </w:pPr>
            <w:r w:rsidRPr="00214519">
              <w:rPr>
                <w:color w:val="auto"/>
              </w:rPr>
              <w:t>In this tool, you will find:</w:t>
            </w:r>
          </w:p>
          <w:p w14:paraId="0722E253" w14:textId="396079C3" w:rsidR="00E30A88" w:rsidRPr="00214519" w:rsidRDefault="00E30A88" w:rsidP="00E30A88">
            <w:pPr>
              <w:pStyle w:val="ListBulletWhite"/>
              <w:rPr>
                <w:color w:val="auto"/>
              </w:rPr>
            </w:pPr>
            <w:r w:rsidRPr="00214519">
              <w:rPr>
                <w:color w:val="auto"/>
              </w:rPr>
              <w:t>How to create and maintain a culturally safe service</w:t>
            </w:r>
          </w:p>
          <w:p w14:paraId="61479011" w14:textId="4E2C497A" w:rsidR="00E30A88" w:rsidRPr="00214519" w:rsidRDefault="00E30A88" w:rsidP="00E30A88">
            <w:pPr>
              <w:pStyle w:val="ListBulletWhite"/>
              <w:rPr>
                <w:color w:val="auto"/>
              </w:rPr>
            </w:pPr>
            <w:r w:rsidRPr="00214519">
              <w:rPr>
                <w:color w:val="auto"/>
              </w:rPr>
              <w:t xml:space="preserve">The culturally responsive actions you can take </w:t>
            </w:r>
            <w:r w:rsidR="00E9539A" w:rsidRPr="00214519">
              <w:rPr>
                <w:color w:val="auto"/>
              </w:rPr>
              <w:t xml:space="preserve">when working with Aboriginal and/or Torres Strait Islander people </w:t>
            </w:r>
          </w:p>
          <w:p w14:paraId="08DF6F43" w14:textId="03F59203" w:rsidR="00162C29" w:rsidRPr="006D7B77" w:rsidRDefault="00E30A88" w:rsidP="00E30A88">
            <w:pPr>
              <w:pStyle w:val="ListBulletWhite"/>
            </w:pPr>
            <w:r w:rsidRPr="00214519">
              <w:rPr>
                <w:color w:val="auto"/>
              </w:rPr>
              <w:t>Links to useful information and resources.</w:t>
            </w:r>
          </w:p>
        </w:tc>
      </w:tr>
    </w:tbl>
    <w:p w14:paraId="17EC8A87" w14:textId="008C2021" w:rsidR="001835A6" w:rsidRDefault="006D7B77" w:rsidP="00EE5511">
      <w:pPr>
        <w:pStyle w:val="Style2"/>
      </w:pPr>
      <w:r>
        <w:t>Key guidance</w:t>
      </w:r>
    </w:p>
    <w:p w14:paraId="72847136" w14:textId="77777777" w:rsidR="00E30A88" w:rsidRDefault="00E30A88" w:rsidP="00EE5511">
      <w:pPr>
        <w:pStyle w:val="Style3"/>
      </w:pPr>
      <w:r>
        <w:t>Cultural safety and cultural responsiveness</w:t>
      </w:r>
    </w:p>
    <w:p w14:paraId="5DF80F2A" w14:textId="3547FFE5" w:rsidR="00E30A88" w:rsidRDefault="00E30A88" w:rsidP="00E30A88">
      <w:r>
        <w:t xml:space="preserve">Cultural safety in the CaFIS context means creating and maintaining a service that is safe and accessible for Aboriginal and/or </w:t>
      </w:r>
      <w:r w:rsidR="00606DCA">
        <w:t xml:space="preserve">Torres Strait Islander people. </w:t>
      </w:r>
      <w:r>
        <w:t>Cultural responsiveness describes the actions that are practiced to create and maintain a cultura</w:t>
      </w:r>
      <w:r w:rsidR="00606DCA">
        <w:t>lly safe service.</w:t>
      </w:r>
    </w:p>
    <w:p w14:paraId="106AA37D" w14:textId="38C96103" w:rsidR="00E30A88" w:rsidRDefault="00E30A88" w:rsidP="00E30A88">
      <w:r>
        <w:t xml:space="preserve">Two important aspects of culturally safe service delivery are how the CaFIS service is provided, but also how it is </w:t>
      </w:r>
      <w:r w:rsidRPr="00E9539A">
        <w:rPr>
          <w:i/>
          <w:iCs/>
        </w:rPr>
        <w:t>experienced</w:t>
      </w:r>
      <w:r>
        <w:t xml:space="preserve"> by Aboriginal and/or Torres Strait </w:t>
      </w:r>
      <w:r w:rsidR="00606DCA">
        <w:t>Islander people who access it.</w:t>
      </w:r>
    </w:p>
    <w:p w14:paraId="660EB518" w14:textId="73640ABF" w:rsidR="00E30A88" w:rsidRDefault="00E30A88" w:rsidP="00EE5511">
      <w:pPr>
        <w:pStyle w:val="Style4"/>
      </w:pPr>
      <w:r>
        <w:t>A framew</w:t>
      </w:r>
      <w:r w:rsidR="00606DCA">
        <w:t>ork for cultural responsiveness</w:t>
      </w:r>
    </w:p>
    <w:p w14:paraId="0D48D3A6" w14:textId="4058346F" w:rsidR="00E30A88" w:rsidRDefault="00E30A88" w:rsidP="00E30A88">
      <w:r>
        <w:t xml:space="preserve">Indigenous Allied Health Australia (IAHA) has developed a framework, </w:t>
      </w:r>
      <w:hyperlink r:id="rId15" w:history="1">
        <w:r w:rsidRPr="00E30A88">
          <w:rPr>
            <w:rStyle w:val="Hyperlink"/>
          </w:rPr>
          <w:t>Cultural Responsiveness in Action: An IAHA Framework</w:t>
        </w:r>
      </w:hyperlink>
      <w:r>
        <w:t>, that identifies six capabilities that are important for individuals and organisations working with Aboriginal and/or Torres Strait Islander people. These are set out in Table 1.</w:t>
      </w:r>
    </w:p>
    <w:p w14:paraId="34BF1907" w14:textId="222FE847" w:rsidR="00E67646" w:rsidRDefault="00E67646" w:rsidP="00E30A88"/>
    <w:p w14:paraId="22EEB141" w14:textId="3A12CCB3" w:rsidR="00E67646" w:rsidRDefault="00E67646" w:rsidP="00E30A88"/>
    <w:p w14:paraId="7E43D0CE" w14:textId="68DBA69C" w:rsidR="00E67646" w:rsidRDefault="00E67646" w:rsidP="00E30A88"/>
    <w:p w14:paraId="4D93964C" w14:textId="77777777" w:rsidR="00E67646" w:rsidRDefault="00E67646" w:rsidP="00E30A88"/>
    <w:p w14:paraId="3DEC31CA" w14:textId="77777777" w:rsidR="00E30A88" w:rsidRDefault="00E30A88" w:rsidP="00E30A88">
      <w:pPr>
        <w:sectPr w:rsidR="00E30A88" w:rsidSect="00162C29">
          <w:type w:val="continuous"/>
          <w:pgSz w:w="11907" w:h="16840" w:code="9"/>
          <w:pgMar w:top="1134" w:right="851" w:bottom="1361" w:left="851" w:header="567" w:footer="851" w:gutter="0"/>
          <w:cols w:num="2" w:space="567"/>
          <w:titlePg/>
          <w:docGrid w:linePitch="360"/>
        </w:sectPr>
      </w:pPr>
    </w:p>
    <w:p w14:paraId="293EEBD9" w14:textId="3F3B02B4" w:rsidR="00E30A88" w:rsidRDefault="00E30A88" w:rsidP="00EE5511">
      <w:pPr>
        <w:pStyle w:val="Style6"/>
      </w:pPr>
      <w:bookmarkStart w:id="0" w:name="_GoBack"/>
      <w:r>
        <w:t xml:space="preserve">Table </w:t>
      </w:r>
      <w:fldSimple w:instr=" SEQ Table \* ARABIC ">
        <w:r w:rsidR="0001370D">
          <w:rPr>
            <w:noProof/>
          </w:rPr>
          <w:t>1</w:t>
        </w:r>
      </w:fldSimple>
      <w:r>
        <w:t xml:space="preserve">: </w:t>
      </w:r>
      <w:r w:rsidR="00E9539A">
        <w:t>IAHA Cultural Responsiveness Ca</w:t>
      </w:r>
      <w:r w:rsidR="00386D30">
        <w:t>pabilities Framework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365"/>
      </w:tblGrid>
      <w:tr w:rsidR="00E30A88" w14:paraId="1B71CFB4" w14:textId="77777777" w:rsidTr="007A5DB4">
        <w:trPr>
          <w:cantSplit/>
          <w:tblHeader/>
        </w:trPr>
        <w:tc>
          <w:tcPr>
            <w:tcW w:w="2830" w:type="dxa"/>
            <w:tcBorders>
              <w:bottom w:val="single" w:sz="12" w:space="0" w:color="4D4D4D" w:themeColor="text2"/>
            </w:tcBorders>
          </w:tcPr>
          <w:bookmarkEnd w:id="0"/>
          <w:p w14:paraId="6DEAB906" w14:textId="1D62DF85" w:rsidR="00E30A88" w:rsidRDefault="00E67646" w:rsidP="007A5DB4">
            <w:pPr>
              <w:pStyle w:val="TableColumnHeadingNormal"/>
            </w:pPr>
            <w:r>
              <w:t>Capability</w:t>
            </w:r>
          </w:p>
        </w:tc>
        <w:tc>
          <w:tcPr>
            <w:tcW w:w="7365" w:type="dxa"/>
            <w:tcBorders>
              <w:bottom w:val="single" w:sz="12" w:space="0" w:color="4D4D4D" w:themeColor="text2"/>
            </w:tcBorders>
          </w:tcPr>
          <w:p w14:paraId="60C9092C" w14:textId="10E06403" w:rsidR="00E30A88" w:rsidRDefault="00E67646" w:rsidP="007A5DB4">
            <w:pPr>
              <w:pStyle w:val="TableColumnHeadingNormal"/>
            </w:pPr>
            <w:r>
              <w:t>Focus</w:t>
            </w:r>
          </w:p>
        </w:tc>
      </w:tr>
      <w:tr w:rsidR="00E67646" w14:paraId="45274380" w14:textId="77777777" w:rsidTr="00E67646">
        <w:trPr>
          <w:cantSplit/>
        </w:trPr>
        <w:tc>
          <w:tcPr>
            <w:tcW w:w="2830" w:type="dxa"/>
            <w:tcBorders>
              <w:top w:val="single" w:sz="4" w:space="0" w:color="4D4D4D" w:themeColor="text2"/>
              <w:bottom w:val="single" w:sz="4" w:space="0" w:color="4D4D4D" w:themeColor="text2"/>
            </w:tcBorders>
          </w:tcPr>
          <w:p w14:paraId="6D33A456" w14:textId="249FF75A" w:rsidR="00E67646" w:rsidRPr="00237E65" w:rsidRDefault="00E67646" w:rsidP="00E67646">
            <w:pPr>
              <w:pStyle w:val="TableTextNormal"/>
            </w:pPr>
            <w:r>
              <w:rPr>
                <w:lang w:eastAsia="en-AU"/>
              </w:rPr>
              <w:t>Respect for the centrality of cultures</w:t>
            </w:r>
          </w:p>
        </w:tc>
        <w:tc>
          <w:tcPr>
            <w:tcW w:w="7365" w:type="dxa"/>
            <w:tcBorders>
              <w:top w:val="single" w:sz="4" w:space="0" w:color="4D4D4D" w:themeColor="text2"/>
              <w:bottom w:val="single" w:sz="4" w:space="0" w:color="4D4D4D" w:themeColor="text2"/>
            </w:tcBorders>
          </w:tcPr>
          <w:p w14:paraId="0699B5C4" w14:textId="26287195" w:rsidR="00E67646" w:rsidRPr="00E67646" w:rsidRDefault="00E67646" w:rsidP="00E67646">
            <w:pPr>
              <w:pStyle w:val="TableBullet1Normal"/>
            </w:pPr>
            <w:r w:rsidRPr="00E67646">
              <w:t xml:space="preserve">Respecting and valuing Aboriginal and </w:t>
            </w:r>
            <w:r w:rsidR="00386D30">
              <w:t>Torres Strait Islander cultures</w:t>
            </w:r>
          </w:p>
          <w:p w14:paraId="51DEDF71" w14:textId="16011A95" w:rsidR="00E67646" w:rsidRPr="00E67646" w:rsidRDefault="00E67646" w:rsidP="00E67646">
            <w:pPr>
              <w:pStyle w:val="TableBullet1Normal"/>
            </w:pPr>
            <w:r w:rsidRPr="00E67646">
              <w:t>Valuing the unique cultural lens that Aboriginal and Torres Strait Islander w</w:t>
            </w:r>
            <w:r w:rsidR="00386D30">
              <w:t>orkforce bring to organisations</w:t>
            </w:r>
          </w:p>
          <w:p w14:paraId="6E2ED793" w14:textId="77777777" w:rsidR="00E67646" w:rsidRPr="00E67646" w:rsidRDefault="00E67646" w:rsidP="00E67646">
            <w:pPr>
              <w:pStyle w:val="TableBullet1Normal"/>
            </w:pPr>
            <w:r w:rsidRPr="00E67646">
              <w:t>Understanding and respecting diversity of Aboriginal and Torres Strait Islander peoples and communities</w:t>
            </w:r>
          </w:p>
          <w:p w14:paraId="004DD66A" w14:textId="16112754" w:rsidR="00E67646" w:rsidRPr="00E67646" w:rsidRDefault="00E67646" w:rsidP="00E67646">
            <w:pPr>
              <w:pStyle w:val="TableBullet1Normal"/>
            </w:pPr>
            <w:r w:rsidRPr="00E67646">
              <w:t>Understanding dominant cultures and privilege that impacts on Aboriginal and Torres Strait Islander people.</w:t>
            </w:r>
          </w:p>
        </w:tc>
      </w:tr>
      <w:tr w:rsidR="00E67646" w14:paraId="211C244D" w14:textId="77777777" w:rsidTr="00E67646">
        <w:trPr>
          <w:cantSplit/>
        </w:trPr>
        <w:tc>
          <w:tcPr>
            <w:tcW w:w="2830" w:type="dxa"/>
            <w:tcBorders>
              <w:top w:val="single" w:sz="4" w:space="0" w:color="4D4D4D" w:themeColor="text2"/>
              <w:bottom w:val="single" w:sz="4" w:space="0" w:color="4D4D4D" w:themeColor="text2"/>
            </w:tcBorders>
          </w:tcPr>
          <w:p w14:paraId="3D1D57FF" w14:textId="6914DAAE" w:rsidR="00E67646" w:rsidRDefault="00E67646" w:rsidP="00E67646">
            <w:pPr>
              <w:pStyle w:val="TableTextNormal"/>
              <w:rPr>
                <w:lang w:eastAsia="en-AU"/>
              </w:rPr>
            </w:pPr>
            <w:r>
              <w:rPr>
                <w:lang w:eastAsia="en-AU"/>
              </w:rPr>
              <w:t>Self-awareness</w:t>
            </w:r>
          </w:p>
        </w:tc>
        <w:tc>
          <w:tcPr>
            <w:tcW w:w="7365" w:type="dxa"/>
            <w:tcBorders>
              <w:top w:val="single" w:sz="4" w:space="0" w:color="4D4D4D" w:themeColor="text2"/>
              <w:bottom w:val="single" w:sz="4" w:space="0" w:color="4D4D4D" w:themeColor="text2"/>
            </w:tcBorders>
          </w:tcPr>
          <w:p w14:paraId="60162D06" w14:textId="60F0FF14" w:rsidR="00E67646" w:rsidRPr="00E67646" w:rsidRDefault="00E67646" w:rsidP="00E67646">
            <w:pPr>
              <w:pStyle w:val="TableBullet1Normal"/>
            </w:pPr>
            <w:r w:rsidRPr="00E67646">
              <w:t>Understanding our own cultures and impact on others, understanding our assumptions, beliefs and attit</w:t>
            </w:r>
            <w:r w:rsidR="00386D30">
              <w:t>udes and their impact on others</w:t>
            </w:r>
          </w:p>
          <w:p w14:paraId="4DCA1F3D" w14:textId="31F0C0AE" w:rsidR="00E67646" w:rsidRPr="00E67646" w:rsidRDefault="00E67646" w:rsidP="00E67646">
            <w:pPr>
              <w:pStyle w:val="TableBullet1Normal"/>
            </w:pPr>
            <w:r w:rsidRPr="00E67646">
              <w:t>Being open to ch</w:t>
            </w:r>
            <w:r w:rsidR="00386D30">
              <w:t>anging behaviours and practices</w:t>
            </w:r>
          </w:p>
          <w:p w14:paraId="29C5B777" w14:textId="5E1D3BC1" w:rsidR="00E67646" w:rsidRPr="00E67646" w:rsidRDefault="00E67646" w:rsidP="00E67646">
            <w:pPr>
              <w:pStyle w:val="TableBullet1Normal"/>
            </w:pPr>
            <w:r w:rsidRPr="00E67646">
              <w:t>Challenging our own assumptions, beliefs and attitudes that contribute to personal and institutional racism.</w:t>
            </w:r>
          </w:p>
        </w:tc>
      </w:tr>
      <w:tr w:rsidR="00E67646" w14:paraId="5F0C164B" w14:textId="77777777" w:rsidTr="00E67646">
        <w:trPr>
          <w:cantSplit/>
        </w:trPr>
        <w:tc>
          <w:tcPr>
            <w:tcW w:w="2830" w:type="dxa"/>
            <w:tcBorders>
              <w:top w:val="single" w:sz="4" w:space="0" w:color="4D4D4D" w:themeColor="text2"/>
              <w:bottom w:val="single" w:sz="4" w:space="0" w:color="4D4D4D" w:themeColor="text2"/>
            </w:tcBorders>
          </w:tcPr>
          <w:p w14:paraId="2CE7D62B" w14:textId="0A02DB66" w:rsidR="00E67646" w:rsidRDefault="00E67646" w:rsidP="00E67646">
            <w:pPr>
              <w:pStyle w:val="TableTextNormal"/>
              <w:rPr>
                <w:lang w:eastAsia="en-AU"/>
              </w:rPr>
            </w:pPr>
            <w:r>
              <w:rPr>
                <w:lang w:eastAsia="en-AU"/>
              </w:rPr>
              <w:t>Proactivity</w:t>
            </w:r>
          </w:p>
        </w:tc>
        <w:tc>
          <w:tcPr>
            <w:tcW w:w="7365" w:type="dxa"/>
            <w:tcBorders>
              <w:top w:val="single" w:sz="4" w:space="0" w:color="4D4D4D" w:themeColor="text2"/>
              <w:bottom w:val="single" w:sz="4" w:space="0" w:color="4D4D4D" w:themeColor="text2"/>
            </w:tcBorders>
          </w:tcPr>
          <w:p w14:paraId="2AA78E28" w14:textId="739FCAA1" w:rsidR="00E67646" w:rsidRPr="00E67646" w:rsidRDefault="00E67646" w:rsidP="00E67646">
            <w:pPr>
              <w:pStyle w:val="TableBullet1Normal"/>
            </w:pPr>
            <w:r w:rsidRPr="00E67646">
              <w:t>Taking responsibility for our own capability develop</w:t>
            </w:r>
            <w:r w:rsidR="007652C9">
              <w:t>ment in cultural responsiveness</w:t>
            </w:r>
          </w:p>
          <w:p w14:paraId="79054D8C" w14:textId="5EE61C77" w:rsidR="00E67646" w:rsidRPr="00E67646" w:rsidRDefault="007652C9" w:rsidP="00E67646">
            <w:pPr>
              <w:pStyle w:val="TableBullet1Normal"/>
            </w:pPr>
            <w:r>
              <w:t>Addressing all forms of racism</w:t>
            </w:r>
          </w:p>
          <w:p w14:paraId="5B7CFCD4" w14:textId="7CF1E80B" w:rsidR="00E67646" w:rsidRPr="00E67646" w:rsidRDefault="00E67646" w:rsidP="00E67646">
            <w:pPr>
              <w:pStyle w:val="TableBullet1Normal"/>
            </w:pPr>
            <w:r w:rsidRPr="00E67646">
              <w:t>Taking strengths-based and nation-</w:t>
            </w:r>
            <w:r w:rsidR="007652C9">
              <w:t>building approaches to practice</w:t>
            </w:r>
          </w:p>
          <w:p w14:paraId="550FED36" w14:textId="64FC2C5A" w:rsidR="00E67646" w:rsidRPr="00E67646" w:rsidRDefault="00E67646" w:rsidP="00E67646">
            <w:pPr>
              <w:pStyle w:val="TableBullet1Normal"/>
            </w:pPr>
            <w:r w:rsidRPr="00E67646">
              <w:t>Transforming practice through personal and organisational initiatives and innovations.</w:t>
            </w:r>
          </w:p>
        </w:tc>
      </w:tr>
      <w:tr w:rsidR="00E67646" w14:paraId="0B5D980D" w14:textId="77777777" w:rsidTr="00E67646">
        <w:trPr>
          <w:cantSplit/>
        </w:trPr>
        <w:tc>
          <w:tcPr>
            <w:tcW w:w="2830" w:type="dxa"/>
            <w:tcBorders>
              <w:top w:val="single" w:sz="4" w:space="0" w:color="4D4D4D" w:themeColor="text2"/>
              <w:bottom w:val="single" w:sz="4" w:space="0" w:color="4D4D4D" w:themeColor="text2"/>
            </w:tcBorders>
          </w:tcPr>
          <w:p w14:paraId="3AED1CC8" w14:textId="1CBC1685" w:rsidR="00E67646" w:rsidRDefault="00E67646" w:rsidP="00E67646">
            <w:pPr>
              <w:pStyle w:val="TableTextNormal"/>
              <w:rPr>
                <w:lang w:eastAsia="en-AU"/>
              </w:rPr>
            </w:pPr>
            <w:r>
              <w:rPr>
                <w:lang w:eastAsia="en-AU"/>
              </w:rPr>
              <w:lastRenderedPageBreak/>
              <w:t xml:space="preserve">Inclusive engagement </w:t>
            </w:r>
          </w:p>
        </w:tc>
        <w:tc>
          <w:tcPr>
            <w:tcW w:w="7365" w:type="dxa"/>
            <w:tcBorders>
              <w:top w:val="single" w:sz="4" w:space="0" w:color="4D4D4D" w:themeColor="text2"/>
              <w:bottom w:val="single" w:sz="4" w:space="0" w:color="4D4D4D" w:themeColor="text2"/>
            </w:tcBorders>
          </w:tcPr>
          <w:p w14:paraId="76B8BDC3" w14:textId="61932FD6" w:rsidR="00E67646" w:rsidRPr="00E67646" w:rsidRDefault="00E67646" w:rsidP="00E67646">
            <w:pPr>
              <w:pStyle w:val="TableBullet1Normal"/>
            </w:pPr>
            <w:r w:rsidRPr="00E67646">
              <w:t>Appreciating and implementing processes for Aboriginal and Torres Strait Islander se</w:t>
            </w:r>
            <w:r w:rsidR="007652C9">
              <w:t>lf-determination and leadership</w:t>
            </w:r>
          </w:p>
          <w:p w14:paraId="2854CCB0" w14:textId="747B2EE3" w:rsidR="00E67646" w:rsidRPr="00E67646" w:rsidRDefault="00E67646" w:rsidP="00E67646">
            <w:pPr>
              <w:pStyle w:val="TableBullet1Normal"/>
            </w:pPr>
            <w:r w:rsidRPr="00E67646">
              <w:t xml:space="preserve">Developing respectful communication and engagement strategies that are a </w:t>
            </w:r>
            <w:r w:rsidR="007652C9">
              <w:t>cultural match with communities</w:t>
            </w:r>
          </w:p>
          <w:p w14:paraId="583D56AD" w14:textId="62EC65D0" w:rsidR="00E67646" w:rsidRPr="00E67646" w:rsidRDefault="00E67646" w:rsidP="00E67646">
            <w:pPr>
              <w:pStyle w:val="TableBullet1Normal"/>
            </w:pPr>
            <w:r w:rsidRPr="00E67646">
              <w:t xml:space="preserve">Encouraging </w:t>
            </w:r>
            <w:r w:rsidR="007652C9">
              <w:t>community development solutions</w:t>
            </w:r>
          </w:p>
          <w:p w14:paraId="357602FE" w14:textId="4433036A" w:rsidR="00E67646" w:rsidRPr="00E67646" w:rsidRDefault="00E67646" w:rsidP="00E67646">
            <w:pPr>
              <w:pStyle w:val="TableBullet1Normal"/>
            </w:pPr>
            <w:r w:rsidRPr="00E67646">
              <w:t>Establishing respectful and equal partnerships in decision making.</w:t>
            </w:r>
          </w:p>
        </w:tc>
      </w:tr>
      <w:tr w:rsidR="00E67646" w14:paraId="059F60BA" w14:textId="77777777" w:rsidTr="00E67646">
        <w:trPr>
          <w:cantSplit/>
        </w:trPr>
        <w:tc>
          <w:tcPr>
            <w:tcW w:w="2830" w:type="dxa"/>
            <w:tcBorders>
              <w:top w:val="single" w:sz="4" w:space="0" w:color="4D4D4D" w:themeColor="text2"/>
              <w:bottom w:val="single" w:sz="4" w:space="0" w:color="4D4D4D" w:themeColor="text2"/>
            </w:tcBorders>
          </w:tcPr>
          <w:p w14:paraId="0E5558AD" w14:textId="0987798F" w:rsidR="00E67646" w:rsidRPr="00237E65" w:rsidRDefault="00E67646" w:rsidP="00E67646">
            <w:pPr>
              <w:pStyle w:val="TableTextNormal"/>
            </w:pPr>
            <w:r>
              <w:rPr>
                <w:lang w:eastAsia="en-AU"/>
              </w:rPr>
              <w:t>Leadership</w:t>
            </w:r>
          </w:p>
        </w:tc>
        <w:tc>
          <w:tcPr>
            <w:tcW w:w="7365" w:type="dxa"/>
            <w:tcBorders>
              <w:top w:val="single" w:sz="4" w:space="0" w:color="4D4D4D" w:themeColor="text2"/>
              <w:bottom w:val="single" w:sz="4" w:space="0" w:color="4D4D4D" w:themeColor="text2"/>
            </w:tcBorders>
          </w:tcPr>
          <w:p w14:paraId="2D4F2377" w14:textId="107AF968" w:rsidR="00E67646" w:rsidRPr="00E67646" w:rsidRDefault="00E67646" w:rsidP="00E67646">
            <w:pPr>
              <w:pStyle w:val="TableBullet1Normal"/>
            </w:pPr>
            <w:r w:rsidRPr="00E67646">
              <w:t>Leading by example – vision and values in cultural respo</w:t>
            </w:r>
            <w:r w:rsidR="007652C9">
              <w:t>nsiveness are visible to others</w:t>
            </w:r>
          </w:p>
          <w:p w14:paraId="50104EC4" w14:textId="54901E12" w:rsidR="00E67646" w:rsidRPr="00E67646" w:rsidRDefault="00E67646" w:rsidP="00E67646">
            <w:pPr>
              <w:pStyle w:val="TableBullet1Normal"/>
            </w:pPr>
            <w:r w:rsidRPr="00E67646">
              <w:t xml:space="preserve">Inspiring others in cultural responsiveness </w:t>
            </w:r>
            <w:r w:rsidR="007652C9">
              <w:t>and cultivating a shared vision</w:t>
            </w:r>
          </w:p>
          <w:p w14:paraId="1CAA9A6F" w14:textId="1432CA6E" w:rsidR="00E67646" w:rsidRPr="00E67646" w:rsidRDefault="00E67646" w:rsidP="00E67646">
            <w:pPr>
              <w:pStyle w:val="TableBullet1Normal"/>
            </w:pPr>
            <w:r w:rsidRPr="00E67646">
              <w:t>Using strengths-based, solution-focused approaches to demonstrate leadership that transforms governance, accountability and relationships that include Aboriginal an</w:t>
            </w:r>
            <w:r w:rsidR="007652C9">
              <w:t>d Torres Strait Islander people</w:t>
            </w:r>
          </w:p>
          <w:p w14:paraId="17146CD2" w14:textId="57F35702" w:rsidR="00E67646" w:rsidRPr="00E67646" w:rsidRDefault="00E67646" w:rsidP="00E67646">
            <w:pPr>
              <w:pStyle w:val="TableBullet1Normal"/>
            </w:pPr>
            <w:r w:rsidRPr="00E67646">
              <w:t>Influencing change and transformation in building culturally responsive practice and environments.</w:t>
            </w:r>
          </w:p>
        </w:tc>
      </w:tr>
      <w:tr w:rsidR="00E67646" w14:paraId="25A8CD08" w14:textId="77777777" w:rsidTr="00E67646">
        <w:trPr>
          <w:cantSplit/>
        </w:trPr>
        <w:tc>
          <w:tcPr>
            <w:tcW w:w="2830" w:type="dxa"/>
            <w:tcBorders>
              <w:top w:val="single" w:sz="4" w:space="0" w:color="4D4D4D" w:themeColor="text2"/>
              <w:bottom w:val="single" w:sz="12" w:space="0" w:color="4D4D4D" w:themeColor="text2"/>
            </w:tcBorders>
          </w:tcPr>
          <w:p w14:paraId="4E4E6808" w14:textId="0CB8B2E2" w:rsidR="00E67646" w:rsidRPr="00237E65" w:rsidRDefault="00E67646" w:rsidP="00E67646">
            <w:pPr>
              <w:pStyle w:val="TableTextNormal"/>
            </w:pPr>
            <w:r>
              <w:rPr>
                <w:lang w:eastAsia="en-AU"/>
              </w:rPr>
              <w:t>Responsibility and accountability</w:t>
            </w:r>
          </w:p>
        </w:tc>
        <w:tc>
          <w:tcPr>
            <w:tcW w:w="7365" w:type="dxa"/>
            <w:tcBorders>
              <w:top w:val="single" w:sz="4" w:space="0" w:color="4D4D4D" w:themeColor="text2"/>
              <w:bottom w:val="single" w:sz="12" w:space="0" w:color="4D4D4D" w:themeColor="text2"/>
            </w:tcBorders>
          </w:tcPr>
          <w:p w14:paraId="0A8E739D" w14:textId="19A87581" w:rsidR="00E67646" w:rsidRPr="00E67646" w:rsidRDefault="00E67646" w:rsidP="00E67646">
            <w:pPr>
              <w:pStyle w:val="TableBullet1Normal"/>
            </w:pPr>
            <w:r w:rsidRPr="00E67646">
              <w:t>Setting and achieving shared goals and tar</w:t>
            </w:r>
            <w:r w:rsidR="007652C9">
              <w:t>gets in cultural responsiveness</w:t>
            </w:r>
          </w:p>
          <w:p w14:paraId="15F60C74" w14:textId="5DA1B94D" w:rsidR="00E67646" w:rsidRPr="00E67646" w:rsidRDefault="00E67646" w:rsidP="00E67646">
            <w:pPr>
              <w:pStyle w:val="TableBullet1Normal"/>
            </w:pPr>
            <w:r w:rsidRPr="00E67646">
              <w:t>Embedding cultural responsiveness in o</w:t>
            </w:r>
            <w:r w:rsidR="007652C9">
              <w:t>rganisational goals and targets</w:t>
            </w:r>
          </w:p>
          <w:p w14:paraId="1B487D62" w14:textId="493C257B" w:rsidR="00E67646" w:rsidRPr="00E67646" w:rsidRDefault="00E67646" w:rsidP="00E67646">
            <w:pPr>
              <w:pStyle w:val="TableBullet1Normal"/>
            </w:pPr>
            <w:r w:rsidRPr="00E67646">
              <w:t>Having accountability to Aboriginal and Torres Strait Islander indivi</w:t>
            </w:r>
            <w:r w:rsidR="007652C9">
              <w:t>duals, families and communities</w:t>
            </w:r>
          </w:p>
          <w:p w14:paraId="7BE1EF5D" w14:textId="46FED7C4" w:rsidR="00E67646" w:rsidRPr="00E67646" w:rsidRDefault="00E67646" w:rsidP="00E67646">
            <w:pPr>
              <w:pStyle w:val="TableBullet1Normal"/>
            </w:pPr>
            <w:r w:rsidRPr="00E67646">
              <w:t>Understanding and working within a social justice and rights-based framework.</w:t>
            </w:r>
          </w:p>
        </w:tc>
      </w:tr>
    </w:tbl>
    <w:p w14:paraId="10424250" w14:textId="29AEA641" w:rsidR="00E30A88" w:rsidRDefault="00E30A88" w:rsidP="00E30A88">
      <w:pPr>
        <w:pStyle w:val="Sources"/>
        <w:sectPr w:rsidR="00E30A88" w:rsidSect="00E30A88">
          <w:type w:val="continuous"/>
          <w:pgSz w:w="11907" w:h="16840" w:code="9"/>
          <w:pgMar w:top="1134" w:right="851" w:bottom="1361" w:left="851" w:header="567" w:footer="851" w:gutter="0"/>
          <w:cols w:space="567"/>
          <w:titlePg/>
          <w:docGrid w:linePitch="360"/>
        </w:sectPr>
      </w:pPr>
      <w:r w:rsidRPr="00237E65">
        <w:t xml:space="preserve">Source: </w:t>
      </w:r>
      <w:r w:rsidR="00E9539A">
        <w:t>Indigenous Allied Health Australia,</w:t>
      </w:r>
      <w:r w:rsidRPr="00237E65">
        <w:t xml:space="preserve"> 201</w:t>
      </w:r>
      <w:r w:rsidR="00E9539A">
        <w:t>9</w:t>
      </w:r>
      <w:r w:rsidRPr="00237E65">
        <w:t xml:space="preserve">, pp. </w:t>
      </w:r>
      <w:r w:rsidR="00E9539A">
        <w:t>11-13</w:t>
      </w:r>
      <w:r w:rsidRPr="00237E65">
        <w:t>.</w:t>
      </w:r>
    </w:p>
    <w:p w14:paraId="02BD6550" w14:textId="5CB25061" w:rsidR="00E67646" w:rsidRDefault="00E67646" w:rsidP="00EE5511">
      <w:pPr>
        <w:pStyle w:val="Style5"/>
      </w:pPr>
      <w:r>
        <w:t>Application to CaFIS providers</w:t>
      </w:r>
    </w:p>
    <w:p w14:paraId="36E472FF" w14:textId="331311B7" w:rsidR="00E67646" w:rsidRDefault="00E67646" w:rsidP="00E67646">
      <w:r>
        <w:t>CaFIS providers need to consider how to create and maint</w:t>
      </w:r>
      <w:r w:rsidR="007652C9">
        <w:t xml:space="preserve">ain a culturally safe service. </w:t>
      </w:r>
      <w:r>
        <w:t>One way to do this might be to create a plan to build the cultural responsiveness of the organisation and individuals involved in the delivery of CaFIS, by identifying actions you will take against each of the six capabi</w:t>
      </w:r>
      <w:r w:rsidR="00E121E9">
        <w:t>lity areas in IAHA’s Framework.</w:t>
      </w:r>
    </w:p>
    <w:p w14:paraId="751C7EAC" w14:textId="77777777" w:rsidR="00E67646" w:rsidRDefault="00E67646" w:rsidP="00E67646">
      <w:r>
        <w:t>Some key questions for organisations and individuals involved in the CaFIS program, that have been adapted from IAHA’s Framework, could include:</w:t>
      </w:r>
    </w:p>
    <w:p w14:paraId="61347BC0" w14:textId="6371BB42" w:rsidR="00E67646" w:rsidRDefault="00E67646" w:rsidP="00E67646">
      <w:pPr>
        <w:pStyle w:val="ListBullet"/>
      </w:pPr>
      <w:r>
        <w:t>What actions can we take to ensure our organisation is culturally responsive?</w:t>
      </w:r>
    </w:p>
    <w:p w14:paraId="357C6AEA" w14:textId="42214C2E" w:rsidR="00E67646" w:rsidRDefault="00E67646" w:rsidP="00E67646">
      <w:pPr>
        <w:pStyle w:val="ListBullet"/>
      </w:pPr>
      <w:r>
        <w:t>How can we support our staff involved in the delivery of CaFIS to strengthen</w:t>
      </w:r>
      <w:r w:rsidR="007652C9">
        <w:t xml:space="preserve"> their cultural responsiveness?</w:t>
      </w:r>
    </w:p>
    <w:p w14:paraId="011E57A5" w14:textId="7AFD1CEB" w:rsidR="00E67646" w:rsidRDefault="00E67646" w:rsidP="00E67646">
      <w:pPr>
        <w:pStyle w:val="ListBullet"/>
      </w:pPr>
      <w:r>
        <w:t>How can we develop our knowledge of Aboriginal and/or Torres Strait Islander communities and use this knowledge to improve the cultural responsiveness of our CaFIS service, as well as access to the service?</w:t>
      </w:r>
    </w:p>
    <w:p w14:paraId="0415171B" w14:textId="5561DA2D" w:rsidR="00E67646" w:rsidRDefault="00E67646" w:rsidP="00E67646">
      <w:pPr>
        <w:pStyle w:val="ListBullet"/>
      </w:pPr>
      <w:r>
        <w:t>How can we involve community members in the delivery of the CaFIS service, including learning from Aboriginal and/or Torres Strait Islander people what the most effective ways to work with community are?</w:t>
      </w:r>
    </w:p>
    <w:p w14:paraId="38242932" w14:textId="2D725CAE" w:rsidR="00E67646" w:rsidRDefault="00E67646" w:rsidP="00E67646">
      <w:pPr>
        <w:pStyle w:val="ListBullet"/>
      </w:pPr>
      <w:r>
        <w:t>How can we work in partnership with Aboriginal and/or Torres Strait Islander individuals, families,</w:t>
      </w:r>
      <w:r w:rsidR="007652C9">
        <w:t xml:space="preserve"> communities and organisations?</w:t>
      </w:r>
    </w:p>
    <w:p w14:paraId="5E4D45F3" w14:textId="32C2E0BA" w:rsidR="00E67646" w:rsidRDefault="00E67646" w:rsidP="00E67646">
      <w:pPr>
        <w:pStyle w:val="ListBullet"/>
      </w:pPr>
      <w:r>
        <w:t>How can we include Aboriginal concepts of cultural, social and emotional wellbeing in the wa</w:t>
      </w:r>
      <w:r w:rsidR="007652C9">
        <w:t>y we deliver our CaFIS service?</w:t>
      </w:r>
    </w:p>
    <w:p w14:paraId="5581739C" w14:textId="7797E13A" w:rsidR="00E67646" w:rsidRDefault="00E67646" w:rsidP="00E67646">
      <w:pPr>
        <w:pStyle w:val="ListBullet"/>
      </w:pPr>
      <w:r>
        <w:t>How can we act on our commitment to self-determination for Aboriginal and/or</w:t>
      </w:r>
      <w:r w:rsidR="007652C9">
        <w:t xml:space="preserve"> Torres Strait Islander people?</w:t>
      </w:r>
    </w:p>
    <w:p w14:paraId="623D1CEF" w14:textId="19041501" w:rsidR="00E67646" w:rsidRDefault="00E67646" w:rsidP="00E67646">
      <w:pPr>
        <w:pStyle w:val="ListBullet"/>
      </w:pPr>
      <w:r>
        <w:t>How can we ensure our CaFIS service ta</w:t>
      </w:r>
      <w:r w:rsidR="00E121E9">
        <w:t>kes a strengths-based approach?</w:t>
      </w:r>
    </w:p>
    <w:p w14:paraId="57CE6453" w14:textId="3EC015F4" w:rsidR="00E30A88" w:rsidRDefault="00E67646" w:rsidP="00E67646">
      <w:pPr>
        <w:pStyle w:val="ListBullet"/>
      </w:pPr>
      <w:r>
        <w:t>How can we ensure our CaFIS service identifies and eliminates any racism?</w:t>
      </w:r>
    </w:p>
    <w:p w14:paraId="04F313B4" w14:textId="4EB4AA3E" w:rsidR="006D7B77" w:rsidRDefault="006D7B77" w:rsidP="006D7B77">
      <w:pPr>
        <w:pStyle w:val="DisclaimerHeading"/>
      </w:pPr>
      <w:r w:rsidRPr="006D7B77">
        <w:t>Disclaimer</w:t>
      </w:r>
    </w:p>
    <w:p w14:paraId="515D6768" w14:textId="1195BEEE" w:rsidR="00901C4A" w:rsidRPr="007652C9" w:rsidRDefault="00441200" w:rsidP="007652C9">
      <w:pPr>
        <w:pStyle w:val="Disclaimer"/>
        <w:rPr>
          <w:snapToGrid/>
        </w:rPr>
      </w:pPr>
      <w:r>
        <w:t>This document has been prepared by the Commonwealth Department of Social Services for the purpose of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010FAD" w14:paraId="668442E5" w14:textId="77777777" w:rsidTr="00162C29">
        <w:tc>
          <w:tcPr>
            <w:tcW w:w="4809" w:type="dxa"/>
            <w:shd w:val="clear" w:color="auto" w:fill="20AEC7" w:themeFill="accent5"/>
          </w:tcPr>
          <w:p w14:paraId="364820B6" w14:textId="51E40130" w:rsidR="00010FAD" w:rsidRPr="00214519" w:rsidRDefault="00E30A88" w:rsidP="00162C29">
            <w:pPr>
              <w:pStyle w:val="TableColumnHeadingNormal"/>
              <w:rPr>
                <w:color w:val="auto"/>
              </w:rPr>
            </w:pPr>
            <w:r w:rsidRPr="00214519">
              <w:rPr>
                <w:color w:val="auto"/>
              </w:rPr>
              <w:lastRenderedPageBreak/>
              <w:t>Where to go for more information on this topic</w:t>
            </w:r>
          </w:p>
          <w:p w14:paraId="56325968" w14:textId="1EA70D44" w:rsidR="00E30A88" w:rsidRPr="00214519" w:rsidRDefault="00EE5511" w:rsidP="00E30A88">
            <w:pPr>
              <w:pStyle w:val="TableTextNormal"/>
            </w:pPr>
            <w:hyperlink r:id="rId16" w:history="1">
              <w:r w:rsidR="00E30A88" w:rsidRPr="00214519">
                <w:rPr>
                  <w:rStyle w:val="Hyperlink"/>
                  <w:color w:val="auto"/>
                </w:rPr>
                <w:t>Cultural Responsiveness in Action: An IAHA Framework</w:t>
              </w:r>
            </w:hyperlink>
            <w:r w:rsidR="00E30A88" w:rsidRPr="00214519">
              <w:t xml:space="preserve"> provides practical strategies to strengthen the capabilities of individuals and organisations that work with Aboriginal and/or Torres Strait Islander people. IAHA is a national, member-based Aboriginal and Torres Strait Islander allied health organisation and provides training and support to the health and community sectors. </w:t>
            </w:r>
          </w:p>
          <w:p w14:paraId="7721CB61" w14:textId="6F03646E" w:rsidR="00010FAD" w:rsidRPr="00162C29" w:rsidRDefault="00EE5511" w:rsidP="00E30A88">
            <w:pPr>
              <w:pStyle w:val="TableTextNormal"/>
              <w:rPr>
                <w:color w:val="FFFFFF" w:themeColor="background1"/>
              </w:rPr>
            </w:pPr>
            <w:hyperlink r:id="rId17" w:history="1">
              <w:r w:rsidR="00E30A88" w:rsidRPr="00214519">
                <w:rPr>
                  <w:rStyle w:val="Hyperlink"/>
                  <w:color w:val="auto"/>
                </w:rPr>
                <w:t>Keeping our Kids Safe: Cultural Safety and the National Principles for Child Safe Organisations</w:t>
              </w:r>
            </w:hyperlink>
            <w:r w:rsidR="00E30A88" w:rsidRPr="00214519">
              <w:t xml:space="preserve"> is a resource to support organisations engaging with Aboriginal and/or Torres Strait Islander children to implement the National Principles for Child Safe Organisations in a culturally safe way. The resource was developed by SNAICC – National Voice for Our Children and the Victorian Aboriginal Child Care Agency for the Australian Government Department of the Prime Minister and Cabinet.</w:t>
            </w:r>
          </w:p>
        </w:tc>
      </w:tr>
    </w:tbl>
    <w:p w14:paraId="2DF6B1C4" w14:textId="77777777" w:rsidR="00010FAD" w:rsidRPr="00AD2938" w:rsidRDefault="00010FAD" w:rsidP="00010FAD"/>
    <w:sectPr w:rsidR="00010FAD" w:rsidRPr="00AD2938" w:rsidSect="00E67646">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C6D9" w14:textId="77777777" w:rsidR="001B4245" w:rsidRDefault="001B4245" w:rsidP="00AD2938">
      <w:pPr>
        <w:spacing w:after="0"/>
      </w:pPr>
      <w:r>
        <w:separator/>
      </w:r>
    </w:p>
  </w:endnote>
  <w:endnote w:type="continuationSeparator" w:id="0">
    <w:p w14:paraId="0BFE5FAB" w14:textId="77777777" w:rsidR="001B4245" w:rsidRDefault="001B4245"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4F457521" w:rsidR="004C4DFE" w:rsidRDefault="00214519" w:rsidP="001835A6">
    <w:pPr>
      <w:pStyle w:val="Footer-Even"/>
      <w:tabs>
        <w:tab w:val="clear" w:pos="7342"/>
        <w:tab w:val="left" w:pos="10094"/>
        <w:tab w:val="right" w:pos="10205"/>
      </w:tabs>
    </w:pPr>
    <w:fldSimple w:instr=" STYLEREF  &quot;Cover Outcome Headline&quot;  \* MERGEFORMAT ">
      <w:r w:rsidR="00EE5511">
        <w:rPr>
          <w:noProof/>
        </w:rPr>
        <w:t>Cultural Safety and Responsiveness</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EE5511">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0A480" w14:textId="77777777" w:rsidR="001B4245" w:rsidRDefault="001B4245" w:rsidP="00AD2938">
      <w:pPr>
        <w:spacing w:after="0"/>
      </w:pPr>
      <w:r>
        <w:separator/>
      </w:r>
    </w:p>
  </w:footnote>
  <w:footnote w:type="continuationSeparator" w:id="0">
    <w:p w14:paraId="16BC6B2D" w14:textId="77777777" w:rsidR="001B4245" w:rsidRDefault="001B4245"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65F7EE3B"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EE5511">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1370D"/>
    <w:rsid w:val="0014048E"/>
    <w:rsid w:val="00162C29"/>
    <w:rsid w:val="00182029"/>
    <w:rsid w:val="001835A6"/>
    <w:rsid w:val="001B4245"/>
    <w:rsid w:val="001D6A5A"/>
    <w:rsid w:val="00214519"/>
    <w:rsid w:val="002B2793"/>
    <w:rsid w:val="002B76E6"/>
    <w:rsid w:val="002F1698"/>
    <w:rsid w:val="00312E48"/>
    <w:rsid w:val="003235A9"/>
    <w:rsid w:val="003728BD"/>
    <w:rsid w:val="00386D30"/>
    <w:rsid w:val="003E36B0"/>
    <w:rsid w:val="003F75A1"/>
    <w:rsid w:val="00441200"/>
    <w:rsid w:val="00471C39"/>
    <w:rsid w:val="004C4DFE"/>
    <w:rsid w:val="005B7D7E"/>
    <w:rsid w:val="005C5666"/>
    <w:rsid w:val="005F4009"/>
    <w:rsid w:val="00606DCA"/>
    <w:rsid w:val="006139B8"/>
    <w:rsid w:val="006D7B77"/>
    <w:rsid w:val="006E441A"/>
    <w:rsid w:val="0072611A"/>
    <w:rsid w:val="00746ACA"/>
    <w:rsid w:val="00762C2F"/>
    <w:rsid w:val="007652C9"/>
    <w:rsid w:val="007A0C05"/>
    <w:rsid w:val="007A22AD"/>
    <w:rsid w:val="008141D0"/>
    <w:rsid w:val="008858C1"/>
    <w:rsid w:val="008A5116"/>
    <w:rsid w:val="008E6B3F"/>
    <w:rsid w:val="00901C4A"/>
    <w:rsid w:val="00913485"/>
    <w:rsid w:val="0092463F"/>
    <w:rsid w:val="009328FD"/>
    <w:rsid w:val="00980D79"/>
    <w:rsid w:val="00A148C4"/>
    <w:rsid w:val="00AD2938"/>
    <w:rsid w:val="00B86CBC"/>
    <w:rsid w:val="00CE485E"/>
    <w:rsid w:val="00D433E6"/>
    <w:rsid w:val="00D47F90"/>
    <w:rsid w:val="00D9074D"/>
    <w:rsid w:val="00D96489"/>
    <w:rsid w:val="00DE7B58"/>
    <w:rsid w:val="00E121E9"/>
    <w:rsid w:val="00E159BE"/>
    <w:rsid w:val="00E30A88"/>
    <w:rsid w:val="00E67646"/>
    <w:rsid w:val="00E9539A"/>
    <w:rsid w:val="00ED1E6B"/>
    <w:rsid w:val="00EE5511"/>
    <w:rsid w:val="00F75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customStyle="1" w:styleId="Style2">
    <w:name w:val="Style2"/>
    <w:basedOn w:val="Majorheading"/>
    <w:next w:val="Heading1"/>
    <w:qFormat/>
    <w:rsid w:val="00EE5511"/>
  </w:style>
  <w:style w:type="paragraph" w:customStyle="1" w:styleId="Style3">
    <w:name w:val="Style3"/>
    <w:basedOn w:val="Minorheading"/>
    <w:next w:val="Heading2"/>
    <w:qFormat/>
    <w:rsid w:val="00EE5511"/>
  </w:style>
  <w:style w:type="paragraph" w:customStyle="1" w:styleId="Style4">
    <w:name w:val="Style4"/>
    <w:basedOn w:val="Minorheading"/>
    <w:next w:val="Heading2"/>
    <w:qFormat/>
    <w:rsid w:val="00EE5511"/>
  </w:style>
  <w:style w:type="paragraph" w:customStyle="1" w:styleId="Style5">
    <w:name w:val="Style5"/>
    <w:basedOn w:val="Majorheading"/>
    <w:next w:val="Heading1"/>
    <w:qFormat/>
    <w:rsid w:val="00EE5511"/>
  </w:style>
  <w:style w:type="paragraph" w:customStyle="1" w:styleId="Style6">
    <w:name w:val="Style6"/>
    <w:basedOn w:val="Caption"/>
    <w:next w:val="Heading3"/>
    <w:qFormat/>
    <w:rsid w:val="00E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ildsafety.pmc.gov.au/sites/default/files/2021-06/final-keeping-our-kids-safe.pdf" TargetMode="External"/><Relationship Id="rId2" Type="http://schemas.openxmlformats.org/officeDocument/2006/relationships/numbering" Target="numbering.xml"/><Relationship Id="rId16" Type="http://schemas.openxmlformats.org/officeDocument/2006/relationships/hyperlink" Target="https://iaha.com.au/wp-content/uploads/2020/08/IAHA_Cultural-Responsiveness_2019_FINAL_V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aha.com.au/wp-content/uploads/2020/08/IAHA_Cultural-Responsiveness_2019_FINAL_V5.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69C7-76EF-4C0E-9402-BA56EC8B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5853</Characters>
  <Application>Microsoft Office Word</Application>
  <DocSecurity>0</DocSecurity>
  <Lines>154</Lines>
  <Paragraphs>62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2022-04-03T23:15:00Z</cp:lastPrinted>
  <dcterms:created xsi:type="dcterms:W3CDTF">2022-04-03T23:14:00Z</dcterms:created>
  <dcterms:modified xsi:type="dcterms:W3CDTF">2022-04-05T22:36:00Z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B5271289D5874D46A050DF2F4C552407</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2022-04-05T22:36:08Z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E12674C1E3E7892AE007E3EA00BDF5F4</vt:lpwstr>
  </property>
  <property fmtid="{D5CDD505-2E9C-101B-9397-08002B2CF9AE}" pid="20" name="PM_Hash_Salt">
    <vt:lpwstr>03D799E0596F8E795B4747BF82512483</vt:lpwstr>
  </property>
  <property fmtid="{D5CDD505-2E9C-101B-9397-08002B2CF9AE}" pid="21" name="PM_Hash_SHA1">
    <vt:lpwstr>9D045948CCB08B15C1B67CD19E0594C12F412141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